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Friedman Ian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ThredUp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TDUP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THREDUP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 BROADWAY, SUITE 200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OAKLAND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417,071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fully vested restricted stock units ('RSUs') under the Issuer's 2021 Stock Option and Incentive Plan in a transaction exempt under Rule 16b-3. Each unit represents a right to receive one share of the Issuer's Class A Common Stock. The Reporting Person elected to receive RSUs in lieu of his annual cash retainer, which retainer is paid in quarterly installments.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Alon Rotem,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575" TargetMode="External"/><Relationship Id="rId14" Type="http://schemas.openxmlformats.org/officeDocument/2006/relationships/hyperlink" Target="http://www.sec.gov/cgi-bin/browse-edgar?action=getcompany&amp;CIK=00014847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2026-04-24T16:15:57Z</dcterms:created>
  <dcterms:modified xsi:type="dcterms:W3CDTF">2026-04-24T16:15:57Z</dcterms:modified>
</cp:coreProperties>
</file>