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274320</wp:posOffset>
            </wp:positionH>
            <wp:positionV relativeFrom="page">
              <wp:posOffset>433705</wp:posOffset>
            </wp:positionV>
            <wp:extent cx="70084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17145"/>
                    </a:xfrm>
                    <a:prstGeom prst="rect">
                      <a:avLst/>
                    </a:prstGeom>
                    <a:noFill/>
                  </pic:spPr>
                </pic:pic>
              </a:graphicData>
            </a:graphic>
          </wp:anchor>
        </w:drawing>
        <w:t>UNITED STATES</w:t>
      </w:r>
    </w:p>
    <w:p>
      <w:pPr>
        <w:spacing w:after="0" w:line="43" w:lineRule="exact"/>
        <w:rPr>
          <w:sz w:val="24"/>
          <w:szCs w:val="24"/>
          <w:color w:val="auto"/>
        </w:rPr>
      </w:pPr>
    </w:p>
    <w:p>
      <w:pPr>
        <w:ind w:left="24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56"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Washington, D.C. 20549</w:t>
      </w:r>
    </w:p>
    <w:p>
      <w:pPr>
        <w:spacing w:after="0" w:line="6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1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10-K</w:t>
      </w:r>
    </w:p>
    <w:p>
      <w:pPr>
        <w:spacing w:after="0" w:line="38"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3760" w:right="1820" w:hanging="3569"/>
        <w:spacing w:after="0" w:line="430" w:lineRule="auto"/>
        <w:tabs>
          <w:tab w:leader="none" w:pos="59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0"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OR</w:t>
      </w:r>
    </w:p>
    <w:p>
      <w:pPr>
        <w:spacing w:after="0" w:line="214" w:lineRule="exact"/>
        <w:rPr>
          <w:sz w:val="24"/>
          <w:szCs w:val="24"/>
          <w:color w:val="auto"/>
        </w:rPr>
      </w:pPr>
    </w:p>
    <w:p>
      <w:pPr>
        <w:ind w:left="4260" w:right="1500" w:hanging="4044"/>
        <w:spacing w:after="0" w:line="568" w:lineRule="auto"/>
        <w:tabs>
          <w:tab w:leader="none" w:pos="6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Commission file number 001-40249</w:t>
      </w:r>
    </w:p>
    <w:p>
      <w:pPr>
        <w:spacing w:after="0" w:line="204"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5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ThredUp Inc.</w:t>
      </w:r>
    </w:p>
    <w:p>
      <w:pPr>
        <w:spacing w:after="0" w:line="8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4"/>
          <w:szCs w:val="24"/>
          <w:color w:val="auto"/>
        </w:rPr>
      </w:pPr>
    </w:p>
    <w:p>
      <w:pPr>
        <w:ind w:left="318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73" w:lineRule="exact"/>
        <w:rPr>
          <w:sz w:val="24"/>
          <w:szCs w:val="24"/>
          <w:color w:val="auto"/>
        </w:rPr>
      </w:pPr>
    </w:p>
    <w:tbl>
      <w:tblPr>
        <w:tblLayout w:type="fixed"/>
        <w:tblInd w:w="480" w:type="dxa"/>
        <w:tblCellMar>
          <w:top w:w="0" w:type="dxa"/>
          <w:left w:w="0" w:type="dxa"/>
          <w:bottom w:w="0" w:type="dxa"/>
          <w:right w:w="0" w:type="dxa"/>
        </w:tblCellMar>
      </w:tblPr>
      <w:tr>
        <w:trPr>
          <w:trHeight w:val="234"/>
        </w:trPr>
        <w:tc>
          <w:tcPr>
            <w:tcW w:w="402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Delaware</w:t>
            </w:r>
          </w:p>
        </w:tc>
        <w:tc>
          <w:tcPr>
            <w:tcW w:w="5300" w:type="dxa"/>
            <w:vAlign w:val="bottom"/>
          </w:tcPr>
          <w:p>
            <w:pPr>
              <w:jc w:val="right"/>
              <w:ind w:right="792"/>
              <w:spacing w:after="0"/>
              <w:rPr>
                <w:sz w:val="20"/>
                <w:szCs w:val="20"/>
                <w:color w:val="auto"/>
              </w:rPr>
            </w:pPr>
            <w:r>
              <w:rPr>
                <w:rFonts w:ascii="Arial" w:cs="Arial" w:eastAsia="Arial" w:hAnsi="Arial"/>
                <w:sz w:val="18"/>
                <w:szCs w:val="18"/>
                <w:b w:val="1"/>
                <w:bCs w:val="1"/>
                <w:color w:val="auto"/>
              </w:rPr>
              <w:t>26-4009181</w:t>
            </w:r>
          </w:p>
        </w:tc>
      </w:tr>
      <w:tr>
        <w:trPr>
          <w:trHeight w:val="199"/>
        </w:trPr>
        <w:tc>
          <w:tcPr>
            <w:tcW w:w="4020" w:type="dxa"/>
            <w:vAlign w:val="bottom"/>
          </w:tcPr>
          <w:p>
            <w:pPr>
              <w:jc w:val="center"/>
              <w:ind w:right="452"/>
              <w:spacing w:after="0" w:line="199" w:lineRule="exact"/>
              <w:rPr>
                <w:sz w:val="20"/>
                <w:szCs w:val="20"/>
                <w:color w:val="auto"/>
              </w:rPr>
            </w:pPr>
            <w:r>
              <w:rPr>
                <w:rFonts w:ascii="Arial" w:cs="Arial" w:eastAsia="Arial" w:hAnsi="Arial"/>
                <w:sz w:val="18"/>
                <w:szCs w:val="18"/>
                <w:color w:val="auto"/>
                <w:w w:val="97"/>
              </w:rPr>
              <w:t>(State or other jurisdiction of incorporation or</w:t>
            </w:r>
          </w:p>
        </w:tc>
        <w:tc>
          <w:tcPr>
            <w:tcW w:w="5300" w:type="dxa"/>
            <w:vAlign w:val="bottom"/>
          </w:tcPr>
          <w:p>
            <w:pPr>
              <w:jc w:val="center"/>
              <w:ind w:left="2492"/>
              <w:spacing w:after="0" w:line="199" w:lineRule="exact"/>
              <w:rPr>
                <w:sz w:val="20"/>
                <w:szCs w:val="20"/>
                <w:color w:val="auto"/>
              </w:rPr>
            </w:pPr>
            <w:r>
              <w:rPr>
                <w:rFonts w:ascii="Arial" w:cs="Arial" w:eastAsia="Arial" w:hAnsi="Arial"/>
                <w:sz w:val="18"/>
                <w:szCs w:val="18"/>
                <w:color w:val="auto"/>
                <w:w w:val="98"/>
              </w:rPr>
              <w:t>(I.R.S. Employer Identification No.)</w:t>
            </w:r>
          </w:p>
        </w:tc>
      </w:tr>
      <w:tr>
        <w:trPr>
          <w:trHeight w:val="212"/>
        </w:trPr>
        <w:tc>
          <w:tcPr>
            <w:tcW w:w="4020" w:type="dxa"/>
            <w:vAlign w:val="bottom"/>
          </w:tcPr>
          <w:p>
            <w:pPr>
              <w:ind w:left="1080"/>
              <w:spacing w:after="0"/>
              <w:rPr>
                <w:sz w:val="20"/>
                <w:szCs w:val="20"/>
                <w:color w:val="auto"/>
              </w:rPr>
            </w:pPr>
            <w:r>
              <w:rPr>
                <w:rFonts w:ascii="Arial" w:cs="Arial" w:eastAsia="Arial" w:hAnsi="Arial"/>
                <w:sz w:val="18"/>
                <w:szCs w:val="18"/>
                <w:color w:val="auto"/>
              </w:rPr>
              <w:t>organization)</w:t>
            </w:r>
          </w:p>
        </w:tc>
        <w:tc>
          <w:tcPr>
            <w:tcW w:w="5300" w:type="dxa"/>
            <w:vAlign w:val="bottom"/>
          </w:tcPr>
          <w:p>
            <w:pPr>
              <w:spacing w:after="0"/>
              <w:rPr>
                <w:sz w:val="18"/>
                <w:szCs w:val="18"/>
                <w:color w:val="auto"/>
              </w:rPr>
            </w:pPr>
          </w:p>
        </w:tc>
      </w:tr>
      <w:tr>
        <w:trPr>
          <w:trHeight w:val="252"/>
        </w:trPr>
        <w:tc>
          <w:tcPr>
            <w:tcW w:w="4020" w:type="dxa"/>
            <w:vAlign w:val="bottom"/>
          </w:tcPr>
          <w:p>
            <w:pPr>
              <w:jc w:val="center"/>
              <w:ind w:right="452"/>
              <w:spacing w:after="0"/>
              <w:rPr>
                <w:sz w:val="20"/>
                <w:szCs w:val="20"/>
                <w:color w:val="auto"/>
              </w:rPr>
            </w:pPr>
            <w:r>
              <w:rPr>
                <w:rFonts w:ascii="Arial" w:cs="Arial" w:eastAsia="Arial" w:hAnsi="Arial"/>
                <w:sz w:val="18"/>
                <w:szCs w:val="18"/>
                <w:b w:val="1"/>
                <w:bCs w:val="1"/>
                <w:color w:val="auto"/>
                <w:w w:val="97"/>
              </w:rPr>
              <w:t>969 Broadway, Suite 200</w:t>
            </w:r>
          </w:p>
        </w:tc>
        <w:tc>
          <w:tcPr>
            <w:tcW w:w="5300" w:type="dxa"/>
            <w:vAlign w:val="bottom"/>
          </w:tcPr>
          <w:p>
            <w:pPr>
              <w:spacing w:after="0"/>
              <w:rPr>
                <w:sz w:val="21"/>
                <w:szCs w:val="21"/>
                <w:color w:val="auto"/>
              </w:rPr>
            </w:pPr>
          </w:p>
        </w:tc>
      </w:tr>
      <w:tr>
        <w:trPr>
          <w:trHeight w:val="424"/>
        </w:trPr>
        <w:tc>
          <w:tcPr>
            <w:tcW w:w="402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Oakland, CA</w:t>
            </w:r>
          </w:p>
        </w:tc>
        <w:tc>
          <w:tcPr>
            <w:tcW w:w="5300" w:type="dxa"/>
            <w:vAlign w:val="bottom"/>
          </w:tcPr>
          <w:p>
            <w:pPr>
              <w:jc w:val="right"/>
              <w:ind w:right="1012"/>
              <w:spacing w:after="0"/>
              <w:rPr>
                <w:sz w:val="20"/>
                <w:szCs w:val="20"/>
                <w:color w:val="auto"/>
              </w:rPr>
            </w:pPr>
            <w:r>
              <w:rPr>
                <w:rFonts w:ascii="Arial" w:cs="Arial" w:eastAsia="Arial" w:hAnsi="Arial"/>
                <w:sz w:val="18"/>
                <w:szCs w:val="18"/>
                <w:b w:val="1"/>
                <w:bCs w:val="1"/>
                <w:color w:val="auto"/>
              </w:rPr>
              <w:t>94607</w:t>
            </w:r>
          </w:p>
        </w:tc>
      </w:tr>
      <w:tr>
        <w:trPr>
          <w:trHeight w:val="265"/>
        </w:trPr>
        <w:tc>
          <w:tcPr>
            <w:tcW w:w="4020" w:type="dxa"/>
            <w:vAlign w:val="bottom"/>
          </w:tcPr>
          <w:p>
            <w:pPr>
              <w:jc w:val="center"/>
              <w:ind w:right="432"/>
              <w:spacing w:after="0"/>
              <w:rPr>
                <w:sz w:val="20"/>
                <w:szCs w:val="20"/>
                <w:color w:val="auto"/>
              </w:rPr>
            </w:pPr>
            <w:r>
              <w:rPr>
                <w:rFonts w:ascii="Arial" w:cs="Arial" w:eastAsia="Arial" w:hAnsi="Arial"/>
                <w:sz w:val="18"/>
                <w:szCs w:val="18"/>
                <w:color w:val="auto"/>
                <w:w w:val="98"/>
              </w:rPr>
              <w:t>(Address of Principal Executive Offices)</w:t>
            </w:r>
          </w:p>
        </w:tc>
        <w:tc>
          <w:tcPr>
            <w:tcW w:w="5300" w:type="dxa"/>
            <w:vAlign w:val="bottom"/>
          </w:tcPr>
          <w:p>
            <w:pPr>
              <w:jc w:val="center"/>
              <w:ind w:left="2492"/>
              <w:spacing w:after="0"/>
              <w:rPr>
                <w:sz w:val="20"/>
                <w:szCs w:val="20"/>
                <w:color w:val="auto"/>
              </w:rPr>
            </w:pPr>
            <w:r>
              <w:rPr>
                <w:rFonts w:ascii="Arial" w:cs="Arial" w:eastAsia="Arial" w:hAnsi="Arial"/>
                <w:sz w:val="18"/>
                <w:szCs w:val="18"/>
                <w:color w:val="auto"/>
                <w:w w:val="98"/>
              </w:rPr>
              <w:t>(Zip Code)</w:t>
            </w:r>
          </w:p>
        </w:tc>
      </w:tr>
      <w:tr>
        <w:trPr>
          <w:trHeight w:val="331"/>
        </w:trPr>
        <w:tc>
          <w:tcPr>
            <w:tcW w:w="4020" w:type="dxa"/>
            <w:vAlign w:val="bottom"/>
          </w:tcPr>
          <w:p>
            <w:pPr>
              <w:spacing w:after="0"/>
              <w:rPr>
                <w:sz w:val="24"/>
                <w:szCs w:val="24"/>
                <w:color w:val="auto"/>
              </w:rPr>
            </w:pPr>
          </w:p>
        </w:tc>
        <w:tc>
          <w:tcPr>
            <w:tcW w:w="5300" w:type="dxa"/>
            <w:vAlign w:val="bottom"/>
          </w:tcPr>
          <w:p>
            <w:pPr>
              <w:jc w:val="right"/>
              <w:ind w:right="3492"/>
              <w:spacing w:after="0"/>
              <w:rPr>
                <w:sz w:val="20"/>
                <w:szCs w:val="20"/>
                <w:color w:val="auto"/>
              </w:rPr>
            </w:pPr>
            <w:r>
              <w:rPr>
                <w:rFonts w:ascii="Arial" w:cs="Arial" w:eastAsia="Arial" w:hAnsi="Arial"/>
                <w:sz w:val="18"/>
                <w:szCs w:val="18"/>
                <w:b w:val="1"/>
                <w:bCs w:val="1"/>
                <w:color w:val="auto"/>
              </w:rPr>
              <w:t>(415) 402-5202</w:t>
            </w:r>
          </w:p>
        </w:tc>
      </w:tr>
    </w:tbl>
    <w:p>
      <w:pPr>
        <w:spacing w:after="0" w:line="15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7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320" w:type="dxa"/>
        <w:tblCellMar>
          <w:top w:w="0" w:type="dxa"/>
          <w:left w:w="0" w:type="dxa"/>
          <w:bottom w:w="0" w:type="dxa"/>
          <w:right w:w="0" w:type="dxa"/>
        </w:tblCellMar>
      </w:tblPr>
      <w:tr>
        <w:trPr>
          <w:trHeight w:val="211"/>
        </w:trPr>
        <w:tc>
          <w:tcPr>
            <w:tcW w:w="880" w:type="dxa"/>
            <w:vAlign w:val="bottom"/>
            <w:tcBorders>
              <w:right w:val="single" w:sz="8" w:color="auto"/>
            </w:tcBorders>
          </w:tcPr>
          <w:p>
            <w:pPr>
              <w:spacing w:after="0"/>
              <w:rPr>
                <w:sz w:val="18"/>
                <w:szCs w:val="18"/>
                <w:color w:val="auto"/>
              </w:rPr>
            </w:pPr>
          </w:p>
        </w:tc>
        <w:tc>
          <w:tcPr>
            <w:tcW w:w="30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Name of each exchange on which</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0" w:type="dxa"/>
            <w:vAlign w:val="bottom"/>
            <w:tcBorders>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8"/>
                <w:szCs w:val="18"/>
                <w:color w:val="auto"/>
                <w:w w:val="98"/>
              </w:rPr>
              <w:t>Title of each class</w:t>
            </w:r>
          </w:p>
        </w:tc>
        <w:tc>
          <w:tcPr>
            <w:tcW w:w="308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8"/>
                <w:szCs w:val="18"/>
                <w:color w:val="auto"/>
                <w:w w:val="97"/>
              </w:rPr>
              <w:t>Trading Symbol(s)</w:t>
            </w:r>
          </w:p>
        </w:tc>
        <w:tc>
          <w:tcPr>
            <w:tcW w:w="22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registered</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8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jc w:val="center"/>
              <w:ind w:left="192"/>
              <w:spacing w:after="0" w:line="205" w:lineRule="exact"/>
              <w:rPr>
                <w:sz w:val="20"/>
                <w:szCs w:val="20"/>
                <w:color w:val="auto"/>
              </w:rPr>
            </w:pPr>
            <w:r>
              <w:rPr>
                <w:rFonts w:ascii="Arial" w:cs="Arial" w:eastAsia="Arial" w:hAnsi="Arial"/>
                <w:sz w:val="18"/>
                <w:szCs w:val="18"/>
                <w:color w:val="auto"/>
                <w:w w:val="98"/>
              </w:rPr>
              <w:t>Class A common stock, $0.0001</w:t>
            </w:r>
          </w:p>
        </w:tc>
        <w:tc>
          <w:tcPr>
            <w:tcW w:w="308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97"/>
              </w:rPr>
              <w:t>TDUP</w:t>
            </w:r>
          </w:p>
        </w:tc>
        <w:tc>
          <w:tcPr>
            <w:tcW w:w="3080" w:type="dxa"/>
            <w:vAlign w:val="bottom"/>
            <w:tcBorders>
              <w:right w:val="single" w:sz="8" w:color="auto"/>
            </w:tcBorders>
            <w:gridSpan w:val="3"/>
            <w:vMerge w:val="restart"/>
          </w:tcPr>
          <w:p>
            <w:pPr>
              <w:jc w:val="right"/>
              <w:ind w:right="92"/>
              <w:spacing w:after="0"/>
              <w:rPr>
                <w:sz w:val="20"/>
                <w:szCs w:val="20"/>
                <w:color w:val="auto"/>
              </w:rPr>
            </w:pPr>
            <w:r>
              <w:rPr>
                <w:rFonts w:ascii="Arial" w:cs="Arial" w:eastAsia="Arial" w:hAnsi="Arial"/>
                <w:sz w:val="18"/>
                <w:szCs w:val="18"/>
                <w:color w:val="auto"/>
              </w:rPr>
              <w:t>The Nasdaq Stock Market LLC</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88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vMerge w:val="restart"/>
          </w:tcPr>
          <w:p>
            <w:pPr>
              <w:ind w:left="740"/>
              <w:spacing w:after="0"/>
              <w:rPr>
                <w:sz w:val="20"/>
                <w:szCs w:val="20"/>
                <w:color w:val="auto"/>
              </w:rPr>
            </w:pPr>
            <w:r>
              <w:rPr>
                <w:rFonts w:ascii="Arial" w:cs="Arial" w:eastAsia="Arial" w:hAnsi="Arial"/>
                <w:sz w:val="18"/>
                <w:szCs w:val="18"/>
                <w:color w:val="auto"/>
              </w:rPr>
              <w:t>par value per share</w:t>
            </w:r>
          </w:p>
        </w:tc>
        <w:tc>
          <w:tcPr>
            <w:tcW w:w="308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880" w:type="dxa"/>
            <w:vAlign w:val="bottom"/>
            <w:tcBorders>
              <w:right w:val="single" w:sz="8" w:color="auto"/>
            </w:tcBorders>
          </w:tcPr>
          <w:p>
            <w:pPr>
              <w:spacing w:after="0"/>
              <w:rPr>
                <w:sz w:val="8"/>
                <w:szCs w:val="8"/>
                <w:color w:val="auto"/>
              </w:rPr>
            </w:pPr>
          </w:p>
        </w:tc>
        <w:tc>
          <w:tcPr>
            <w:tcW w:w="3060" w:type="dxa"/>
            <w:vAlign w:val="bottom"/>
            <w:tcBorders>
              <w:right w:val="single" w:sz="8" w:color="auto"/>
            </w:tcBorders>
            <w:vMerge w:val="continue"/>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88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3"/>
        </w:trPr>
        <w:tc>
          <w:tcPr>
            <w:tcW w:w="702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280" w:type="dxa"/>
            <w:vAlign w:val="bottom"/>
            <w:gridSpan w:val="4"/>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420" w:type="dxa"/>
            <w:vAlign w:val="bottom"/>
          </w:tcPr>
          <w:p>
            <w:pPr>
              <w:ind w:left="40"/>
              <w:spacing w:after="0"/>
              <w:rPr>
                <w:sz w:val="20"/>
                <w:szCs w:val="20"/>
                <w:color w:val="auto"/>
              </w:rPr>
            </w:pPr>
            <w:r>
              <w:rPr>
                <w:rFonts w:ascii="Arial" w:cs="Arial" w:eastAsia="Arial" w:hAnsi="Arial"/>
                <w:sz w:val="18"/>
                <w:szCs w:val="18"/>
                <w:color w:val="auto"/>
              </w:rPr>
              <w:t>Yes</w:t>
            </w:r>
          </w:p>
        </w:tc>
        <w:tc>
          <w:tcPr>
            <w:tcW w:w="400" w:type="dxa"/>
            <w:vAlign w:val="bottom"/>
          </w:tcPr>
          <w:p>
            <w:pPr>
              <w:jc w:val="right"/>
              <w:ind w:right="112"/>
              <w:spacing w:after="0" w:line="181" w:lineRule="exact"/>
              <w:rPr>
                <w:sz w:val="20"/>
                <w:szCs w:val="20"/>
                <w:color w:val="auto"/>
              </w:rPr>
            </w:pPr>
            <w:r>
              <w:rPr>
                <w:rFonts w:ascii="MS PGothic" w:cs="MS PGothic" w:eastAsia="MS PGothic" w:hAnsi="MS PGothic"/>
                <w:sz w:val="18"/>
                <w:szCs w:val="18"/>
                <w:color w:val="auto"/>
                <w:w w:val="99"/>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No</w:t>
            </w:r>
          </w:p>
        </w:tc>
        <w:tc>
          <w:tcPr>
            <w:tcW w:w="2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1"/>
        </w:trPr>
        <w:tc>
          <w:tcPr>
            <w:tcW w:w="9280" w:type="dxa"/>
            <w:vAlign w:val="bottom"/>
            <w:gridSpan w:val="4"/>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420" w:type="dxa"/>
            <w:vAlign w:val="bottom"/>
          </w:tcPr>
          <w:p>
            <w:pPr>
              <w:ind w:left="100"/>
              <w:spacing w:after="0"/>
              <w:rPr>
                <w:sz w:val="20"/>
                <w:szCs w:val="20"/>
                <w:color w:val="auto"/>
              </w:rPr>
            </w:pPr>
            <w:r>
              <w:rPr>
                <w:rFonts w:ascii="Arial" w:cs="Arial" w:eastAsia="Arial" w:hAnsi="Arial"/>
                <w:sz w:val="18"/>
                <w:szCs w:val="18"/>
                <w:color w:val="auto"/>
                <w:w w:val="96"/>
              </w:rPr>
              <w:t>Yes</w:t>
            </w:r>
          </w:p>
        </w:tc>
        <w:tc>
          <w:tcPr>
            <w:tcW w:w="400" w:type="dxa"/>
            <w:vAlign w:val="bottom"/>
          </w:tcPr>
          <w:p>
            <w:pPr>
              <w:jc w:val="right"/>
              <w:ind w:right="52"/>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5"/>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firstLine="318"/>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318"/>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00" w:firstLine="318"/>
        <w:spacing w:after="0" w:line="29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752" w:right="439" w:bottom="547"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11"/>
        </w:trPr>
        <w:tc>
          <w:tcPr>
            <w:tcW w:w="3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5"/>
        </w:trPr>
        <w:tc>
          <w:tcPr>
            <w:tcW w:w="3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5" w:lineRule="exact"/>
        <w:rPr>
          <w:sz w:val="20"/>
          <w:szCs w:val="20"/>
          <w:color w:val="auto"/>
        </w:rPr>
      </w:pPr>
    </w:p>
    <w:p>
      <w:pPr>
        <w:ind w:firstLine="318"/>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6" w:lineRule="exact"/>
        <w:rPr>
          <w:sz w:val="20"/>
          <w:szCs w:val="20"/>
          <w:color w:val="auto"/>
        </w:rPr>
      </w:pPr>
    </w:p>
    <w:p>
      <w:pPr>
        <w:ind w:right="60" w:firstLine="318"/>
        <w:spacing w:after="0" w:line="20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7" w:lineRule="exact"/>
        <w:rPr>
          <w:sz w:val="20"/>
          <w:szCs w:val="20"/>
          <w:color w:val="auto"/>
        </w:rPr>
      </w:pPr>
    </w:p>
    <w:p>
      <w:pPr>
        <w:ind w:left="320"/>
        <w:spacing w:after="0" w:line="207" w:lineRule="exact"/>
        <w:tabs>
          <w:tab w:leader="none" w:pos="9380" w:val="left"/>
          <w:tab w:leader="none" w:pos="9800" w:val="left"/>
          <w:tab w:leader="none" w:pos="102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84" w:lineRule="exact"/>
        <w:rPr>
          <w:sz w:val="20"/>
          <w:szCs w:val="20"/>
          <w:color w:val="auto"/>
        </w:rPr>
      </w:pPr>
    </w:p>
    <w:p>
      <w:pPr>
        <w:ind w:right="40" w:firstLine="318"/>
        <w:spacing w:after="0" w:line="225"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shares of Class A common stock, on June 30, 2021 (the last business day of the registrant’s most recently completed second fiscal quarter) as reported on the Nasdaq Global Select Market on such date was approximately $1.34 billion.</w:t>
      </w:r>
    </w:p>
    <w:p>
      <w:pPr>
        <w:spacing w:after="0" w:line="133" w:lineRule="exact"/>
        <w:rPr>
          <w:sz w:val="20"/>
          <w:szCs w:val="20"/>
          <w:color w:val="auto"/>
        </w:rPr>
      </w:pPr>
    </w:p>
    <w:p>
      <w:pPr>
        <w:ind w:right="40" w:firstLine="318"/>
        <w:spacing w:after="0" w:line="230" w:lineRule="auto"/>
        <w:rPr>
          <w:sz w:val="20"/>
          <w:szCs w:val="20"/>
          <w:color w:val="auto"/>
        </w:rPr>
      </w:pPr>
      <w:r>
        <w:rPr>
          <w:rFonts w:ascii="Arial" w:cs="Arial" w:eastAsia="Arial" w:hAnsi="Arial"/>
          <w:sz w:val="18"/>
          <w:szCs w:val="18"/>
          <w:color w:val="auto"/>
        </w:rPr>
        <w:t>The registrant had 58,400,430 shares of Class A common stock, $0.0001 par value per share, and 40,383,662 shares of Class B common stock, $0.0001 par value per share, outstanding as of March 15, 2022.</w:t>
      </w:r>
    </w:p>
    <w:p>
      <w:pPr>
        <w:spacing w:after="0" w:line="200" w:lineRule="exact"/>
        <w:rPr>
          <w:sz w:val="20"/>
          <w:szCs w:val="20"/>
          <w:color w:val="auto"/>
        </w:rPr>
      </w:pP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DOCUMENTS INCORPORATED BY REFERENCE</w:t>
      </w:r>
    </w:p>
    <w:p>
      <w:pPr>
        <w:spacing w:after="0" w:line="164" w:lineRule="exact"/>
        <w:rPr>
          <w:sz w:val="20"/>
          <w:szCs w:val="20"/>
          <w:color w:val="auto"/>
        </w:rPr>
      </w:pPr>
    </w:p>
    <w:p>
      <w:pPr>
        <w:ind w:right="200" w:firstLine="636"/>
        <w:spacing w:after="0" w:line="225" w:lineRule="auto"/>
        <w:rPr>
          <w:sz w:val="20"/>
          <w:szCs w:val="20"/>
          <w:color w:val="auto"/>
        </w:rPr>
      </w:pPr>
      <w:r>
        <w:rPr>
          <w:rFonts w:ascii="Arial" w:cs="Arial" w:eastAsia="Arial" w:hAnsi="Arial"/>
          <w:sz w:val="18"/>
          <w:szCs w:val="18"/>
          <w:color w:val="auto"/>
        </w:rPr>
        <w:t>Portions of the registrant’s definitive Proxy Statement for the registrant’s 2022 Annual Meeting of Stockholders are incorporated by reference into Part III of this Annual Report on Form 10-K. Such Proxy Statement will be filed with the Securities and Exchange Commission within 120 days after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72" w:right="4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80" w:type="dxa"/>
            <w:vAlign w:val="bottom"/>
            <w:gridSpan w:val="11"/>
          </w:tcPr>
          <w:p>
            <w:pPr>
              <w:ind w:left="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0" w:type="dxa"/>
            <w:vAlign w:val="bottom"/>
            <w:gridSpan w:val="7"/>
            <w:vMerge w:val="restart"/>
          </w:tcPr>
          <w:p>
            <w:pPr>
              <w:jc w:val="center"/>
              <w:ind w:right="1260"/>
              <w:spacing w:after="0"/>
              <w:rPr>
                <w:rFonts w:ascii="Arial" w:cs="Arial" w:eastAsia="Arial" w:hAnsi="Arial"/>
                <w:sz w:val="18"/>
                <w:szCs w:val="18"/>
                <w:b w:val="1"/>
                <w:bCs w:val="1"/>
                <w:color w:val="0000FF"/>
                <w:w w:val="97"/>
              </w:rPr>
            </w:pPr>
            <w:hyperlink w:anchor="page5">
              <w:r>
                <w:rPr>
                  <w:rFonts w:ascii="Arial" w:cs="Arial" w:eastAsia="Arial" w:hAnsi="Arial"/>
                  <w:sz w:val="18"/>
                  <w:szCs w:val="18"/>
                  <w:b w:val="1"/>
                  <w:bCs w:val="1"/>
                  <w:color w:val="0000FF"/>
                  <w:w w:val="97"/>
                </w:rPr>
                <w:t>Part I</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Number</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Item 1.</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580" w:type="dxa"/>
            <w:vAlign w:val="bottom"/>
            <w:gridSpan w:val="2"/>
          </w:tcPr>
          <w:p>
            <w:pPr>
              <w:jc w:val="center"/>
              <w:ind w:left="392"/>
              <w:spacing w:after="0" w:line="20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7"/>
              </w:rPr>
            </w:pPr>
            <w:hyperlink w:anchor="page9">
              <w:r>
                <w:rPr>
                  <w:rFonts w:ascii="Arial" w:cs="Arial" w:eastAsia="Arial" w:hAnsi="Arial"/>
                  <w:sz w:val="18"/>
                  <w:szCs w:val="18"/>
                  <w:color w:val="0000FF"/>
                  <w:w w:val="77"/>
                </w:rPr>
                <w:t>Item 1A.</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580" w:type="dxa"/>
            <w:vAlign w:val="bottom"/>
            <w:gridSpan w:val="2"/>
          </w:tcPr>
          <w:p>
            <w:pPr>
              <w:jc w:val="center"/>
              <w:ind w:left="392"/>
              <w:spacing w:after="0" w:line="205"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7"/>
              </w:rPr>
            </w:pPr>
            <w:hyperlink w:anchor="page49">
              <w:r>
                <w:rPr>
                  <w:rFonts w:ascii="Arial" w:cs="Arial" w:eastAsia="Arial" w:hAnsi="Arial"/>
                  <w:sz w:val="18"/>
                  <w:szCs w:val="18"/>
                  <w:color w:val="0000FF"/>
                  <w:w w:val="77"/>
                </w:rPr>
                <w:t>Item 1B.</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Unresolved Staff Comments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94"/>
              </w:rPr>
            </w:pPr>
            <w:hyperlink w:anchor="page49">
              <w:r>
                <w:rPr>
                  <w:rFonts w:ascii="Arial" w:cs="Arial" w:eastAsia="Arial" w:hAnsi="Arial"/>
                  <w:sz w:val="18"/>
                  <w:szCs w:val="18"/>
                  <w:color w:val="0000FF"/>
                  <w:w w:val="94"/>
                </w:rPr>
                <w:t>Item 2.</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Properties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49">
              <w:r>
                <w:rPr>
                  <w:rFonts w:ascii="Arial" w:cs="Arial" w:eastAsia="Arial" w:hAnsi="Arial"/>
                  <w:sz w:val="18"/>
                  <w:szCs w:val="18"/>
                  <w:color w:val="0000FF"/>
                  <w:w w:val="83"/>
                </w:rPr>
                <w:t>Item 3.</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Legal Proceedings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49">
              <w:r>
                <w:rPr>
                  <w:rFonts w:ascii="Arial" w:cs="Arial" w:eastAsia="Arial" w:hAnsi="Arial"/>
                  <w:sz w:val="18"/>
                  <w:szCs w:val="18"/>
                  <w:color w:val="0000FF"/>
                  <w:w w:val="83"/>
                </w:rPr>
                <w:t>Item 4.</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Mine Safety Disclosures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220" w:type="dxa"/>
            <w:vAlign w:val="bottom"/>
            <w:gridSpan w:val="7"/>
          </w:tcPr>
          <w:p>
            <w:pPr>
              <w:jc w:val="center"/>
              <w:ind w:right="620"/>
              <w:spacing w:after="0" w:line="205" w:lineRule="exact"/>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Part II</w:t>
              </w:r>
            </w:hyperlink>
          </w:p>
        </w:tc>
        <w:tc>
          <w:tcPr>
            <w:tcW w:w="5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Item 5.</w:t>
              </w:r>
            </w:hyperlink>
          </w:p>
        </w:tc>
        <w:tc>
          <w:tcPr>
            <w:tcW w:w="420" w:type="dxa"/>
            <w:vAlign w:val="bottom"/>
          </w:tcPr>
          <w:p>
            <w:pPr>
              <w:spacing w:after="0"/>
              <w:rPr>
                <w:sz w:val="17"/>
                <w:szCs w:val="17"/>
                <w:color w:val="auto"/>
              </w:rPr>
            </w:pPr>
          </w:p>
        </w:tc>
        <w:tc>
          <w:tcPr>
            <w:tcW w:w="7380" w:type="dxa"/>
            <w:vAlign w:val="bottom"/>
            <w:gridSpan w:val="20"/>
            <w:vMerge w:val="restart"/>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Market for Registrant’s Common Equity, Related Stockholder Matters and Issuer Purchases of Equity</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380" w:type="dxa"/>
            <w:vAlign w:val="bottom"/>
            <w:gridSpan w:val="20"/>
            <w:vMerge w:val="continue"/>
          </w:tcPr>
          <w:p>
            <w:pPr>
              <w:spacing w:after="0"/>
              <w:rPr>
                <w:sz w:val="13"/>
                <w:szCs w:val="13"/>
                <w:color w:val="auto"/>
              </w:rPr>
            </w:pPr>
          </w:p>
        </w:tc>
        <w:tc>
          <w:tcPr>
            <w:tcW w:w="1060" w:type="dxa"/>
            <w:vAlign w:val="bottom"/>
            <w:gridSpan w:val="3"/>
            <w:vMerge w:val="restart"/>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w:anchor="page50">
              <w:r>
                <w:rPr>
                  <w:rFonts w:ascii="Arial" w:cs="Arial" w:eastAsia="Arial" w:hAnsi="Arial"/>
                  <w:sz w:val="17"/>
                  <w:szCs w:val="17"/>
                  <w:color w:val="0000FF"/>
                </w:rPr>
                <w:t>Securities</w:t>
              </w:r>
            </w:hyperlink>
          </w:p>
        </w:tc>
        <w:tc>
          <w:tcPr>
            <w:tcW w:w="2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51">
              <w:r>
                <w:rPr>
                  <w:rFonts w:ascii="Arial" w:cs="Arial" w:eastAsia="Arial" w:hAnsi="Arial"/>
                  <w:sz w:val="18"/>
                  <w:szCs w:val="18"/>
                  <w:color w:val="0000FF"/>
                  <w:w w:val="83"/>
                </w:rPr>
                <w:t>Item 6.</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[RESERVED]</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52">
              <w:r>
                <w:rPr>
                  <w:rFonts w:ascii="Arial" w:cs="Arial" w:eastAsia="Arial" w:hAnsi="Arial"/>
                  <w:sz w:val="18"/>
                  <w:szCs w:val="18"/>
                  <w:color w:val="0000FF"/>
                  <w:w w:val="83"/>
                </w:rPr>
                <w:t>Item 7.</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77"/>
              </w:rPr>
            </w:pPr>
            <w:hyperlink w:anchor="page69">
              <w:r>
                <w:rPr>
                  <w:rFonts w:ascii="Arial" w:cs="Arial" w:eastAsia="Arial" w:hAnsi="Arial"/>
                  <w:sz w:val="18"/>
                  <w:szCs w:val="18"/>
                  <w:color w:val="0000FF"/>
                  <w:w w:val="77"/>
                </w:rPr>
                <w:t>Item 7A.</w:t>
              </w:r>
            </w:hyperlink>
          </w:p>
        </w:tc>
        <w:tc>
          <w:tcPr>
            <w:tcW w:w="420" w:type="dxa"/>
            <w:vAlign w:val="bottom"/>
          </w:tcPr>
          <w:p>
            <w:pPr>
              <w:spacing w:after="0"/>
              <w:rPr>
                <w:sz w:val="24"/>
                <w:szCs w:val="24"/>
                <w:color w:val="auto"/>
              </w:rPr>
            </w:pPr>
          </w:p>
        </w:tc>
        <w:tc>
          <w:tcPr>
            <w:tcW w:w="7380" w:type="dxa"/>
            <w:vAlign w:val="bottom"/>
            <w:gridSpan w:val="20"/>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Quantitative and Qualitative Disclosures about Market Risk</w:t>
              </w:r>
            </w:hyperlink>
          </w:p>
        </w:tc>
        <w:tc>
          <w:tcPr>
            <w:tcW w:w="1060" w:type="dxa"/>
            <w:vAlign w:val="bottom"/>
            <w:gridSpan w:val="3"/>
          </w:tcPr>
          <w:p>
            <w:pPr>
              <w:jc w:val="cente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line="205" w:lineRule="exact"/>
              <w:rPr>
                <w:rFonts w:ascii="Arial" w:cs="Arial" w:eastAsia="Arial" w:hAnsi="Arial"/>
                <w:sz w:val="18"/>
                <w:szCs w:val="18"/>
                <w:color w:val="0000FF"/>
                <w:w w:val="83"/>
              </w:rPr>
            </w:pPr>
            <w:hyperlink w:anchor="page70">
              <w:r>
                <w:rPr>
                  <w:rFonts w:ascii="Arial" w:cs="Arial" w:eastAsia="Arial" w:hAnsi="Arial"/>
                  <w:sz w:val="18"/>
                  <w:szCs w:val="18"/>
                  <w:color w:val="0000FF"/>
                  <w:w w:val="83"/>
                </w:rPr>
                <w:t>Item 8.</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0">
              <w:r>
                <w:rPr>
                  <w:rFonts w:ascii="Arial" w:cs="Arial" w:eastAsia="Arial" w:hAnsi="Arial"/>
                  <w:sz w:val="18"/>
                  <w:szCs w:val="18"/>
                  <w:color w:val="0000FF"/>
                </w:rPr>
                <w:t>Financial Statements and Supplementary Data</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69</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0000FF"/>
            </w:tcBorders>
            <w:vMerge w:val="restart"/>
          </w:tcPr>
          <w:p>
            <w:pPr>
              <w:spacing w:after="0" w:line="205" w:lineRule="exact"/>
              <w:rPr>
                <w:rFonts w:ascii="Arial" w:cs="Arial" w:eastAsia="Arial" w:hAnsi="Arial"/>
                <w:sz w:val="18"/>
                <w:szCs w:val="18"/>
                <w:color w:val="0000FF"/>
                <w:w w:val="83"/>
              </w:rPr>
            </w:pPr>
            <w:hyperlink w:anchor="page71">
              <w:r>
                <w:rPr>
                  <w:rFonts w:ascii="Arial" w:cs="Arial" w:eastAsia="Arial" w:hAnsi="Arial"/>
                  <w:sz w:val="18"/>
                  <w:szCs w:val="18"/>
                  <w:color w:val="0000FF"/>
                  <w:w w:val="83"/>
                </w:rPr>
                <w:t>Item 9.</w:t>
              </w:r>
            </w:hyperlink>
          </w:p>
        </w:tc>
        <w:tc>
          <w:tcPr>
            <w:tcW w:w="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380" w:type="dxa"/>
            <w:vAlign w:val="bottom"/>
            <w:gridSpan w:val="20"/>
            <w:vMerge w:val="restart"/>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Changes in and Disagreements with Accountants on Accounting and Financial Disclosure</w:t>
              </w:r>
            </w:hyperlink>
          </w:p>
        </w:tc>
        <w:tc>
          <w:tcPr>
            <w:tcW w:w="1060" w:type="dxa"/>
            <w:vAlign w:val="bottom"/>
            <w:gridSpan w:val="3"/>
            <w:vMerge w:val="restart"/>
          </w:tcPr>
          <w:p>
            <w:pPr>
              <w:jc w:val="cente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380" w:type="dxa"/>
            <w:vAlign w:val="bottom"/>
            <w:gridSpan w:val="20"/>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77"/>
              </w:rPr>
            </w:pPr>
            <w:hyperlink w:anchor="page72">
              <w:r>
                <w:rPr>
                  <w:rFonts w:ascii="Arial" w:cs="Arial" w:eastAsia="Arial" w:hAnsi="Arial"/>
                  <w:sz w:val="18"/>
                  <w:szCs w:val="18"/>
                  <w:color w:val="0000FF"/>
                  <w:w w:val="77"/>
                </w:rPr>
                <w:t>Item 9A.</w:t>
              </w:r>
            </w:hyperlink>
          </w:p>
        </w:tc>
        <w:tc>
          <w:tcPr>
            <w:tcW w:w="420" w:type="dxa"/>
            <w:vAlign w:val="bottom"/>
          </w:tcPr>
          <w:p>
            <w:pPr>
              <w:spacing w:after="0"/>
              <w:rPr>
                <w:sz w:val="24"/>
                <w:szCs w:val="24"/>
                <w:color w:val="auto"/>
              </w:rPr>
            </w:pPr>
          </w:p>
        </w:tc>
        <w:tc>
          <w:tcPr>
            <w:tcW w:w="7380" w:type="dxa"/>
            <w:vAlign w:val="bottom"/>
            <w:gridSpan w:val="20"/>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Controls and Procedures</w:t>
              </w:r>
            </w:hyperlink>
          </w:p>
        </w:tc>
        <w:tc>
          <w:tcPr>
            <w:tcW w:w="1060" w:type="dxa"/>
            <w:vAlign w:val="bottom"/>
            <w:gridSpan w:val="3"/>
          </w:tcPr>
          <w:p>
            <w:pPr>
              <w:jc w:val="cente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71</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77"/>
              </w:rPr>
            </w:pPr>
            <w:hyperlink w:anchor="page74">
              <w:r>
                <w:rPr>
                  <w:rFonts w:ascii="Arial" w:cs="Arial" w:eastAsia="Arial" w:hAnsi="Arial"/>
                  <w:sz w:val="18"/>
                  <w:szCs w:val="18"/>
                  <w:color w:val="0000FF"/>
                  <w:w w:val="77"/>
                </w:rPr>
                <w:t>Item 9B.</w:t>
              </w:r>
            </w:hyperlink>
          </w:p>
        </w:tc>
        <w:tc>
          <w:tcPr>
            <w:tcW w:w="420" w:type="dxa"/>
            <w:vAlign w:val="bottom"/>
          </w:tcPr>
          <w:p>
            <w:pPr>
              <w:spacing w:after="0"/>
              <w:rPr>
                <w:sz w:val="24"/>
                <w:szCs w:val="24"/>
                <w:color w:val="auto"/>
              </w:rPr>
            </w:pPr>
          </w:p>
        </w:tc>
        <w:tc>
          <w:tcPr>
            <w:tcW w:w="7380" w:type="dxa"/>
            <w:vAlign w:val="bottom"/>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c>
          <w:tcPr>
            <w:tcW w:w="1060" w:type="dxa"/>
            <w:vAlign w:val="bottom"/>
            <w:gridSpan w:val="3"/>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6"/>
              </w:rPr>
            </w:pPr>
            <w:hyperlink w:anchor="page74">
              <w:r>
                <w:rPr>
                  <w:rFonts w:ascii="Arial" w:cs="Arial" w:eastAsia="Arial" w:hAnsi="Arial"/>
                  <w:sz w:val="18"/>
                  <w:szCs w:val="18"/>
                  <w:color w:val="0000FF"/>
                  <w:w w:val="76"/>
                </w:rPr>
                <w:t>Item 9C</w:t>
              </w:r>
            </w:hyperlink>
            <w:r>
              <w:rPr>
                <w:rFonts w:ascii="Arial" w:cs="Arial" w:eastAsia="Arial" w:hAnsi="Arial"/>
                <w:sz w:val="18"/>
                <w:szCs w:val="18"/>
                <w:color w:val="000000"/>
                <w:w w:val="76"/>
              </w:rPr>
              <w:t>.</w:t>
            </w:r>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Disclosure Regarding Foreign Jurisdictions that Prevent Inspections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5"/>
        </w:trPr>
        <w:tc>
          <w:tcPr>
            <w:tcW w:w="1320" w:type="dxa"/>
            <w:vAlign w:val="bottom"/>
            <w:gridSpan w:val="8"/>
          </w:tcPr>
          <w:p>
            <w:pPr>
              <w:jc w:val="center"/>
              <w:ind w:right="540"/>
              <w:spacing w:after="0" w:line="205" w:lineRule="exact"/>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Part III</w:t>
              </w:r>
            </w:hyperlink>
          </w:p>
        </w:tc>
        <w:tc>
          <w:tcPr>
            <w:tcW w:w="560" w:type="dxa"/>
            <w:vAlign w:val="bottom"/>
            <w:tcBorders>
              <w:top w:val="single" w:sz="8" w:color="0000FF"/>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Item 10.</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Directors, Executive Officers and Corporate Governance</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Item 11.</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Executive Compensation</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Item 12.</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w w:val="91"/>
              </w:rPr>
            </w:pPr>
            <w:hyperlink w:anchor="page75">
              <w:r>
                <w:rPr>
                  <w:rFonts w:ascii="Arial" w:cs="Arial" w:eastAsia="Arial" w:hAnsi="Arial"/>
                  <w:sz w:val="18"/>
                  <w:szCs w:val="18"/>
                  <w:color w:val="0000FF"/>
                  <w:w w:val="91"/>
                </w:rPr>
                <w:t>Security Ownership of Certain Beneficial Owners and Management and Related Stockholder Matters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Item 13.</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Certain Relationships and Related Transactions, and Director Independence</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Item 14</w:t>
              </w:r>
            </w:hyperlink>
            <w:r>
              <w:rPr>
                <w:rFonts w:ascii="Arial" w:cs="Arial" w:eastAsia="Arial" w:hAnsi="Arial"/>
                <w:sz w:val="18"/>
                <w:szCs w:val="18"/>
                <w:color w:val="000000"/>
                <w:w w:val="79"/>
              </w:rPr>
              <w:t>.</w:t>
            </w:r>
          </w:p>
        </w:tc>
        <w:tc>
          <w:tcPr>
            <w:tcW w:w="420" w:type="dxa"/>
            <w:vAlign w:val="bottom"/>
          </w:tcPr>
          <w:p>
            <w:pPr>
              <w:spacing w:after="0"/>
              <w:rPr>
                <w:sz w:val="24"/>
                <w:szCs w:val="24"/>
                <w:color w:val="auto"/>
              </w:rPr>
            </w:pPr>
          </w:p>
        </w:tc>
        <w:tc>
          <w:tcPr>
            <w:tcW w:w="7380" w:type="dxa"/>
            <w:vAlign w:val="bottom"/>
            <w:gridSpan w:val="2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Principal Accounting Fees and Services</w:t>
              </w:r>
            </w:hyperlink>
          </w:p>
        </w:tc>
        <w:tc>
          <w:tcPr>
            <w:tcW w:w="106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220" w:type="dxa"/>
            <w:vAlign w:val="bottom"/>
            <w:gridSpan w:val="7"/>
          </w:tcPr>
          <w:p>
            <w:pPr>
              <w:jc w:val="center"/>
              <w:ind w:right="640"/>
              <w:spacing w:after="0" w:line="205" w:lineRule="exact"/>
              <w:rPr>
                <w:rFonts w:ascii="Arial" w:cs="Arial" w:eastAsia="Arial" w:hAnsi="Arial"/>
                <w:sz w:val="18"/>
                <w:szCs w:val="18"/>
                <w:b w:val="1"/>
                <w:bCs w:val="1"/>
                <w:color w:val="0000FF"/>
              </w:rPr>
            </w:pPr>
            <w:hyperlink w:anchor="page75">
              <w:r>
                <w:rPr>
                  <w:rFonts w:ascii="Arial" w:cs="Arial" w:eastAsia="Arial" w:hAnsi="Arial"/>
                  <w:sz w:val="18"/>
                  <w:szCs w:val="18"/>
                  <w:b w:val="1"/>
                  <w:bCs w:val="1"/>
                  <w:color w:val="0000FF"/>
                </w:rPr>
                <w:t>Part IV</w:t>
              </w:r>
            </w:hyperlink>
          </w:p>
        </w:tc>
        <w:tc>
          <w:tcPr>
            <w:tcW w:w="560" w:type="dxa"/>
            <w:vAlign w:val="bottom"/>
            <w:tcBorders>
              <w:top w:val="single" w:sz="8" w:color="0000FF"/>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6">
              <w:r>
                <w:rPr>
                  <w:rFonts w:ascii="Arial" w:cs="Arial" w:eastAsia="Arial" w:hAnsi="Arial"/>
                  <w:sz w:val="18"/>
                  <w:szCs w:val="18"/>
                  <w:color w:val="0000FF"/>
                  <w:w w:val="79"/>
                </w:rPr>
                <w:t>Item 15.</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6">
              <w:r>
                <w:rPr>
                  <w:rFonts w:ascii="Arial" w:cs="Arial" w:eastAsia="Arial" w:hAnsi="Arial"/>
                  <w:sz w:val="18"/>
                  <w:szCs w:val="18"/>
                  <w:color w:val="0000FF"/>
                </w:rPr>
                <w:t>Exhibits and Financial Statement Schedules</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2"/>
          </w:tcPr>
          <w:p>
            <w:pPr>
              <w:spacing w:after="0" w:line="205" w:lineRule="exact"/>
              <w:rPr>
                <w:rFonts w:ascii="Arial" w:cs="Arial" w:eastAsia="Arial" w:hAnsi="Arial"/>
                <w:sz w:val="18"/>
                <w:szCs w:val="18"/>
                <w:color w:val="0000FF"/>
                <w:w w:val="79"/>
              </w:rPr>
            </w:pPr>
            <w:hyperlink w:anchor="page79">
              <w:r>
                <w:rPr>
                  <w:rFonts w:ascii="Arial" w:cs="Arial" w:eastAsia="Arial" w:hAnsi="Arial"/>
                  <w:sz w:val="18"/>
                  <w:szCs w:val="18"/>
                  <w:color w:val="0000FF"/>
                  <w:w w:val="79"/>
                </w:rPr>
                <w:t>Item 16.</w:t>
              </w:r>
            </w:hyperlink>
          </w:p>
        </w:tc>
        <w:tc>
          <w:tcPr>
            <w:tcW w:w="420" w:type="dxa"/>
            <w:vAlign w:val="bottom"/>
          </w:tcPr>
          <w:p>
            <w:pPr>
              <w:spacing w:after="0"/>
              <w:rPr>
                <w:sz w:val="17"/>
                <w:szCs w:val="17"/>
                <w:color w:val="auto"/>
              </w:rPr>
            </w:pPr>
          </w:p>
        </w:tc>
        <w:tc>
          <w:tcPr>
            <w:tcW w:w="7380" w:type="dxa"/>
            <w:vAlign w:val="bottom"/>
            <w:gridSpan w:val="20"/>
          </w:tcPr>
          <w:p>
            <w:pPr>
              <w:spacing w:after="0" w:line="205" w:lineRule="exact"/>
              <w:rPr>
                <w:rFonts w:ascii="Arial" w:cs="Arial" w:eastAsia="Arial" w:hAnsi="Arial"/>
                <w:sz w:val="18"/>
                <w:szCs w:val="18"/>
                <w:color w:val="0000FF"/>
              </w:rPr>
            </w:pPr>
            <w:hyperlink w:anchor="page79">
              <w:r>
                <w:rPr>
                  <w:rFonts w:ascii="Arial" w:cs="Arial" w:eastAsia="Arial" w:hAnsi="Arial"/>
                  <w:sz w:val="18"/>
                  <w:szCs w:val="18"/>
                  <w:color w:val="0000FF"/>
                </w:rPr>
                <w:t>Form 10-K Summary</w:t>
              </w:r>
            </w:hyperlink>
          </w:p>
        </w:tc>
        <w:tc>
          <w:tcPr>
            <w:tcW w:w="1060" w:type="dxa"/>
            <w:vAlign w:val="bottom"/>
            <w:gridSpan w:val="3"/>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 w:type="dxa"/>
            <w:vAlign w:val="bottom"/>
            <w:gridSpan w:val="7"/>
          </w:tcPr>
          <w:p>
            <w:pPr>
              <w:jc w:val="center"/>
              <w:spacing w:after="0" w:line="205" w:lineRule="exact"/>
              <w:rPr>
                <w:rFonts w:ascii="Arial" w:cs="Arial" w:eastAsia="Arial" w:hAnsi="Arial"/>
                <w:sz w:val="18"/>
                <w:szCs w:val="18"/>
                <w:b w:val="1"/>
                <w:bCs w:val="1"/>
                <w:color w:val="0000FF"/>
                <w:w w:val="85"/>
              </w:rPr>
            </w:pPr>
            <w:hyperlink w:anchor="page80">
              <w:r>
                <w:rPr>
                  <w:rFonts w:ascii="Arial" w:cs="Arial" w:eastAsia="Arial" w:hAnsi="Arial"/>
                  <w:sz w:val="18"/>
                  <w:szCs w:val="18"/>
                  <w:b w:val="1"/>
                  <w:bCs w:val="1"/>
                  <w:color w:val="0000FF"/>
                  <w:w w:val="85"/>
                </w:rPr>
                <w:t>Signatures</w:t>
              </w:r>
            </w:hyperlink>
          </w:p>
        </w:tc>
        <w:tc>
          <w:tcPr>
            <w:tcW w:w="5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center"/>
              <w:ind w:right="440"/>
              <w:spacing w:after="0"/>
              <w:rPr>
                <w:rFonts w:ascii="Arial" w:cs="Arial" w:eastAsia="Arial" w:hAnsi="Arial"/>
                <w:sz w:val="17"/>
                <w:szCs w:val="17"/>
                <w:color w:val="0000FF"/>
                <w:w w:val="73"/>
              </w:rPr>
            </w:pPr>
            <w:hyperlink w:anchor="page80">
              <w:r>
                <w:rPr>
                  <w:rFonts w:ascii="Arial" w:cs="Arial" w:eastAsia="Arial" w:hAnsi="Arial"/>
                  <w:sz w:val="17"/>
                  <w:szCs w:val="17"/>
                  <w:color w:val="0000FF"/>
                  <w:w w:val="73"/>
                </w:rPr>
                <w:t>78</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44"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capital resources to meet our liquidity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our expectations regarding future infrastructure investments;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buyers and sellers and the continued impact of network effects as we scale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 from new Resale-as-a-Service (“RaaS”) offerings that are our future sources of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our key financial and operating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64"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including as a result of the recent Omicron variant and any new strains or variants of the virus, and recovery therefrom on United States and global economies, our business, results of operations, financial condition, demand for secondhand and resale items, sales cycles and buyer and seller retention;</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You should not rely upon forward-looking statements as predictions of future events. The outcome of the events described in these forward-looking statements is subject to risks, uncertainties and other factors described in the section titled “Risk Factors” and elsewhere in this Annual Report on Form 10-K.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based primarily on items processed, items sold and the capacity of our distribution centers.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April 2021.</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2018, based on our success with consumers directly, we extended our platform to enable brands and retailers to participate in the resale economy. A number of the world’s leading brands and retailers are already taking advantage of our Resale-as-a-Service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October 2021, we closed the acquisition of Remix Global AD (“Remix”), a fashion resale company headquartered in Sofia, Bulgaria, which further expands our reach to the European customer. With this acquisition, we added a complementary operational infrastructure and an experienced management team to enable our expansion into Europe. In addition, Remix’s product assortment extends our resale offering to include men’s items and items sourced from a variety of supply channels, such as wholesale supply.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built a differentiated and defensible operating platform to enable resale at scale, combining: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40" w:hanging="316"/>
        <w:spacing w:after="0" w:line="24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Distributed Processing Infrastructure</w:t>
      </w:r>
      <w:r>
        <w:rPr>
          <w:rFonts w:ascii="Arial" w:cs="Arial" w:eastAsia="Arial" w:hAnsi="Arial"/>
          <w:sz w:val="18"/>
          <w:szCs w:val="18"/>
          <w:color w:val="auto"/>
        </w:rPr>
        <w:t>. Our infrastructure is purpose-built for “single SKU” logistics, meaning that every item</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is unique, came from or belongs to an individual seller and is individually tracked using its own stock keeping unit (“SKU”). We believe logistics and infrastructure have never been executed at our scale in the online resale market. As of December 31, 2021, we operated distribution centers that could collectively hold more than 7.3 million items in locations across the United States and Europe. Our operations are highly scalable, and we have the ability to process more than 100,000 unique SKUs per day across our existing distribution footprint. We drive continuous operational efficiency through proprietary technology and ongoing automation of our infrastructure. Our existing United States based distribution centers are located in Arizona, Georgia and Pennsylvania. In 2022, we anticipate opening another distribution center in Texas and have opened two smaller processing centers in Texas and Tennessee. By locating our facilities in strategic locations across the country we can be closer to our buyers and sellers, which allows us to reduce shipping times in transit, and lower our inbound and outbound shipping costs. Our European-based distribution center, which services nine countries in Central and Eastern Europe, is located in Sofia, Bulgaria.</w:t>
      </w:r>
    </w:p>
    <w:p>
      <w:pPr>
        <w:spacing w:after="0" w:line="138" w:lineRule="exact"/>
        <w:rPr>
          <w:rFonts w:ascii="Arial" w:cs="Arial" w:eastAsia="Arial" w:hAnsi="Arial"/>
          <w:sz w:val="18"/>
          <w:szCs w:val="18"/>
          <w:color w:val="auto"/>
        </w:rPr>
      </w:pPr>
    </w:p>
    <w:p>
      <w:pPr>
        <w:jc w:val="both"/>
        <w:ind w:left="640" w:hanging="316"/>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Proprietary Software and Systems</w:t>
      </w:r>
      <w:r>
        <w:rPr>
          <w:rFonts w:ascii="Arial" w:cs="Arial" w:eastAsia="Arial" w:hAnsi="Arial"/>
          <w:sz w:val="17"/>
          <w:szCs w:val="17"/>
          <w:color w:val="auto"/>
        </w:rPr>
        <w:t>. Our facilities run on a suite of our custom-built applications designed for “single SKU”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spacing w:after="0" w:line="111" w:lineRule="exact"/>
        <w:rPr>
          <w:rFonts w:ascii="Arial" w:cs="Arial" w:eastAsia="Arial" w:hAnsi="Arial"/>
          <w:sz w:val="17"/>
          <w:szCs w:val="17"/>
          <w:color w:val="auto"/>
        </w:rPr>
      </w:pPr>
    </w:p>
    <w:p>
      <w:pPr>
        <w:jc w:val="both"/>
        <w:ind w:left="640" w:hanging="316"/>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Data Science Expertise</w:t>
      </w:r>
      <w:r>
        <w:rPr>
          <w:rFonts w:ascii="Arial" w:cs="Arial" w:eastAsia="Arial" w:hAnsi="Arial"/>
          <w:sz w:val="18"/>
          <w:szCs w:val="18"/>
          <w:color w:val="auto"/>
        </w:rPr>
        <w:t>. We harness our robust, structured data set across our business to optimize economic decisions,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seller payouts, item acceptance, merchandising and sell-through. We also leverage data to power efficient customer acquisition and lifetime engagement, and to provide a personalized shopping experience.</w:t>
      </w:r>
    </w:p>
    <w:p>
      <w:pPr>
        <w:spacing w:after="0" w:line="14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generate revenue primarily from items that are sold to buyers on our websites and mobile app and from integration and service fees charged in connection with our RaaS offerings.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mainly includes inventory cost, inbound shipping and inventory write-downs, as well as outbound shipping, outbound labor and packaging costs. Our buyers generally pay us upfront when they purchase an item.</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recognize revenue from our Remix platform primarily through direct product sales. We anticipate that over time revenue from the Remix platform will migrate to become primarily consignment sales as we introduce and expand the Clean Out Kit model that we pioneered in the United States market.</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mid-2021, we began structuring our RaaS offerings as sources of revenue. RaaS clients typically pay an upfront integration fee as well as ongoing service fees which are then recorded to consignment revenue. With RaaS, brands and retailers are leveraging our operating platform to deliver resale experiences to their customers across three main service modules: our Clean Out service, our cashout marketplace, and our full-service resale shops. This suite of offerings is called “Resale 360” and enables our RaaS clients to drive incremental revenue and access new customers while promoting a circular business model. As of December 31, 2021, we worked with 28 RaaS clients, including Adidas, Crocs, GAP, Madewell, Reformation and Walmart.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methodically scaled operating capacity and revenue, while increasing gross profit and improving our operating performance.</w:t>
      </w:r>
    </w:p>
    <w:p>
      <w:pPr>
        <w:spacing w:after="0" w:line="164"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2021, we had 1.69 million Active Buyers, up 36% over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hanging="35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year ended December 31, 2021, our buyers placed 5.3 million Orders, up 34% over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2021, we had 2,894 employees and professional contractors, including 2,496 distribution center employees.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information technology, or IT, specialists. These Ukrainian IT specialists, who provide services on our behalf, are registered as “private entrepreneurs” with the tax authorities of Ukraine and operate as independent contractors. While we do not anticipate a reduction in force due to conflict in Ukraine, we anticipate that at least some of our Ukrainian IT specialists may be unable to work while the conflict is unresolved.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 The core objective of our compensation program is to provide a package that will attract, motivate and reward exceptional employees who must operate in a highly competitive and technologically challenging environment.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Competitors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spacing w:after="0" w:line="158"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secondhand marketplaces, such as eBay Inc., Mercari, Inc., Poshmark, Inc., The RealReal, Inc., Vinted and Vestiaire Collective;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 online retailers, such as Amazon.com, Inc., Target Corporation, Kohl’s Corporation and Walmart Inc.;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off-price retailers, such as Burlington Stores, Inc., Ross Stores, Inc. and The TJX Companies, Inc.</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our business, results of operations and financial condition could be harmed.”</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compete primarily on the basis of buyer and seller experience, product quality and assortment, breadth of brand offering, convenience and price. We believe that we are able to compete effectively because we offer buyers a vast selection of high-quality, secondhand and resale items at compelling prices with a fun and easy to use interface. For sellers, we offer an easy, convenient, reliable and fast way to recycle and monetize or donate their secondhand items.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December 31, 2021, we had six issued patents in the United States, four of which expire in 2035 and two of which expire in 2037. These patents are intended to protect our proprietary inventions relevant to our business. We continually review our development efforts to assess the existence and patentability of new intellectual property. We intend to pursue additional patent protection to the extent we believe it would be beneficial and cost effective. In addition, our proprietary algorithm technologies, other than those incorporated into a patent application, are protected by trade secret laws.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December 31, 2021, we have a total of 19 registered trademarks in the United States and six registered trademarks in non-United States jurisdictions. “THREDUP” and “Think Secondhand First” are our registered trademarks in the United States. We have additional registered trademarks in the United States and “THREDUP” is registered in certain other non-United States jurisdictions. We will pursue additional trademark registrations to the extent we believe they would be beneficial and cost-effective. Other trademarks and trade names referred to in this annual report are the property of their respective owners.</w:t>
      </w:r>
    </w:p>
    <w:p>
      <w:pPr>
        <w:spacing w:after="0" w:line="154" w:lineRule="exact"/>
        <w:rPr>
          <w:sz w:val="20"/>
          <w:szCs w:val="20"/>
          <w:color w:val="auto"/>
        </w:rPr>
      </w:pPr>
    </w:p>
    <w:p>
      <w:pPr>
        <w:ind w:right="820" w:firstLine="318"/>
        <w:spacing w:after="0" w:line="430" w:lineRule="auto"/>
        <w:rPr>
          <w:sz w:val="20"/>
          <w:szCs w:val="20"/>
          <w:color w:val="auto"/>
        </w:rPr>
      </w:pPr>
      <w:r>
        <w:rPr>
          <w:rFonts w:ascii="Arial" w:cs="Arial" w:eastAsia="Arial" w:hAnsi="Arial"/>
          <w:sz w:val="18"/>
          <w:szCs w:val="18"/>
          <w:color w:val="auto"/>
        </w:rPr>
        <w:t xml:space="preserve">We also have registered domain names for websites that we use in our business, such as www.thredup.com and other variations. </w:t>
      </w:r>
      <w:r>
        <w:rPr>
          <w:rFonts w:ascii="Arial" w:cs="Arial" w:eastAsia="Arial" w:hAnsi="Arial"/>
          <w:sz w:val="18"/>
          <w:szCs w:val="18"/>
          <w:b w:val="1"/>
          <w:bCs w:val="1"/>
          <w:color w:val="auto"/>
        </w:rPr>
        <w:t>Government Regulation</w:t>
      </w:r>
    </w:p>
    <w:p>
      <w:pPr>
        <w:jc w:val="both"/>
        <w:ind w:firstLine="318"/>
        <w:spacing w:after="0" w:line="246" w:lineRule="auto"/>
        <w:rPr>
          <w:sz w:val="20"/>
          <w:szCs w:val="20"/>
          <w:color w:val="auto"/>
        </w:rPr>
      </w:pPr>
      <w:r>
        <w:rPr>
          <w:rFonts w:ascii="Arial" w:cs="Arial" w:eastAsia="Arial" w:hAnsi="Arial"/>
          <w:sz w:val="18"/>
          <w:szCs w:val="18"/>
          <w:color w:val="auto"/>
        </w:rPr>
        <w:t>We are subject to a variety of United States federal and state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also subject to federal, state, and foreign laws and regulations regarding privacy and protection of consumer information. Our privacy policies describe our practices concerning the use, storage, transmission and disclosure of personal information, including buyer and seller data. Any failure by us to comply with our policies or privacy related laws and regulations could result in proceedings against us by governmental authorities or others, which could harm our business.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jurisdictions in which we operate have enacted laws and regulations requiring notification to users when there is a security breach of personal data, or requiring the adoption of minimum information security standards that are often vaguely defined and difficult to practically implement. This growing focus on data privacy and regulation of e-commerce worldwide could impose additional compliance burdens and costs on us and could subject us to significant operational costs for internal compliance and risk to our business. Further, any failure by us to adequately protect the privacy and data of our sellers and buyers could result in a loss of confidence in our marketplaces, which could adversely affect our business.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concerning the use of wildlife products for commercial and non-commercial trade, including the United States Fish and Wildlife Service. We do not estimate any significant capital expenditures for environmental control matters either in the current fiscal year or in the near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filings are available through our investor relations website after we file them with the Securities and Exchange Commission (the "SEC"): Annual Report on Form 10-K, Quarterly Reports on Form 10-Q and our Proxy Statement for our Annual Meeting of Stockholders. These filings are also available for download free of charge on our investor relations website. Our investor relations website is located at ir.thredup.com. The SEC also maintains an Internet website that contains reports, proxy statements and other information about issuers, like us, that file electronically with the SEC. The address of that website is www.sec.gov.</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our Twitter account (@thredup), our LinkedIn account (https://www.linkedin.com/company/thredup) and our Chief Executive Officer's Linkedin account (https://www.linkedin.com/in/jamesgreinhart/), as means of disclosing material non-public information and for complying with our disclosure obligations under Regulation FD. Further corporate governance information, including our corporate governance guidelines, composition of our board and its committees, and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Annual Report on Form 10-K. Additional risks, beyond those summarized below or discussed elsewhere in this Annual Report on Form 10-K, may apply to our business, activities or operations as currently conducted or as we may conduct them in the future or in the markets in which we operate or may in the future operate. These risks include, but are not limited to, the following:</w:t>
      </w:r>
    </w:p>
    <w:p>
      <w:pPr>
        <w:spacing w:after="0" w:line="152"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growth depends on attracting new, and retaining existing, buyers.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including our costs and supply of secondhand items, is subject to risks associated with sourcing, itemizing, warehousing and shipping.</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in an evolving industry, which makes it difficult to forecast our revenue, plan our expenses and evaluate our business and future prospects.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we anticipate increasing operating expenses in the future and we may not be able to achieve and, if achieved, maintain profitability.</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expand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COVID-19 pandemic has had and may continue to have an adverse impact on our business, results of operations and financial condition.</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Remix with our business may be more difficult, costly or time-consuming than expected, and we may not realize the expected benefits of the Remix Acquisition, which may adversely affect our business, results of operations and financial condition.</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Compromises of our data security could cause us to incur unexpected expenses and may materially harm our reputation and results of operations.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and this capital might not be available or may be available only by diluting existing stockholders.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or may decline regardless of our operating performance. You may lose all or part of your investment.</w:t>
      </w:r>
    </w:p>
    <w:p>
      <w:pPr>
        <w:spacing w:after="0" w:line="150"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dual-class structure of our common stock has the effect of concentrating voting control with those stockholders who held our capital stock prior to our Initial Public Offering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growth depends on attracting new, and retaining existing, buyers.</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To expand our buyer base, we must appeal to and attract buyers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and resale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Incidentally,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29"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offerings,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business, including our costs and supply of secondhand items, is subject to risks associated with sourcing, itemizing, warehousing and shipping.</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experienced rapid growth in many of our recent periods and those growth rates may not be indicative of our future growth. If we fail to manage our growth effectively,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execute our business plan and our business, results of operations and financial condition could be harmed.</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experienced, and may continue to experience, rapid growth in certain recent periods, which has placed, and may continue to place, significant demands on our management and our operational and financial resources. Additionally, our organizational structure is becoming more complex as we scale our operational, financial and management controls as well as our reporting systems and procedures. For example, our headcount has grown from 1,862 employees and professional contractors as of December 31, 2020 to 2,894 as of December 31, 2021, as we have scaled our business.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revenue was $251.8 million, $186.0 million and $163.8 million for the years ended December 31, 2021, 2020 and 2019 respectively, representing annual growth of 35%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55" w:lineRule="exact"/>
        <w:rPr>
          <w:sz w:val="20"/>
          <w:szCs w:val="20"/>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new and existing buyers and sellers and grow our supply of high-quality secondhand items for resale through our marketplaces;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revenue and achieve the operating efficiencies necessary to achieve and maintain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buyer and seller awareness of our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respond to changing buyer and seller preferences;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and improve our business processes in response to changing business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process Clean Out Kits from sellers on a timely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expand and further automate our distribution center operations and information systems;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respond to macroeconomic changes generally, including changes in the markets for both new and secondhand retail items;</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national retailers and brands and traditional brick-and-mortar thrift stores;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high-quality service and buyer and seller satisfaction;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talented employees and professional contractors at all levels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breaches and other factors that could affect our physical and digital infrastructure;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fulfill and deliver Orders in a timely manner and in accordance with customer expectations, which may change over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high level of customer service and satisfaction;</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 to changing conditions in our industry and related to the COVID-19 pandemic and measures implemented to manage its spread;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regulations applicable to our business.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a history of losses, we anticipate increasing operating expenses in the future and we may not be able to achieve and, if achieved, maintain profitability.</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experienced net losses of $63.2 million, $47.9 million and $38.2 million in the years ended December 31, 2021, 2020 and 2019,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we expect our operating expenses related to inbound processing, operations and technology could increase as a percentage of revenue. These efforts may be more costly than we expect and may not result in revenue growth or increased efficiency. In addition, as we grow and comply with rules and regulations of being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a limited operating history in an evolving industry, which makes it difficult to forecast our revenue, plan our expenses and evaluate our business and future prospects.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 limited operating history in a rapidly evolving industry that may not develop in a manner favorable to our business. Our marketplace represents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29"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150"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supply and demand for secondhand items;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levels or quality of secondhand items on our marketplace;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capacity as we expand our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engaging existing buyers and sellers and attracting new buyers and sellers;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the expectations of sellers that we will process their Clean Out Kits in a timely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our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partnerships, retail offerings and referral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reported disruptions or defects in our online marketplace, such as actual or perceived privacy or data security breaches;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market conditions, particularly those affecting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effectively manage our international operations;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market volatility and economic downturn, including those caused by outbreaks of disease, such as the COVID-19 pandemic, on our business;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and regulatory compliance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new employees and professional contractors added;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contractors or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pressure as a result of competition, economic conditions, shipment delays or otherwise, including as a result of the effects of the COVID-19 pandemic;</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talent, technologies, intellectual property or businesses, including potentially significant amortization costs and possible write-downs;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throughout the world, including inflation, military conflicts and geopolitical uncertainty and instability.</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able to expand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lease facilities to store and accommodate the logistics infrastructure required to process, itemize, list, sell, pack and ship the secondhand and resale items we sell through our marketplace and related channels of distribution, including our RaaS offerings.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We have also rapidly increased our United States operations departmental employee headcount in recent years to support the growth of our business. The number of employees in our United States based distribution centers increased to 2,052 as of December 31, 2021 from 1,570 as of December 31, 2020.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 three strategic locations: Arizona, Georgia and Pennsylvania and we are building a new distribution center in Texas. We also have process centers in Tennessee and Texas.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estate market in the locations where we currently operate, we may be unable to renew our existing leases or renew them on satisfactory terms. Failure to identify and secure adequate new distribution centers in optimal geographic locations, successfully and efficiently build out our newest distribution center in Texas or maintain our current distribution centers could harm our business, results of operations and financial condition.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continuing to build automation, machine learning and other capabilities to drive efficiencies in our distribution center operations.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continue to be adversely affected by economic downturns and other macroeconomic conditions or trends.</w:t>
      </w:r>
    </w:p>
    <w:p>
      <w:pPr>
        <w:spacing w:after="0" w:line="1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inflation,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or other catastrophic events, whether occurring in the United States or internationally.</w:t>
      </w:r>
    </w:p>
    <w:p>
      <w:pPr>
        <w:spacing w:after="0" w:line="2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Traditionally, consumer purchases of new retail items have declined during periods of economic uncertainty, when disposable income is reduced or when there is a reduction in consumer confidence. Such economic uncertainty and 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2021, we experienced an increase in the supply of Clean Out Kits with secondhand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from sellers. Additionally, at the onset of the COVID-19 pandemic, we experienced a reduction in operations productivity at our distribution centers as we were unable to process Clean Out Kits at our normal rate.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14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markets for secondhand and resale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We believe our ability to compete depends on many factors, many of which are beyond our control, including:</w:t>
      </w:r>
    </w:p>
    <w:p>
      <w:pPr>
        <w:spacing w:after="0" w:line="15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and retaining buyers and sellers and increasing the volume of secondhand items they buy and sell;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developing our data science and automation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favorable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delivering our marketplace to buyers and sellers;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and delivering authentic, high-quality secondhand items;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increasing the amount, diversity and quality of brands and secondhand items that we offer;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the means through which we acquire and offer secondhand items for resale;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at which secondhand items accepted onto our marketplace are offered;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speed and cost at which we can process and make available secondhand items and deliver purchased secondhand items to our buyers;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ease with which our buyers and sellers can supply, purchase and return secondhand items.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and changes in consumer shopping behavior.</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and resale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global COVID-19 pandemic has had and may continue to have an adverse impact on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the World Health Organization declared COVID-19 a global pandemic and this contagious disease outbreak has continued to spread. The related public health measures, including orders to shelter-in-place, travel restrictions, mandated business closures and vaccination mandates, have adversely affected work forces, organizations, customers, economies and financial markets globally, leading to an economic downturn and increased market volatility. The fear associated with pandemics such as COVID-19 or the reactions of governments around the world in response to such pandemics,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for a period of time, we were required to limit operations at our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resulting in a delay in our ability to process our Clean Out Kits. Additionally, we have implemented enhanced safety and cleaning measures, resulting in increased costs. In compliance with local ordinances and to protect our workforce, we have also limited attendance in our corporate offices.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 on November 4, 2021, the United States Department of Labor’s Occupational Safety and Health Administration (“OSHA”) issued an interim final rule requiring all employers with 100 or more employees to ensure that their employees are fully vaccinated or tested for COVID-19 on at least a weekly basis. While the United States Supreme Court stayed the federal vaccine mandate in January 2022, it is possible that the stay could be lifted or additional, more protective vaccine mandates may be announced by state or local jurisdictions that could impact our workforce and operations. We cannot predict what policies we may determine to, or be required to, implement in the future, or the effect thereof on our business, including whether the imposition of certain policies could cause us to result in attrition and impede our ability to recruit and retain our workforce.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 Our ability to receive supply and for our buyers to receive items on a timely basis may be negatively affected by many events outside of our control including, inclement weather, public health crises such as the COVID-19 pandemic, governmental regulations, labor disputes, macro supply chain issues and other factors.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Developing various responses to the challenges caused by COVID-19 and its effects has and may continue to divert the attention of our management team. In the future, we may need to temporarily 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5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continued scope and duration of the COVID-19 pandemic (including the Delta and Omicron variants and any new strains or variants of the virus), whether additional actions may be taken to contain the virus, the impact on our buyers, sellers and RaaS clients, the speed and extent to which markets fully recover from the disruptions caused by the COVID-19 pandemic, and the impact of these factors on our business, will depend on future developments that are highly uncertain and cannot be predicted with precision. In addition, to the extent COVID-19 adversely affects our operations and global economic conditions more generally, it may heighten other risks disclosed in this report.</w:t>
      </w:r>
    </w:p>
    <w:p>
      <w:pPr>
        <w:spacing w:after="0" w:line="1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Public health concerns, such as COVID-19, have resulted and could continue to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Operations—COVID-19 Impact” for additional information about the impact of COVID-19 on our business.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Integrating Remix with our business may be more difficult, costly or time-consuming than expected, and we may not realize the expected benefits of the Remix Acquisition, which may adversely affect our business, results of operations and financial condition.</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October 2021, we completed the acquisition of Remix, a marketplace business based in Sophia, Bulgaria. If we experience greater than anticipated costs to integrate, or are not able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integrate, Remix into our existing operations or retain key Remix employees, we may not be able to achieve the anticipated benefits of the acquisition of Remix (the “Remix Acquisition”), including sustained growth opportunities. Even if the integration of Remix’s business is successful, we may not realize all of the anticipated benefits of the Remix Acquisition in the time frame anticipated, or at all. For example, events outside our control, such as changes in laws and regulations, as well as economic trends, including as a result of the COVID-19 pandemic or other political instabilities and conflicts in the Central and Eastern European region, could adversely affect our ability to realize the expected benefits from the Remix Acquisition. Further, upon the closing of the Remix Acquisition, we became subject to additional laws and regulations, including those in the EEA, such as GDPR. Compliance with such laws and regulations will require resources and could be more costly and take more time than we anticipate, which could adversely affect our business.</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An inability to realize the full extent of the anticipated benefits of the Remix Acquisition, as well as any delays encountered in the integration process, could have a materially adverse effect upon our business, revenue, operating expenses, results of operations and financial condition. In addition, it is possible that the integration process could result in the disruption of our ongoing business or inconsistencies in standards, controls, procedures and policies that may adversely affect our ability to maintain relationships with our buyers and RaaS clients or to achieve the anticipated benefits of the Remix Acquisition. Integration efforts also may divert management attention and resources. For all of these reasons, we may not be able to achieve the anticipated benefits of the Remix Acquisition, which could adversely affect our business, results of operations and financial condition and could cause the price of our Class A common stock to decline.</w:t>
      </w:r>
    </w:p>
    <w:p>
      <w:pPr>
        <w:spacing w:after="0" w:line="1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Remix may have liabilities that we failed, or were unable, to discover in the course of performing our due diligence investigations in connection with the Remix Acquisition. Any such liabilities, individually or in the aggregate, could have an adverse effect on our business, results of operations and financial condition.</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12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 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experience damage or destruction to our distribution centers in which we store all of the secondhand and resale items we offer through our marketplace, which may harm our business, results of operations and financial condition.</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store the majority of the secondhand items we offer through our marketplace in our current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and resale items stored in one of our distribution centers, due to natural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given the nature of the unique selection of secondhand and resale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Further, while we carry insurance for the secondhand and resale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 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advertising activity and strategic RaaS offerings may fail to efficiently drive growth in buyers and sellers, which could harm our business, results of operations and financial condition.</w:t>
      </w:r>
    </w:p>
    <w:p>
      <w:pPr>
        <w:spacing w:after="0" w:line="129"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spacing w:after="0" w:line="135"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effective creative message and media mix for advertising, marketing and promotional expenditures;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expenses, to maintain acceptable buyer and seller acquisition costs.</w:t>
      </w:r>
    </w:p>
    <w:p>
      <w:pPr>
        <w:spacing w:after="0" w:line="17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We have previously experienced, and may experience in the future, increases in the pricing of one or more of our marketing and advertising channels. These pricing increases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invested and expect to continue to invest significant time and resources into our RaaS offerings and our RaaS clients include national retail stores, premium women’s fashion brands, fashion-focused e-commerce sites and marketplaces for the buying and selling of secondhand items. We maintain a robust and varied set of RaaS offerings including provision of our Clean Out Kits at our RaaS clients’ retail stores, our cash out marketplace offering, white-label resale shops, the resale of worn retail items provided to us by our RaaS clients and cross-listing our products on our RaaS clients’ websites. To grow our business and build out our marketplace,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The effectiveness of some of these RaaS offerings was also disrupted by the COVID-19 pandemic and associated shelter-in-place orders. Further, if the retail industry suffers in general, there may be fewer customers visiting our RaaS clients’ retail stores and buying secondhand items in our pop-up shops, our RaaS clients may discontinue our pop-ups and white-label resale shops in an effort to cut back newer partnerships and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and resale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promoting and maintaining our brand and reputation, which could harm our business and future growth.</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believe that maintaining our brand and reputation is critical to driving buyer and seller engagement. An important goal of our brand promotion strategy is establishing trust with our buyers and sellers.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 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harm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in the past and may in the future seek to acquire businesses, products or technologies that we believe could complement our business,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Any acquisition, investment or business relationship may result in unforeseen operating difficulties and expenditures. In addition, we have limited experience in acquiring other businesses.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may not be able to find and identify desirable acquisition targets or we may not be successful in entering into an agreement with any one target. Acquisitions could also result in dilutive issuances of equity securities or the incurrence of debt, which could harm our results of operations. In addition, if an acquired business fails to meet our expectations, our business, results of operations and financial condition may suffer.</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previously sought, and may in the future seek, to make strategic investments in companies developing products or technologies that we believe could complement our business, enhance our technical capabilities, or otherwise offer growth opportunities. These investments may be in early stage private companies for restricted stock. Such investments are generally illiquid and may never generate value. Further, the companies in which we invest may not succeed, and our investments would lose their value.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Certain estimates of our buyer metrics included in this Annual Report on Form 10-K may prove to be inaccurate, and any real or perceived inaccuracies may harm our reputation and negatively affect our business.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Certain metrics presented in this Annual Report on Form 10-K,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than expected returns could have a negative impact on our revenue.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allow buyers to return certain purchases from our website and mobile application under our return policy. We record a reserve for returns against proceeds to us from the resale of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marketplace. Any significant increase in returns that exceeds our reserves could adversely affect our revenue and results of operations.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may depend on our ability to accurately and cost-effectively determine whether a secondhand item offered for resale is an authentic product. From time to time we receive secondhand items through our sellers which may be counterfeit or which we are otherwise unable to authenticate. While we have invested in our authentication processes and we reject any retail items we cannot authenticate, we cannot be certain that we will identify every counterfeit item that is supplied to us. As the sophistication of counterfeiters increases, it may be increasingly difficult to authenticate products and/or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and/or our general authentication practices. Such controversy could negatively impact our reputation and brand and harm our business and results of operations.</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Information Technology, Intellectual Property, Data Security and Privacy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Compromises of our data security could cause us to incur unexpected expenses and may materially harm our reputation and results of operations.</w:t>
      </w:r>
    </w:p>
    <w:p>
      <w:pPr>
        <w:spacing w:after="0" w:line="12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ransomware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source code,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with whom we do business may attempt to circumvent security measures in order to misappropriate such personal information, confidential information or other data, or may inadvertently release or compromise such data. We expect to incur ongoing and increasing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14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collect, maintain and otherwise process significant amounts of personal information and other data relating to our buyers, sellers, clients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(the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(the “CPRA”). The CPRA creates additional 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Additionally, the CCPA has prompted other states to propose and enact similar laws</w:t>
      </w:r>
    </w:p>
    <w:p>
      <w:pPr>
        <w:spacing w:after="0" w:line="2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and regulations relating to privacy. For example, in March 2021, Virginia enacted the Virginia Consumer Data Protection Act (the “CDPA”), which becomes effective on January 1, 2023, and on June 8, 2021, Colorado enacted the Colorado Privacy Act (the “CPA”), which takes effect</w:t>
      </w:r>
    </w:p>
    <w:p>
      <w:pPr>
        <w:spacing w:after="0" w:line="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1, 2023. The CDPA and CPA share similarities with the CCPA, the CPRA, and legislation proposed in other states. Aspects of the CCPA, CPRA, CDPA,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CPA, and their interpretation, remain unclear, and we cannot yet fully predict the impact of these laws or regulations on our business or operations.</w:t>
      </w:r>
    </w:p>
    <w:p>
      <w:pPr>
        <w:spacing w:after="0" w:line="1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7"/>
          <w:szCs w:val="17"/>
          <w:color w:val="auto"/>
        </w:rPr>
        <w:t>Further, as our operations expand internationally, including in connection with the Remix Acquisition, we may become subject to additional laws and regulations relating to privacy and data protection. Foreign laws and regulations relating to privacy and data protection often are more</w:t>
      </w:r>
    </w:p>
    <w:p>
      <w:pPr>
        <w:jc w:val="both"/>
        <w:spacing w:after="0" w:line="265" w:lineRule="auto"/>
        <w:rPr>
          <w:sz w:val="20"/>
          <w:szCs w:val="20"/>
          <w:color w:val="auto"/>
        </w:rPr>
      </w:pPr>
      <w:r>
        <w:rPr>
          <w:rFonts w:ascii="Arial" w:cs="Arial" w:eastAsia="Arial" w:hAnsi="Arial"/>
          <w:sz w:val="17"/>
          <w:szCs w:val="17"/>
          <w:color w:val="auto"/>
        </w:rPr>
        <w:t>restrictive than those in the United States. Regulatory authorities in the European Economic Area (the “EEA”), for example, traditionally have imposed stricter obligations under laws and regulations relating to privacy and data protection than the United States. In May 2018, the European Union’s regulation governing data practices and privacy called the General Data Protection Regulation (“GDPR”), became effective. The GDPR requires companies to meet stringent requirements regarding the handling of personal data of individuals in the EEA. The GDPR provides for substantial penalties for non-compliance, which may result in monetary penalties of up to 20 million Euros or 4% of a company’s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worldwide turnover, whichever is greater. Aspects of data protection laws and regulations in the EEA, including those relating to cross-border</w:t>
      </w:r>
    </w:p>
    <w:p>
      <w:pPr>
        <w:spacing w:after="0" w:line="4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data transfer and the use of cookies, are evolving rapidly and remain subject to substantial uncertainty. Additionally, outside of the EEA, many countries and territories have laws, regulations, or other requirements relating to privacy, data protection, information security, and localized</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storage of data, and new countries and territories are adopting such legislation or other obligations with increasing frequency. There is no harmonized approach to these laws and regulations globally. Consequently, international expansion, including in connection with the Remix Acquisition, increases our risk of non-compliance with applicable foreign data protection laws and regulations.</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Future requirements, or changes in the interpretation of existing requirements, relating to privacy, data protection and information security may require us to implement, enhance or modify privacy and security policies, provide certain types of notices, grant certain rights to individuals, inform individuals of security breaches, and, in some cases, obtain individuals’ consent to use personal data for certain purposes. These 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23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RaaS product offerings and marketplace, particularly in certain foreign countries. Additionally, public scrutiny of or complaints about technology companies or their data practices, even if unrelated to our business, industry, or operations, may lead to increased scrutiny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technology companies, including us, and may cause government agencies to enact additional regulatory requirements, or to modify their enforcement or investigation activities, which may increase our costs and risks.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5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currently host our marketplace and support our operations using Amazon Web Services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 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Activity on mobile devices by buyers and sellers depends upon effective use of mobile operating systems, networks and standards that we do not control.</w:t>
      </w:r>
    </w:p>
    <w:p>
      <w:pPr>
        <w:spacing w:after="0" w:line="12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accused of infringing intellectual property or other proprietary rights of third parties.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successfully protect our intellectual property, our business could suffer.</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use open source software in our marketplace, which could negatively affect our ability to operate our business and subject us to litigation or other actions.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United States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 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14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could impair our ability to provide access to our marketplace. Fire, flood, power loss, telecommunications failure, hurricanes, tornadoes, earthquakes, other natural disasters, acts of war or terrorism, including ransomware attacks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Accounting and Tax Matters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the audits of our 2021, 2020, 2019 and 2018 consolidated financial statements, we and our independent registered public accounting firm identified control deficiencies in the design and operation of our internal control over financial reporting that constituted a material weakness, as further described in “Item 9A. Controls and Procedures” in this Annual Report on Form 10-K.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Our material weakness related to the following control deficiencies:</w:t>
      </w:r>
    </w:p>
    <w:p>
      <w:pPr>
        <w:spacing w:after="0" w:line="158" w:lineRule="exact"/>
        <w:rPr>
          <w:sz w:val="20"/>
          <w:szCs w:val="20"/>
          <w:color w:val="auto"/>
        </w:rPr>
      </w:pPr>
    </w:p>
    <w:p>
      <w:pPr>
        <w:jc w:val="both"/>
        <w:ind w:left="640" w:hanging="316"/>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54" w:lineRule="exact"/>
        <w:rPr>
          <w:rFonts w:ascii="Arial" w:cs="Arial" w:eastAsia="Arial" w:hAnsi="Arial"/>
          <w:sz w:val="18"/>
          <w:szCs w:val="18"/>
          <w:color w:val="auto"/>
        </w:rPr>
      </w:pPr>
    </w:p>
    <w:p>
      <w:pPr>
        <w:jc w:val="both"/>
        <w:ind w:left="640" w:hanging="316"/>
        <w:spacing w:after="0" w:line="266"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2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and annual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we fail to remediate our material weakness, identify future material weaknesses in our internal control over financial reporting or fail to meet the demands that have been placed upon us as a public company, including the requirements of the Sarbanes-Oxley Act of 2002 (the “Sarbanes-Oxley Act”),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33"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10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 methods and capabilities, affect our growth, increase costs or subject us to additional liabilities. In addition, if we were to expand internationally, we would be subject to additional regulation.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resale of secondhand items through our marketplace is subject to regulation, including by regulatory bodies such as the United States Consumer Product Safety Commission, the Federal Trade Commission, the United States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states of the United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Numerous states within the United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13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0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5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5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litigation is inherently unpredictable, we cannot assure you that any potential claims or disputes will not harm our business, results of operations and financial condition.</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subject to anti-corruption and anti-bribery and similar laws, such as the United States Foreign Corrupt Practices Act of 1977, as amended (the “FCPA”), the United States domestic bribery statute contained in 18 U.S.C. § 201, the United States. Travel Act, the USA PATRIOT Act, and are subject to similar anti-corruption and anti-bribery laws to the extent of the international expansion of our operations.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and our expansion into Europe in connection with the Remix Acquisition, our risks under these laws would increase.</w:t>
      </w:r>
    </w:p>
    <w:p>
      <w:pPr>
        <w:spacing w:after="0" w:line="1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United States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Labor-related matters, including labor disputes, may adversely affect our operations.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 regulate our business, including the United States Equal Employment Opportunity Commission. Often these cases raise complex factual and legal issues and create risks and uncertainties.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January 2021, we filed an Illinois Worker Adjustment and Retraining Notification Act notice related to our plan to close our Illinois distribution center (DC03) and reduce our workforce. The closure of DC03 could give rise to additional employment law-related claims and litigation, which could harm our business, results of operations and financial condition.</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1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and remediate a material weakness in our internal control over financial reporting. For example, we have worked to improve the controls around our key accounting processes and our quarterly and annual close processes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w:t>
      </w:r>
      <w:r>
        <w:rPr>
          <w:rFonts w:ascii="Arial" w:cs="Arial" w:eastAsia="Arial" w:hAnsi="Arial"/>
          <w:sz w:val="19"/>
          <w:szCs w:val="19"/>
          <w:color w:val="auto"/>
        </w:rPr>
        <w:t>o</w:t>
      </w:r>
      <w:r>
        <w:rPr>
          <w:rFonts w:ascii="Arial" w:cs="Arial" w:eastAsia="Arial" w:hAnsi="Arial"/>
          <w:sz w:val="18"/>
          <w:szCs w:val="18"/>
          <w:color w:val="auto"/>
        </w:rPr>
        <w:t>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r>
        <w:rPr>
          <w:rFonts w:ascii="Arial" w:cs="Arial" w:eastAsia="Arial" w:hAnsi="Arial"/>
          <w:sz w:val="19"/>
          <w:szCs w:val="19"/>
          <w:color w:val="auto"/>
        </w:rPr>
        <w:t>”</w:t>
      </w:r>
    </w:p>
    <w:p>
      <w:pPr>
        <w:spacing w:after="0" w:line="22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General accepted accounting principles (“GAAP”)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could be required to pay or collect sales taxes in jurisdictions in which we do not currently do so, with respect to past or future sales. This could adversely affect our business and results of operations.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2018, the Supreme Court of the United States ruled in South Dakota v. Wayfair, Inc. et al.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or adverse application of existing tax laws could increase our costs and harm our business.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incurred substantial net operating losses (“NOLs”) and generated certain tax credits since inception, which may be used in the future to offset future tax liabilities. The utilization of NOLs and tax credits may be subject to limitations or expire if not utilized before their expiration period. Under the rules of Section 382 and Section 383 of the Internal Revenue Code of 1986,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While the Company has experienced an ownership change since its inception, an immaterial amount of NOL has been limited as of December 31, 2021. Under the Tax Cuts and Jobs Act, as modified by the Coronavirus Aid, Relief, and Economic Security Act, the amount of post 2017 NOLs that we are permitted to utilize in any future taxable year is limited to 80% of our taxable income in such year for taxable years beginning after December 31, 2020 and such NOLs may be carried forward indefinitely. Our NOLs may also be subject to limitations under state law. For example, California recently enacted legislation suspending the use of NOLs for taxable years 2020, 2021 and 2022 for many taxpayers.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3" w:lineRule="exact"/>
        <w:rPr>
          <w:sz w:val="20"/>
          <w:szCs w:val="20"/>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could be an emerging growth company for up to five years following the completion of the IPO. Our status as an emerging growth company will end as soon as any of the following takes place:</w:t>
      </w:r>
    </w:p>
    <w:p>
      <w:pPr>
        <w:spacing w:after="0" w:line="150"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the IPO.</w:t>
      </w:r>
    </w:p>
    <w:p>
      <w:pPr>
        <w:spacing w:after="0" w:line="16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 and Liquidity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58"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our marketplace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categories of secondhand and resale goods;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operating infrastructure;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the markets in which we operate and potentially acquire complementary businesses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and annual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While we were in compliance with debt covenants as of December 31, 2021,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You may lose all or part of your investment.</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Prior to our IPO, there was no public market for shares of our Class A common stock. The market prices of the securities of other newly public companies have historically been highly volatile. The market price of our Class A common stock may fluctuate significantly in response to numerous factors, many of which are beyond our control, including:</w:t>
      </w:r>
    </w:p>
    <w:p>
      <w:pPr>
        <w:spacing w:after="0" w:line="153"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retail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those projections;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international economy as a whole and market conditions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services, features or capabilities, acquisitions, strategic partnerships or investments, joint ventures or capital commitments;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data privacy and cybersecurity incidents impacting us or others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elections or responses to these events;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our executive officers, directors and their affiliates;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December 31, 2021, the holders of shares of our Class B common stock collectively owned shares representing approximately 87.6% of the voting power of our outstanding capital stock, and our directors, executive officers and their affiliates beneficially owned in the aggregate 76.7% of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March 30, 2028,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dual-class structure may have on the market price of our Class A common stock.</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publish inaccurate or unfavorable research, about our business, the price of our Class A common stock and trading volume could be adversely affected.</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few securities analysts provide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sales might occur, could cause the market price of our Class A common stock to decline.</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December 31, 2021, we had outstanding a total of 57,779,180 shares of Class A common stock and 40,655,558 shares of Class B common stock.</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Sales of a substantial number of shares or the perception that such sales may occur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2021, we had 19,439,622 options outstanding that, if fully exercised, would result in the issuance of shares of Class B common stock, as well as 1,270,965 shares of Class A common stock subject to RSU awards. All of the shares of common stock issuable upon the exercise of stock options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2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2"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10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could depress the trading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spacing w:after="0" w:line="155"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or a majority of our board of directors is authorized to call a special meeting of stockholders;</w:t>
      </w:r>
    </w:p>
    <w:p>
      <w:pPr>
        <w:spacing w:after="0" w:line="150"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approve, alter or repeal our bylaws;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307" w:lineRule="auto"/>
        <w:rPr>
          <w:sz w:val="20"/>
          <w:szCs w:val="20"/>
          <w:color w:val="auto"/>
        </w:rPr>
      </w:pPr>
      <w:r>
        <w:rPr>
          <w:rFonts w:ascii="Arial" w:cs="Arial" w:eastAsia="Arial" w:hAnsi="Arial"/>
          <w:sz w:val="17"/>
          <w:szCs w:val="17"/>
          <w:b w:val="1"/>
          <w:bCs w:val="1"/>
          <w:i w:val="1"/>
          <w:iCs w:val="1"/>
          <w:color w:val="auto"/>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spacing w:after="0" w:line="10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spacing w:after="0" w:line="150"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United States federal securities laws and the rules and regulations thereunder.</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14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their employment with us at any time. The loss of one or more of our executive officers, especially our founder and Chief Executive Officer, or other executive officers or key technical, operational and sales employees and contractors could harm our business. In addition, our future success will depend upon our ability to hire for key functions, such as engineering, data science and marketing, as well as distribution center employees. Such efforts will require significant time, expense and attention. Furthermore, oftentimes newly hired employees require significant training and time before they achieve full productivity.</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 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58"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whose full salaries were restored in January 2021,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1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The revenue growth and potential profitability of our business depend on demand for our platform and our ability to hire and retain personnel, including employees and international contractors. Current or future economic uncertainties or downturns could adversely affect our business and results of operations. Negative conditions in the global economy or individual markets, including changes in gross domestic product growth, financial and credit market fluctuations, inflation, political turmoil, natural catastrophes, warfare and terrorist attacks on the United States and in the European region or elsewhere, could cause a decrease in business investments, an increase in IT spending and may negatively affect our business.</w:t>
      </w:r>
    </w:p>
    <w:p>
      <w:pPr>
        <w:spacing w:after="0" w:line="150"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In particular, given our investment in our software development capabilities in Ukraine, political turmoil, warfare, or terrorist attacks in Ukraine could negatively affect our business. Political and military events in Ukraine, including the 2022 Russian invasion of Ukraine, as well as ongoing tensions and intermittent warfare between Ukraine and Russia since the 2014 Russian annexation of Crimea, challenging relations between the United States. and its allies, and Russia, and sanctions by the United States and the EU against Russia may also have an adverse impact on our ability to grow our business and negatively affect our results of operations. We cannot predict the timing, strength, or duration of any economic slowdown, instability or recovery, generally or within any particular industry. If the conflict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Ukraine persists and our Ukrainian personnel are unable to work as a result, our results of our operations and our financial condition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2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the activities intended by regulatory or governing bodies due to ambiguities related to their application and practice, regulatory authorities may initiate legal proceedings against us and our business may be harmed.</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corporate headquarters is located in Oakland, California, where we currently lease approximately 24,000 square feet pursuant to a lease agreement that expires in September 2024. We also lease additional corporate facilities in Scottsdale, Arizona and Sofia, Bulgaria.</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lease and operate four distribution centers, in Arizona, Georgia, Pennsylvania and Bulgaria, at which we receive and process primarily secondhand and resale items from sellers, ship purchases to buyers and receive and process any returns from buyers. We are currently building out another distribution center in Texas and, in 2022, have opened two cleanout kit processing centers located in Texas and Tennessee. Our distribution center operations in Bulgaria will be gradually transferred to a new larger distribution center commencing in 2022 to support growth potential in existing and new markets within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6"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Class A common stock, is listed on the Nasdaq Global Select Market under the symbol “TDUP” and began trading on March 26, 2021. Prior to that date, there was no public trading market for our Class A common stock. There is no public trading market for our Class B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the close of business on March 14, 2022, there were 75 holders of record of our Class A common stock and 33 holders of record of our Class B common stock. The actual number of stockholders is greater than this number of record holders and includes stockholders who are beneficial owners but whose shares are held in street name by brokers or other nominees. This number of holders of record also does not include stockholders whose shares may be held in trust by other entities.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cash dividends, if any, will be made at the discretion of our board of directors, subject to applicable laws, and will depend on then-existing conditions, including our financial condition, results of operations, contractual restrictions, capital requirements, business prospects and other factors our board of directors may deem relevant. In addition, our ability to pay cash dividends on our capital stock is limited by the terms of our existing term loans and may be limited by any future debt instruments or preferred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presented below the cumulative total return to our stockholders in comparison to the Standard and Poor’s Retail Select Index (S&amp;P Retail Select Industry) and Nasdaq Composite Index (Nasdaq Composite). All values assume a $100 initial investment on March 26, 2021, the date our Class A common stock began trading on the Nasdaq Global Select Market, through December 31, 2021 and data for the S&amp;P Retail Select Industry and Nasdaq Composite over the same period assume reinvestment of dividends. The graph uses the closing market price on March 26, 2021 of $20.00 per share as the initial value of our Class A common stock. The comparisons are based on historical data and are not indicative of, nor intended to forecast, the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777240</wp:posOffset>
            </wp:positionV>
            <wp:extent cx="5250180" cy="3500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50180" cy="350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the Prospectus.</w:t>
      </w:r>
    </w:p>
    <w:p>
      <w:pPr>
        <w:spacing w:after="0" w:line="15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On August 2, 2021, the Company issued and sold 2,000,000 shares of Class A common stock at a price of $24.25 per share in a registered public offering. The aggregate net proceeds were $45.5 million, after deducting $3.3 million of underwriting discounts and commissions and offering costs. There has been no material change in the planned use of proceeds from the registered public offering completed in August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thereto included elsewhere in this Annual Report on Form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A discussion regarding our financial condition and results of operations for the year ended December 31, 2021 compared to the year ended December 31, 2020 is presented below. A discussion regarding our financial condition and results of operations for the year ended December 31, 2020 compared to the year ended December 31, 2019 is included under “Management’s Discussion and Analysis of Financial Condition and Results of Operations” in our final prospectus filed pursuant to Rule 424(b) on March 26, 2021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April 2021.</w:t>
      </w:r>
    </w:p>
    <w:p>
      <w:pPr>
        <w:spacing w:after="0" w:line="145" w:lineRule="exact"/>
        <w:rPr>
          <w:sz w:val="20"/>
          <w:szCs w:val="20"/>
          <w:color w:val="auto"/>
        </w:rPr>
      </w:pPr>
    </w:p>
    <w:p>
      <w:pPr>
        <w:jc w:val="both"/>
        <w:ind w:firstLine="318"/>
        <w:spacing w:after="0" w:line="217"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RaaS offering. In October 2021, we closed the acquisition of Remix, a fashion resale company headquartered in Sofia, Bulgaria, which further expands our reach to the European customer. With this acquisition, we added a complementary operational infrastructure and an experienced management team to enable our expansion into Europe.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and Follow-on Public Offering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Historically, we have financed our operations primarily through private sales of equity securities and debt. Our registration statement related to the initial public offering (the “IPO”) was declared effective on March 25, 2021 by the SEC, and our Class A common stock began trading on the Nasdaq Global Select Market (“Nasdaq”) on March 26, 2021. Upon the completion of our IPO, we sold 13.8 million shares of Class A common stock at a price to the public of $14.00 per share. We received aggregate net proceeds of $175.5 million after deducting offering costs, underwriting discounts and commissions of $17.7 million.</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August 2, 2021, we issued and sold an aggregate of two million shares of Class A common stock at a price of $24.25 per share in a registered public offering. The aggregate net proceeds were approximately $45.5 million, after deducting offering costs of $1.1 million and underwriting discounts and commissions of $2.2 million.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 of Remix Global AD</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July 24, 2021, we entered into Share Purchase Agreements (collectively, the “Share Purchase Agreement”), with the shareholders of Remix to purchase 100% of the outstanding equity interests of Remix and its subsidiary (the “Remix Acquisition”). On October 7, 2021, we completed our acquisition of Remix and paid approximately $7.2 million in cash to shareholders of Remix and its subsidiary, and $12.1 million in cash to pay off Remix’s outstanding term loan. Shortly after the completion of Remix Acquisition, we paid on behalf of Remix approximately $6.2 million in cash for its outstanding tax and other liabilities. Subject to customary purchase price adjustments, we will issue 130,597 shares of our Class A common stock 18 months following the completion of the Remix Acquisition to four shareholders of Remix.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Impact</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2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March 2020, we shifted all of our corporate employees and contract engineers to a remote work model and implemented additional measures to better enable remote work. As of December 31, 2021, our remote work model remains largely in place.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Impact</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 twelve months ended December 31, 2021, we saw increased demand, which we believe was partly related to COVID-19 recovery and re-opening efforts such as the vaccine roll out, easing of social distancing restrictions and federal stimulus legislation. We also saw increased operating expenses due to the additional labor costs associated with increased processing to support the demand experienced to date and in anticipation of accelerating demand.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 on Processing at our Distribution Centers</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still face challenges in hiring and retaining employees and have implemented compensation and benefits programs to enhance hiring and retention, which has contributed to higher Cost of Revenue and higher Operations, Product and Technology expenses. These programs are primarily aimed at mitigating the macro trend of increased competition for labor, including seasonal employment opportunities.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been monitoring and continue to monitor the varied impact of COVID-19 on our business and operations. In the twelve months ended December 31, 2021, we saw increased demand from the prior year, which we believe was partly related to COVID-19 recovery and re-opening efforts such as the vaccine roll out, easing of social distancing restrictions and federal stimulus legislation. More broadly however, we expect the evolving COVID-19 pandemic to continue to have an adverse impact on our business, results of operations and financial condition, including our revenue and cash flows, for at least the first part of 2022. For instance, a slowdown or further uncertainty in the United States economy may result in additional changes in buyer and seller behavior, which could cause either a potential reduction in discretionary spending on our marketplace or increased activity on our marketplace as customers look for high-value, lower-priced alternatives. In particular, following the stimulus package in March 2021, we experienced a brief increase in Orders followed by a return to expected Orders activity. Additionally, future developments, such as new information which may emerge concerning COVID-19, the new COVID-19 strains (e.g., delta and omicron variants), and the actions to contain the coronavirus or treat its impact, could have an adverse impact to our business. 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2021 Results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a record at $251.8 million, an increase of 35% year-over-year.</w:t>
      </w:r>
    </w:p>
    <w:p>
      <w:pPr>
        <w:spacing w:after="0" w:line="164"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$178.1 million representing growth of 39% year-over-year. Gross margin expanded by 185</w:t>
      </w:r>
      <w:r>
        <w:rPr>
          <w:rFonts w:ascii="Arial" w:cs="Arial" w:eastAsia="Arial" w:hAnsi="Arial"/>
          <w:sz w:val="18"/>
          <w:szCs w:val="18"/>
          <w:b w:val="1"/>
          <w:bCs w:val="1"/>
          <w:color w:val="auto"/>
        </w:rPr>
        <w:t xml:space="preserve"> </w:t>
      </w:r>
      <w:r>
        <w:rPr>
          <w:rFonts w:ascii="Arial" w:cs="Arial" w:eastAsia="Arial" w:hAnsi="Arial"/>
          <w:sz w:val="18"/>
          <w:szCs w:val="18"/>
          <w:color w:val="auto"/>
        </w:rPr>
        <w:t>basis points to 71% from 69% last year.</w:t>
      </w:r>
    </w:p>
    <w:p>
      <w:pPr>
        <w:spacing w:after="0" w:line="10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GAAP net loss was $63.2 million for the year ended December 31, 2021, representing a 32% increase from the GAAP 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$47.9 million for the year ended December 31, 2020.</w:t>
      </w:r>
    </w:p>
    <w:p>
      <w:pPr>
        <w:spacing w:after="0" w:line="10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loss was $36.5 million, a negative 14% of revenue, compared to Adjusted EBITDA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$33.4 million for the year ended December 31, 2020, a negative 18% of 2020 revenue.</w:t>
      </w:r>
    </w:p>
    <w:p>
      <w:pPr>
        <w:spacing w:after="0" w:line="10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Total 2021 Active Buyers of 1.69 million and Orders of 5.3 million grew 36% and 34%, respectively,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752"/>
              <w:spacing w:after="0"/>
              <w:rPr>
                <w:sz w:val="20"/>
                <w:szCs w:val="20"/>
                <w:color w:val="auto"/>
              </w:rPr>
            </w:pPr>
            <w:r>
              <w:rPr>
                <w:rFonts w:ascii="Arial" w:cs="Arial" w:eastAsia="Arial" w:hAnsi="Arial"/>
                <w:sz w:val="18"/>
                <w:szCs w:val="18"/>
                <w:b w:val="1"/>
                <w:bCs w:val="1"/>
                <w:color w:val="auto"/>
                <w:w w:val="97"/>
              </w:rPr>
              <w:t>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992"/>
              <w:spacing w:after="0"/>
              <w:rPr>
                <w:sz w:val="20"/>
                <w:szCs w:val="20"/>
                <w:color w:val="auto"/>
              </w:rPr>
            </w:pPr>
            <w:r>
              <w:rPr>
                <w:rFonts w:ascii="Arial" w:cs="Arial" w:eastAsia="Arial" w:hAnsi="Arial"/>
                <w:sz w:val="18"/>
                <w:szCs w:val="18"/>
                <w:b w:val="1"/>
                <w:bCs w:val="1"/>
                <w:color w:val="auto"/>
              </w:rPr>
              <w:t>% Change</w:t>
            </w:r>
          </w:p>
        </w:tc>
      </w:tr>
      <w:tr>
        <w:trPr>
          <w:trHeight w:val="219"/>
        </w:trPr>
        <w:tc>
          <w:tcPr>
            <w:tcW w:w="3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2021 vs 2020</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2020 vs 2019</w:t>
            </w:r>
          </w:p>
        </w:tc>
      </w:tr>
      <w:tr>
        <w:trPr>
          <w:trHeight w:val="258"/>
        </w:trPr>
        <w:tc>
          <w:tcPr>
            <w:tcW w:w="3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(in thousands)</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Orders</w:t>
            </w: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(47,877)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33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Adjusted EBITDA loss</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(24,343)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55"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below for a reconciliation of Adjusted EBITDA to net loss.</w:t>
      </w:r>
    </w:p>
    <w:p>
      <w:pPr>
        <w:spacing w:after="0" w:line="135"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Active Buyers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Orders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Orders means the total number of orders placed by buyers across our marketplace, including through our RaaS clients, in a given period, net of cancellations. We expect Orders to increase over time.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Adjusted EBITDA means net loss adjusted to exclude, where applicable in a given period, depreciation and amortization, stock-based compensation expense, acquisition and offering related expenses, interest expense, change in fair value of convertible preferred stock warrant liability, loss on extinguishment of debt, and provision for income taxes. We use Adjusted EBITDA, a Non-GAAP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loss to Adjusted EBITDA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Reconciliation:</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154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40"/>
              <w:spacing w:after="0"/>
              <w:rPr>
                <w:sz w:val="20"/>
                <w:szCs w:val="20"/>
                <w:color w:val="auto"/>
              </w:rPr>
            </w:pPr>
            <w:r>
              <w:rPr>
                <w:rFonts w:ascii="Arial" w:cs="Arial" w:eastAsia="Arial" w:hAnsi="Arial"/>
                <w:sz w:val="18"/>
                <w:szCs w:val="18"/>
                <w:color w:val="auto"/>
              </w:rPr>
              <w:t>Acquisition and offering related expenses</w:t>
            </w:r>
          </w:p>
        </w:tc>
        <w:tc>
          <w:tcPr>
            <w:tcW w:w="1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800" w:type="dxa"/>
            <w:vAlign w:val="bottom"/>
          </w:tcPr>
          <w:p>
            <w:pPr>
              <w:ind w:left="240"/>
              <w:spacing w:after="0" w:line="185" w:lineRule="exact"/>
              <w:rPr>
                <w:sz w:val="20"/>
                <w:szCs w:val="20"/>
                <w:color w:val="auto"/>
              </w:rPr>
            </w:pPr>
            <w:r>
              <w:rPr>
                <w:rFonts w:ascii="Arial" w:cs="Arial" w:eastAsia="Arial" w:hAnsi="Arial"/>
                <w:sz w:val="18"/>
                <w:szCs w:val="18"/>
                <w:color w:val="auto"/>
              </w:rPr>
              <w:t>Change in fair value of convertible preferred</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240"/>
              <w:spacing w:after="0"/>
              <w:rPr>
                <w:sz w:val="20"/>
                <w:szCs w:val="20"/>
                <w:color w:val="auto"/>
              </w:rPr>
            </w:pPr>
            <w:r>
              <w:rPr>
                <w:rFonts w:ascii="Arial" w:cs="Arial" w:eastAsia="Arial" w:hAnsi="Arial"/>
                <w:sz w:val="18"/>
                <w:szCs w:val="18"/>
                <w:color w:val="auto"/>
              </w:rPr>
              <w:t>stock warrant liability</w:t>
            </w:r>
          </w:p>
        </w:tc>
        <w:tc>
          <w:tcPr>
            <w:tcW w:w="1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1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Adjusted EBITDA</w:t>
            </w:r>
          </w:p>
        </w:tc>
        <w:tc>
          <w:tcPr>
            <w:tcW w:w="1540" w:type="dxa"/>
            <w:vAlign w:val="bottom"/>
            <w:tcBorders>
              <w:bottom w:val="single" w:sz="8" w:color="auto"/>
            </w:tcBorders>
            <w:shd w:val="clear" w:color="auto" w:fill="CCEEFF"/>
          </w:tcPr>
          <w:p>
            <w:pPr>
              <w:jc w:val="right"/>
              <w:ind w:right="1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is comprised of consignment revenue and product revenue.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Consignment revenue</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generate consignment revenue from the sale of secondhand women’s and kids’ apparel, shoes and accessories on behalf of sellers. We recognize consignment revenue, net of seller payouts, discounts, incentives and returns. We expect consignment revenue to continue to increase as we increase our Active Buyers and Orders and grow our business.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 revenue</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also generate product revenue from the sale of items that we own, which we refer to as our inventory. While we shifted our business to primarily consignment sales in mid-2019, historically, we purchased most of our inventory from our sellers prior to inclusion on our online marketplace. The sales from our newly acquired European operations are primarily from sale of owned items. We recognize product revenue, net of discounts, incentives and returns. We expect product revenue to increase in absolute dollars and as a percentage of total revenue in the near term as we continue to grow our international business. We expect the percentage share of product revenue to decrease in the long term as we introduce the consignment model to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consignment revenue</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Cost of consignment revenue consists of outbound shipping, outbound labor and packaging costs. We expect cost of consignment revenue to decrease and gross margin to increase as a percentage of total consignment revenue as we continue to scale our business due to our ability to drive leverage in shipping, labor and packaging.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product revenue</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Cost of product revenue mainly consists of inventory cost, inbound shipping related to the sold merchandise, outbound shipping, outbound labor, packaging costs and inventory write-downs. We expect cost of product revenue to increase in absolute dollars and decrease as a percentage of total revenue, leading to an increase in gross margin. We expect further gross margin to increase as we continue to scale our business due to our ability to drive leverage in shipping, labor and packaging.</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Operations, Product and Technology</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Operations, product and technology expenses consist primarily of distribution center operating costs and product and technology expenses. Distribution center operating costs mainly include inbound shipping costs, other than those capitalized in inventory, as well as personnel costs, distribution center rent, maintenance and depreciation of equipment and leasehold improvements.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bring on additional distribution centers and continue investing in automation and other technology improvements to support and drive efficiency in our operations. These expenses may vary from period to period as a percentage of revenue, depending primarily upon when we choose to make more significant investments, including business acquisitions. We expect these expenses to increase in absolute dollars and decrease as a percentage of revenue over the longer term due to better leverage in our operations.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Marketing</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Marketing expense consists primarily of advertising, public relations expenditures and personnel costs for employees engaged in marketing. Marketing costs also include an allocation of corporate facilities and information technology costs such as equipment, depreciation and rent. We expect our marketing expenses to fluctuate as a percentage of revenue as we intend to increase marketing spend to drive the growth of our business.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General and Administrative</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Sales, general and administrative expense consists of personnel costs for employees involved in general corporate functions, including accounting, finance, tax, legal and people services, customer service, and retail stores.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increase in absolute dollars and decrease as a percentage of revenue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2019, we entered into a loan and security agreement with Western Alliance Bank. As of December 31, 2021, we had borrowed $40.0 million under our loan and security agreement, with $36.0 million principal outstanding. For the years ended December 31, 2021, 2020 and 2019, we recorded $2.3 million, $1.3 million and $1.4 million of interest expense,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net</w:t>
      </w:r>
    </w:p>
    <w:p>
      <w:pPr>
        <w:spacing w:after="0" w:line="18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income, net for the year ended December 31, 2021 is primarily comprised of claim proceeds for lost shipments, offset by change in preferred stock warrants. Other income, net for the years ended December 31, 2020 and 2019 was immaterial.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results of operations presented below should be reviewed in conjunction with our consolidated financial statements and notes included elsewhere in this Annual Report on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40" w:type="dxa"/>
            <w:vAlign w:val="bottom"/>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8"/>
        </w:trPr>
        <w:tc>
          <w:tcPr>
            <w:tcW w:w="4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20" w:type="dxa"/>
            <w:vAlign w:val="bottom"/>
          </w:tcPr>
          <w:p>
            <w:pPr>
              <w:spacing w:after="0"/>
              <w:rPr>
                <w:sz w:val="22"/>
                <w:szCs w:val="22"/>
                <w:color w:val="auto"/>
              </w:rPr>
            </w:pPr>
          </w:p>
        </w:tc>
        <w:tc>
          <w:tcPr>
            <w:tcW w:w="3880" w:type="dxa"/>
            <w:vAlign w:val="bottom"/>
            <w:gridSpan w:val="6"/>
          </w:tcPr>
          <w:p>
            <w:pPr>
              <w:jc w:val="right"/>
              <w:ind w:right="192"/>
              <w:spacing w:after="0"/>
              <w:rPr>
                <w:sz w:val="20"/>
                <w:szCs w:val="20"/>
                <w:color w:val="auto"/>
              </w:rPr>
            </w:pPr>
            <w:r>
              <w:rPr>
                <w:rFonts w:ascii="Arial" w:cs="Arial" w:eastAsia="Arial" w:hAnsi="Arial"/>
                <w:sz w:val="18"/>
                <w:szCs w:val="18"/>
                <w:b w:val="1"/>
                <w:bCs w:val="1"/>
                <w:color w:val="auto"/>
              </w:rPr>
              <w:t>(in thousands, except per share data)</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Consignment</w:t>
            </w:r>
          </w:p>
        </w:tc>
        <w:tc>
          <w:tcPr>
            <w:tcW w:w="142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97,763</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66,049</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186,015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163,812</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Consignment</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28,544</w:t>
            </w: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cost of revenue</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51,308</w:t>
            </w:r>
          </w:p>
        </w:tc>
        <w:tc>
          <w:tcPr>
            <w:tcW w:w="0" w:type="dxa"/>
            <w:vAlign w:val="bottom"/>
          </w:tcPr>
          <w:p>
            <w:pPr>
              <w:spacing w:after="0"/>
              <w:rPr>
                <w:sz w:val="1"/>
                <w:szCs w:val="1"/>
                <w:color w:val="auto"/>
              </w:rPr>
            </w:pPr>
          </w:p>
        </w:tc>
      </w:tr>
      <w:tr>
        <w:trPr>
          <w:trHeight w:val="219"/>
        </w:trPr>
        <w:tc>
          <w:tcPr>
            <w:tcW w:w="42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178,132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128,148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112,504</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40"/>
              <w:spacing w:after="0"/>
              <w:rPr>
                <w:sz w:val="20"/>
                <w:szCs w:val="20"/>
                <w:color w:val="auto"/>
              </w:rPr>
            </w:pPr>
            <w:r>
              <w:rPr>
                <w:rFonts w:ascii="Arial" w:cs="Arial" w:eastAsia="Arial" w:hAnsi="Arial"/>
                <w:sz w:val="18"/>
                <w:szCs w:val="18"/>
                <w:color w:val="auto"/>
              </w:rPr>
              <w:t>Operations, product and technology</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101,408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82,078</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44,980</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general and administrative</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28,564</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240,518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149,311</w:t>
            </w:r>
          </w:p>
        </w:tc>
        <w:tc>
          <w:tcPr>
            <w:tcW w:w="0" w:type="dxa"/>
            <w:vAlign w:val="bottom"/>
          </w:tcPr>
          <w:p>
            <w:pPr>
              <w:spacing w:after="0"/>
              <w:rPr>
                <w:sz w:val="1"/>
                <w:szCs w:val="1"/>
                <w:color w:val="auto"/>
              </w:rPr>
            </w:pPr>
          </w:p>
        </w:tc>
      </w:tr>
      <w:tr>
        <w:trPr>
          <w:trHeight w:val="218"/>
        </w:trPr>
        <w:tc>
          <w:tcPr>
            <w:tcW w:w="42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(46,589)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(36,807)</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(38,161)</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rPr>
              <w:t>Net loss per share attributable to common</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40" w:type="dxa"/>
            <w:vAlign w:val="bottom"/>
            <w:vMerge w:val="continue"/>
          </w:tcPr>
          <w:p>
            <w:pPr>
              <w:spacing w:after="0"/>
              <w:rPr>
                <w:sz w:val="11"/>
                <w:szCs w:val="11"/>
                <w:color w:val="auto"/>
              </w:rPr>
            </w:pPr>
          </w:p>
        </w:tc>
        <w:tc>
          <w:tcPr>
            <w:tcW w:w="1420" w:type="dxa"/>
            <w:vAlign w:val="bottom"/>
            <w:vMerge w:val="restart"/>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1"/>
                <w:szCs w:val="11"/>
                <w:color w:val="auto"/>
              </w:rPr>
            </w:pPr>
          </w:p>
        </w:tc>
        <w:tc>
          <w:tcPr>
            <w:tcW w:w="640" w:type="dxa"/>
            <w:vAlign w:val="bottom"/>
            <w:vMerge w:val="restart"/>
          </w:tcPr>
          <w:p>
            <w:pPr>
              <w:jc w:val="right"/>
              <w:ind w:right="432"/>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line="187" w:lineRule="exact"/>
              <w:rPr>
                <w:sz w:val="20"/>
                <w:szCs w:val="20"/>
                <w:color w:val="auto"/>
              </w:rPr>
            </w:pPr>
            <w:r>
              <w:rPr>
                <w:rFonts w:ascii="Arial" w:cs="Arial" w:eastAsia="Arial" w:hAnsi="Arial"/>
                <w:sz w:val="18"/>
                <w:szCs w:val="18"/>
                <w:color w:val="auto"/>
              </w:rPr>
              <w:t>stockholders, basic and diluted</w:t>
            </w: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4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Weighted-average shares used in computing net loss</w:t>
            </w:r>
          </w:p>
        </w:tc>
        <w:tc>
          <w:tcPr>
            <w:tcW w:w="1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9"/>
              </w:rPr>
              <w:t>per share attributable to common stockholders, basic</w:t>
            </w:r>
          </w:p>
        </w:tc>
        <w:tc>
          <w:tcPr>
            <w:tcW w:w="1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06"/>
        </w:trPr>
        <w:tc>
          <w:tcPr>
            <w:tcW w:w="424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and diluted</w:t>
            </w:r>
          </w:p>
        </w:tc>
        <w:tc>
          <w:tcPr>
            <w:tcW w:w="1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760" w:type="dxa"/>
            <w:vAlign w:val="bottom"/>
            <w:gridSpan w:val="3"/>
          </w:tcPr>
          <w:p>
            <w:pPr>
              <w:ind w:left="98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18"/>
                <w:szCs w:val="18"/>
                <w:color w:val="auto"/>
              </w:rPr>
            </w:pPr>
          </w:p>
        </w:tc>
      </w:tr>
      <w:tr>
        <w:trPr>
          <w:trHeight w:val="298"/>
        </w:trPr>
        <w:tc>
          <w:tcPr>
            <w:tcW w:w="460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w:t>
            </w:r>
          </w:p>
        </w:tc>
      </w:tr>
      <w:tr>
        <w:trPr>
          <w:trHeight w:val="245"/>
        </w:trPr>
        <w:tc>
          <w:tcPr>
            <w:tcW w:w="4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6"/>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Consignment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186,114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138,096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48,018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revenue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65,678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47,919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17,759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23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251,792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186,015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65,777</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4600" w:type="dxa"/>
            <w:vAlign w:val="bottom"/>
          </w:tcPr>
          <w:p>
            <w:pPr>
              <w:ind w:left="20"/>
              <w:spacing w:after="0" w:line="183" w:lineRule="exact"/>
              <w:rPr>
                <w:sz w:val="20"/>
                <w:szCs w:val="20"/>
                <w:color w:val="auto"/>
              </w:rPr>
            </w:pPr>
            <w:r>
              <w:rPr>
                <w:rFonts w:ascii="Arial" w:cs="Arial" w:eastAsia="Arial" w:hAnsi="Arial"/>
                <w:sz w:val="16"/>
                <w:szCs w:val="16"/>
                <w:color w:val="auto"/>
              </w:rPr>
              <w:t>Consignment revenue as a % of total revenue</w:t>
            </w:r>
          </w:p>
        </w:tc>
        <w:tc>
          <w:tcPr>
            <w:tcW w:w="3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74 %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74 %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revenue as a % of total 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$65.8 million increase in total revenue represents a 35% increase in total revenue for the year ended December 31, 2021, as compared to the year ended December 31, 2020. This increase was primarily attributable to a 34% increase in Orders and a 1% increase in revenue per Order over the same period. The 34% increase in Orders was primarily driven by growth in Active Buyers of 36% over the same period mainly due to our increased marketing and advertising efforts and our expansion into Europe through the acquisition of Remix.</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1640" w:type="dxa"/>
            <w:vAlign w:val="bottom"/>
            <w:gridSpan w:val="3"/>
          </w:tcPr>
          <w:p>
            <w:pPr>
              <w:ind w:left="880"/>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18"/>
                <w:szCs w:val="18"/>
                <w:color w:val="auto"/>
              </w:rPr>
            </w:pPr>
          </w:p>
        </w:tc>
      </w:tr>
      <w:tr>
        <w:trPr>
          <w:trHeight w:val="245"/>
        </w:trPr>
        <w:tc>
          <w:tcPr>
            <w:tcW w:w="51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w:t>
            </w:r>
          </w:p>
        </w:tc>
      </w:tr>
      <w:tr>
        <w:trPr>
          <w:trHeight w:val="245"/>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consignment revenue</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 revenue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31,804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23,683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73,660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57,867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140" w:type="dxa"/>
            <w:vAlign w:val="bottom"/>
          </w:tcPr>
          <w:p>
            <w:pPr>
              <w:ind w:left="20"/>
              <w:spacing w:after="0" w:line="180" w:lineRule="exact"/>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41"/>
              <w:spacing w:after="0" w:line="180"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line="180" w:lineRule="exact"/>
              <w:rPr>
                <w:sz w:val="20"/>
                <w:szCs w:val="20"/>
                <w:color w:val="auto"/>
              </w:rPr>
            </w:pPr>
            <w:r>
              <w:rPr>
                <w:rFonts w:ascii="Arial" w:cs="Arial" w:eastAsia="Arial" w:hAnsi="Arial"/>
                <w:sz w:val="16"/>
                <w:szCs w:val="16"/>
                <w:color w:val="auto"/>
              </w:rPr>
              <w:t>178,132</w:t>
            </w:r>
          </w:p>
        </w:tc>
        <w:tc>
          <w:tcPr>
            <w:tcW w:w="1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1"/>
              <w:spacing w:after="0" w:line="180" w:lineRule="exact"/>
              <w:rPr>
                <w:sz w:val="20"/>
                <w:szCs w:val="20"/>
                <w:color w:val="auto"/>
              </w:rPr>
            </w:pPr>
            <w:r>
              <w:rPr>
                <w:rFonts w:ascii="Arial" w:cs="Arial" w:eastAsia="Arial" w:hAnsi="Arial"/>
                <w:sz w:val="16"/>
                <w:szCs w:val="16"/>
                <w:color w:val="auto"/>
              </w:rPr>
              <w:t>128,148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00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71 %</w:t>
            </w:r>
          </w:p>
        </w:tc>
        <w:tc>
          <w:tcPr>
            <w:tcW w:w="3980" w:type="dxa"/>
            <w:vAlign w:val="bottom"/>
            <w:shd w:val="clear" w:color="auto" w:fill="CCEEFF"/>
          </w:tcPr>
          <w:p>
            <w:pPr>
              <w:jc w:val="right"/>
              <w:ind w:right="2881"/>
              <w:spacing w:after="0"/>
              <w:rPr>
                <w:sz w:val="20"/>
                <w:szCs w:val="20"/>
                <w:color w:val="auto"/>
              </w:rPr>
            </w:pPr>
            <w:r>
              <w:rPr>
                <w:rFonts w:ascii="Arial" w:cs="Arial" w:eastAsia="Arial" w:hAnsi="Arial"/>
                <w:sz w:val="16"/>
                <w:szCs w:val="16"/>
                <w:color w:val="auto"/>
              </w:rPr>
              <w:t>69 %</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Cost of revenue as a % of total revenue</w:t>
            </w:r>
          </w:p>
        </w:tc>
        <w:tc>
          <w:tcPr>
            <w:tcW w:w="2000" w:type="dxa"/>
            <w:vAlign w:val="bottom"/>
          </w:tcPr>
          <w:p>
            <w:pPr>
              <w:jc w:val="right"/>
              <w:ind w:right="581"/>
              <w:spacing w:after="0"/>
              <w:rPr>
                <w:sz w:val="20"/>
                <w:szCs w:val="20"/>
                <w:color w:val="auto"/>
              </w:rPr>
            </w:pPr>
            <w:r>
              <w:rPr>
                <w:rFonts w:ascii="Arial" w:cs="Arial" w:eastAsia="Arial" w:hAnsi="Arial"/>
                <w:sz w:val="16"/>
                <w:szCs w:val="16"/>
                <w:color w:val="auto"/>
              </w:rPr>
              <w:t>29 %</w:t>
            </w:r>
          </w:p>
        </w:tc>
        <w:tc>
          <w:tcPr>
            <w:tcW w:w="3980" w:type="dxa"/>
            <w:vAlign w:val="bottom"/>
          </w:tcPr>
          <w:p>
            <w:pPr>
              <w:jc w:val="right"/>
              <w:ind w:right="2881"/>
              <w:spacing w:after="0"/>
              <w:rPr>
                <w:sz w:val="20"/>
                <w:szCs w:val="20"/>
                <w:color w:val="auto"/>
              </w:rPr>
            </w:pPr>
            <w:r>
              <w:rPr>
                <w:rFonts w:ascii="Arial" w:cs="Arial" w:eastAsia="Arial" w:hAnsi="Arial"/>
                <w:sz w:val="16"/>
                <w:szCs w:val="16"/>
                <w:color w:val="auto"/>
              </w:rPr>
              <w:t>31 %</w:t>
            </w: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consignment revenue as a % of total cost of revenue</w:t>
            </w:r>
          </w:p>
        </w:tc>
        <w:tc>
          <w:tcPr>
            <w:tcW w:w="200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57 %</w:t>
            </w:r>
          </w:p>
        </w:tc>
        <w:tc>
          <w:tcPr>
            <w:tcW w:w="3980" w:type="dxa"/>
            <w:vAlign w:val="bottom"/>
            <w:shd w:val="clear" w:color="auto" w:fill="CCEEFF"/>
          </w:tcPr>
          <w:p>
            <w:pPr>
              <w:jc w:val="right"/>
              <w:ind w:right="2881"/>
              <w:spacing w:after="0"/>
              <w:rPr>
                <w:sz w:val="20"/>
                <w:szCs w:val="20"/>
                <w:color w:val="auto"/>
              </w:rPr>
            </w:pPr>
            <w:r>
              <w:rPr>
                <w:rFonts w:ascii="Arial" w:cs="Arial" w:eastAsia="Arial" w:hAnsi="Arial"/>
                <w:sz w:val="16"/>
                <w:szCs w:val="16"/>
                <w:color w:val="auto"/>
              </w:rPr>
              <w:t>59 %</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Cost of product revenue as a % of total cost of revenue</w:t>
            </w:r>
          </w:p>
        </w:tc>
        <w:tc>
          <w:tcPr>
            <w:tcW w:w="2000" w:type="dxa"/>
            <w:vAlign w:val="bottom"/>
          </w:tcPr>
          <w:p>
            <w:pPr>
              <w:jc w:val="right"/>
              <w:ind w:right="581"/>
              <w:spacing w:after="0"/>
              <w:rPr>
                <w:sz w:val="20"/>
                <w:szCs w:val="20"/>
                <w:color w:val="auto"/>
              </w:rPr>
            </w:pPr>
            <w:r>
              <w:rPr>
                <w:rFonts w:ascii="Arial" w:cs="Arial" w:eastAsia="Arial" w:hAnsi="Arial"/>
                <w:sz w:val="16"/>
                <w:szCs w:val="16"/>
                <w:color w:val="auto"/>
              </w:rPr>
              <w:t>43 %</w:t>
            </w:r>
          </w:p>
        </w:tc>
        <w:tc>
          <w:tcPr>
            <w:tcW w:w="3980" w:type="dxa"/>
            <w:vAlign w:val="bottom"/>
          </w:tcPr>
          <w:p>
            <w:pPr>
              <w:jc w:val="right"/>
              <w:ind w:right="2881"/>
              <w:spacing w:after="0"/>
              <w:rPr>
                <w:sz w:val="20"/>
                <w:szCs w:val="20"/>
                <w:color w:val="auto"/>
              </w:rPr>
            </w:pPr>
            <w:r>
              <w:rPr>
                <w:rFonts w:ascii="Arial" w:cs="Arial" w:eastAsia="Arial" w:hAnsi="Arial"/>
                <w:sz w:val="16"/>
                <w:szCs w:val="16"/>
                <w:color w:val="auto"/>
              </w:rPr>
              <w:t>41 %</w:t>
            </w:r>
          </w:p>
        </w:tc>
      </w:tr>
    </w:tbl>
    <w:p>
      <w:pPr>
        <w:spacing w:after="0" w:line="229"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Total cost of revenue as a percentage of total revenue was 29% for the year ended December 31, 2021, a decrease of 200 basis points from 31% for the year ended December 31, 2020. This increase in gross profit margin was primarily attributable to an increase in revenue and efficiencies in our shipping process. However, we do expect cost of revenue to increase in absolute dollars and the resulting gross margin to decrease due to growth in the sales of our European operations, which are primarily product sales.</w:t>
      </w:r>
    </w:p>
    <w:p>
      <w:pPr>
        <w:spacing w:after="0" w:line="2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Consignment sales result in higher gross profit margin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Consignment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86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4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1"/>
                <w:szCs w:val="21"/>
                <w:color w:val="auto"/>
              </w:rPr>
            </w:pPr>
          </w:p>
        </w:tc>
      </w:tr>
      <w:tr>
        <w:trPr>
          <w:trHeight w:val="245"/>
        </w:trPr>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8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consignment revenue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41,856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As a percent of consignment revenue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Consignment gross margin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$7.7 million increase in cost of consignment revenue represents a 22% increase in the cost of consignment revenue for the year ended December 31, 2021 compared to the year ended December 31, 2020.</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increase in cost of consignment revenue for the year ended December 31, 2021 was primarily driven by higher consignment revenue and related costs outlined in the below table. Consignment gross margin increased 300 basis points to 78% for the year ended December 31, 2021. Consignment revenue growth outpaced the increase in outbound shipping and packaging costs due to increased revenue per order and efficiencies in our shipping process.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Change</w:t>
            </w:r>
          </w:p>
        </w:tc>
        <w:tc>
          <w:tcPr>
            <w:tcW w:w="1360" w:type="dxa"/>
            <w:vAlign w:val="bottom"/>
            <w:tcBorders>
              <w:bottom w:val="single" w:sz="8" w:color="auto"/>
            </w:tcBorders>
          </w:tcPr>
          <w:p>
            <w:pPr>
              <w:spacing w:after="0"/>
              <w:rPr>
                <w:sz w:val="18"/>
                <w:szCs w:val="18"/>
                <w:color w:val="auto"/>
              </w:rPr>
            </w:pPr>
          </w:p>
        </w:tc>
      </w:tr>
      <w:tr>
        <w:trPr>
          <w:trHeight w:val="208"/>
        </w:trPr>
        <w:tc>
          <w:tcPr>
            <w:tcW w:w="3380" w:type="dxa"/>
            <w:vAlign w:val="bottom"/>
          </w:tcPr>
          <w:p>
            <w:pPr>
              <w:spacing w:after="0"/>
              <w:rPr>
                <w:sz w:val="18"/>
                <w:szCs w:val="18"/>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w:t>
            </w:r>
          </w:p>
        </w:tc>
      </w:tr>
      <w:tr>
        <w:trPr>
          <w:trHeight w:val="192"/>
        </w:trPr>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Outbound shipping</w:t>
            </w: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30,255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24,593</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5,662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Direct labor</w:t>
            </w:r>
          </w:p>
        </w:tc>
        <w:tc>
          <w:tcPr>
            <w:tcW w:w="12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8,473</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6,962</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1,511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4"/>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Packaging</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614</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370</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244</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consignment revenue</w:t>
            </w: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41,856</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34,184</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7,672</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Product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2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Change</w:t>
            </w:r>
          </w:p>
        </w:tc>
        <w:tc>
          <w:tcPr>
            <w:tcW w:w="1300" w:type="dxa"/>
            <w:vAlign w:val="bottom"/>
            <w:tcBorders>
              <w:bottom w:val="single" w:sz="8" w:color="auto"/>
            </w:tcBorders>
          </w:tcPr>
          <w:p>
            <w:pPr>
              <w:spacing w:after="0"/>
              <w:rPr>
                <w:sz w:val="18"/>
                <w:szCs w:val="18"/>
                <w:color w:val="auto"/>
              </w:rPr>
            </w:pPr>
          </w:p>
        </w:tc>
      </w:tr>
      <w:tr>
        <w:trPr>
          <w:trHeight w:val="208"/>
        </w:trPr>
        <w:tc>
          <w:tcPr>
            <w:tcW w:w="3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b w:val="1"/>
                <w:bCs w:val="1"/>
                <w:color w:val="auto"/>
              </w:rPr>
              <w:t>%</w:t>
            </w:r>
          </w:p>
        </w:tc>
      </w:tr>
      <w:tr>
        <w:trPr>
          <w:trHeight w:val="243"/>
        </w:trPr>
        <w:tc>
          <w:tcPr>
            <w:tcW w:w="3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4"/>
          </w:tcPr>
          <w:p>
            <w:pPr>
              <w:jc w:val="right"/>
              <w:ind w:right="1"/>
              <w:spacing w:after="0"/>
              <w:rPr>
                <w:sz w:val="20"/>
                <w:szCs w:val="20"/>
                <w:color w:val="auto"/>
              </w:rPr>
            </w:pPr>
            <w:r>
              <w:rPr>
                <w:rFonts w:ascii="Arial" w:cs="Arial" w:eastAsia="Arial" w:hAnsi="Arial"/>
                <w:sz w:val="16"/>
                <w:szCs w:val="16"/>
                <w:b w:val="1"/>
                <w:bCs w:val="1"/>
                <w:color w:val="auto"/>
              </w:rPr>
              <w:t>(in thousands, except percentages)</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5"/>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revenue</w:t>
            </w: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31,804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23,683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8,121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As a percent of product revenue</w:t>
            </w: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gross margin</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$8.1 million increase in cost of product revenue represents a 34% increase in the cost of product revenue for the year ended December 31, 2021 compared to the year ended December 31, 2020.</w:t>
      </w:r>
    </w:p>
    <w:p>
      <w:pPr>
        <w:spacing w:after="0" w:line="137"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The increase in cost of product revenue in the year ended December 31, 2021 was primarily driven by higher product revenue and related costs outlined in the below table. Product gross margin increased 100 basis points to 52% for the year ended December 31, 2021. We expect cost of product revenue to increase in absolute dollar value and the resulting gross margin to decrease due to growth in the sales of our European operations, which are primarily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20" w:type="dxa"/>
            <w:vAlign w:val="bottom"/>
          </w:tcPr>
          <w:p>
            <w:pPr>
              <w:spacing w:after="0"/>
              <w:rPr>
                <w:sz w:val="18"/>
                <w:szCs w:val="18"/>
                <w:color w:val="auto"/>
              </w:rPr>
            </w:pPr>
          </w:p>
        </w:tc>
        <w:tc>
          <w:tcPr>
            <w:tcW w:w="33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Change</w:t>
            </w:r>
          </w:p>
        </w:tc>
        <w:tc>
          <w:tcPr>
            <w:tcW w:w="1440" w:type="dxa"/>
            <w:vAlign w:val="bottom"/>
            <w:tcBorders>
              <w:bottom w:val="single" w:sz="8" w:color="auto"/>
            </w:tcBorders>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rPr>
              <w:t>%</w:t>
            </w:r>
          </w:p>
        </w:tc>
      </w:tr>
      <w:tr>
        <w:trPr>
          <w:trHeight w:val="205"/>
        </w:trPr>
        <w:tc>
          <w:tcPr>
            <w:tcW w:w="3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4"/>
          </w:tcPr>
          <w:p>
            <w:pPr>
              <w:jc w:val="right"/>
              <w:ind w:right="1"/>
              <w:spacing w:after="0"/>
              <w:rPr>
                <w:sz w:val="20"/>
                <w:szCs w:val="20"/>
                <w:color w:val="auto"/>
              </w:rPr>
            </w:pPr>
            <w:r>
              <w:rPr>
                <w:rFonts w:ascii="Arial" w:cs="Arial" w:eastAsia="Arial" w:hAnsi="Arial"/>
                <w:sz w:val="16"/>
                <w:szCs w:val="16"/>
                <w:b w:val="1"/>
                <w:bCs w:val="1"/>
                <w:color w:val="auto"/>
              </w:rPr>
              <w:t>(in thousands, except percentages)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costs</w:t>
            </w: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20,707</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Outbound shipping</w:t>
            </w:r>
          </w:p>
        </w:tc>
        <w:tc>
          <w:tcPr>
            <w:tcW w:w="12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8,317</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7,730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labor</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2,113</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Packaging</w:t>
            </w: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667</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product revenue</w:t>
            </w:r>
          </w:p>
        </w:tc>
        <w:tc>
          <w:tcPr>
            <w:tcW w:w="128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31,804</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8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36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8"/>
                <w:szCs w:val="18"/>
                <w:color w:val="auto"/>
              </w:rPr>
            </w:pPr>
          </w:p>
        </w:tc>
      </w:tr>
      <w:tr>
        <w:trPr>
          <w:trHeight w:val="208"/>
        </w:trPr>
        <w:tc>
          <w:tcPr>
            <w:tcW w:w="36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r>
      <w:tr>
        <w:trPr>
          <w:trHeight w:val="282"/>
        </w:trPr>
        <w:tc>
          <w:tcPr>
            <w:tcW w:w="3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6"/>
          </w:tcPr>
          <w:p>
            <w:pPr>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4"/>
                <w:szCs w:val="24"/>
                <w:color w:val="auto"/>
              </w:rPr>
            </w:pPr>
          </w:p>
        </w:tc>
      </w:tr>
      <w:tr>
        <w:trPr>
          <w:trHeight w:val="214"/>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Operations, product and technology</w:t>
            </w: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128,079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101,408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26,671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26</w:t>
            </w:r>
          </w:p>
        </w:tc>
      </w:tr>
      <w:tr>
        <w:trPr>
          <w:trHeight w:val="209"/>
        </w:trPr>
        <w:tc>
          <w:tcPr>
            <w:tcW w:w="3680" w:type="dxa"/>
            <w:vAlign w:val="bottom"/>
          </w:tcPr>
          <w:p>
            <w:pPr>
              <w:ind w:left="340"/>
              <w:spacing w:after="0"/>
              <w:rPr>
                <w:sz w:val="20"/>
                <w:szCs w:val="20"/>
                <w:color w:val="auto"/>
              </w:rPr>
            </w:pPr>
            <w:r>
              <w:rPr>
                <w:rFonts w:ascii="Arial" w:cs="Arial" w:eastAsia="Arial" w:hAnsi="Arial"/>
                <w:sz w:val="16"/>
                <w:szCs w:val="16"/>
                <w:color w:val="auto"/>
              </w:rPr>
              <w:t>Marketing</w:t>
            </w:r>
          </w:p>
        </w:tc>
        <w:tc>
          <w:tcPr>
            <w:tcW w:w="700" w:type="dxa"/>
            <w:vAlign w:val="bottom"/>
          </w:tcPr>
          <w:p>
            <w:pPr>
              <w:spacing w:after="0"/>
              <w:rPr>
                <w:sz w:val="18"/>
                <w:szCs w:val="18"/>
                <w:color w:val="auto"/>
              </w:rPr>
            </w:pPr>
          </w:p>
        </w:tc>
        <w:tc>
          <w:tcPr>
            <w:tcW w:w="1380" w:type="dxa"/>
            <w:vAlign w:val="bottom"/>
          </w:tcPr>
          <w:p>
            <w:pPr>
              <w:jc w:val="right"/>
              <w:ind w:right="441"/>
              <w:spacing w:after="0"/>
              <w:rPr>
                <w:sz w:val="20"/>
                <w:szCs w:val="20"/>
                <w:color w:val="auto"/>
              </w:rPr>
            </w:pPr>
            <w:r>
              <w:rPr>
                <w:rFonts w:ascii="Arial" w:cs="Arial" w:eastAsia="Arial" w:hAnsi="Arial"/>
                <w:sz w:val="16"/>
                <w:szCs w:val="16"/>
                <w:color w:val="auto"/>
              </w:rPr>
              <w:t>63,625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ind w:right="441"/>
              <w:spacing w:after="0"/>
              <w:rPr>
                <w:sz w:val="20"/>
                <w:szCs w:val="20"/>
                <w:color w:val="auto"/>
              </w:rPr>
            </w:pPr>
            <w:r>
              <w:rPr>
                <w:rFonts w:ascii="Arial" w:cs="Arial" w:eastAsia="Arial" w:hAnsi="Arial"/>
                <w:sz w:val="16"/>
                <w:szCs w:val="16"/>
                <w:color w:val="auto"/>
              </w:rPr>
              <w:t>44,765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18,860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6"/>
                <w:szCs w:val="16"/>
                <w:color w:val="auto"/>
              </w:rPr>
              <w:t>42</w:t>
            </w:r>
          </w:p>
        </w:tc>
      </w:tr>
      <w:tr>
        <w:trPr>
          <w:trHeight w:val="212"/>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general and administrative</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48,814</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28,564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20,250</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71</w:t>
            </w:r>
          </w:p>
        </w:tc>
      </w:tr>
      <w:tr>
        <w:trPr>
          <w:trHeight w:val="208"/>
        </w:trPr>
        <w:tc>
          <w:tcPr>
            <w:tcW w:w="3680" w:type="dxa"/>
            <w:vAlign w:val="bottom"/>
          </w:tcPr>
          <w:p>
            <w:pPr>
              <w:ind w:left="340"/>
              <w:spacing w:after="0"/>
              <w:rPr>
                <w:sz w:val="20"/>
                <w:szCs w:val="20"/>
                <w:color w:val="auto"/>
              </w:rPr>
            </w:pPr>
            <w:r>
              <w:rPr>
                <w:rFonts w:ascii="Arial" w:cs="Arial" w:eastAsia="Arial" w:hAnsi="Arial"/>
                <w:sz w:val="16"/>
                <w:szCs w:val="16"/>
                <w:color w:val="auto"/>
              </w:rPr>
              <w:t>Total Total operating expenses</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240,518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174,737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65,781</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38</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3680" w:type="dxa"/>
            <w:vAlign w:val="bottom"/>
            <w:tcBorders>
              <w:top w:val="single" w:sz="8" w:color="CCEEFF"/>
            </w:tcBorders>
            <w:shd w:val="clear" w:color="auto" w:fill="CCEEFF"/>
          </w:tcPr>
          <w:p>
            <w:pPr>
              <w:ind w:left="340"/>
              <w:spacing w:after="0" w:line="168" w:lineRule="exact"/>
              <w:rPr>
                <w:sz w:val="20"/>
                <w:szCs w:val="20"/>
                <w:color w:val="auto"/>
              </w:rPr>
            </w:pPr>
            <w:r>
              <w:rPr>
                <w:rFonts w:ascii="Arial" w:cs="Arial" w:eastAsia="Arial" w:hAnsi="Arial"/>
                <w:sz w:val="16"/>
                <w:szCs w:val="16"/>
                <w:color w:val="auto"/>
              </w:rPr>
              <w:t>Operations, product and technology as a % of</w:t>
            </w:r>
          </w:p>
        </w:tc>
        <w:tc>
          <w:tcPr>
            <w:tcW w:w="1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9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9"/>
        </w:trPr>
        <w:tc>
          <w:tcPr>
            <w:tcW w:w="3680" w:type="dxa"/>
            <w:vAlign w:val="bottom"/>
          </w:tcPr>
          <w:p>
            <w:pPr>
              <w:ind w:left="340"/>
              <w:spacing w:after="0"/>
              <w:rPr>
                <w:sz w:val="20"/>
                <w:szCs w:val="20"/>
                <w:color w:val="auto"/>
              </w:rPr>
            </w:pPr>
            <w:r>
              <w:rPr>
                <w:rFonts w:ascii="Arial" w:cs="Arial" w:eastAsia="Arial" w:hAnsi="Arial"/>
                <w:sz w:val="16"/>
                <w:szCs w:val="16"/>
                <w:color w:val="auto"/>
              </w:rPr>
              <w:t>Marketing as a % of total revenue</w:t>
            </w:r>
          </w:p>
        </w:tc>
        <w:tc>
          <w:tcPr>
            <w:tcW w:w="1740" w:type="dxa"/>
            <w:vAlign w:val="bottom"/>
          </w:tcPr>
          <w:p>
            <w:pPr>
              <w:jc w:val="right"/>
              <w:ind w:right="101"/>
              <w:spacing w:after="0"/>
              <w:rPr>
                <w:sz w:val="20"/>
                <w:szCs w:val="20"/>
                <w:color w:val="auto"/>
              </w:rPr>
            </w:pPr>
            <w:r>
              <w:rPr>
                <w:rFonts w:ascii="Arial" w:cs="Arial" w:eastAsia="Arial" w:hAnsi="Arial"/>
                <w:sz w:val="16"/>
                <w:szCs w:val="16"/>
                <w:color w:val="auto"/>
              </w:rPr>
              <w:t>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tcPr>
          <w:p>
            <w:pPr>
              <w:jc w:val="right"/>
              <w:ind w:right="101"/>
              <w:spacing w:after="0"/>
              <w:rPr>
                <w:sz w:val="20"/>
                <w:szCs w:val="20"/>
                <w:color w:val="auto"/>
              </w:rPr>
            </w:pPr>
            <w:r>
              <w:rPr>
                <w:rFonts w:ascii="Arial" w:cs="Arial" w:eastAsia="Arial" w:hAnsi="Arial"/>
                <w:sz w:val="16"/>
                <w:szCs w:val="16"/>
                <w:color w:val="auto"/>
              </w:rPr>
              <w:t>24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77"/>
        </w:trPr>
        <w:tc>
          <w:tcPr>
            <w:tcW w:w="368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Sales, general and administrative as a % of</w:t>
            </w:r>
          </w:p>
        </w:tc>
        <w:tc>
          <w:tcPr>
            <w:tcW w:w="1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Operating expenses increased $65.8 million, or 38%, for the year ended December 31, 2021 compared to the year ended December 31, 2020. Gross profit increased $50.0 million, or 39%, in the same period.</w:t>
      </w:r>
    </w:p>
    <w:p>
      <w:pPr>
        <w:spacing w:after="0" w:line="150"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Operating expenses increased as we continue to invest in the expansion of distribution center processing capacity, marketing efforts, and infrastructure to support being a public company, and expansion into Europe through the acquisition of Remix.</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Operations, Product and Technology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6"/>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costs</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82,896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60,799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Arial" w:cs="Arial" w:eastAsia="Arial" w:hAnsi="Arial"/>
                <w:sz w:val="16"/>
                <w:szCs w:val="16"/>
                <w:color w:val="auto"/>
              </w:rPr>
              <w:t>Facilities and other allocated costs</w:t>
            </w:r>
          </w:p>
        </w:tc>
        <w:tc>
          <w:tcPr>
            <w:tcW w:w="36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26,088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23,335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Inbound shipping</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15,782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1,088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1,492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operations, product and technology expenses</w:t>
            </w: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128,079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101,408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26,671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Operations, product and technology as % of total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51 %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55 %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Personnel-related costs were $82.9 million for the year ended December 31, 2021, which increased by 36% from $60.8 million for the year ended December 31, 2020 due to a 35% increase in the average headcount for operations, research and development, including growth in headcount from the acquisition of Remix. There was an increase in compensation cost at distribution centers primarily to attract and retain processing center staff in order to support our distribution center operations growth.</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Facilities and other allocated costs were $26.1 million for the year ended December 31, 2021, which increased by 12% from $23.3 million for the year ended December 31, 2020. The increase was primarily due to the addition of our new Georgia distribution center in June 2020.</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Inbound shipping costs were $18.0 million for the year ended December 31, 2021, which increased by 14% from $15.8 million for the year ended December 31, 2020. The increase was primarily due to growth in items per bag and higher shipping rates. We lifted restrictions on the ability of sellers to order Clean Out Kits at the end of February 2021, resulting in more Clean Out Kits being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282"/>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6"/>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advertising costs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8"/>
                <w:szCs w:val="18"/>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Personnel-related costs</w:t>
            </w:r>
          </w:p>
        </w:tc>
        <w:tc>
          <w:tcPr>
            <w:tcW w:w="36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6,628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4,762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and technology allocated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8"/>
                <w:szCs w:val="18"/>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Professional Services</w:t>
            </w:r>
          </w:p>
        </w:tc>
        <w:tc>
          <w:tcPr>
            <w:tcW w:w="36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415 %</w:t>
            </w:r>
          </w:p>
        </w:tc>
        <w:tc>
          <w:tcPr>
            <w:tcW w:w="100" w:type="dxa"/>
            <w:vAlign w:val="bottom"/>
          </w:tcPr>
          <w:p>
            <w:pPr>
              <w:spacing w:after="0"/>
              <w:rPr>
                <w:sz w:val="18"/>
                <w:szCs w:val="18"/>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6"/>
                <w:szCs w:val="16"/>
                <w:color w:val="auto"/>
              </w:rPr>
              <w:t>Total marketing expense</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63,625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44,765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7"/>
                <w:szCs w:val="17"/>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8"/>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Marketing as % of total 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Marketing costs increased 42% for the year ended December 31, 2021 compared to 39% gross profit growth. Marketing and advertising costs were $54.1 million for the year ended December 31, 2021, which increased by 41% from $38.4 million for the year ended December 31, 2020. This increase was primarily due to higher customer retention and goody box marketing spend as well as higher CPM (cost per thousand impression).</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Personnel-related costs were $6.6 million for the year ended December 31, 2021, which increased by 39% from $4.8 million for the year ended December 31, 2020. The $0.3 million increase was due to non-cash stock-based compensation. Facilities and technology allocated costs were $1.4 million for the year ended December 31, 2021, which increased from $0.9 million for the year ended December 31, 2020. These increases were primarily due to a 19% average headcount increase and higher software, support, computer equipment depreciation and other costs.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costs were $0.8 million for the year ended December 31, 2021, which increased by 415% from $0.2 million for the year ended December 31, 2020. The increase was mainly due to higher spend in consulting services to support marketing initiatives, including our growing RaaS business.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80" w:type="dxa"/>
            <w:vAlign w:val="bottom"/>
            <w:gridSpan w:val="9"/>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costs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4,811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processing fees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3,428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sales, general and administrative costs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Sales, general and administrative as % of total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Sales, general and administrative expense increased 71% for the year ended December 31, 2021, compared to 39% gross profit growth. This increase was mainly the result of investments, primarily in personnel and professional services costs, made towards scaling our business and improving our processes as we became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Personnel-related costs were $23.5 million for the year ended December 31, 2021, which increased from $14.1 million for the year ended December 31, 2020. The increase was primarily due to 35% average headcount increase to support growth in our corporate functions and other costs related to being a public company. In addition, non-cash stock-based compensation increased by $4.8 million for the year ended December 31, 2021.</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costs were $8.3 million for the year ended December 31, 2021, increased 73% from $4.8 million for the year ended December 31, 2020. The increase was mainly due to an increase in accounting, consulting and legal fees of $3.5 million for the year ended December 31, 2021 related to being a public company and the acquisition of Remix.</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Payment processing fees were $8.1 million for the year ended December 31, 2021, which increased 29% from $6.3 million for the year ended December 31, 2020. The increase was mainly due to an increase in overall sales.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Other expenses were $8.9 million for the year ended December 31, 2021, an increase from $3.4 million for the year ended December 31, 2020. This increase was primarily due to a $4.1 million increase in insurance expenses, mainly related to higher insurance premiums associated with our public company status, and a $1.3 million increase in software expenses to support and scale our growing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of December 31, 2021, we had cash, cash equivalents and short-term marketable securities of $205.8 million and an accumulated deficit of $315.3 million. Since our founding, we have generated negative cash flows from operations and have primarily financed our operations through private and public sales of equity securities and debt. Additionally, we currently have a term loan facility with Western Alliance Bank. In March 2021, we completed our IPO for aggregate net proceeds of $175.5 million, net of offering costs, underwriter discounts and commissions of $17.7 million. In August 2021, we completed our follow-on public offering and sold an aggregate of two million shares. The aggregate net proceeds were $45.5 million after deducting $3.3 million of underwriter discounts and commissions and offering costs.</w:t>
      </w:r>
    </w:p>
    <w:p>
      <w:pPr>
        <w:spacing w:after="0" w:line="141"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Our forecast of the period of time through which our financial resources will be adequate to support our operations is a forward-looking statement that involves risks and uncertainties, and actual results could vary materially.</w:t>
      </w:r>
    </w:p>
    <w:p>
      <w:pPr>
        <w:spacing w:after="0" w:line="1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Factors—Risks Relating to Our Business and Industry—We may require additional capital to support business growth, and this capital might not be available or may be available only by diluting existing stockholders.”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Cash Flows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1"/>
        </w:trPr>
        <w:tc>
          <w:tcPr>
            <w:tcW w:w="7840" w:type="dxa"/>
            <w:vAlign w:val="bottom"/>
          </w:tcPr>
          <w:p>
            <w:pPr>
              <w:ind w:left="320"/>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1"/>
        </w:trPr>
        <w:tc>
          <w:tcPr>
            <w:tcW w:w="7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Year ended December 31,</w:t>
            </w:r>
          </w:p>
        </w:tc>
      </w:tr>
      <w:tr>
        <w:trPr>
          <w:trHeight w:val="219"/>
        </w:trPr>
        <w:tc>
          <w:tcPr>
            <w:tcW w:w="7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r>
      <w:tr>
        <w:trPr>
          <w:trHeight w:val="298"/>
        </w:trPr>
        <w:tc>
          <w:tcPr>
            <w:tcW w:w="7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24"/>
                <w:szCs w:val="24"/>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78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(35,019)</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(19,105)</w:t>
            </w:r>
          </w:p>
        </w:tc>
      </w:tr>
      <w:tr>
        <w:trPr>
          <w:trHeight w:val="226"/>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(169,576)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(19,424)</w:t>
            </w:r>
          </w:p>
        </w:tc>
      </w:tr>
      <w:tr>
        <w:trPr>
          <w:trHeight w:val="225"/>
        </w:trPr>
        <w:tc>
          <w:tcPr>
            <w:tcW w:w="78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228,960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18,215</w:t>
            </w:r>
          </w:p>
        </w:tc>
      </w:tr>
      <w:tr>
        <w:trPr>
          <w:trHeight w:val="225"/>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(20,314)</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Operating Activities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the year ended December 31, 2021, net cash used in operating activities was $35.0 million, which consisted of a net loss of $63.2 million, partially offset by non-cash charges of $28.4 million. Operating cash flows from operating assets and liabilities was immaterial with increases in receivables, inventory and other assets, offset by increases in payables, seller payables and other liabilities.</w:t>
      </w:r>
    </w:p>
    <w:p>
      <w:pPr>
        <w:spacing w:after="0" w:line="23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year ended December 31, 2020, net cash used in operating activities was $19.1 million, which consisted of a net loss of $47.9 million, partially offset by non-cash adjustment of $17.5 million and a net change of $11.3 million in our operating assets and liabilities.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Investing Activities</w:t>
      </w:r>
    </w:p>
    <w:p>
      <w:pPr>
        <w:spacing w:after="0" w:line="186"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For the year ended December 31, 2021, net cash used in investing activities was $169.6 million, which was driven by $125.2 million in purchases of marketable securities, $23.6 million for the acquisition of Remix net of Remix cash acquired, $19.8 million of capital expenditures primarily for our distribution centers and a $3.8 million equity investment, partially offset by $2.8 million maturities of marketable securities.</w:t>
      </w:r>
    </w:p>
    <w:p>
      <w:pPr>
        <w:spacing w:after="0" w:line="1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year ended December 31, 2020, net cash used in investing activities was $19.4 million, which consisted of capital expenditures primarily for our distribution centers.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Financing Activities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year ended December 31, 2021, net cash provided by financing activities was $229.0 million, which consisted of $226.9 million in net proceeds from equity offerings, $5.2 million in proceeds from exercise of common stock options and withholding taxes for the net share settlement of restricted stock units, $4.6 million in proceeds from debt issuance, and $1.0 million in proceeds from employee purchases of common stock under the ESPP. These proceeds were partially offset by $4.7 million in payment of costs for equity offerings, and $4.0 million in repayment of debt.</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year ended December 31, 2020, net cash provided by financing activities was $18.2 million, which consisted primarily of debt financing proceeds of $18.4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purchase obligations consist of agreements to purchase goods and services entered into in the ordinary course of business. As of December 31, 2021, the value of our non-cancellable unconditional purchase obligations was $17.0 million. See Note 12 of our Notes to Consolidated Financial Statements for additional information regarding our purchase obligations.</w:t>
      </w:r>
    </w:p>
    <w:p>
      <w:pPr>
        <w:spacing w:after="0" w:line="2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lease office spaces and distribution centers under non-cancellable operating lease arrangements that expire at various dates through 2032. As of December 31, 2021, the value of our obligations under operating leases was $60.9 million. See Note 8 of our Notes to Consolidated Financial Statements for additional information regarding our lease obligations.</w:t>
      </w:r>
    </w:p>
    <w:p>
      <w:pPr>
        <w:spacing w:after="0" w:line="23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 loan and security agreement with Western Alliance Bank (“Bank”). As of December 31, 2021, we had borrowed $40.0 million under our loan and security agreement, with $36.0 million principal outstanding as of such date, which mature at various dates through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9 of our Notes to Consolidated Financial Statements for additional information regarding our debt obligations</w:t>
      </w:r>
      <w:r>
        <w:rPr>
          <w:rFonts w:ascii="Arial" w:cs="Arial" w:eastAsia="Arial" w:hAnsi="Arial"/>
          <w:sz w:val="21"/>
          <w:szCs w:val="21"/>
          <w:color w:val="auto"/>
        </w:rPr>
        <w: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judgments and estimates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generate revenue primarily from the sale of secondhand women’s and kids’ apparel, shoes and accessories on behalf of sellers.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generate revenue from the sale of our purchased inventory which we refer to as product revenue. We sell our purchased inventory mainly through our online marketplace. We recognize product revenue on a gross basis. Online sales and sales to our retail partners are recognized upon shipment of the purchased secondhand items to the buyer. Sales at retail stores are recognized upon checkout and sales of accepted items from goody boxes are recognized upon acceptance, which generally occurs at the same time as payment.</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Both consignment and product revenue are recognized net of discounts, incentives and returns. Sales tax assessed by governmental authorities is excluded from revenue.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estimate the fair value of stock options and the ESPP at the grant date using the Black-Scholes option-pricing model (the “Black-Scholes Model”). The fair values of Restricted Stock Units (“RSU”) are determined based on our stock price on the date of grant. The fair values of equity awards are recognized as compensation expense over the requisite service period or over the period in which the related services are received (generally the vesting period), using the straight-line method. The estimated fair value of equity awards that contain performance conditions is expensed over the term of the award once we have determined that it is probable that performance conditions will be satisfied. We account for forfeitures as they occur.</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per share fair value of the underlying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expected term, risk-free interest rate, expected annual dividend yield and expected stock price volatility over the expected term. For all stock options granted to date, we calculated the expected term using the simplified method (based on the mid-point between the vesting date and the end of the contractual term). We determine volatility using the historical volatility of the stock price of similar publicly traded peer companies. The risk-free interest rate is based on the yield available on United States Treasury zero-coupon issues similar in duration to the expected term of the equity-settled award.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significant estimates and assumptions, especially with respect to intangible assets. Our estimates of fair value are based upon assumptions believed to be reasonable, but which are inherently uncertain and unpredictable and, as a result, actual results may differ from estimates. Once the purchase accounting is finalized, any subsequent adjustments are reflected in the consolidated statements of operations. Acquisition costs, such as legal and consulting fees, are expensed as incurred.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When we acquire a business, a portion of the purchase price is typically allocated to identifiable intangible assets, such as trademarks, acquired technology and customer relationships. Fair value of these assets is determined primarily using the income approach, which requires us to project future cash flows and apply an appropriate discount rate. We amortize intangible assets with finite lives over their expected useful lives. Our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our results of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Goodwill is not subject to amortization but will be reviewed for impairment on an annual basis or more frequently if events or changes in circumstances indicate that the carrying value of goodwill may not be recoverable.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information on recently issued accounting pronouncements, refer to Note 2 to our consolidated financial statements titled “Significant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2021, we had unrestricted cash and cash equivalents of $84.6 million and marketable securities of $121.3 million, consisting primarily of money market funds, corporate debt securities, commercial paper, U.S. treasury securities and U.S. government agency bonds,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to intermediate term nature of our investments, we have not been exposed to, nor do we anticipate being exposed to, material risks due to changes in interest rates. Fluctuations in interest rates have not been significant to date.</w:t>
      </w:r>
    </w:p>
    <w:p>
      <w:pPr>
        <w:spacing w:after="0" w:line="15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Interest rates under our loan and security agreement with Western Alliance Bank are tied to the prime rate with a floor of 5.50% and therefore carry interest rate risk. As of December 31, 2021, we had borrowed $40.0 million under our loan and security agreement, with $36.0 million principal outstanding as of such date, at an interest rate of 5.50%. Fluctuations in interest rates have not been significant to date.</w:t>
      </w:r>
    </w:p>
    <w:p>
      <w:pPr>
        <w:spacing w:after="0" w:line="1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 hypothetical 100 basis point change in interest rates would not have a material impact on our financial condition or results of operations for the periods presented.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December 31, 2021, our most significant currency exposure was Bulgarian lev (BGN). We manage our foreign currency exchange rate risks through natural hedge including foreign currency revenue and costs matching, as well as foreign currency assets offsetting liabilities.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are reflected as a foreign currency translation adjustment of $0.7 million for the year ended December 31, 2021 in accumulated other comprehensive income (loss).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 hypothetical 10 percent change in foreign currency exchange rates is estimated to be under $1.0 million and would not have an impact on our financial condition or results of operations during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consolidated financial statements and supplementary data required by this item are included in Part IV of this Annual Report on Form 10-K and are presented beginning on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design and operation of our disclosure controls and procedures pursuant to Rule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Because of the material weakness in our internal control over financial reporting discussed below, our Chief Executive Officer and Chief Financial Officer concluded that, as of December 31, 2021,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the audit of our consolidated financial statements for the fiscal year ended December 31, 2021, and as previously disclosed in the Prospectus, in connection with the audit of our consolidated financial statements for the fiscal years ended December 31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material weakness related to the following control deficiencies:</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annual close processes. We will not be able to fully remediate these control deficiencies until these steps have been completed and the controls have been operating effectively for a sufficient period of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6"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described above, there was no change in our internal control over financial reporting (as such term is defined in Rule 13a-15(f) under the Exchange Act) during our most recent fiscal quarter that has materially affected, or is reasonably likely to materially affect, our internal control over financial reporting. We have not experienced any material impact to our internal controls over financial reporting despite our employees working remotely due to the COVID-19 pandemic. We are continually monitoring and assessing the COVID-19 situation on our internal controls to minimize the impact on their design and operating effectiveness.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board of directors has adopted a code of conduct that applies to all of our employees, officers and directors. The full text of our code of conduct is available on our investor relations website at ir.thredup.com under the “Corporate Governance” section. We intend to satisfy the disclosure requirement under Item 5.05 of Form 8-K regarding amendments to, or waiver from, a provision of our code of conduct by posting such information on the website address and location specified above.</w:t>
      </w:r>
    </w:p>
    <w:p>
      <w:pPr>
        <w:spacing w:after="0" w:line="15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remaining information required by this item is incorporated by reference to the definitive proxy statement for our 2022 Annual Meeting of Stockholders to be filed with the SEC within 120 days after the end of our fiscal year ended December 31, 2021 (the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64" w:lineRule="exact"/>
        <w:rPr>
          <w:sz w:val="20"/>
          <w:szCs w:val="20"/>
          <w:color w:val="auto"/>
        </w:rPr>
      </w:pPr>
    </w:p>
    <w:p>
      <w:pPr>
        <w:ind w:left="320" w:right="3640" w:firstLine="4"/>
        <w:spacing w:after="0" w:line="430" w:lineRule="auto"/>
        <w:tabs>
          <w:tab w:leader="none" w:pos="58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a part of this Annual Report on Form 10-K: 1. Financial Statements.</w:t>
      </w:r>
    </w:p>
    <w:p>
      <w:pPr>
        <w:ind w:left="640" w:firstLine="2"/>
        <w:spacing w:after="0" w:line="276" w:lineRule="auto"/>
        <w:tabs>
          <w:tab w:leader="none" w:pos="1271"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Our consolidated financial statements are listed in the “Index to Consolidated Financial Statements” on page F-</w:t>
      </w:r>
      <w:hyperlink w:anchor="page81">
        <w:r>
          <w:rPr>
            <w:rFonts w:ascii="Arial" w:cs="Arial" w:eastAsia="Arial" w:hAnsi="Arial"/>
            <w:sz w:val="18"/>
            <w:szCs w:val="18"/>
            <w:b w:val="1"/>
            <w:bCs w:val="1"/>
            <w:u w:val="single" w:color="auto"/>
            <w:color w:val="0000FF"/>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Annual Report on Form 10-K.</w:t>
      </w:r>
    </w:p>
    <w:p>
      <w:pPr>
        <w:spacing w:after="0" w:line="106" w:lineRule="exact"/>
        <w:rPr>
          <w:rFonts w:ascii="Arial" w:cs="Arial" w:eastAsia="Arial" w:hAnsi="Arial"/>
          <w:sz w:val="18"/>
          <w:szCs w:val="18"/>
          <w:b w:val="1"/>
          <w:bCs w:val="1"/>
          <w:color w:val="auto"/>
        </w:rPr>
      </w:pPr>
    </w:p>
    <w:p>
      <w:pPr>
        <w:ind w:left="520" w:hanging="196"/>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64" w:lineRule="exact"/>
        <w:rPr>
          <w:rFonts w:ascii="Arial" w:cs="Arial" w:eastAsia="Arial" w:hAnsi="Arial"/>
          <w:sz w:val="18"/>
          <w:szCs w:val="18"/>
          <w:b w:val="1"/>
          <w:bCs w:val="1"/>
          <w:color w:val="auto"/>
        </w:rPr>
      </w:pPr>
    </w:p>
    <w:p>
      <w:pPr>
        <w:ind w:left="640" w:right="20" w:firstLine="2"/>
        <w:spacing w:after="0" w:line="261" w:lineRule="auto"/>
        <w:tabs>
          <w:tab w:leader="none" w:pos="1271"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All financial statement schedules not listed above have been omitted because the information required by the schedule is not applicable, not required, or the information required is included in the consolidated financial statements or the notes thereto.</w:t>
      </w:r>
    </w:p>
    <w:p>
      <w:pPr>
        <w:spacing w:after="0" w:line="119" w:lineRule="exact"/>
        <w:rPr>
          <w:rFonts w:ascii="Arial" w:cs="Arial" w:eastAsia="Arial" w:hAnsi="Arial"/>
          <w:sz w:val="18"/>
          <w:szCs w:val="18"/>
          <w:b w:val="1"/>
          <w:bCs w:val="1"/>
          <w:color w:val="auto"/>
        </w:rPr>
      </w:pPr>
    </w:p>
    <w:p>
      <w:pPr>
        <w:ind w:left="520" w:hanging="196"/>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rFonts w:ascii="Arial" w:cs="Arial" w:eastAsia="Arial" w:hAnsi="Arial"/>
          <w:sz w:val="18"/>
          <w:szCs w:val="18"/>
          <w:b w:val="1"/>
          <w:bCs w:val="1"/>
          <w:color w:val="auto"/>
        </w:rPr>
      </w:pPr>
    </w:p>
    <w:p>
      <w:pPr>
        <w:ind w:left="640" w:firstLine="2"/>
        <w:spacing w:after="0" w:line="276" w:lineRule="auto"/>
        <w:tabs>
          <w:tab w:leader="none" w:pos="1271"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documents listed in the Exhibit Index of this Annual Report on Form 10-K are incorporated by reference or filed with this Form 10-K, as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536" w:right="61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2"/>
        </w:trPr>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gridSpan w:val="28"/>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Certificate of Incorporation of the</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86">
              <w:r>
                <w:rPr>
                  <w:rFonts w:ascii="Arial" w:cs="Arial" w:eastAsia="Arial" w:hAnsi="Arial"/>
                  <w:sz w:val="17"/>
                  <w:szCs w:val="17"/>
                  <w:color w:val="0000FF"/>
                </w:rPr>
                <w:t>Registrant</w:t>
              </w:r>
              <w:r>
                <w:rPr>
                  <w:rFonts w:ascii="Arial" w:cs="Arial" w:eastAsia="Arial" w:hAnsi="Arial"/>
                  <w:sz w:val="17"/>
                  <w:szCs w:val="17"/>
                  <w:color w:val="000000"/>
                </w:rPr>
                <w:t>.</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87">
              <w:r>
                <w:rPr>
                  <w:rFonts w:ascii="Arial" w:cs="Arial" w:eastAsia="Arial" w:hAnsi="Arial"/>
                  <w:sz w:val="18"/>
                  <w:szCs w:val="18"/>
                  <w:color w:val="0000FF"/>
                </w:rPr>
                <w:t>Amended and Restated Bylaws of the Registrant.</w:t>
              </w:r>
            </w:hyperlink>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top w:val="single" w:sz="8" w:color="0000FF"/>
            </w:tcBorders>
            <w:gridSpan w:val="18"/>
          </w:tcPr>
          <w:p>
            <w:pPr>
              <w:spacing w:after="0" w:line="205"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Form of Class A common stock certificate of the</w:t>
              </w:r>
            </w:hyperlink>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88">
              <w:r>
                <w:rPr>
                  <w:rFonts w:ascii="Arial" w:cs="Arial" w:eastAsia="Arial" w:hAnsi="Arial"/>
                  <w:sz w:val="17"/>
                  <w:szCs w:val="17"/>
                  <w:color w:val="0000FF"/>
                </w:rPr>
                <w:t>Registrant.</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w:anchor="page116">
              <w:r>
                <w:rPr>
                  <w:rFonts w:ascii="Arial" w:cs="Arial" w:eastAsia="Arial" w:hAnsi="Arial"/>
                  <w:sz w:val="18"/>
                  <w:szCs w:val="18"/>
                  <w:color w:val="0000FF"/>
                </w:rPr>
                <w:t>Description of Securities Registered Pursuant to Section</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116">
              <w:r>
                <w:rPr>
                  <w:rFonts w:ascii="Arial" w:cs="Arial" w:eastAsia="Arial" w:hAnsi="Arial"/>
                  <w:sz w:val="17"/>
                  <w:szCs w:val="17"/>
                  <w:color w:val="0000FF"/>
                </w:rPr>
                <w:t>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89">
              <w:r>
                <w:rPr>
                  <w:rFonts w:ascii="Arial" w:cs="Arial" w:eastAsia="Arial" w:hAnsi="Arial"/>
                  <w:sz w:val="18"/>
                  <w:szCs w:val="18"/>
                  <w:color w:val="0000FF"/>
                </w:rPr>
                <w:t>Tenth Amended and Restated Investors’ Rights</w:t>
              </w:r>
            </w:hyperlink>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5"/>
          </w:tcPr>
          <w:p>
            <w:pPr>
              <w:spacing w:after="0" w:line="153" w:lineRule="exact"/>
              <w:rPr>
                <w:rFonts w:ascii="Arial" w:cs="Arial" w:eastAsia="Arial" w:hAnsi="Arial"/>
                <w:sz w:val="17"/>
                <w:szCs w:val="17"/>
                <w:color w:val="0000FF"/>
              </w:rPr>
            </w:pPr>
            <w:hyperlink r:id="rId89">
              <w:r>
                <w:rPr>
                  <w:rFonts w:ascii="Arial" w:cs="Arial" w:eastAsia="Arial" w:hAnsi="Arial"/>
                  <w:sz w:val="17"/>
                  <w:szCs w:val="17"/>
                  <w:color w:val="0000FF"/>
                </w:rPr>
                <w:t>Agreement, dated February 16, 2021, by and</w:t>
              </w:r>
            </w:hyperlink>
          </w:p>
        </w:tc>
        <w:tc>
          <w:tcPr>
            <w:tcW w:w="920" w:type="dxa"/>
            <w:vAlign w:val="bottom"/>
            <w:gridSpan w:val="13"/>
          </w:tcPr>
          <w:p>
            <w:pPr>
              <w:spacing w:after="0" w:line="153" w:lineRule="exact"/>
              <w:rPr>
                <w:rFonts w:ascii="Arial" w:cs="Arial" w:eastAsia="Arial" w:hAnsi="Arial"/>
                <w:sz w:val="17"/>
                <w:szCs w:val="17"/>
                <w:color w:val="0000FF"/>
              </w:rPr>
            </w:pPr>
            <w:hyperlink r:id="rId89">
              <w:r>
                <w:rPr>
                  <w:rFonts w:ascii="Arial" w:cs="Arial" w:eastAsia="Arial" w:hAnsi="Arial"/>
                  <w:sz w:val="17"/>
                  <w:szCs w:val="17"/>
                  <w:color w:val="0000FF"/>
                </w:rPr>
                <w:t>among the</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rPr>
            </w:pPr>
            <w:hyperlink r:id="rId89">
              <w:r>
                <w:rPr>
                  <w:rFonts w:ascii="Arial" w:cs="Arial" w:eastAsia="Arial" w:hAnsi="Arial"/>
                  <w:sz w:val="17"/>
                  <w:szCs w:val="17"/>
                  <w:color w:val="0000FF"/>
                </w:rPr>
                <w:t>Registrant and certain of its stockholders.</w:t>
              </w:r>
            </w:hyperlink>
          </w:p>
        </w:tc>
        <w:tc>
          <w:tcPr>
            <w:tcW w:w="1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90">
              <w:r>
                <w:rPr>
                  <w:rFonts w:ascii="Arial" w:cs="Arial" w:eastAsia="Arial" w:hAnsi="Arial"/>
                  <w:sz w:val="18"/>
                  <w:szCs w:val="18"/>
                  <w:color w:val="0000FF"/>
                </w:rPr>
                <w:t>Form of Indemnification Agreement between the</w:t>
              </w:r>
            </w:hyperlink>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90">
              <w:r>
                <w:rPr>
                  <w:rFonts w:ascii="Arial" w:cs="Arial" w:eastAsia="Arial" w:hAnsi="Arial"/>
                  <w:sz w:val="17"/>
                  <w:szCs w:val="17"/>
                  <w:color w:val="0000FF"/>
                </w:rPr>
                <w:t>Registrant and each of its directors and executive</w:t>
              </w:r>
            </w:hyperlink>
          </w:p>
        </w:tc>
        <w:tc>
          <w:tcPr>
            <w:tcW w:w="840" w:type="dxa"/>
            <w:vAlign w:val="bottom"/>
            <w:gridSpan w:val="11"/>
          </w:tcPr>
          <w:p>
            <w:pPr>
              <w:ind w:left="140"/>
              <w:spacing w:after="0" w:line="153" w:lineRule="exact"/>
              <w:rPr>
                <w:rFonts w:ascii="Arial" w:cs="Arial" w:eastAsia="Arial" w:hAnsi="Arial"/>
                <w:sz w:val="17"/>
                <w:szCs w:val="17"/>
                <w:color w:val="0000FF"/>
              </w:rPr>
            </w:pPr>
            <w:hyperlink r:id="rId90">
              <w:r>
                <w:rPr>
                  <w:rFonts w:ascii="Arial" w:cs="Arial" w:eastAsia="Arial" w:hAnsi="Arial"/>
                  <w:sz w:val="17"/>
                  <w:szCs w:val="17"/>
                  <w:color w:val="0000FF"/>
                </w:rPr>
                <w:t>officers.</w:t>
              </w:r>
            </w:hyperlink>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top w:val="single" w:sz="8" w:color="0000FF"/>
            </w:tcBorders>
            <w:gridSpan w:val="27"/>
          </w:tcPr>
          <w:p>
            <w:pPr>
              <w:spacing w:after="0" w:line="205" w:lineRule="exact"/>
              <w:rPr>
                <w:rFonts w:ascii="Arial" w:cs="Arial" w:eastAsia="Arial" w:hAnsi="Arial"/>
                <w:sz w:val="18"/>
                <w:szCs w:val="18"/>
                <w:color w:val="0000FF"/>
              </w:rPr>
            </w:pPr>
            <w:hyperlink r:id="rId91">
              <w:r>
                <w:rPr>
                  <w:rFonts w:ascii="Arial" w:cs="Arial" w:eastAsia="Arial" w:hAnsi="Arial"/>
                  <w:sz w:val="18"/>
                  <w:szCs w:val="18"/>
                  <w:color w:val="0000FF"/>
                </w:rPr>
                <w:t>Second Amended and Restated 2010 Stock Incentive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bottom w:val="single" w:sz="8" w:color="0000FF"/>
            </w:tcBorders>
            <w:gridSpan w:val="25"/>
          </w:tcPr>
          <w:p>
            <w:pPr>
              <w:spacing w:after="0" w:line="152" w:lineRule="exact"/>
              <w:rPr>
                <w:rFonts w:ascii="Arial" w:cs="Arial" w:eastAsia="Arial" w:hAnsi="Arial"/>
                <w:sz w:val="17"/>
                <w:szCs w:val="17"/>
                <w:color w:val="0000FF"/>
              </w:rPr>
            </w:pPr>
            <w:hyperlink r:id="rId91">
              <w:r>
                <w:rPr>
                  <w:rFonts w:ascii="Arial" w:cs="Arial" w:eastAsia="Arial" w:hAnsi="Arial"/>
                  <w:sz w:val="17"/>
                  <w:szCs w:val="17"/>
                  <w:color w:val="0000FF"/>
                </w:rPr>
                <w:t>Plan, as amended, and forms of agreements thereunder.</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92">
              <w:r>
                <w:rPr>
                  <w:rFonts w:ascii="Arial" w:cs="Arial" w:eastAsia="Arial" w:hAnsi="Arial"/>
                  <w:sz w:val="18"/>
                  <w:szCs w:val="18"/>
                  <w:color w:val="0000FF"/>
                </w:rPr>
                <w:t>2021 Stock Option and Incentive Plan and forms of</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92">
              <w:r>
                <w:rPr>
                  <w:rFonts w:ascii="Arial" w:cs="Arial" w:eastAsia="Arial" w:hAnsi="Arial"/>
                  <w:sz w:val="17"/>
                  <w:szCs w:val="17"/>
                  <w:color w:val="0000FF"/>
                </w:rPr>
                <w:t>agreements thereunder.</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9"/>
          </w:tcPr>
          <w:p>
            <w:pPr>
              <w:spacing w:after="0" w:line="205"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2021 Employee Stock Purchase Plan.</w:t>
              </w:r>
            </w:hyperlink>
          </w:p>
        </w:tc>
        <w:tc>
          <w:tcPr>
            <w:tcW w:w="1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3"/>
          </w:tcPr>
          <w:p>
            <w:pPr>
              <w:spacing w:after="0" w:line="205"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Senior Executive Cash Incentive Bonus Plan.</w:t>
              </w:r>
            </w:hyperlink>
          </w:p>
        </w:tc>
        <w:tc>
          <w:tcPr>
            <w:tcW w:w="1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95">
              <w:r>
                <w:rPr>
                  <w:rFonts w:ascii="Arial" w:cs="Arial" w:eastAsia="Arial" w:hAnsi="Arial"/>
                  <w:sz w:val="18"/>
                  <w:szCs w:val="18"/>
                  <w:color w:val="0000FF"/>
                </w:rPr>
                <w:t>Executive Severance Plan.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r:id="rId96">
              <w:r>
                <w:rPr>
                  <w:rFonts w:ascii="Arial" w:cs="Arial" w:eastAsia="Arial" w:hAnsi="Arial"/>
                  <w:sz w:val="18"/>
                  <w:szCs w:val="18"/>
                  <w:color w:val="0000FF"/>
                  <w:w w:val="97"/>
                </w:rPr>
                <w:t>Non-Employee Director Compensation Policy.</w:t>
              </w:r>
            </w:hyperlink>
          </w:p>
        </w:tc>
        <w:tc>
          <w:tcPr>
            <w:tcW w:w="10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w w:val="98"/>
              </w:rPr>
            </w:pPr>
            <w:hyperlink r:id="rId97">
              <w:r>
                <w:rPr>
                  <w:rFonts w:ascii="Arial" w:cs="Arial" w:eastAsia="Arial" w:hAnsi="Arial"/>
                  <w:sz w:val="18"/>
                  <w:szCs w:val="18"/>
                  <w:color w:val="0000FF"/>
                  <w:w w:val="98"/>
                </w:rPr>
                <w:t>Terms and Conditions of the Registrant’s Fiscal Year 2021</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Incentive Compensation Targets.</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98">
              <w:r>
                <w:rPr>
                  <w:rFonts w:ascii="Arial" w:cs="Arial" w:eastAsia="Arial" w:hAnsi="Arial"/>
                  <w:sz w:val="18"/>
                  <w:szCs w:val="18"/>
                  <w:color w:val="0000FF"/>
                </w:rPr>
                <w:t>Offer Letter between the Registrant and Anthony Marino,</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98">
              <w:r>
                <w:rPr>
                  <w:rFonts w:ascii="Arial" w:cs="Arial" w:eastAsia="Arial" w:hAnsi="Arial"/>
                  <w:sz w:val="17"/>
                  <w:szCs w:val="17"/>
                  <w:color w:val="0000FF"/>
                </w:rPr>
                <w:t>dated August 5, 2013.</w:t>
              </w:r>
            </w:hyperlink>
          </w:p>
        </w:tc>
        <w:tc>
          <w:tcPr>
            <w:tcW w:w="2700" w:type="dxa"/>
            <w:vAlign w:val="bottom"/>
            <w:tcBorders>
              <w:top w:val="single" w:sz="8" w:color="0000FF"/>
            </w:tcBorders>
            <w:gridSpan w:val="21"/>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99">
              <w:r>
                <w:rPr>
                  <w:rFonts w:ascii="Arial" w:cs="Arial" w:eastAsia="Arial" w:hAnsi="Arial"/>
                  <w:sz w:val="18"/>
                  <w:szCs w:val="18"/>
                  <w:color w:val="0000FF"/>
                </w:rPr>
                <w:t>Offer Letter between the Registrant and Sean Sobers,</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rPr>
            </w:pPr>
            <w:hyperlink r:id="rId99">
              <w:r>
                <w:rPr>
                  <w:rFonts w:ascii="Arial" w:cs="Arial" w:eastAsia="Arial" w:hAnsi="Arial"/>
                  <w:sz w:val="17"/>
                  <w:szCs w:val="17"/>
                  <w:color w:val="0000FF"/>
                </w:rPr>
                <w:t>dated September 30, 2019.</w:t>
              </w:r>
            </w:hyperlink>
          </w:p>
        </w:tc>
        <w:tc>
          <w:tcPr>
            <w:tcW w:w="206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w:anchor="page123">
              <w:r>
                <w:rPr>
                  <w:rFonts w:ascii="Arial" w:cs="Arial" w:eastAsia="Arial" w:hAnsi="Arial"/>
                  <w:sz w:val="18"/>
                  <w:szCs w:val="18"/>
                  <w:color w:val="0000FF"/>
                </w:rPr>
                <w:t>Offer Letter between the Registrant and Chris Homer,</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w:anchor="page123">
              <w:r>
                <w:rPr>
                  <w:rFonts w:ascii="Arial" w:cs="Arial" w:eastAsia="Arial" w:hAnsi="Arial"/>
                  <w:sz w:val="17"/>
                  <w:szCs w:val="17"/>
                  <w:color w:val="0000FF"/>
                </w:rPr>
                <w:t>dated July 1, 2010.</w:t>
              </w:r>
            </w:hyperlink>
          </w:p>
        </w:tc>
        <w:tc>
          <w:tcPr>
            <w:tcW w:w="100" w:type="dxa"/>
            <w:vAlign w:val="bottom"/>
            <w:gridSpan w:val="2"/>
          </w:tcPr>
          <w:p>
            <w:pPr>
              <w:spacing w:after="0"/>
              <w:rPr>
                <w:sz w:val="13"/>
                <w:szCs w:val="13"/>
                <w:color w:val="auto"/>
              </w:rPr>
            </w:pP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8"/>
          </w:tcPr>
          <w:p>
            <w:pPr>
              <w:spacing w:after="0" w:line="205" w:lineRule="exact"/>
              <w:rPr>
                <w:rFonts w:ascii="Arial" w:cs="Arial" w:eastAsia="Arial" w:hAnsi="Arial"/>
                <w:sz w:val="18"/>
                <w:szCs w:val="18"/>
                <w:color w:val="0000FF"/>
              </w:rPr>
            </w:pPr>
            <w:hyperlink r:id="rId100">
              <w:r>
                <w:rPr>
                  <w:rFonts w:ascii="Arial" w:cs="Arial" w:eastAsia="Arial" w:hAnsi="Arial"/>
                  <w:sz w:val="18"/>
                  <w:szCs w:val="18"/>
                  <w:color w:val="0000FF"/>
                </w:rPr>
                <w:t>Board Member Agreement between the Registrant and</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rPr>
            </w:pPr>
            <w:hyperlink r:id="rId100">
              <w:r>
                <w:rPr>
                  <w:rFonts w:ascii="Arial" w:cs="Arial" w:eastAsia="Arial" w:hAnsi="Arial"/>
                  <w:sz w:val="17"/>
                  <w:szCs w:val="17"/>
                  <w:color w:val="0000FF"/>
                </w:rPr>
                <w:t>Mandy Ginsberg, dated December 3, 2020.</w:t>
              </w:r>
            </w:hyperlink>
          </w:p>
        </w:tc>
        <w:tc>
          <w:tcPr>
            <w:tcW w:w="900" w:type="dxa"/>
            <w:vAlign w:val="bottom"/>
            <w:tcBorders>
              <w:top w:val="single" w:sz="8" w:color="0000FF"/>
            </w:tcBorders>
            <w:gridSpan w:val="10"/>
          </w:tcPr>
          <w:p>
            <w:pPr>
              <w:spacing w:after="0"/>
              <w:rPr>
                <w:sz w:val="13"/>
                <w:szCs w:val="13"/>
                <w:color w:val="auto"/>
              </w:rPr>
            </w:pP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2700" w:type="dxa"/>
            <w:vAlign w:val="bottom"/>
            <w:gridSpan w:val="2"/>
          </w:tcPr>
          <w:p>
            <w:pPr>
              <w:ind w:left="400"/>
              <w:spacing w:after="0"/>
              <w:rPr>
                <w:sz w:val="20"/>
                <w:szCs w:val="20"/>
                <w:color w:val="auto"/>
              </w:rPr>
            </w:pPr>
            <w:r>
              <w:rPr>
                <w:rFonts w:ascii="Arial" w:cs="Arial" w:eastAsia="Arial" w:hAnsi="Arial"/>
                <w:sz w:val="14"/>
                <w:szCs w:val="14"/>
                <w:b w:val="1"/>
                <w:bCs w:val="1"/>
                <w:color w:val="auto"/>
              </w:rPr>
              <w:t>Incorporation by Reference</w:t>
            </w:r>
          </w:p>
        </w:tc>
        <w:tc>
          <w:tcPr>
            <w:tcW w:w="1160" w:type="dxa"/>
            <w:vAlign w:val="bottom"/>
          </w:tcPr>
          <w:p>
            <w:pPr>
              <w:spacing w:after="0"/>
              <w:rPr>
                <w:sz w:val="16"/>
                <w:szCs w:val="16"/>
                <w:color w:val="auto"/>
              </w:rPr>
            </w:pPr>
          </w:p>
        </w:tc>
      </w:tr>
      <w:tr>
        <w:trPr>
          <w:trHeight w:val="188"/>
        </w:trPr>
        <w:tc>
          <w:tcPr>
            <w:tcW w:w="132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jc w:val="center"/>
              <w:ind w:right="54"/>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Filing Date</w:t>
            </w:r>
          </w:p>
        </w:tc>
      </w:tr>
      <w:tr>
        <w:trPr>
          <w:trHeight w:val="222"/>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225"/>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33"/>
              <w:spacing w:after="0"/>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570"/>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7"/>
              </w:rPr>
              <w:t>3/17/2021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7"/>
              </w:rPr>
              <w:t>3/17/2021</w:t>
            </w:r>
          </w:p>
        </w:tc>
      </w:tr>
      <w:tr>
        <w:trPr>
          <w:trHeight w:val="225"/>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225"/>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225"/>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225"/>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r>
        <w:trPr>
          <w:trHeight w:val="398"/>
        </w:trPr>
        <w:tc>
          <w:tcPr>
            <w:tcW w:w="1320" w:type="dxa"/>
            <w:vAlign w:val="bottom"/>
          </w:tcPr>
          <w:p>
            <w:pPr>
              <w:jc w:val="center"/>
              <w:ind w:right="133"/>
              <w:spacing w:after="0"/>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8"/>
        </w:trPr>
        <w:tc>
          <w:tcPr>
            <w:tcW w:w="1320" w:type="dxa"/>
            <w:vAlign w:val="bottom"/>
          </w:tcPr>
          <w:p>
            <w:pPr>
              <w:jc w:val="center"/>
              <w:ind w:right="113"/>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4"/>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160" w:type="dxa"/>
            <w:vAlign w:val="bottom"/>
          </w:tcPr>
          <w:p>
            <w:pPr>
              <w:jc w:val="center"/>
              <w:ind w:left="293"/>
              <w:spacing w:after="0"/>
              <w:rPr>
                <w:sz w:val="20"/>
                <w:szCs w:val="20"/>
                <w:color w:val="auto"/>
              </w:rPr>
            </w:pPr>
            <w:r>
              <w:rPr>
                <w:rFonts w:ascii="Arial" w:cs="Arial" w:eastAsia="Arial" w:hAnsi="Arial"/>
                <w:sz w:val="18"/>
                <w:szCs w:val="18"/>
                <w:color w:val="auto"/>
                <w:w w:val="99"/>
              </w:rPr>
              <w:t>3/3/2021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159385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5520" w:space="160"/>
            <w:col w:w="5220"/>
          </w:cols>
          <w:pgMar w:left="320" w:top="536" w:right="6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4660" w:type="dxa"/>
            <w:vAlign w:val="bottom"/>
            <w:gridSpan w:val="25"/>
          </w:tcPr>
          <w:p>
            <w:pPr>
              <w:spacing w:after="0"/>
              <w:rPr>
                <w:rFonts w:ascii="Arial" w:cs="Arial" w:eastAsia="Arial" w:hAnsi="Arial"/>
                <w:sz w:val="18"/>
                <w:szCs w:val="18"/>
                <w:color w:val="0000FF"/>
              </w:rPr>
            </w:pPr>
            <w:hyperlink r:id="rId102">
              <w:r>
                <w:rPr>
                  <w:rFonts w:ascii="Arial" w:cs="Arial" w:eastAsia="Arial" w:hAnsi="Arial"/>
                  <w:sz w:val="18"/>
                  <w:szCs w:val="18"/>
                  <w:color w:val="0000FF"/>
                </w:rPr>
                <w:t>Board Member Agreement between the Registrant and</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ind w:right="32"/>
              <w:spacing w:after="0"/>
              <w:rPr>
                <w:sz w:val="20"/>
                <w:szCs w:val="20"/>
                <w:color w:val="auto"/>
              </w:rPr>
            </w:pPr>
            <w:r>
              <w:rPr>
                <w:rFonts w:ascii="Arial" w:cs="Arial" w:eastAsia="Arial" w:hAnsi="Arial"/>
                <w:sz w:val="18"/>
                <w:szCs w:val="18"/>
                <w:color w:val="auto"/>
                <w:w w:val="97"/>
              </w:rPr>
              <w:t>333-253834</w:t>
            </w: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180" w:type="dxa"/>
            <w:vAlign w:val="bottom"/>
          </w:tcPr>
          <w:p>
            <w:pPr>
              <w:jc w:val="center"/>
              <w:ind w:left="312"/>
              <w:spacing w:after="0"/>
              <w:rPr>
                <w:sz w:val="20"/>
                <w:szCs w:val="20"/>
                <w:color w:val="auto"/>
              </w:rPr>
            </w:pPr>
            <w:r>
              <w:rPr>
                <w:rFonts w:ascii="Arial" w:cs="Arial" w:eastAsia="Arial" w:hAnsi="Arial"/>
                <w:sz w:val="18"/>
                <w:szCs w:val="18"/>
                <w:color w:val="auto"/>
                <w:w w:val="99"/>
              </w:rPr>
              <w:t>3/3/2021</w:t>
            </w:r>
          </w:p>
        </w:tc>
      </w:tr>
      <w:tr>
        <w:trPr>
          <w:trHeight w:val="152"/>
        </w:trPr>
        <w:tc>
          <w:tcPr>
            <w:tcW w:w="900" w:type="dxa"/>
            <w:vAlign w:val="bottom"/>
          </w:tcPr>
          <w:p>
            <w:pPr>
              <w:spacing w:after="0"/>
              <w:rPr>
                <w:sz w:val="13"/>
                <w:szCs w:val="13"/>
                <w:color w:val="auto"/>
              </w:rPr>
            </w:pPr>
          </w:p>
        </w:tc>
        <w:tc>
          <w:tcPr>
            <w:tcW w:w="428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102">
              <w:r>
                <w:rPr>
                  <w:rFonts w:ascii="Arial" w:cs="Arial" w:eastAsia="Arial" w:hAnsi="Arial"/>
                  <w:sz w:val="17"/>
                  <w:szCs w:val="17"/>
                  <w:color w:val="0000FF"/>
                </w:rPr>
                <w:t>Marcie Vu, dated February 11,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10.14†</w:t>
            </w:r>
          </w:p>
        </w:tc>
        <w:tc>
          <w:tcPr>
            <w:tcW w:w="4660" w:type="dxa"/>
            <w:vAlign w:val="bottom"/>
            <w:gridSpan w:val="25"/>
          </w:tcPr>
          <w:p>
            <w:pPr>
              <w:spacing w:after="0" w:line="205" w:lineRule="exact"/>
              <w:rPr>
                <w:rFonts w:ascii="Arial" w:cs="Arial" w:eastAsia="Arial" w:hAnsi="Arial"/>
                <w:sz w:val="18"/>
                <w:szCs w:val="18"/>
                <w:color w:val="0000FF"/>
              </w:rPr>
            </w:pPr>
            <w:hyperlink r:id="rId103">
              <w:r>
                <w:rPr>
                  <w:rFonts w:ascii="Arial" w:cs="Arial" w:eastAsia="Arial" w:hAnsi="Arial"/>
                  <w:sz w:val="18"/>
                  <w:szCs w:val="18"/>
                  <w:color w:val="0000FF"/>
                </w:rPr>
                <w:t>Amended and Restated Loan and Security Agreement,</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7"/>
              </w:rPr>
              <w:t>S-1/A</w:t>
            </w:r>
          </w:p>
        </w:tc>
        <w:tc>
          <w:tcPr>
            <w:tcW w:w="150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97"/>
              </w:rPr>
              <w:t>333-253834</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10.14</w:t>
            </w:r>
          </w:p>
        </w:tc>
        <w:tc>
          <w:tcPr>
            <w:tcW w:w="1180" w:type="dxa"/>
            <w:vAlign w:val="bottom"/>
          </w:tcPr>
          <w:p>
            <w:pPr>
              <w:jc w:val="center"/>
              <w:ind w:left="312"/>
              <w:spacing w:after="0" w:line="205" w:lineRule="exact"/>
              <w:rPr>
                <w:sz w:val="20"/>
                <w:szCs w:val="20"/>
                <w:color w:val="auto"/>
              </w:rPr>
            </w:pPr>
            <w:r>
              <w:rPr>
                <w:rFonts w:ascii="Arial" w:cs="Arial" w:eastAsia="Arial" w:hAnsi="Arial"/>
                <w:sz w:val="18"/>
                <w:szCs w:val="18"/>
                <w:color w:val="auto"/>
                <w:w w:val="97"/>
              </w:rPr>
              <w:t>3/17/2021</w:t>
            </w:r>
          </w:p>
        </w:tc>
      </w:tr>
      <w:tr>
        <w:trPr>
          <w:trHeight w:val="152"/>
        </w:trPr>
        <w:tc>
          <w:tcPr>
            <w:tcW w:w="9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6"/>
          </w:tcPr>
          <w:p>
            <w:pPr>
              <w:spacing w:after="0" w:line="152" w:lineRule="exact"/>
              <w:rPr>
                <w:rFonts w:ascii="Arial" w:cs="Arial" w:eastAsia="Arial" w:hAnsi="Arial"/>
                <w:sz w:val="17"/>
                <w:szCs w:val="17"/>
                <w:color w:val="0000FF"/>
              </w:rPr>
            </w:pPr>
            <w:hyperlink r:id="rId103">
              <w:r>
                <w:rPr>
                  <w:rFonts w:ascii="Arial" w:cs="Arial" w:eastAsia="Arial" w:hAnsi="Arial"/>
                  <w:sz w:val="17"/>
                  <w:szCs w:val="17"/>
                  <w:color w:val="0000FF"/>
                </w:rPr>
                <w:t>dated February 3, 2021, by and between the Registrant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2160" w:type="dxa"/>
            <w:vAlign w:val="bottom"/>
            <w:tcBorders>
              <w:bottom w:val="single" w:sz="8" w:color="0000FF"/>
            </w:tcBorders>
            <w:gridSpan w:val="4"/>
          </w:tcPr>
          <w:p>
            <w:pPr>
              <w:spacing w:after="0" w:line="152" w:lineRule="exact"/>
              <w:rPr>
                <w:rFonts w:ascii="Arial" w:cs="Arial" w:eastAsia="Arial" w:hAnsi="Arial"/>
                <w:sz w:val="17"/>
                <w:szCs w:val="17"/>
                <w:color w:val="0000FF"/>
              </w:rPr>
            </w:pPr>
            <w:hyperlink r:id="rId103">
              <w:r>
                <w:rPr>
                  <w:rFonts w:ascii="Arial" w:cs="Arial" w:eastAsia="Arial" w:hAnsi="Arial"/>
                  <w:sz w:val="17"/>
                  <w:szCs w:val="17"/>
                  <w:color w:val="0000FF"/>
                </w:rPr>
                <w:t>and Western Alliance Bank.</w:t>
              </w:r>
            </w:hyperlink>
          </w:p>
        </w:tc>
        <w:tc>
          <w:tcPr>
            <w:tcW w:w="21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10.15</w:t>
            </w:r>
          </w:p>
        </w:tc>
        <w:tc>
          <w:tcPr>
            <w:tcW w:w="4660" w:type="dxa"/>
            <w:vAlign w:val="bottom"/>
            <w:gridSpan w:val="25"/>
          </w:tcPr>
          <w:p>
            <w:pPr>
              <w:spacing w:after="0" w:line="205" w:lineRule="exact"/>
              <w:rPr>
                <w:rFonts w:ascii="Arial" w:cs="Arial" w:eastAsia="Arial" w:hAnsi="Arial"/>
                <w:sz w:val="18"/>
                <w:szCs w:val="18"/>
                <w:color w:val="0000FF"/>
              </w:rPr>
            </w:pPr>
            <w:hyperlink r:id="rId104">
              <w:r>
                <w:rPr>
                  <w:rFonts w:ascii="Arial" w:cs="Arial" w:eastAsia="Arial" w:hAnsi="Arial"/>
                  <w:sz w:val="18"/>
                  <w:szCs w:val="18"/>
                  <w:color w:val="0000FF"/>
                </w:rPr>
                <w:t>First Amendment to Amended and Restated Loan and</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9"/>
              </w:rPr>
              <w:t>8-K</w:t>
            </w:r>
          </w:p>
        </w:tc>
        <w:tc>
          <w:tcPr>
            <w:tcW w:w="1500" w:type="dxa"/>
            <w:vAlign w:val="bottom"/>
          </w:tcPr>
          <w:p>
            <w:pPr>
              <w:jc w:val="center"/>
              <w:ind w:right="52"/>
              <w:spacing w:after="0" w:line="205" w:lineRule="exact"/>
              <w:rPr>
                <w:sz w:val="20"/>
                <w:szCs w:val="20"/>
                <w:color w:val="auto"/>
              </w:rPr>
            </w:pPr>
            <w:r>
              <w:rPr>
                <w:rFonts w:ascii="Arial" w:cs="Arial" w:eastAsia="Arial" w:hAnsi="Arial"/>
                <w:sz w:val="18"/>
                <w:szCs w:val="18"/>
                <w:color w:val="auto"/>
                <w:w w:val="97"/>
              </w:rPr>
              <w:t>001-40249</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10.1</w:t>
            </w:r>
          </w:p>
        </w:tc>
        <w:tc>
          <w:tcPr>
            <w:tcW w:w="1180" w:type="dxa"/>
            <w:vAlign w:val="bottom"/>
          </w:tcPr>
          <w:p>
            <w:pPr>
              <w:jc w:val="center"/>
              <w:ind w:left="312"/>
              <w:spacing w:after="0" w:line="205" w:lineRule="exact"/>
              <w:rPr>
                <w:sz w:val="20"/>
                <w:szCs w:val="20"/>
                <w:color w:val="auto"/>
              </w:rPr>
            </w:pPr>
            <w:r>
              <w:rPr>
                <w:rFonts w:ascii="Arial" w:cs="Arial" w:eastAsia="Arial" w:hAnsi="Arial"/>
                <w:sz w:val="18"/>
                <w:szCs w:val="18"/>
                <w:color w:val="auto"/>
                <w:w w:val="97"/>
              </w:rPr>
              <w:t>5/18/2021</w:t>
            </w:r>
          </w:p>
        </w:tc>
      </w:tr>
      <w:tr>
        <w:trPr>
          <w:trHeight w:val="152"/>
        </w:trPr>
        <w:tc>
          <w:tcPr>
            <w:tcW w:w="9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rPr>
            </w:pPr>
            <w:hyperlink r:id="rId104">
              <w:r>
                <w:rPr>
                  <w:rFonts w:ascii="Arial" w:cs="Arial" w:eastAsia="Arial" w:hAnsi="Arial"/>
                  <w:sz w:val="17"/>
                  <w:szCs w:val="17"/>
                  <w:color w:val="0000FF"/>
                </w:rPr>
                <w:t>Security Agreement, dated as of May 14, 2021, by and</w:t>
              </w:r>
            </w:hyperlink>
          </w:p>
        </w:tc>
        <w:tc>
          <w:tcPr>
            <w:tcW w:w="4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1"/>
        </w:trPr>
        <w:tc>
          <w:tcPr>
            <w:tcW w:w="900" w:type="dxa"/>
            <w:vAlign w:val="bottom"/>
          </w:tcPr>
          <w:p>
            <w:pPr>
              <w:spacing w:after="0"/>
              <w:rPr>
                <w:sz w:val="13"/>
                <w:szCs w:val="13"/>
                <w:color w:val="auto"/>
              </w:rPr>
            </w:pPr>
          </w:p>
        </w:tc>
        <w:tc>
          <w:tcPr>
            <w:tcW w:w="4260" w:type="dxa"/>
            <w:vAlign w:val="bottom"/>
            <w:gridSpan w:val="14"/>
          </w:tcPr>
          <w:p>
            <w:pPr>
              <w:spacing w:after="0" w:line="151" w:lineRule="exact"/>
              <w:rPr>
                <w:rFonts w:ascii="Arial" w:cs="Arial" w:eastAsia="Arial" w:hAnsi="Arial"/>
                <w:sz w:val="17"/>
                <w:szCs w:val="17"/>
                <w:color w:val="0000FF"/>
              </w:rPr>
            </w:pPr>
            <w:hyperlink r:id="rId104">
              <w:r>
                <w:rPr>
                  <w:rFonts w:ascii="Arial" w:cs="Arial" w:eastAsia="Arial" w:hAnsi="Arial"/>
                  <w:sz w:val="17"/>
                  <w:szCs w:val="17"/>
                  <w:color w:val="0000FF"/>
                </w:rPr>
                <w:t>among ThredUp Inc., ThredUp CF LLC, ThredUp</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900" w:type="dxa"/>
            <w:vAlign w:val="bottom"/>
          </w:tcPr>
          <w:p>
            <w:pPr>
              <w:spacing w:after="0"/>
              <w:rPr>
                <w:sz w:val="13"/>
                <w:szCs w:val="13"/>
                <w:color w:val="auto"/>
              </w:rPr>
            </w:pPr>
          </w:p>
        </w:tc>
        <w:tc>
          <w:tcPr>
            <w:tcW w:w="3820" w:type="dxa"/>
            <w:vAlign w:val="bottom"/>
            <w:tcBorders>
              <w:top w:val="single" w:sz="8" w:color="0000FF"/>
            </w:tcBorders>
            <w:gridSpan w:val="9"/>
          </w:tcPr>
          <w:p>
            <w:pPr>
              <w:spacing w:after="0" w:line="153" w:lineRule="exact"/>
              <w:rPr>
                <w:rFonts w:ascii="Arial" w:cs="Arial" w:eastAsia="Arial" w:hAnsi="Arial"/>
                <w:sz w:val="17"/>
                <w:szCs w:val="17"/>
                <w:color w:val="0000FF"/>
              </w:rPr>
            </w:pPr>
            <w:hyperlink r:id="rId104">
              <w:r>
                <w:rPr>
                  <w:rFonts w:ascii="Arial" w:cs="Arial" w:eastAsia="Arial" w:hAnsi="Arial"/>
                  <w:sz w:val="17"/>
                  <w:szCs w:val="17"/>
                  <w:color w:val="0000FF"/>
                </w:rPr>
                <w:t>Intermediary Holdings LLC, Knitwit GC LLC, and</w:t>
              </w:r>
            </w:hyperlink>
          </w:p>
        </w:tc>
        <w:tc>
          <w:tcPr>
            <w:tcW w:w="840" w:type="dxa"/>
            <w:vAlign w:val="bottom"/>
            <w:gridSpan w:val="16"/>
          </w:tcPr>
          <w:p>
            <w:pPr>
              <w:spacing w:after="0" w:line="153" w:lineRule="exact"/>
              <w:rPr>
                <w:rFonts w:ascii="Arial" w:cs="Arial" w:eastAsia="Arial" w:hAnsi="Arial"/>
                <w:sz w:val="17"/>
                <w:szCs w:val="17"/>
                <w:color w:val="0000FF"/>
              </w:rPr>
            </w:pPr>
            <w:hyperlink r:id="rId104">
              <w:r>
                <w:rPr>
                  <w:rFonts w:ascii="Arial" w:cs="Arial" w:eastAsia="Arial" w:hAnsi="Arial"/>
                  <w:sz w:val="17"/>
                  <w:szCs w:val="17"/>
                  <w:color w:val="0000FF"/>
                </w:rPr>
                <w:t>Western</w:t>
              </w:r>
            </w:hyperlink>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rPr>
            </w:pPr>
            <w:hyperlink r:id="rId104">
              <w:r>
                <w:rPr>
                  <w:rFonts w:ascii="Arial" w:cs="Arial" w:eastAsia="Arial" w:hAnsi="Arial"/>
                  <w:sz w:val="17"/>
                  <w:szCs w:val="17"/>
                  <w:color w:val="0000FF"/>
                </w:rPr>
                <w:t>Alliance Bank.</w:t>
              </w:r>
            </w:hyperlink>
          </w:p>
        </w:tc>
        <w:tc>
          <w:tcPr>
            <w:tcW w:w="33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10.16</w:t>
            </w:r>
          </w:p>
        </w:tc>
        <w:tc>
          <w:tcPr>
            <w:tcW w:w="4660" w:type="dxa"/>
            <w:vAlign w:val="bottom"/>
            <w:gridSpan w:val="25"/>
          </w:tcPr>
          <w:p>
            <w:pPr>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Second Amendment to Amended and Restated Loan and</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2"/>
        </w:trPr>
        <w:tc>
          <w:tcPr>
            <w:tcW w:w="900" w:type="dxa"/>
            <w:vAlign w:val="bottom"/>
          </w:tcPr>
          <w:p>
            <w:pPr>
              <w:spacing w:after="0"/>
              <w:rPr>
                <w:sz w:val="13"/>
                <w:szCs w:val="13"/>
                <w:color w:val="auto"/>
              </w:rPr>
            </w:pPr>
          </w:p>
        </w:tc>
        <w:tc>
          <w:tcPr>
            <w:tcW w:w="448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w:anchor="page124">
              <w:r>
                <w:rPr>
                  <w:rFonts w:ascii="Arial" w:cs="Arial" w:eastAsia="Arial" w:hAnsi="Arial"/>
                  <w:sz w:val="17"/>
                  <w:szCs w:val="17"/>
                  <w:color w:val="0000FF"/>
                </w:rPr>
                <w:t>Security Agreement, dated as of December 3, 2021, by</w:t>
              </w:r>
            </w:hyperlink>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rPr>
            </w:pPr>
            <w:hyperlink w:anchor="page124">
              <w:r>
                <w:rPr>
                  <w:rFonts w:ascii="Arial" w:cs="Arial" w:eastAsia="Arial" w:hAnsi="Arial"/>
                  <w:sz w:val="17"/>
                  <w:szCs w:val="17"/>
                  <w:color w:val="0000FF"/>
                </w:rPr>
                <w:t>and among ThredUp Inc., ThredUp CF LLC, ThredUp</w:t>
              </w:r>
            </w:hyperlink>
          </w:p>
        </w:tc>
        <w:tc>
          <w:tcPr>
            <w:tcW w:w="14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660" w:type="dxa"/>
            <w:vAlign w:val="bottom"/>
            <w:gridSpan w:val="25"/>
          </w:tcPr>
          <w:p>
            <w:pPr>
              <w:spacing w:after="0" w:line="152" w:lineRule="exact"/>
              <w:rPr>
                <w:rFonts w:ascii="Arial" w:cs="Arial" w:eastAsia="Arial" w:hAnsi="Arial"/>
                <w:sz w:val="17"/>
                <w:szCs w:val="17"/>
                <w:color w:val="0000FF"/>
              </w:rPr>
            </w:pPr>
            <w:hyperlink w:anchor="page124">
              <w:r>
                <w:rPr>
                  <w:rFonts w:ascii="Arial" w:cs="Arial" w:eastAsia="Arial" w:hAnsi="Arial"/>
                  <w:sz w:val="17"/>
                  <w:szCs w:val="17"/>
                  <w:color w:val="0000FF"/>
                </w:rPr>
                <w:t>Intermediary Holdings LLC, Knitwit GC LLC, and Western</w:t>
              </w:r>
            </w:hyperlink>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rPr>
            </w:pPr>
            <w:hyperlink w:anchor="page124">
              <w:r>
                <w:rPr>
                  <w:rFonts w:ascii="Arial" w:cs="Arial" w:eastAsia="Arial" w:hAnsi="Arial"/>
                  <w:sz w:val="17"/>
                  <w:szCs w:val="17"/>
                  <w:color w:val="0000FF"/>
                </w:rPr>
                <w:t>Alliance Bank.</w:t>
              </w:r>
            </w:hyperlink>
          </w:p>
        </w:tc>
        <w:tc>
          <w:tcPr>
            <w:tcW w:w="33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21.1</w:t>
            </w:r>
          </w:p>
        </w:tc>
        <w:tc>
          <w:tcPr>
            <w:tcW w:w="2220" w:type="dxa"/>
            <w:vAlign w:val="bottom"/>
            <w:tcBorders>
              <w:bottom w:val="single" w:sz="8" w:color="0000FF"/>
            </w:tcBorders>
            <w:gridSpan w:val="5"/>
          </w:tcPr>
          <w:p>
            <w:pPr>
              <w:spacing w:after="0" w:line="205" w:lineRule="exact"/>
              <w:rPr>
                <w:rFonts w:ascii="Arial" w:cs="Arial" w:eastAsia="Arial" w:hAnsi="Arial"/>
                <w:sz w:val="18"/>
                <w:szCs w:val="18"/>
                <w:color w:val="0000FF"/>
                <w:w w:val="96"/>
              </w:rPr>
            </w:pPr>
            <w:hyperlink w:anchor="page126">
              <w:r>
                <w:rPr>
                  <w:rFonts w:ascii="Arial" w:cs="Arial" w:eastAsia="Arial" w:hAnsi="Arial"/>
                  <w:sz w:val="18"/>
                  <w:szCs w:val="18"/>
                  <w:color w:val="0000FF"/>
                  <w:w w:val="96"/>
                </w:rPr>
                <w:t>Subsidiaries of ThredUp Inc.</w:t>
              </w:r>
            </w:hyperlink>
          </w:p>
        </w:tc>
        <w:tc>
          <w:tcPr>
            <w:tcW w:w="2440" w:type="dxa"/>
            <w:vAlign w:val="bottom"/>
            <w:gridSpan w:val="20"/>
          </w:tcPr>
          <w:p>
            <w:pPr>
              <w:spacing w:after="0"/>
              <w:rPr>
                <w:sz w:val="17"/>
                <w:szCs w:val="17"/>
                <w:color w:val="auto"/>
              </w:rPr>
            </w:pPr>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23.1</w:t>
            </w:r>
          </w:p>
        </w:tc>
        <w:tc>
          <w:tcPr>
            <w:tcW w:w="4660" w:type="dxa"/>
            <w:vAlign w:val="bottom"/>
            <w:gridSpan w:val="25"/>
          </w:tcPr>
          <w:p>
            <w:pPr>
              <w:spacing w:after="0" w:line="205" w:lineRule="exact"/>
              <w:rPr>
                <w:rFonts w:ascii="Arial" w:cs="Arial" w:eastAsia="Arial" w:hAnsi="Arial"/>
                <w:sz w:val="18"/>
                <w:szCs w:val="18"/>
                <w:color w:val="0000FF"/>
              </w:rPr>
            </w:pPr>
            <w:hyperlink w:anchor="page127">
              <w:r>
                <w:rPr>
                  <w:rFonts w:ascii="Arial" w:cs="Arial" w:eastAsia="Arial" w:hAnsi="Arial"/>
                  <w:sz w:val="18"/>
                  <w:szCs w:val="18"/>
                  <w:color w:val="0000FF"/>
                </w:rPr>
                <w:t>Consent of KPMG LLP, an independent registered public</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2"/>
        </w:trPr>
        <w:tc>
          <w:tcPr>
            <w:tcW w:w="90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w:anchor="page127">
              <w:r>
                <w:rPr>
                  <w:rFonts w:ascii="Arial" w:cs="Arial" w:eastAsia="Arial" w:hAnsi="Arial"/>
                  <w:sz w:val="17"/>
                  <w:szCs w:val="17"/>
                  <w:color w:val="0000FF"/>
                </w:rPr>
                <w:t>accounting firm.</w:t>
              </w:r>
            </w:hyperlink>
          </w:p>
        </w:tc>
        <w:tc>
          <w:tcPr>
            <w:tcW w:w="3180" w:type="dxa"/>
            <w:vAlign w:val="bottom"/>
            <w:tcBorders>
              <w:top w:val="single" w:sz="8" w:color="0000FF"/>
            </w:tcBorders>
            <w:gridSpan w:val="18"/>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24.1</w:t>
            </w:r>
          </w:p>
        </w:tc>
        <w:tc>
          <w:tcPr>
            <w:tcW w:w="3740" w:type="dxa"/>
            <w:vAlign w:val="bottom"/>
            <w:tcBorders>
              <w:bottom w:val="single" w:sz="8" w:color="0000FF"/>
            </w:tcBorders>
            <w:gridSpan w:val="8"/>
          </w:tcPr>
          <w:p>
            <w:pPr>
              <w:spacing w:after="0" w:line="205" w:lineRule="exact"/>
              <w:rPr>
                <w:rFonts w:ascii="Arial" w:cs="Arial" w:eastAsia="Arial" w:hAnsi="Arial"/>
                <w:sz w:val="18"/>
                <w:szCs w:val="18"/>
                <w:color w:val="0000FF"/>
                <w:w w:val="97"/>
              </w:rPr>
            </w:pPr>
            <w:hyperlink w:anchor="page80">
              <w:r>
                <w:rPr>
                  <w:rFonts w:ascii="Arial" w:cs="Arial" w:eastAsia="Arial" w:hAnsi="Arial"/>
                  <w:sz w:val="18"/>
                  <w:szCs w:val="18"/>
                  <w:color w:val="0000FF"/>
                  <w:w w:val="97"/>
                </w:rPr>
                <w:t>Power of Attorney (included on signature page).</w:t>
              </w:r>
            </w:hyperlink>
          </w:p>
        </w:tc>
        <w:tc>
          <w:tcPr>
            <w:tcW w:w="920" w:type="dxa"/>
            <w:vAlign w:val="bottom"/>
            <w:gridSpan w:val="17"/>
          </w:tcPr>
          <w:p>
            <w:pPr>
              <w:spacing w:after="0"/>
              <w:rPr>
                <w:sz w:val="17"/>
                <w:szCs w:val="17"/>
                <w:color w:val="auto"/>
              </w:rPr>
            </w:pPr>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31.1</w:t>
            </w:r>
          </w:p>
        </w:tc>
        <w:tc>
          <w:tcPr>
            <w:tcW w:w="4160" w:type="dxa"/>
            <w:vAlign w:val="bottom"/>
            <w:tcBorders>
              <w:bottom w:val="single" w:sz="8" w:color="0000FF"/>
            </w:tcBorders>
            <w:gridSpan w:val="11"/>
          </w:tcPr>
          <w:p>
            <w:pPr>
              <w:spacing w:after="0" w:line="205" w:lineRule="exact"/>
              <w:rPr>
                <w:rFonts w:ascii="Arial" w:cs="Arial" w:eastAsia="Arial" w:hAnsi="Arial"/>
                <w:sz w:val="18"/>
                <w:szCs w:val="18"/>
                <w:color w:val="0000FF"/>
                <w:w w:val="97"/>
              </w:rPr>
            </w:pPr>
            <w:hyperlink w:anchor="page128">
              <w:r>
                <w:rPr>
                  <w:rFonts w:ascii="Arial" w:cs="Arial" w:eastAsia="Arial" w:hAnsi="Arial"/>
                  <w:sz w:val="18"/>
                  <w:szCs w:val="18"/>
                  <w:color w:val="0000FF"/>
                  <w:w w:val="97"/>
                </w:rPr>
                <w:t>Certification of Principal Executive Officer pursuant to</w:t>
              </w:r>
            </w:hyperlink>
          </w:p>
        </w:tc>
        <w:tc>
          <w:tcPr>
            <w:tcW w:w="500" w:type="dxa"/>
            <w:vAlign w:val="bottom"/>
            <w:gridSpan w:val="14"/>
          </w:tcPr>
          <w:p>
            <w:pPr>
              <w:spacing w:after="0"/>
              <w:rPr>
                <w:sz w:val="17"/>
                <w:szCs w:val="17"/>
                <w:color w:val="auto"/>
              </w:rPr>
            </w:pPr>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2"/>
        </w:trPr>
        <w:tc>
          <w:tcPr>
            <w:tcW w:w="900" w:type="dxa"/>
            <w:vAlign w:val="bottom"/>
          </w:tcPr>
          <w:p>
            <w:pPr>
              <w:spacing w:after="0"/>
              <w:rPr>
                <w:sz w:val="13"/>
                <w:szCs w:val="13"/>
                <w:color w:val="auto"/>
              </w:rPr>
            </w:pPr>
          </w:p>
        </w:tc>
        <w:tc>
          <w:tcPr>
            <w:tcW w:w="4660" w:type="dxa"/>
            <w:vAlign w:val="bottom"/>
            <w:gridSpan w:val="25"/>
          </w:tcPr>
          <w:p>
            <w:pPr>
              <w:spacing w:after="0" w:line="152" w:lineRule="exact"/>
              <w:rPr>
                <w:rFonts w:ascii="Arial" w:cs="Arial" w:eastAsia="Arial" w:hAnsi="Arial"/>
                <w:sz w:val="17"/>
                <w:szCs w:val="17"/>
                <w:color w:val="0000FF"/>
              </w:rPr>
            </w:pPr>
            <w:hyperlink w:anchor="page128">
              <w:r>
                <w:rPr>
                  <w:rFonts w:ascii="Arial" w:cs="Arial" w:eastAsia="Arial" w:hAnsi="Arial"/>
                  <w:sz w:val="17"/>
                  <w:szCs w:val="17"/>
                  <w:color w:val="0000FF"/>
                </w:rPr>
                <w:t>Exchange Act Rules 13a-14(a) and 15d-14(a), as adopted</w:t>
              </w:r>
            </w:hyperlink>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52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w:anchor="page128">
              <w:r>
                <w:rPr>
                  <w:rFonts w:ascii="Arial" w:cs="Arial" w:eastAsia="Arial" w:hAnsi="Arial"/>
                  <w:sz w:val="17"/>
                  <w:szCs w:val="17"/>
                  <w:color w:val="0000FF"/>
                </w:rPr>
                <w:t>pursuant to Section 302 of the Sarbanes-Oxley Act of</w:t>
              </w:r>
            </w:hyperlink>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8"/>
              </w:rPr>
            </w:pPr>
            <w:hyperlink w:anchor="page128">
              <w:r>
                <w:rPr>
                  <w:rFonts w:ascii="Arial" w:cs="Arial" w:eastAsia="Arial" w:hAnsi="Arial"/>
                  <w:sz w:val="17"/>
                  <w:szCs w:val="17"/>
                  <w:color w:val="0000FF"/>
                  <w:w w:val="98"/>
                </w:rPr>
                <w:t>2002.</w:t>
              </w:r>
            </w:hyperlink>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31.2</w:t>
            </w:r>
          </w:p>
        </w:tc>
        <w:tc>
          <w:tcPr>
            <w:tcW w:w="4660" w:type="dxa"/>
            <w:vAlign w:val="bottom"/>
            <w:gridSpan w:val="25"/>
          </w:tcPr>
          <w:p>
            <w:pPr>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Certification of Principal Financial Officer pursuant to</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4660" w:type="dxa"/>
            <w:vAlign w:val="bottom"/>
            <w:gridSpan w:val="25"/>
          </w:tcPr>
          <w:p>
            <w:pPr>
              <w:spacing w:after="0" w:line="152" w:lineRule="exact"/>
              <w:rPr>
                <w:rFonts w:ascii="Arial" w:cs="Arial" w:eastAsia="Arial" w:hAnsi="Arial"/>
                <w:sz w:val="17"/>
                <w:szCs w:val="17"/>
                <w:color w:val="0000FF"/>
              </w:rPr>
            </w:pPr>
            <w:hyperlink w:anchor="page129">
              <w:r>
                <w:rPr>
                  <w:rFonts w:ascii="Arial" w:cs="Arial" w:eastAsia="Arial" w:hAnsi="Arial"/>
                  <w:sz w:val="17"/>
                  <w:szCs w:val="17"/>
                  <w:color w:val="0000FF"/>
                </w:rPr>
                <w:t>Exchange Act Rules 13a-14(a) and 15d-14(a), as adopted</w:t>
              </w:r>
            </w:hyperlink>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52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w:anchor="page129">
              <w:r>
                <w:rPr>
                  <w:rFonts w:ascii="Arial" w:cs="Arial" w:eastAsia="Arial" w:hAnsi="Arial"/>
                  <w:sz w:val="17"/>
                  <w:szCs w:val="17"/>
                  <w:color w:val="0000FF"/>
                </w:rPr>
                <w:t>pursuant to Section 302 of the Sarbanes-Oxley Act of</w:t>
              </w:r>
            </w:hyperlink>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8"/>
              </w:rPr>
            </w:pPr>
            <w:hyperlink w:anchor="page129">
              <w:r>
                <w:rPr>
                  <w:rFonts w:ascii="Arial" w:cs="Arial" w:eastAsia="Arial" w:hAnsi="Arial"/>
                  <w:sz w:val="17"/>
                  <w:szCs w:val="17"/>
                  <w:color w:val="0000FF"/>
                  <w:w w:val="98"/>
                </w:rPr>
                <w:t>2002.</w:t>
              </w:r>
            </w:hyperlink>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4"/>
        </w:trPr>
        <w:tc>
          <w:tcPr>
            <w:tcW w:w="900" w:type="dxa"/>
            <w:vAlign w:val="bottom"/>
          </w:tcPr>
          <w:p>
            <w:pPr>
              <w:spacing w:after="0" w:line="205" w:lineRule="exact"/>
              <w:rPr>
                <w:sz w:val="20"/>
                <w:szCs w:val="20"/>
                <w:color w:val="auto"/>
              </w:rPr>
            </w:pPr>
            <w:r>
              <w:rPr>
                <w:rFonts w:ascii="Arial" w:cs="Arial" w:eastAsia="Arial" w:hAnsi="Arial"/>
                <w:sz w:val="18"/>
                <w:szCs w:val="18"/>
                <w:color w:val="auto"/>
              </w:rPr>
              <w:t>32.1*</w:t>
            </w:r>
          </w:p>
        </w:tc>
        <w:tc>
          <w:tcPr>
            <w:tcW w:w="4660" w:type="dxa"/>
            <w:vAlign w:val="bottom"/>
            <w:gridSpan w:val="25"/>
          </w:tcPr>
          <w:p>
            <w:pPr>
              <w:spacing w:after="0" w:line="205" w:lineRule="exact"/>
              <w:rPr>
                <w:rFonts w:ascii="Arial" w:cs="Arial" w:eastAsia="Arial" w:hAnsi="Arial"/>
                <w:sz w:val="18"/>
                <w:szCs w:val="18"/>
                <w:color w:val="0000FF"/>
              </w:rPr>
            </w:pPr>
            <w:hyperlink w:anchor="page130">
              <w:r>
                <w:rPr>
                  <w:rFonts w:ascii="Arial" w:cs="Arial" w:eastAsia="Arial" w:hAnsi="Arial"/>
                  <w:sz w:val="18"/>
                  <w:szCs w:val="18"/>
                  <w:color w:val="0000FF"/>
                </w:rPr>
                <w:t>Certification of Principal Executive Officer pursuant to 18</w:t>
              </w:r>
            </w:hyperlink>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7"/>
              </w:rPr>
              <w:t>Furnished</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3"/>
        </w:trPr>
        <w:tc>
          <w:tcPr>
            <w:tcW w:w="900" w:type="dxa"/>
            <w:vAlign w:val="bottom"/>
          </w:tcPr>
          <w:p>
            <w:pPr>
              <w:spacing w:after="0"/>
              <w:rPr>
                <w:sz w:val="13"/>
                <w:szCs w:val="13"/>
                <w:color w:val="auto"/>
              </w:rPr>
            </w:pPr>
          </w:p>
        </w:tc>
        <w:tc>
          <w:tcPr>
            <w:tcW w:w="440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w:anchor="page130">
              <w:r>
                <w:rPr>
                  <w:rFonts w:ascii="Arial" w:cs="Arial" w:eastAsia="Arial" w:hAnsi="Arial"/>
                  <w:sz w:val="17"/>
                  <w:szCs w:val="17"/>
                  <w:color w:val="0000FF"/>
                </w:rPr>
                <w:t>U.S.C. Section 1350, as adopted pursuant to Section 906</w:t>
              </w:r>
            </w:hyperlink>
          </w:p>
        </w:tc>
        <w:tc>
          <w:tcPr>
            <w:tcW w:w="260" w:type="dxa"/>
            <w:vAlign w:val="bottom"/>
            <w:gridSpan w:val="5"/>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7"/>
                <w:szCs w:val="17"/>
                <w:color w:val="auto"/>
              </w:rPr>
              <w:t>herewith</w:t>
            </w: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rPr>
            </w:pPr>
            <w:hyperlink w:anchor="page130">
              <w:r>
                <w:rPr>
                  <w:rFonts w:ascii="Arial" w:cs="Arial" w:eastAsia="Arial" w:hAnsi="Arial"/>
                  <w:sz w:val="17"/>
                  <w:szCs w:val="17"/>
                  <w:color w:val="0000FF"/>
                </w:rPr>
                <w:t>of the Sarbanes-Oxley Act of 2002.</w:t>
              </w:r>
            </w:hyperlink>
          </w:p>
        </w:tc>
        <w:tc>
          <w:tcPr>
            <w:tcW w:w="174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4"/>
        </w:trPr>
        <w:tc>
          <w:tcPr>
            <w:tcW w:w="900" w:type="dxa"/>
            <w:vAlign w:val="bottom"/>
          </w:tcPr>
          <w:p>
            <w:pPr>
              <w:spacing w:after="0" w:line="205" w:lineRule="exact"/>
              <w:rPr>
                <w:sz w:val="20"/>
                <w:szCs w:val="20"/>
                <w:color w:val="auto"/>
              </w:rPr>
            </w:pPr>
            <w:r>
              <w:rPr>
                <w:rFonts w:ascii="Arial" w:cs="Arial" w:eastAsia="Arial" w:hAnsi="Arial"/>
                <w:sz w:val="18"/>
                <w:szCs w:val="18"/>
                <w:color w:val="auto"/>
              </w:rPr>
              <w:t>32.2*</w:t>
            </w:r>
          </w:p>
        </w:tc>
        <w:tc>
          <w:tcPr>
            <w:tcW w:w="4360" w:type="dxa"/>
            <w:vAlign w:val="bottom"/>
            <w:tcBorders>
              <w:bottom w:val="single" w:sz="8" w:color="0000FF"/>
            </w:tcBorders>
            <w:gridSpan w:val="19"/>
          </w:tcPr>
          <w:p>
            <w:pPr>
              <w:spacing w:after="0" w:line="205" w:lineRule="exact"/>
              <w:rPr>
                <w:rFonts w:ascii="Arial" w:cs="Arial" w:eastAsia="Arial" w:hAnsi="Arial"/>
                <w:sz w:val="18"/>
                <w:szCs w:val="18"/>
                <w:color w:val="0000FF"/>
                <w:w w:val="97"/>
              </w:rPr>
            </w:pPr>
            <w:hyperlink w:anchor="page131">
              <w:r>
                <w:rPr>
                  <w:rFonts w:ascii="Arial" w:cs="Arial" w:eastAsia="Arial" w:hAnsi="Arial"/>
                  <w:sz w:val="18"/>
                  <w:szCs w:val="18"/>
                  <w:color w:val="0000FF"/>
                  <w:w w:val="97"/>
                </w:rPr>
                <w:t>Certification of Principal Financial Officer pursuant to 18</w:t>
              </w:r>
            </w:hyperlink>
          </w:p>
        </w:tc>
        <w:tc>
          <w:tcPr>
            <w:tcW w:w="300" w:type="dxa"/>
            <w:vAlign w:val="bottom"/>
            <w:gridSpan w:val="6"/>
          </w:tcPr>
          <w:p>
            <w:pPr>
              <w:spacing w:after="0"/>
              <w:rPr>
                <w:sz w:val="17"/>
                <w:szCs w:val="17"/>
                <w:color w:val="auto"/>
              </w:rPr>
            </w:pPr>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7"/>
              </w:rPr>
              <w:t>Furnished</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3"/>
        </w:trPr>
        <w:tc>
          <w:tcPr>
            <w:tcW w:w="900" w:type="dxa"/>
            <w:vAlign w:val="bottom"/>
          </w:tcPr>
          <w:p>
            <w:pPr>
              <w:spacing w:after="0"/>
              <w:rPr>
                <w:sz w:val="13"/>
                <w:szCs w:val="13"/>
                <w:color w:val="auto"/>
              </w:rPr>
            </w:pPr>
          </w:p>
        </w:tc>
        <w:tc>
          <w:tcPr>
            <w:tcW w:w="4660" w:type="dxa"/>
            <w:vAlign w:val="bottom"/>
            <w:gridSpan w:val="25"/>
          </w:tcPr>
          <w:p>
            <w:pPr>
              <w:spacing w:after="0" w:line="153" w:lineRule="exact"/>
              <w:rPr>
                <w:rFonts w:ascii="Arial" w:cs="Arial" w:eastAsia="Arial" w:hAnsi="Arial"/>
                <w:sz w:val="17"/>
                <w:szCs w:val="17"/>
                <w:color w:val="0000FF"/>
              </w:rPr>
            </w:pPr>
            <w:hyperlink w:anchor="page131">
              <w:r>
                <w:rPr>
                  <w:rFonts w:ascii="Arial" w:cs="Arial" w:eastAsia="Arial" w:hAnsi="Arial"/>
                  <w:sz w:val="17"/>
                  <w:szCs w:val="17"/>
                  <w:color w:val="0000FF"/>
                </w:rPr>
                <w:t>U.S.C. Section 1350, as adopted pursuant to Section 906</w:t>
              </w:r>
            </w:hyperlink>
          </w:p>
        </w:tc>
        <w:tc>
          <w:tcPr>
            <w:tcW w:w="1460" w:type="dxa"/>
            <w:vAlign w:val="bottom"/>
          </w:tcPr>
          <w:p>
            <w:pPr>
              <w:jc w:val="center"/>
              <w:spacing w:after="0" w:line="153" w:lineRule="exact"/>
              <w:rPr>
                <w:sz w:val="20"/>
                <w:szCs w:val="20"/>
                <w:color w:val="auto"/>
              </w:rPr>
            </w:pPr>
            <w:r>
              <w:rPr>
                <w:rFonts w:ascii="Arial" w:cs="Arial" w:eastAsia="Arial" w:hAnsi="Arial"/>
                <w:sz w:val="17"/>
                <w:szCs w:val="17"/>
                <w:color w:val="auto"/>
              </w:rPr>
              <w:t>herewith</w:t>
            </w: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rPr>
            </w:pPr>
            <w:hyperlink w:anchor="page131">
              <w:r>
                <w:rPr>
                  <w:rFonts w:ascii="Arial" w:cs="Arial" w:eastAsia="Arial" w:hAnsi="Arial"/>
                  <w:sz w:val="17"/>
                  <w:szCs w:val="17"/>
                  <w:color w:val="0000FF"/>
                </w:rPr>
                <w:t>of the Sarbanes-Oxley Act of 2002.</w:t>
              </w:r>
            </w:hyperlink>
          </w:p>
        </w:tc>
        <w:tc>
          <w:tcPr>
            <w:tcW w:w="174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4"/>
        </w:trPr>
        <w:tc>
          <w:tcPr>
            <w:tcW w:w="900" w:type="dxa"/>
            <w:vAlign w:val="bottom"/>
          </w:tcPr>
          <w:p>
            <w:pPr>
              <w:spacing w:after="0" w:line="205" w:lineRule="exact"/>
              <w:rPr>
                <w:sz w:val="20"/>
                <w:szCs w:val="20"/>
                <w:color w:val="auto"/>
              </w:rPr>
            </w:pPr>
            <w:r>
              <w:rPr>
                <w:rFonts w:ascii="Arial" w:cs="Arial" w:eastAsia="Arial" w:hAnsi="Arial"/>
                <w:sz w:val="18"/>
                <w:szCs w:val="18"/>
                <w:color w:val="auto"/>
              </w:rPr>
              <w:t>101.INS</w:t>
            </w:r>
          </w:p>
        </w:tc>
        <w:tc>
          <w:tcPr>
            <w:tcW w:w="4660" w:type="dxa"/>
            <w:vAlign w:val="bottom"/>
            <w:gridSpan w:val="25"/>
          </w:tcPr>
          <w:p>
            <w:pPr>
              <w:spacing w:after="0" w:line="205" w:lineRule="exact"/>
              <w:rPr>
                <w:sz w:val="20"/>
                <w:szCs w:val="20"/>
                <w:color w:val="auto"/>
              </w:rPr>
            </w:pPr>
            <w:r>
              <w:rPr>
                <w:rFonts w:ascii="Arial" w:cs="Arial" w:eastAsia="Arial" w:hAnsi="Arial"/>
                <w:sz w:val="18"/>
                <w:szCs w:val="18"/>
                <w:color w:val="auto"/>
              </w:rPr>
              <w:t>XBRL Instance Document – the instance document does</w:t>
            </w:r>
          </w:p>
        </w:tc>
        <w:tc>
          <w:tcPr>
            <w:tcW w:w="1460" w:type="dxa"/>
            <w:vAlign w:val="bottom"/>
          </w:tcPr>
          <w:p>
            <w:pPr>
              <w:jc w:val="center"/>
              <w:spacing w:after="0" w:line="205" w:lineRule="exact"/>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2"/>
        </w:trPr>
        <w:tc>
          <w:tcPr>
            <w:tcW w:w="900" w:type="dxa"/>
            <w:vAlign w:val="bottom"/>
          </w:tcPr>
          <w:p>
            <w:pPr>
              <w:spacing w:after="0"/>
              <w:rPr>
                <w:sz w:val="14"/>
                <w:szCs w:val="14"/>
                <w:color w:val="auto"/>
              </w:rPr>
            </w:pPr>
          </w:p>
        </w:tc>
        <w:tc>
          <w:tcPr>
            <w:tcW w:w="4660" w:type="dxa"/>
            <w:vAlign w:val="bottom"/>
            <w:gridSpan w:val="25"/>
          </w:tcPr>
          <w:p>
            <w:pPr>
              <w:spacing w:after="0" w:line="172" w:lineRule="exact"/>
              <w:rPr>
                <w:sz w:val="20"/>
                <w:szCs w:val="20"/>
                <w:color w:val="auto"/>
              </w:rPr>
            </w:pPr>
            <w:r>
              <w:rPr>
                <w:rFonts w:ascii="Arial" w:cs="Arial" w:eastAsia="Arial" w:hAnsi="Arial"/>
                <w:sz w:val="18"/>
                <w:szCs w:val="18"/>
                <w:color w:val="auto"/>
              </w:rPr>
              <w:t>not appear in the Interactive Data File because its XBRL</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2"/>
        </w:trPr>
        <w:tc>
          <w:tcPr>
            <w:tcW w:w="900" w:type="dxa"/>
            <w:vAlign w:val="bottom"/>
          </w:tcPr>
          <w:p>
            <w:pPr>
              <w:spacing w:after="0"/>
              <w:rPr>
                <w:sz w:val="18"/>
                <w:szCs w:val="18"/>
                <w:color w:val="auto"/>
              </w:rPr>
            </w:pPr>
          </w:p>
        </w:tc>
        <w:tc>
          <w:tcPr>
            <w:tcW w:w="4660" w:type="dxa"/>
            <w:vAlign w:val="bottom"/>
            <w:gridSpan w:val="25"/>
          </w:tcPr>
          <w:p>
            <w:pPr>
              <w:spacing w:after="0"/>
              <w:rPr>
                <w:sz w:val="20"/>
                <w:szCs w:val="20"/>
                <w:color w:val="auto"/>
              </w:rPr>
            </w:pPr>
            <w:r>
              <w:rPr>
                <w:rFonts w:ascii="Arial" w:cs="Arial" w:eastAsia="Arial" w:hAnsi="Arial"/>
                <w:sz w:val="18"/>
                <w:szCs w:val="18"/>
                <w:color w:val="auto"/>
              </w:rPr>
              <w:t>tags are embedded within the Inline XBRL document.</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Filed herewith</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320" w:top="536" w:right="6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w:t>
            </w:r>
          </w:p>
        </w:tc>
        <w:tc>
          <w:tcPr>
            <w:tcW w:w="1300" w:type="dxa"/>
            <w:vAlign w:val="bottom"/>
          </w:tcPr>
          <w:p>
            <w:pPr>
              <w:ind w:left="200"/>
              <w:spacing w:after="0"/>
              <w:rPr>
                <w:sz w:val="20"/>
                <w:szCs w:val="20"/>
                <w:color w:val="auto"/>
              </w:rPr>
            </w:pPr>
            <w:r>
              <w:rPr>
                <w:rFonts w:ascii="Arial" w:cs="Arial" w:eastAsia="Arial" w:hAnsi="Arial"/>
                <w:sz w:val="18"/>
                <w:szCs w:val="18"/>
                <w:color w:val="auto"/>
                <w:w w:val="96"/>
              </w:rPr>
              <w:t>Filed herewith</w:t>
            </w:r>
          </w:p>
        </w:tc>
      </w:tr>
      <w:tr>
        <w:trPr>
          <w:trHeight w:val="212"/>
        </w:trPr>
        <w:tc>
          <w:tcPr>
            <w:tcW w:w="8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18"/>
                <w:szCs w:val="18"/>
                <w:color w:val="auto"/>
              </w:rPr>
            </w:pPr>
          </w:p>
        </w:tc>
      </w:tr>
      <w:tr>
        <w:trPr>
          <w:trHeight w:val="186"/>
        </w:trPr>
        <w:tc>
          <w:tcPr>
            <w:tcW w:w="800" w:type="dxa"/>
            <w:vAlign w:val="bottom"/>
          </w:tcPr>
          <w:p>
            <w:pPr>
              <w:spacing w:after="0" w:line="186" w:lineRule="exact"/>
              <w:rPr>
                <w:sz w:val="20"/>
                <w:szCs w:val="20"/>
                <w:color w:val="auto"/>
              </w:rPr>
            </w:pPr>
            <w:r>
              <w:rPr>
                <w:rFonts w:ascii="Arial" w:cs="Arial" w:eastAsia="Arial" w:hAnsi="Arial"/>
                <w:sz w:val="18"/>
                <w:szCs w:val="18"/>
                <w:color w:val="auto"/>
              </w:rPr>
              <w:t>101.DEF</w:t>
            </w:r>
          </w:p>
        </w:tc>
        <w:tc>
          <w:tcPr>
            <w:tcW w:w="4700" w:type="dxa"/>
            <w:vAlign w:val="bottom"/>
          </w:tcPr>
          <w:p>
            <w:pPr>
              <w:ind w:left="100"/>
              <w:spacing w:after="0" w:line="186" w:lineRule="exact"/>
              <w:rPr>
                <w:sz w:val="20"/>
                <w:szCs w:val="20"/>
                <w:color w:val="auto"/>
              </w:rPr>
            </w:pPr>
            <w:r>
              <w:rPr>
                <w:rFonts w:ascii="Arial" w:cs="Arial" w:eastAsia="Arial" w:hAnsi="Arial"/>
                <w:sz w:val="18"/>
                <w:szCs w:val="18"/>
                <w:color w:val="auto"/>
              </w:rPr>
              <w:t>Inline XBRL Taxonomy Extension Definition Linkbase</w:t>
            </w:r>
          </w:p>
        </w:tc>
        <w:tc>
          <w:tcPr>
            <w:tcW w:w="1300" w:type="dxa"/>
            <w:vAlign w:val="bottom"/>
          </w:tcPr>
          <w:p>
            <w:pPr>
              <w:ind w:left="200"/>
              <w:spacing w:after="0" w:line="186" w:lineRule="exact"/>
              <w:rPr>
                <w:sz w:val="20"/>
                <w:szCs w:val="20"/>
                <w:color w:val="auto"/>
              </w:rPr>
            </w:pPr>
            <w:r>
              <w:rPr>
                <w:rFonts w:ascii="Arial" w:cs="Arial" w:eastAsia="Arial" w:hAnsi="Arial"/>
                <w:sz w:val="18"/>
                <w:szCs w:val="18"/>
                <w:color w:val="auto"/>
                <w:w w:val="96"/>
              </w:rPr>
              <w:t>Filed herewith</w:t>
            </w:r>
          </w:p>
        </w:tc>
      </w:tr>
      <w:tr>
        <w:trPr>
          <w:trHeight w:val="212"/>
        </w:trPr>
        <w:tc>
          <w:tcPr>
            <w:tcW w:w="8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18"/>
                <w:szCs w:val="18"/>
                <w:color w:val="auto"/>
              </w:rPr>
            </w:pPr>
          </w:p>
        </w:tc>
      </w:tr>
      <w:tr>
        <w:trPr>
          <w:trHeight w:val="186"/>
        </w:trPr>
        <w:tc>
          <w:tcPr>
            <w:tcW w:w="800" w:type="dxa"/>
            <w:vAlign w:val="bottom"/>
          </w:tcPr>
          <w:p>
            <w:pPr>
              <w:spacing w:after="0" w:line="186" w:lineRule="exact"/>
              <w:rPr>
                <w:sz w:val="20"/>
                <w:szCs w:val="20"/>
                <w:color w:val="auto"/>
              </w:rPr>
            </w:pPr>
            <w:r>
              <w:rPr>
                <w:rFonts w:ascii="Arial" w:cs="Arial" w:eastAsia="Arial" w:hAnsi="Arial"/>
                <w:sz w:val="18"/>
                <w:szCs w:val="18"/>
                <w:color w:val="auto"/>
              </w:rPr>
              <w:t>101.LAB</w:t>
            </w:r>
          </w:p>
        </w:tc>
        <w:tc>
          <w:tcPr>
            <w:tcW w:w="4700" w:type="dxa"/>
            <w:vAlign w:val="bottom"/>
          </w:tcPr>
          <w:p>
            <w:pPr>
              <w:ind w:left="100"/>
              <w:spacing w:after="0" w:line="186" w:lineRule="exact"/>
              <w:rPr>
                <w:sz w:val="20"/>
                <w:szCs w:val="20"/>
                <w:color w:val="auto"/>
              </w:rPr>
            </w:pPr>
            <w:r>
              <w:rPr>
                <w:rFonts w:ascii="Arial" w:cs="Arial" w:eastAsia="Arial" w:hAnsi="Arial"/>
                <w:sz w:val="18"/>
                <w:szCs w:val="18"/>
                <w:color w:val="auto"/>
              </w:rPr>
              <w:t>Inline XBRL Taxonomy Extension Label Linkbase</w:t>
            </w:r>
          </w:p>
        </w:tc>
        <w:tc>
          <w:tcPr>
            <w:tcW w:w="1300" w:type="dxa"/>
            <w:vAlign w:val="bottom"/>
          </w:tcPr>
          <w:p>
            <w:pPr>
              <w:ind w:left="200"/>
              <w:spacing w:after="0" w:line="186" w:lineRule="exact"/>
              <w:rPr>
                <w:sz w:val="20"/>
                <w:szCs w:val="20"/>
                <w:color w:val="auto"/>
              </w:rPr>
            </w:pPr>
            <w:r>
              <w:rPr>
                <w:rFonts w:ascii="Arial" w:cs="Arial" w:eastAsia="Arial" w:hAnsi="Arial"/>
                <w:sz w:val="18"/>
                <w:szCs w:val="18"/>
                <w:color w:val="auto"/>
                <w:w w:val="96"/>
              </w:rPr>
              <w:t>Filed herewith</w:t>
            </w:r>
          </w:p>
        </w:tc>
      </w:tr>
      <w:tr>
        <w:trPr>
          <w:trHeight w:val="212"/>
        </w:trPr>
        <w:tc>
          <w:tcPr>
            <w:tcW w:w="8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18"/>
                <w:szCs w:val="18"/>
                <w:color w:val="auto"/>
              </w:rPr>
            </w:pPr>
          </w:p>
        </w:tc>
      </w:tr>
      <w:tr>
        <w:trPr>
          <w:trHeight w:val="186"/>
        </w:trPr>
        <w:tc>
          <w:tcPr>
            <w:tcW w:w="800" w:type="dxa"/>
            <w:vAlign w:val="bottom"/>
          </w:tcPr>
          <w:p>
            <w:pPr>
              <w:spacing w:after="0" w:line="186" w:lineRule="exact"/>
              <w:rPr>
                <w:sz w:val="20"/>
                <w:szCs w:val="20"/>
                <w:color w:val="auto"/>
              </w:rPr>
            </w:pPr>
            <w:r>
              <w:rPr>
                <w:rFonts w:ascii="Arial" w:cs="Arial" w:eastAsia="Arial" w:hAnsi="Arial"/>
                <w:sz w:val="18"/>
                <w:szCs w:val="18"/>
                <w:color w:val="auto"/>
              </w:rPr>
              <w:t>101.PRE</w:t>
            </w:r>
          </w:p>
        </w:tc>
        <w:tc>
          <w:tcPr>
            <w:tcW w:w="4700" w:type="dxa"/>
            <w:vAlign w:val="bottom"/>
          </w:tcPr>
          <w:p>
            <w:pPr>
              <w:ind w:left="100"/>
              <w:spacing w:after="0" w:line="186" w:lineRule="exact"/>
              <w:rPr>
                <w:sz w:val="20"/>
                <w:szCs w:val="20"/>
                <w:color w:val="auto"/>
              </w:rPr>
            </w:pPr>
            <w:r>
              <w:rPr>
                <w:rFonts w:ascii="Arial" w:cs="Arial" w:eastAsia="Arial" w:hAnsi="Arial"/>
                <w:sz w:val="18"/>
                <w:szCs w:val="18"/>
                <w:color w:val="auto"/>
              </w:rPr>
              <w:t>Inline XBRL Taxonomy Extension Presentation Linkbase</w:t>
            </w:r>
          </w:p>
        </w:tc>
        <w:tc>
          <w:tcPr>
            <w:tcW w:w="1300" w:type="dxa"/>
            <w:vAlign w:val="bottom"/>
          </w:tcPr>
          <w:p>
            <w:pPr>
              <w:ind w:left="200"/>
              <w:spacing w:after="0" w:line="186" w:lineRule="exact"/>
              <w:rPr>
                <w:sz w:val="20"/>
                <w:szCs w:val="20"/>
                <w:color w:val="auto"/>
              </w:rPr>
            </w:pPr>
            <w:r>
              <w:rPr>
                <w:rFonts w:ascii="Arial" w:cs="Arial" w:eastAsia="Arial" w:hAnsi="Arial"/>
                <w:sz w:val="18"/>
                <w:szCs w:val="18"/>
                <w:color w:val="auto"/>
                <w:w w:val="96"/>
              </w:rPr>
              <w:t>Filed herewith</w:t>
            </w:r>
          </w:p>
        </w:tc>
      </w:tr>
      <w:tr>
        <w:trPr>
          <w:trHeight w:val="212"/>
        </w:trPr>
        <w:tc>
          <w:tcPr>
            <w:tcW w:w="8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18"/>
                <w:szCs w:val="18"/>
                <w:color w:val="auto"/>
              </w:rPr>
            </w:pPr>
          </w:p>
        </w:tc>
      </w:tr>
      <w:tr>
        <w:trPr>
          <w:trHeight w:val="186"/>
        </w:trPr>
        <w:tc>
          <w:tcPr>
            <w:tcW w:w="800" w:type="dxa"/>
            <w:vAlign w:val="bottom"/>
          </w:tcPr>
          <w:p>
            <w:pPr>
              <w:spacing w:after="0" w:line="186" w:lineRule="exact"/>
              <w:rPr>
                <w:sz w:val="20"/>
                <w:szCs w:val="20"/>
                <w:color w:val="auto"/>
              </w:rPr>
            </w:pPr>
            <w:r>
              <w:rPr>
                <w:rFonts w:ascii="Arial" w:cs="Arial" w:eastAsia="Arial" w:hAnsi="Arial"/>
                <w:sz w:val="18"/>
                <w:szCs w:val="18"/>
                <w:color w:val="auto"/>
              </w:rPr>
              <w:t>104</w:t>
            </w:r>
          </w:p>
        </w:tc>
        <w:tc>
          <w:tcPr>
            <w:tcW w:w="4700" w:type="dxa"/>
            <w:vAlign w:val="bottom"/>
          </w:tcPr>
          <w:p>
            <w:pPr>
              <w:ind w:left="100"/>
              <w:spacing w:after="0" w:line="186" w:lineRule="exact"/>
              <w:rPr>
                <w:sz w:val="20"/>
                <w:szCs w:val="20"/>
                <w:color w:val="auto"/>
              </w:rPr>
            </w:pPr>
            <w:r>
              <w:rPr>
                <w:rFonts w:ascii="Arial" w:cs="Arial" w:eastAsia="Arial" w:hAnsi="Arial"/>
                <w:sz w:val="18"/>
                <w:szCs w:val="18"/>
                <w:color w:val="auto"/>
              </w:rPr>
              <w:t>Cover Page Interactive Data File (formatted as inline</w:t>
            </w:r>
          </w:p>
        </w:tc>
        <w:tc>
          <w:tcPr>
            <w:tcW w:w="1300" w:type="dxa"/>
            <w:vAlign w:val="bottom"/>
          </w:tcPr>
          <w:p>
            <w:pPr>
              <w:ind w:left="200"/>
              <w:spacing w:after="0" w:line="186" w:lineRule="exact"/>
              <w:rPr>
                <w:sz w:val="20"/>
                <w:szCs w:val="20"/>
                <w:color w:val="auto"/>
              </w:rPr>
            </w:pPr>
            <w:r>
              <w:rPr>
                <w:rFonts w:ascii="Arial" w:cs="Arial" w:eastAsia="Arial" w:hAnsi="Arial"/>
                <w:sz w:val="18"/>
                <w:szCs w:val="18"/>
                <w:color w:val="auto"/>
                <w:w w:val="96"/>
              </w:rPr>
              <w:t>Filed herewith</w:t>
            </w:r>
          </w:p>
        </w:tc>
      </w:tr>
      <w:tr>
        <w:trPr>
          <w:trHeight w:val="172"/>
        </w:trPr>
        <w:tc>
          <w:tcPr>
            <w:tcW w:w="800" w:type="dxa"/>
            <w:vAlign w:val="bottom"/>
          </w:tcPr>
          <w:p>
            <w:pPr>
              <w:spacing w:after="0"/>
              <w:rPr>
                <w:sz w:val="14"/>
                <w:szCs w:val="14"/>
                <w:color w:val="auto"/>
              </w:rPr>
            </w:pPr>
          </w:p>
        </w:tc>
        <w:tc>
          <w:tcPr>
            <w:tcW w:w="4700" w:type="dxa"/>
            <w:vAlign w:val="bottom"/>
          </w:tcPr>
          <w:p>
            <w:pPr>
              <w:ind w:left="100"/>
              <w:spacing w:after="0" w:line="172" w:lineRule="exact"/>
              <w:rPr>
                <w:sz w:val="20"/>
                <w:szCs w:val="20"/>
                <w:color w:val="auto"/>
              </w:rPr>
            </w:pPr>
            <w:r>
              <w:rPr>
                <w:rFonts w:ascii="Arial" w:cs="Arial" w:eastAsia="Arial" w:hAnsi="Arial"/>
                <w:sz w:val="18"/>
                <w:szCs w:val="18"/>
                <w:color w:val="auto"/>
              </w:rPr>
              <w:t>XBRL with applicable taxonomy extension information</w:t>
            </w:r>
          </w:p>
        </w:tc>
        <w:tc>
          <w:tcPr>
            <w:tcW w:w="1300" w:type="dxa"/>
            <w:vAlign w:val="bottom"/>
          </w:tcPr>
          <w:p>
            <w:pPr>
              <w:spacing w:after="0"/>
              <w:rPr>
                <w:sz w:val="14"/>
                <w:szCs w:val="14"/>
                <w:color w:val="auto"/>
              </w:rPr>
            </w:pPr>
          </w:p>
        </w:tc>
      </w:tr>
      <w:tr>
        <w:trPr>
          <w:trHeight w:val="212"/>
        </w:trPr>
        <w:tc>
          <w:tcPr>
            <w:tcW w:w="80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contained in Exhibits 101).</w:t>
            </w:r>
          </w:p>
        </w:tc>
        <w:tc>
          <w:tcPr>
            <w:tcW w:w="130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contract or agreement.</w:t>
      </w:r>
    </w:p>
    <w:p>
      <w:pPr>
        <w:spacing w:after="0" w:line="2" w:lineRule="exact"/>
        <w:rPr>
          <w:sz w:val="20"/>
          <w:szCs w:val="20"/>
          <w:color w:val="auto"/>
        </w:rPr>
      </w:pPr>
    </w:p>
    <w:p>
      <w:pPr>
        <w:ind w:left="320" w:hanging="317"/>
        <w:spacing w:after="0" w:line="241" w:lineRule="auto"/>
        <w:rPr>
          <w:sz w:val="20"/>
          <w:szCs w:val="20"/>
          <w:color w:val="auto"/>
        </w:rPr>
      </w:pPr>
      <w:r>
        <w:rPr>
          <w:rFonts w:ascii="Arial" w:cs="Arial" w:eastAsia="Arial" w:hAnsi="Arial"/>
          <w:sz w:val="16"/>
          <w:szCs w:val="16"/>
          <w:color w:val="auto"/>
        </w:rPr>
        <w:t>† Certain confidential information contained in this exhibit has been omitted because it is both (i) not material and (ii) is the type that the Registrant treats as private or confidential.</w:t>
      </w:r>
    </w:p>
    <w:p>
      <w:pPr>
        <w:spacing w:after="0" w:line="1" w:lineRule="exact"/>
        <w:rPr>
          <w:sz w:val="20"/>
          <w:szCs w:val="20"/>
          <w:color w:val="auto"/>
        </w:rPr>
      </w:pPr>
    </w:p>
    <w:p>
      <w:pPr>
        <w:jc w:val="both"/>
        <w:ind w:left="320" w:hanging="314"/>
        <w:spacing w:after="0" w:line="247" w:lineRule="auto"/>
        <w:tabs>
          <w:tab w:leader="none" w:pos="29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b w:val="1"/>
                <w:bCs w:val="1"/>
                <w:color w:val="auto"/>
              </w:rPr>
              <w:t>THREDUP INC.</w:t>
            </w:r>
          </w:p>
        </w:tc>
      </w:tr>
      <w:tr>
        <w:trPr>
          <w:trHeight w:val="491"/>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20"/>
              <w:spacing w:after="0"/>
              <w:rPr>
                <w:sz w:val="20"/>
                <w:szCs w:val="20"/>
                <w:color w:val="auto"/>
              </w:rPr>
            </w:pPr>
            <w:r>
              <w:rPr>
                <w:rFonts w:ascii="Arial" w:cs="Arial" w:eastAsia="Arial" w:hAnsi="Arial"/>
                <w:sz w:val="18"/>
                <w:szCs w:val="18"/>
                <w:color w:val="auto"/>
              </w:rPr>
              <w:t>March 21,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James Reinhart</w:t>
            </w:r>
          </w:p>
        </w:tc>
      </w:tr>
      <w:tr>
        <w:trPr>
          <w:trHeight w:val="221"/>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i w:val="1"/>
                <w:iCs w:val="1"/>
                <w:color w:val="auto"/>
              </w:rPr>
              <w:t>(Principal Executive Officer)</w:t>
            </w:r>
          </w:p>
        </w:tc>
      </w:tr>
      <w:tr>
        <w:trPr>
          <w:trHeight w:val="491"/>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20"/>
              <w:spacing w:after="0"/>
              <w:rPr>
                <w:sz w:val="20"/>
                <w:szCs w:val="20"/>
                <w:color w:val="auto"/>
              </w:rPr>
            </w:pPr>
            <w:r>
              <w:rPr>
                <w:rFonts w:ascii="Arial" w:cs="Arial" w:eastAsia="Arial" w:hAnsi="Arial"/>
                <w:sz w:val="18"/>
                <w:szCs w:val="18"/>
                <w:color w:val="auto"/>
              </w:rPr>
              <w:t>March 21,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Sean Sobers</w:t>
            </w:r>
          </w:p>
        </w:tc>
      </w:tr>
      <w:tr>
        <w:trPr>
          <w:trHeight w:val="221"/>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86"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Reinhart, Sean Sobers and Alon Rotem,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as fully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5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ectPr>
          <w:pgSz w:w="11900" w:h="16838" w:orient="portrait"/>
          <w:cols w:equalWidth="0" w:num="1">
            <w:col w:w="11340"/>
          </w:cols>
          <w:pgMar w:left="320" w:top="536" w:right="239" w:bottom="1440" w:gutter="0" w:footer="0" w:header="0"/>
        </w:sectPr>
      </w:pPr>
    </w:p>
    <w:bookmarkStart w:id="80" w:name="page81"/>
    <w:bookmarkEnd w:id="80"/>
    <w:p>
      <w:pPr>
        <w:jc w:val="center"/>
        <w:ind w:right="3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22713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8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James Reinhart</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2271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Sean Sobers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Greg Bettinelli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Greg Bettinelli</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Ian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Ian Friedman</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Mandy Ginsberg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Mandy Ginsberg</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Timothy 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3810</wp:posOffset>
            </wp:positionV>
            <wp:extent cx="2271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Timothy Haley</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Jack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2271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Jack Lazar</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/s/ Norman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19685</wp:posOffset>
            </wp:positionV>
            <wp:extent cx="2271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Norman Matthews</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Patricia Nakache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Patricia Nakache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Dan Nova</w:t>
      </w:r>
    </w:p>
    <w:p>
      <w:pPr>
        <w:spacing w:after="0" w:line="4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Coretha Rushing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Coretha Rushing</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Paula Sutter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22713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Paula Sutter</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Marcie 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22713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Marcie Vu</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71"/>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Chief Executive Officer and Director</w:t>
            </w:r>
          </w:p>
        </w:tc>
        <w:tc>
          <w:tcPr>
            <w:tcW w:w="2360" w:type="dxa"/>
            <w:vAlign w:val="bottom"/>
            <w:vMerge w:val="restart"/>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119"/>
        </w:trPr>
        <w:tc>
          <w:tcPr>
            <w:tcW w:w="52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(Principal Executive Officer)</w:t>
            </w: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200" w:type="dxa"/>
            <w:vAlign w:val="bottom"/>
            <w:gridSpan w:val="2"/>
            <w:vMerge w:val="continue"/>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Chief Financial Officer</w:t>
            </w:r>
          </w:p>
        </w:tc>
        <w:tc>
          <w:tcPr>
            <w:tcW w:w="2360" w:type="dxa"/>
            <w:vAlign w:val="bottom"/>
            <w:vMerge w:val="restart"/>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119"/>
        </w:trPr>
        <w:tc>
          <w:tcPr>
            <w:tcW w:w="52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(Principal Financial and Accounting Officer)</w:t>
            </w: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200" w:type="dxa"/>
            <w:vAlign w:val="bottom"/>
            <w:gridSpan w:val="2"/>
            <w:vMerge w:val="continue"/>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6"/>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6"/>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03"/>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r>
        <w:trPr>
          <w:trHeight w:val="557"/>
        </w:trPr>
        <w:tc>
          <w:tcPr>
            <w:tcW w:w="5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7"/>
              </w:rPr>
              <w:t>March 21,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159385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2000" w:space="720"/>
            <w:col w:w="7560"/>
          </w:cols>
          <w:pgMar w:left="1280" w:top="156"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ThredUp Inc.</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8"/>
                <w:szCs w:val="18"/>
                <w:b w:val="1"/>
                <w:bCs w:val="1"/>
                <w:color w:val="auto"/>
                <w:w w:val="83"/>
              </w:rPr>
              <w:t>Page</w:t>
            </w:r>
          </w:p>
        </w:tc>
      </w:tr>
      <w:tr>
        <w:trPr>
          <w:trHeight w:val="418"/>
        </w:trPr>
        <w:tc>
          <w:tcPr>
            <w:tcW w:w="5800" w:type="dxa"/>
            <w:vAlign w:val="bottom"/>
            <w:gridSpan w:val="7"/>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 xml:space="preserve">Report of Independent </w:t>
              </w:r>
            </w:hyperlink>
            <w:r>
              <w:rPr>
                <w:rFonts w:ascii="Arial" w:cs="Arial" w:eastAsia="Arial" w:hAnsi="Arial"/>
                <w:sz w:val="18"/>
                <w:szCs w:val="18"/>
                <w:color w:val="0000FF"/>
                <w:w w:val="91"/>
              </w:rPr>
              <w:t xml:space="preserve">Registered Public Accounting Firm </w:t>
            </w:r>
            <w:r>
              <w:rPr>
                <w:rFonts w:ascii="Arial" w:cs="Arial" w:eastAsia="Arial" w:hAnsi="Arial"/>
                <w:sz w:val="18"/>
                <w:szCs w:val="18"/>
                <w:color w:val="000000"/>
                <w:w w:val="91"/>
              </w:rPr>
              <w:t>(PCAOB ID No. 185)</w:t>
            </w:r>
          </w:p>
        </w:tc>
        <w:tc>
          <w:tcPr>
            <w:tcW w:w="3160" w:type="dxa"/>
            <w:vAlign w:val="bottom"/>
          </w:tcPr>
          <w:p>
            <w:pPr>
              <w:spacing w:after="0"/>
              <w:rPr>
                <w:sz w:val="24"/>
                <w:szCs w:val="24"/>
                <w:color w:val="auto"/>
              </w:rPr>
            </w:pPr>
          </w:p>
        </w:tc>
        <w:tc>
          <w:tcPr>
            <w:tcW w:w="1720" w:type="dxa"/>
            <w:vAlign w:val="bottom"/>
            <w:gridSpan w:val="3"/>
          </w:tcPr>
          <w:p>
            <w:pPr>
              <w:jc w:val="center"/>
              <w:ind w:left="452"/>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2</w:t>
            </w:r>
          </w:p>
        </w:tc>
      </w:tr>
      <w:tr>
        <w:trPr>
          <w:trHeight w:val="27"/>
        </w:trPr>
        <w:tc>
          <w:tcPr>
            <w:tcW w:w="20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320" w:type="dxa"/>
            <w:vAlign w:val="bottom"/>
            <w:gridSpan w:val="2"/>
            <w:shd w:val="clear" w:color="auto" w:fill="0000FF"/>
          </w:tcPr>
          <w:p>
            <w:pPr>
              <w:spacing w:after="0"/>
              <w:rPr>
                <w:sz w:val="2"/>
                <w:szCs w:val="2"/>
                <w:color w:val="auto"/>
              </w:rPr>
            </w:pPr>
          </w:p>
        </w:tc>
        <w:tc>
          <w:tcPr>
            <w:tcW w:w="3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212"/>
        </w:trPr>
        <w:tc>
          <w:tcPr>
            <w:tcW w:w="5800" w:type="dxa"/>
            <w:vAlign w:val="bottom"/>
            <w:gridSpan w:val="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Consolidated Balance Sheets</w:t>
              </w:r>
            </w:hyperlink>
          </w:p>
        </w:tc>
        <w:tc>
          <w:tcPr>
            <w:tcW w:w="3160" w:type="dxa"/>
            <w:vAlign w:val="bottom"/>
          </w:tcPr>
          <w:p>
            <w:pPr>
              <w:spacing w:after="0"/>
              <w:rPr>
                <w:sz w:val="18"/>
                <w:szCs w:val="18"/>
                <w:color w:val="auto"/>
              </w:rPr>
            </w:pPr>
          </w:p>
        </w:tc>
        <w:tc>
          <w:tcPr>
            <w:tcW w:w="1720" w:type="dxa"/>
            <w:vAlign w:val="bottom"/>
            <w:gridSpan w:val="3"/>
          </w:tcPr>
          <w:p>
            <w:pPr>
              <w:jc w:val="center"/>
              <w:ind w:left="452"/>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84">
              <w:r>
                <w:rPr>
                  <w:rFonts w:ascii="Arial" w:cs="Arial" w:eastAsia="Arial" w:hAnsi="Arial"/>
                  <w:sz w:val="18"/>
                  <w:szCs w:val="18"/>
                  <w:color w:val="0000FF"/>
                  <w:w w:val="96"/>
                </w:rPr>
                <w:t>3</w:t>
              </w:r>
            </w:hyperlink>
          </w:p>
        </w:tc>
      </w:tr>
      <w:tr>
        <w:trPr>
          <w:trHeight w:val="20"/>
        </w:trPr>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5"/>
        </w:trPr>
        <w:tc>
          <w:tcPr>
            <w:tcW w:w="8960" w:type="dxa"/>
            <w:vAlign w:val="bottom"/>
            <w:gridSpan w:val="8"/>
          </w:tcPr>
          <w:p>
            <w:pPr>
              <w:spacing w:after="0" w:line="205" w:lineRule="exact"/>
              <w:rPr>
                <w:rFonts w:ascii="Arial" w:cs="Arial" w:eastAsia="Arial" w:hAnsi="Arial"/>
                <w:sz w:val="18"/>
                <w:szCs w:val="18"/>
                <w:color w:val="0000FF"/>
              </w:rPr>
            </w:pPr>
            <w:hyperlink w:anchor="page85">
              <w:r>
                <w:rPr>
                  <w:rFonts w:ascii="Arial" w:cs="Arial" w:eastAsia="Arial" w:hAnsi="Arial"/>
                  <w:sz w:val="18"/>
                  <w:szCs w:val="18"/>
                  <w:color w:val="0000FF"/>
                </w:rPr>
                <w:t>Consolidated Statements of Operations</w:t>
              </w:r>
            </w:hyperlink>
          </w:p>
        </w:tc>
        <w:tc>
          <w:tcPr>
            <w:tcW w:w="1720" w:type="dxa"/>
            <w:vAlign w:val="bottom"/>
            <w:gridSpan w:val="3"/>
          </w:tcPr>
          <w:p>
            <w:pPr>
              <w:jc w:val="center"/>
              <w:ind w:left="452"/>
              <w:spacing w:after="0" w:line="205"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85">
              <w:r>
                <w:rPr>
                  <w:rFonts w:ascii="Arial" w:cs="Arial" w:eastAsia="Arial" w:hAnsi="Arial"/>
                  <w:sz w:val="18"/>
                  <w:szCs w:val="18"/>
                  <w:color w:val="0000FF"/>
                  <w:w w:val="96"/>
                </w:rPr>
                <w:t>4</w:t>
              </w:r>
            </w:hyperlink>
          </w:p>
        </w:tc>
      </w:tr>
      <w:tr>
        <w:trPr>
          <w:trHeight w:val="20"/>
        </w:trPr>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5"/>
        </w:trPr>
        <w:tc>
          <w:tcPr>
            <w:tcW w:w="3480" w:type="dxa"/>
            <w:vAlign w:val="bottom"/>
            <w:gridSpan w:val="5"/>
          </w:tcPr>
          <w:p>
            <w:pPr>
              <w:spacing w:after="0" w:line="205" w:lineRule="exact"/>
              <w:rPr>
                <w:rFonts w:ascii="Arial" w:cs="Arial" w:eastAsia="Arial" w:hAnsi="Arial"/>
                <w:sz w:val="18"/>
                <w:szCs w:val="18"/>
                <w:color w:val="0000FF"/>
                <w:w w:val="87"/>
              </w:rPr>
            </w:pPr>
            <w:hyperlink w:anchor="page85">
              <w:r>
                <w:rPr>
                  <w:rFonts w:ascii="Arial" w:cs="Arial" w:eastAsia="Arial" w:hAnsi="Arial"/>
                  <w:sz w:val="18"/>
                  <w:szCs w:val="18"/>
                  <w:color w:val="0000FF"/>
                  <w:w w:val="87"/>
                </w:rPr>
                <w:t>Consolidated Statements of Comprehensive Loss</w:t>
              </w:r>
            </w:hyperlink>
          </w:p>
        </w:tc>
        <w:tc>
          <w:tcPr>
            <w:tcW w:w="5480" w:type="dxa"/>
            <w:vAlign w:val="bottom"/>
            <w:gridSpan w:val="3"/>
          </w:tcPr>
          <w:p>
            <w:pPr>
              <w:spacing w:after="0"/>
              <w:rPr>
                <w:sz w:val="17"/>
                <w:szCs w:val="17"/>
                <w:color w:val="auto"/>
              </w:rPr>
            </w:pPr>
          </w:p>
        </w:tc>
        <w:tc>
          <w:tcPr>
            <w:tcW w:w="1720" w:type="dxa"/>
            <w:vAlign w:val="bottom"/>
            <w:gridSpan w:val="3"/>
          </w:tcPr>
          <w:p>
            <w:pPr>
              <w:jc w:val="center"/>
              <w:ind w:left="452"/>
              <w:spacing w:after="0" w:line="205"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85">
              <w:r>
                <w:rPr>
                  <w:rFonts w:ascii="Arial" w:cs="Arial" w:eastAsia="Arial" w:hAnsi="Arial"/>
                  <w:sz w:val="18"/>
                  <w:szCs w:val="18"/>
                  <w:color w:val="0000FF"/>
                  <w:w w:val="96"/>
                </w:rPr>
                <w:t>5</w:t>
              </w:r>
            </w:hyperlink>
          </w:p>
        </w:tc>
      </w:tr>
      <w:tr>
        <w:trPr>
          <w:trHeight w:val="20"/>
        </w:trPr>
        <w:tc>
          <w:tcPr>
            <w:tcW w:w="2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5"/>
        </w:trPr>
        <w:tc>
          <w:tcPr>
            <w:tcW w:w="8960" w:type="dxa"/>
            <w:vAlign w:val="bottom"/>
            <w:gridSpan w:val="8"/>
          </w:tcPr>
          <w:p>
            <w:pPr>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Statements of Convertible Preferred Stock and Stockholders’ Equity</w:t>
              </w:r>
            </w:hyperlink>
          </w:p>
        </w:tc>
        <w:tc>
          <w:tcPr>
            <w:tcW w:w="1720" w:type="dxa"/>
            <w:vAlign w:val="bottom"/>
            <w:gridSpan w:val="3"/>
          </w:tcPr>
          <w:p>
            <w:pPr>
              <w:jc w:val="center"/>
              <w:ind w:left="452"/>
              <w:spacing w:after="0" w:line="205"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86">
              <w:r>
                <w:rPr>
                  <w:rFonts w:ascii="Arial" w:cs="Arial" w:eastAsia="Arial" w:hAnsi="Arial"/>
                  <w:sz w:val="18"/>
                  <w:szCs w:val="18"/>
                  <w:color w:val="0000FF"/>
                  <w:w w:val="96"/>
                </w:rPr>
                <w:t>6</w:t>
              </w:r>
            </w:hyperlink>
          </w:p>
        </w:tc>
      </w:tr>
      <w:tr>
        <w:trPr>
          <w:trHeight w:val="20"/>
        </w:trPr>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5"/>
        </w:trPr>
        <w:tc>
          <w:tcPr>
            <w:tcW w:w="2820" w:type="dxa"/>
            <w:vAlign w:val="bottom"/>
            <w:gridSpan w:val="3"/>
          </w:tcPr>
          <w:p>
            <w:pPr>
              <w:spacing w:after="0" w:line="205" w:lineRule="exact"/>
              <w:rPr>
                <w:rFonts w:ascii="Arial" w:cs="Arial" w:eastAsia="Arial" w:hAnsi="Arial"/>
                <w:sz w:val="18"/>
                <w:szCs w:val="18"/>
                <w:color w:val="0000FF"/>
                <w:w w:val="87"/>
              </w:rPr>
            </w:pPr>
            <w:hyperlink w:anchor="page88">
              <w:r>
                <w:rPr>
                  <w:rFonts w:ascii="Arial" w:cs="Arial" w:eastAsia="Arial" w:hAnsi="Arial"/>
                  <w:sz w:val="18"/>
                  <w:szCs w:val="18"/>
                  <w:color w:val="0000FF"/>
                  <w:w w:val="87"/>
                </w:rPr>
                <w:t>Consolidated Statements of Cash Flows</w:t>
              </w:r>
            </w:hyperlink>
          </w:p>
        </w:tc>
        <w:tc>
          <w:tcPr>
            <w:tcW w:w="2980" w:type="dxa"/>
            <w:vAlign w:val="bottom"/>
            <w:gridSpan w:val="4"/>
          </w:tcPr>
          <w:p>
            <w:pPr>
              <w:spacing w:after="0"/>
              <w:rPr>
                <w:sz w:val="17"/>
                <w:szCs w:val="17"/>
                <w:color w:val="auto"/>
              </w:rPr>
            </w:pPr>
          </w:p>
        </w:tc>
        <w:tc>
          <w:tcPr>
            <w:tcW w:w="3160" w:type="dxa"/>
            <w:vAlign w:val="bottom"/>
          </w:tcPr>
          <w:p>
            <w:pPr>
              <w:spacing w:after="0"/>
              <w:rPr>
                <w:sz w:val="17"/>
                <w:szCs w:val="17"/>
                <w:color w:val="auto"/>
              </w:rPr>
            </w:pPr>
          </w:p>
        </w:tc>
        <w:tc>
          <w:tcPr>
            <w:tcW w:w="1720" w:type="dxa"/>
            <w:vAlign w:val="bottom"/>
            <w:gridSpan w:val="3"/>
          </w:tcPr>
          <w:p>
            <w:pPr>
              <w:jc w:val="center"/>
              <w:ind w:left="452"/>
              <w:spacing w:after="0" w:line="205"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88">
              <w:r>
                <w:rPr>
                  <w:rFonts w:ascii="Arial" w:cs="Arial" w:eastAsia="Arial" w:hAnsi="Arial"/>
                  <w:sz w:val="18"/>
                  <w:szCs w:val="18"/>
                  <w:color w:val="0000FF"/>
                  <w:w w:val="96"/>
                </w:rPr>
                <w:t>8</w:t>
              </w:r>
            </w:hyperlink>
          </w:p>
        </w:tc>
      </w:tr>
      <w:tr>
        <w:trPr>
          <w:trHeight w:val="20"/>
        </w:trPr>
        <w:tc>
          <w:tcPr>
            <w:tcW w:w="28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5"/>
        </w:trPr>
        <w:tc>
          <w:tcPr>
            <w:tcW w:w="8960" w:type="dxa"/>
            <w:vAlign w:val="bottom"/>
            <w:gridSpan w:val="8"/>
          </w:tcPr>
          <w:p>
            <w:pPr>
              <w:spacing w:after="0" w:line="205" w:lineRule="exact"/>
              <w:rPr>
                <w:rFonts w:ascii="Arial" w:cs="Arial" w:eastAsia="Arial" w:hAnsi="Arial"/>
                <w:sz w:val="18"/>
                <w:szCs w:val="18"/>
                <w:color w:val="0000FF"/>
              </w:rPr>
            </w:pPr>
            <w:hyperlink w:anchor="page91">
              <w:r>
                <w:rPr>
                  <w:rFonts w:ascii="Arial" w:cs="Arial" w:eastAsia="Arial" w:hAnsi="Arial"/>
                  <w:sz w:val="18"/>
                  <w:szCs w:val="18"/>
                  <w:color w:val="0000FF"/>
                </w:rPr>
                <w:t>Notes to Consolidated Financial Statements</w:t>
              </w:r>
            </w:hyperlink>
          </w:p>
        </w:tc>
        <w:tc>
          <w:tcPr>
            <w:tcW w:w="1720" w:type="dxa"/>
            <w:vAlign w:val="bottom"/>
            <w:gridSpan w:val="3"/>
          </w:tcPr>
          <w:p>
            <w:pPr>
              <w:jc w:val="center"/>
              <w:ind w:left="452"/>
              <w:spacing w:after="0" w:line="205" w:lineRule="exact"/>
              <w:rPr>
                <w:rFonts w:ascii="Arial" w:cs="Arial" w:eastAsia="Arial" w:hAnsi="Arial"/>
                <w:sz w:val="18"/>
                <w:szCs w:val="18"/>
                <w:color w:val="auto"/>
                <w:w w:val="91"/>
              </w:rPr>
            </w:pPr>
            <w:r>
              <w:rPr>
                <w:rFonts w:ascii="Arial" w:cs="Arial" w:eastAsia="Arial" w:hAnsi="Arial"/>
                <w:sz w:val="18"/>
                <w:szCs w:val="18"/>
                <w:color w:val="auto"/>
                <w:w w:val="91"/>
              </w:rPr>
              <w:t>F-</w:t>
            </w:r>
            <w:hyperlink w:anchor="page91">
              <w:r>
                <w:rPr>
                  <w:rFonts w:ascii="Arial" w:cs="Arial" w:eastAsia="Arial" w:hAnsi="Arial"/>
                  <w:sz w:val="18"/>
                  <w:szCs w:val="18"/>
                  <w:color w:val="0000FF"/>
                  <w:w w:val="91"/>
                </w:rPr>
                <w:t>10</w:t>
              </w:r>
            </w:hyperlink>
          </w:p>
        </w:tc>
      </w:tr>
      <w:tr>
        <w:trPr>
          <w:trHeight w:val="20"/>
        </w:trPr>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536"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ThredUp Inc.:</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have audited the accompanying consolidated balance sheets of ThredUp Inc. and subsidiaries (the Company) as of December 31, 2021 and 2020, the related consolidated statements of operations, comprehensive loss, convertible preferred stock and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2020 due to the adoption of Financial Accounting Standards Board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520" w:type="dxa"/>
            <w:vAlign w:val="bottom"/>
          </w:tcPr>
          <w:p>
            <w:pPr>
              <w:jc w:val="right"/>
              <w:ind w:right="36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6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1"/>
        </w:trPr>
        <w:tc>
          <w:tcPr>
            <w:tcW w:w="77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64,485</w:t>
            </w:r>
          </w:p>
        </w:tc>
        <w:tc>
          <w:tcPr>
            <w:tcW w:w="0" w:type="dxa"/>
            <w:vAlign w:val="bottom"/>
          </w:tcPr>
          <w:p>
            <w:pPr>
              <w:spacing w:after="0"/>
              <w:rPr>
                <w:sz w:val="1"/>
                <w:szCs w:val="1"/>
                <w:color w:val="auto"/>
              </w:rPr>
            </w:pPr>
          </w:p>
        </w:tc>
      </w:tr>
      <w:tr>
        <w:trPr>
          <w:trHeight w:val="185"/>
        </w:trPr>
        <w:tc>
          <w:tcPr>
            <w:tcW w:w="7740" w:type="dxa"/>
            <w:vAlign w:val="bottom"/>
          </w:tcPr>
          <w:p>
            <w:pPr>
              <w:ind w:left="24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121,277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85"/>
        </w:trPr>
        <w:tc>
          <w:tcPr>
            <w:tcW w:w="7740" w:type="dxa"/>
            <w:vAlign w:val="bottom"/>
          </w:tcPr>
          <w:p>
            <w:pPr>
              <w:ind w:left="24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79"/>
        </w:trPr>
        <w:tc>
          <w:tcPr>
            <w:tcW w:w="774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228,413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75,159</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0" w:type="dxa"/>
            <w:vAlign w:val="bottom"/>
          </w:tcPr>
          <w:p>
            <w:pPr>
              <w:spacing w:after="0"/>
              <w:rPr>
                <w:sz w:val="1"/>
                <w:szCs w:val="1"/>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55,466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41,131</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13,854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179"/>
        </w:trPr>
        <w:tc>
          <w:tcPr>
            <w:tcW w:w="774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360,826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74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0" w:type="dxa"/>
            <w:vAlign w:val="bottom"/>
          </w:tcPr>
          <w:p>
            <w:pPr>
              <w:spacing w:after="0"/>
              <w:rPr>
                <w:sz w:val="1"/>
                <w:szCs w:val="1"/>
                <w:color w:val="auto"/>
              </w:rPr>
            </w:pPr>
          </w:p>
        </w:tc>
      </w:tr>
      <w:tr>
        <w:trPr>
          <w:trHeight w:val="186"/>
        </w:trPr>
        <w:tc>
          <w:tcPr>
            <w:tcW w:w="7740" w:type="dxa"/>
            <w:vAlign w:val="bottom"/>
          </w:tcPr>
          <w:p>
            <w:pPr>
              <w:ind w:left="240"/>
              <w:spacing w:after="0"/>
              <w:rPr>
                <w:sz w:val="20"/>
                <w:szCs w:val="20"/>
                <w:color w:val="auto"/>
              </w:rPr>
            </w:pPr>
            <w:r>
              <w:rPr>
                <w:rFonts w:ascii="Arial" w:cs="Arial" w:eastAsia="Arial" w:hAnsi="Arial"/>
                <w:sz w:val="14"/>
                <w:szCs w:val="14"/>
                <w:color w:val="auto"/>
              </w:rPr>
              <w:t>Accrued and other current liabilities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45,253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32,541</w:t>
            </w: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Seller payable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13,724</w:t>
            </w:r>
          </w:p>
        </w:tc>
        <w:tc>
          <w:tcPr>
            <w:tcW w:w="0" w:type="dxa"/>
            <w:vAlign w:val="bottom"/>
          </w:tcPr>
          <w:p>
            <w:pPr>
              <w:spacing w:after="0"/>
              <w:rPr>
                <w:sz w:val="1"/>
                <w:szCs w:val="1"/>
                <w:color w:val="auto"/>
              </w:rPr>
            </w:pPr>
          </w:p>
        </w:tc>
      </w:tr>
      <w:tr>
        <w:trPr>
          <w:trHeight w:val="185"/>
        </w:trPr>
        <w:tc>
          <w:tcPr>
            <w:tcW w:w="774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79"/>
        </w:trPr>
        <w:tc>
          <w:tcPr>
            <w:tcW w:w="774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89,413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62,564</w:t>
            </w: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21,574</w:t>
            </w:r>
          </w:p>
        </w:tc>
        <w:tc>
          <w:tcPr>
            <w:tcW w:w="0" w:type="dxa"/>
            <w:vAlign w:val="bottom"/>
          </w:tcPr>
          <w:p>
            <w:pPr>
              <w:spacing w:after="0"/>
              <w:rPr>
                <w:sz w:val="1"/>
                <w:szCs w:val="1"/>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27,559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31,190</w:t>
            </w: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79"/>
        </w:trPr>
        <w:tc>
          <w:tcPr>
            <w:tcW w:w="77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155,092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118,047</w:t>
            </w:r>
          </w:p>
        </w:tc>
        <w:tc>
          <w:tcPr>
            <w:tcW w:w="0" w:type="dxa"/>
            <w:vAlign w:val="bottom"/>
          </w:tcPr>
          <w:p>
            <w:pPr>
              <w:spacing w:after="0"/>
              <w:rPr>
                <w:sz w:val="1"/>
                <w:szCs w:val="1"/>
                <w:color w:val="auto"/>
              </w:rPr>
            </w:pPr>
          </w:p>
        </w:tc>
      </w:tr>
      <w:tr>
        <w:trPr>
          <w:trHeight w:val="165"/>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740" w:type="dxa"/>
            <w:vAlign w:val="bottom"/>
          </w:tcPr>
          <w:p>
            <w:pPr>
              <w:ind w:left="80"/>
              <w:spacing w:after="0" w:line="151" w:lineRule="exact"/>
              <w:rPr>
                <w:sz w:val="20"/>
                <w:szCs w:val="20"/>
                <w:color w:val="auto"/>
              </w:rPr>
            </w:pPr>
            <w:r>
              <w:rPr>
                <w:rFonts w:ascii="Arial" w:cs="Arial" w:eastAsia="Arial" w:hAnsi="Arial"/>
                <w:sz w:val="14"/>
                <w:szCs w:val="14"/>
                <w:color w:val="auto"/>
              </w:rPr>
              <w:t>Convertible preferred stock: $0.0001 par value; 100,000 and 68,140 shares authorized as of December 31, 2021 and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40" w:type="dxa"/>
            <w:vAlign w:val="bottom"/>
          </w:tcPr>
          <w:p>
            <w:pPr>
              <w:ind w:left="240"/>
              <w:spacing w:after="0" w:line="133" w:lineRule="exact"/>
              <w:rPr>
                <w:sz w:val="20"/>
                <w:szCs w:val="20"/>
                <w:color w:val="auto"/>
              </w:rPr>
            </w:pPr>
            <w:r>
              <w:rPr>
                <w:rFonts w:ascii="Arial" w:cs="Arial" w:eastAsia="Arial" w:hAnsi="Arial"/>
                <w:sz w:val="14"/>
                <w:szCs w:val="14"/>
                <w:color w:val="auto"/>
              </w:rPr>
              <w:t>December 31, 2020, respectively; 0 and 65,971 shares issued and outstanding as of December 31, 2021 and</w:t>
            </w: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740" w:type="dxa"/>
            <w:vAlign w:val="bottom"/>
          </w:tcPr>
          <w:p>
            <w:pPr>
              <w:ind w:left="240"/>
              <w:spacing w:after="0" w:line="133" w:lineRule="exact"/>
              <w:rPr>
                <w:sz w:val="20"/>
                <w:szCs w:val="20"/>
                <w:color w:val="auto"/>
              </w:rPr>
            </w:pPr>
            <w:r>
              <w:rPr>
                <w:rFonts w:ascii="Arial" w:cs="Arial" w:eastAsia="Arial" w:hAnsi="Arial"/>
                <w:sz w:val="14"/>
                <w:szCs w:val="14"/>
                <w:color w:val="auto"/>
              </w:rPr>
              <w:t>December 31, 2020, respectively, liquidation preference of $0 and $251,239 as of December 31, 2021 and 2020,</w:t>
            </w:r>
          </w:p>
        </w:tc>
        <w:tc>
          <w:tcPr>
            <w:tcW w:w="220" w:type="dxa"/>
            <w:vAlign w:val="bottom"/>
          </w:tcPr>
          <w:p>
            <w:pPr>
              <w:spacing w:after="0"/>
              <w:rPr>
                <w:sz w:val="11"/>
                <w:szCs w:val="11"/>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68"/>
        </w:trPr>
        <w:tc>
          <w:tcPr>
            <w:tcW w:w="7740" w:type="dxa"/>
            <w:vAlign w:val="bottom"/>
          </w:tcPr>
          <w:p>
            <w:pPr>
              <w:ind w:left="240"/>
              <w:spacing w:after="0"/>
              <w:rPr>
                <w:sz w:val="20"/>
                <w:szCs w:val="20"/>
                <w:color w:val="auto"/>
              </w:rPr>
            </w:pPr>
            <w:r>
              <w:rPr>
                <w:rFonts w:ascii="Arial" w:cs="Arial" w:eastAsia="Arial" w:hAnsi="Arial"/>
                <w:sz w:val="14"/>
                <w:szCs w:val="14"/>
                <w:color w:val="auto"/>
              </w:rPr>
              <w:t>respectively</w:t>
            </w: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740" w:type="dxa"/>
            <w:vAlign w:val="bottom"/>
          </w:tcPr>
          <w:p>
            <w:pPr>
              <w:ind w:left="120"/>
              <w:spacing w:after="0" w:line="151" w:lineRule="exact"/>
              <w:rPr>
                <w:sz w:val="20"/>
                <w:szCs w:val="20"/>
                <w:color w:val="auto"/>
              </w:rPr>
            </w:pPr>
            <w:r>
              <w:rPr>
                <w:rFonts w:ascii="Arial" w:cs="Arial" w:eastAsia="Arial" w:hAnsi="Arial"/>
                <w:sz w:val="14"/>
                <w:szCs w:val="14"/>
                <w:color w:val="auto"/>
              </w:rPr>
              <w:t>Class A and B common stock, $0.0001 par value; 1,120,000 and 110,000 shares authorized as of December 31, 2021</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40" w:type="dxa"/>
            <w:vAlign w:val="bottom"/>
          </w:tcPr>
          <w:p>
            <w:pPr>
              <w:ind w:left="280"/>
              <w:spacing w:after="0" w:line="133" w:lineRule="exact"/>
              <w:rPr>
                <w:sz w:val="20"/>
                <w:szCs w:val="20"/>
                <w:color w:val="auto"/>
              </w:rPr>
            </w:pPr>
            <w:r>
              <w:rPr>
                <w:rFonts w:ascii="Arial" w:cs="Arial" w:eastAsia="Arial" w:hAnsi="Arial"/>
                <w:sz w:val="14"/>
                <w:szCs w:val="14"/>
                <w:color w:val="auto"/>
              </w:rPr>
              <w:t>and December 31, 2020, respectively; 98,435 and 12,890 shares issued and outstanding as of December 31, 2021</w:t>
            </w:r>
          </w:p>
        </w:tc>
        <w:tc>
          <w:tcPr>
            <w:tcW w:w="2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7740" w:type="dxa"/>
            <w:vAlign w:val="bottom"/>
          </w:tcPr>
          <w:p>
            <w:pPr>
              <w:ind w:left="280"/>
              <w:spacing w:after="0"/>
              <w:rPr>
                <w:sz w:val="20"/>
                <w:szCs w:val="20"/>
                <w:color w:val="auto"/>
              </w:rPr>
            </w:pPr>
            <w:r>
              <w:rPr>
                <w:rFonts w:ascii="Arial" w:cs="Arial" w:eastAsia="Arial" w:hAnsi="Arial"/>
                <w:sz w:val="14"/>
                <w:szCs w:val="14"/>
                <w:color w:val="auto"/>
              </w:rPr>
              <w:t>and December 31, 2020, respectively</w:t>
            </w:r>
          </w:p>
        </w:tc>
        <w:tc>
          <w:tcPr>
            <w:tcW w:w="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29,989</w:t>
            </w:r>
          </w:p>
        </w:tc>
        <w:tc>
          <w:tcPr>
            <w:tcW w:w="0" w:type="dxa"/>
            <w:vAlign w:val="bottom"/>
          </w:tcPr>
          <w:p>
            <w:pPr>
              <w:spacing w:after="0"/>
              <w:rPr>
                <w:sz w:val="1"/>
                <w:szCs w:val="1"/>
                <w:color w:val="auto"/>
              </w:rPr>
            </w:pPr>
          </w:p>
        </w:tc>
      </w:tr>
      <w:tr>
        <w:trPr>
          <w:trHeight w:val="185"/>
        </w:trPr>
        <w:tc>
          <w:tcPr>
            <w:tcW w:w="774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0" w:type="dxa"/>
            <w:vAlign w:val="bottom"/>
          </w:tcPr>
          <w:p>
            <w:pPr>
              <w:spacing w:after="0"/>
              <w:rPr>
                <w:sz w:val="1"/>
                <w:szCs w:val="1"/>
                <w:color w:val="auto"/>
              </w:rPr>
            </w:pPr>
          </w:p>
        </w:tc>
      </w:tr>
      <w:tr>
        <w:trPr>
          <w:trHeight w:val="179"/>
        </w:trPr>
        <w:tc>
          <w:tcPr>
            <w:tcW w:w="77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stockholders’ equity (deficit)</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205,734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204"/>
        </w:trPr>
        <w:tc>
          <w:tcPr>
            <w:tcW w:w="7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360,826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57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57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186,114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138,096</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97,763</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66,049</w:t>
            </w:r>
          </w:p>
        </w:tc>
        <w:tc>
          <w:tcPr>
            <w:tcW w:w="0" w:type="dxa"/>
            <w:vAlign w:val="bottom"/>
          </w:tcPr>
          <w:p>
            <w:pPr>
              <w:spacing w:after="0"/>
              <w:rPr>
                <w:sz w:val="1"/>
                <w:szCs w:val="1"/>
                <w:color w:val="auto"/>
              </w:rPr>
            </w:pPr>
          </w:p>
        </w:tc>
      </w:tr>
      <w:tr>
        <w:trPr>
          <w:trHeight w:val="218"/>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163,812</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0" w:type="dxa"/>
            <w:vAlign w:val="bottom"/>
          </w:tcPr>
          <w:p>
            <w:pPr>
              <w:spacing w:after="0"/>
              <w:rPr>
                <w:sz w:val="1"/>
                <w:szCs w:val="1"/>
                <w:color w:val="auto"/>
              </w:rPr>
            </w:pPr>
          </w:p>
        </w:tc>
      </w:tr>
      <w:tr>
        <w:trPr>
          <w:trHeight w:val="218"/>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product and technology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0" w:type="dxa"/>
            <w:vAlign w:val="bottom"/>
          </w:tcPr>
          <w:p>
            <w:pPr>
              <w:spacing w:after="0"/>
              <w:rPr>
                <w:sz w:val="1"/>
                <w:szCs w:val="1"/>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44,980</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18"/>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149,311</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0" w:type="dxa"/>
            <w:vAlign w:val="bottom"/>
          </w:tcPr>
          <w:p>
            <w:pPr>
              <w:spacing w:after="0"/>
              <w:rPr>
                <w:sz w:val="1"/>
                <w:szCs w:val="1"/>
                <w:color w:val="auto"/>
              </w:rPr>
            </w:pPr>
          </w:p>
        </w:tc>
      </w:tr>
      <w:tr>
        <w:trPr>
          <w:trHeight w:val="225"/>
        </w:trPr>
        <w:tc>
          <w:tcPr>
            <w:tcW w:w="5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5700" w:type="dxa"/>
            <w:vAlign w:val="bottom"/>
          </w:tcPr>
          <w:p>
            <w:pPr>
              <w:ind w:left="44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(38,161)</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57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(63,176)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(47,877)</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0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Net loss per share attributable to common stockholders, basic and</w:t>
            </w:r>
          </w:p>
        </w:tc>
        <w:tc>
          <w:tcPr>
            <w:tcW w:w="4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diluted</w:t>
            </w:r>
          </w:p>
        </w:tc>
        <w:tc>
          <w:tcPr>
            <w:tcW w:w="42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rPr>
              <w:t>Weighted-average shares used in computing net loss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77,092</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11,565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186"/>
        </w:trPr>
        <w:tc>
          <w:tcPr>
            <w:tcW w:w="5700" w:type="dxa"/>
            <w:vAlign w:val="bottom"/>
          </w:tcPr>
          <w:p>
            <w:pPr>
              <w:ind w:left="20"/>
              <w:spacing w:after="0" w:line="187" w:lineRule="exact"/>
              <w:rPr>
                <w:sz w:val="20"/>
                <w:szCs w:val="20"/>
                <w:color w:val="auto"/>
              </w:rPr>
            </w:pPr>
            <w:r>
              <w:rPr>
                <w:rFonts w:ascii="Arial" w:cs="Arial" w:eastAsia="Arial" w:hAnsi="Arial"/>
                <w:sz w:val="18"/>
                <w:szCs w:val="18"/>
                <w:color w:val="auto"/>
              </w:rPr>
              <w:t>attributable to common stockholders, basic and diluted</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8"/>
              </w:rPr>
              <w:t>Year Ended December 31,</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98"/>
        </w:trPr>
        <w:tc>
          <w:tcPr>
            <w:tcW w:w="57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205"/>
        </w:trPr>
        <w:tc>
          <w:tcPr>
            <w:tcW w:w="57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2019</w:t>
            </w:r>
          </w:p>
        </w:tc>
      </w:tr>
      <w:tr>
        <w:trPr>
          <w:trHeight w:val="205"/>
        </w:trPr>
        <w:tc>
          <w:tcPr>
            <w:tcW w:w="5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(38,197)</w:t>
            </w: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5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gain (loss) on available-for-sale debt securities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8"/>
        </w:trPr>
        <w:tc>
          <w:tcPr>
            <w:tcW w:w="5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comprehensive loss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345"/>
        </w:trPr>
        <w:tc>
          <w:tcPr>
            <w:tcW w:w="2580" w:type="dxa"/>
            <w:vAlign w:val="bottom"/>
          </w:tcPr>
          <w:p>
            <w:pPr>
              <w:spacing w:after="0"/>
              <w:rPr>
                <w:sz w:val="24"/>
                <w:szCs w:val="24"/>
                <w:color w:val="auto"/>
              </w:rPr>
            </w:pPr>
          </w:p>
        </w:tc>
        <w:tc>
          <w:tcPr>
            <w:tcW w:w="2020" w:type="dxa"/>
            <w:vAlign w:val="bottom"/>
            <w:tcBorders>
              <w:right w:val="single" w:sz="8" w:color="auto"/>
            </w:tcBorders>
            <w:gridSpan w:val="4"/>
            <w:vMerge w:val="restart"/>
          </w:tcPr>
          <w:p>
            <w:pPr>
              <w:ind w:left="520"/>
              <w:spacing w:after="0"/>
              <w:rPr>
                <w:sz w:val="20"/>
                <w:szCs w:val="20"/>
                <w:color w:val="auto"/>
              </w:rPr>
            </w:pPr>
            <w:r>
              <w:rPr>
                <w:rFonts w:ascii="Arial" w:cs="Arial" w:eastAsia="Arial" w:hAnsi="Arial"/>
                <w:sz w:val="16"/>
                <w:szCs w:val="16"/>
                <w:b w:val="1"/>
                <w:bCs w:val="1"/>
                <w:color w:val="auto"/>
              </w:rPr>
              <w:t>Convertible</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Accumulated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2020" w:type="dxa"/>
            <w:vAlign w:val="bottom"/>
            <w:tcBorders>
              <w:right w:val="single" w:sz="8" w:color="auto"/>
            </w:tcBorders>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98"/>
              </w:rPr>
              <w:t>Other</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center"/>
              <w:ind w:right="161"/>
              <w:spacing w:after="0" w:line="159"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3"/>
        </w:trPr>
        <w:tc>
          <w:tcPr>
            <w:tcW w:w="2580" w:type="dxa"/>
            <w:vAlign w:val="bottom"/>
          </w:tcPr>
          <w:p>
            <w:pPr>
              <w:spacing w:after="0"/>
              <w:rPr>
                <w:sz w:val="8"/>
                <w:szCs w:val="8"/>
                <w:color w:val="auto"/>
              </w:rPr>
            </w:pPr>
          </w:p>
        </w:tc>
        <w:tc>
          <w:tcPr>
            <w:tcW w:w="192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920" w:type="dxa"/>
            <w:vAlign w:val="bottom"/>
            <w:tcBorders>
              <w:bottom w:val="single" w:sz="8" w:color="auto"/>
            </w:tcBorders>
            <w:gridSpan w:val="3"/>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rPr>
              <w:t>Paid-in</w:t>
            </w:r>
          </w:p>
        </w:tc>
        <w:tc>
          <w:tcPr>
            <w:tcW w:w="136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Comprehensive</w:t>
            </w:r>
          </w:p>
        </w:tc>
        <w:tc>
          <w:tcPr>
            <w:tcW w:w="11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32"/>
        </w:trPr>
        <w:tc>
          <w:tcPr>
            <w:tcW w:w="258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9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Loss</w:t>
            </w: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Equity (Deficit)</w:t>
            </w:r>
          </w:p>
        </w:tc>
        <w:tc>
          <w:tcPr>
            <w:tcW w:w="0" w:type="dxa"/>
            <w:vAlign w:val="bottom"/>
          </w:tcPr>
          <w:p>
            <w:pPr>
              <w:spacing w:after="0"/>
              <w:rPr>
                <w:sz w:val="1"/>
                <w:szCs w:val="1"/>
                <w:color w:val="auto"/>
              </w:rPr>
            </w:pPr>
          </w:p>
        </w:tc>
      </w:tr>
      <w:tr>
        <w:trPr>
          <w:trHeight w:val="20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53,378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$ 164,394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10,145</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   12,083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(165,528)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(153,446)</w:t>
            </w:r>
          </w:p>
        </w:tc>
        <w:tc>
          <w:tcPr>
            <w:tcW w:w="0" w:type="dxa"/>
            <w:vAlign w:val="bottom"/>
          </w:tcPr>
          <w:p>
            <w:pPr>
              <w:spacing w:after="0"/>
              <w:rPr>
                <w:sz w:val="1"/>
                <w:szCs w:val="1"/>
                <w:color w:val="auto"/>
              </w:rPr>
            </w:pPr>
          </w:p>
        </w:tc>
      </w:tr>
      <w:tr>
        <w:trPr>
          <w:trHeight w:val="209"/>
        </w:trPr>
        <w:tc>
          <w:tcPr>
            <w:tcW w:w="258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502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174"/>
        </w:trPr>
        <w:tc>
          <w:tcPr>
            <w:tcW w:w="2580" w:type="dxa"/>
            <w:vAlign w:val="bottom"/>
          </w:tcPr>
          <w:p>
            <w:pPr>
              <w:ind w:left="240"/>
              <w:spacing w:after="0" w:line="175" w:lineRule="exact"/>
              <w:rPr>
                <w:sz w:val="20"/>
                <w:szCs w:val="20"/>
                <w:color w:val="auto"/>
              </w:rPr>
            </w:pPr>
            <w:r>
              <w:rPr>
                <w:rFonts w:ascii="Arial" w:cs="Arial" w:eastAsia="Arial" w:hAnsi="Arial"/>
                <w:sz w:val="16"/>
                <w:szCs w:val="16"/>
                <w:color w:val="auto"/>
              </w:rPr>
              <w:t>Series F preferred stock issued,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400"/>
              <w:spacing w:after="0" w:line="159" w:lineRule="exact"/>
              <w:rPr>
                <w:sz w:val="20"/>
                <w:szCs w:val="20"/>
                <w:color w:val="auto"/>
              </w:rPr>
            </w:pPr>
            <w:r>
              <w:rPr>
                <w:rFonts w:ascii="Arial" w:cs="Arial" w:eastAsia="Arial" w:hAnsi="Arial"/>
                <w:sz w:val="16"/>
                <w:szCs w:val="16"/>
                <w:color w:val="auto"/>
              </w:rPr>
              <w:t>net of issuance costs of</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400"/>
              <w:spacing w:after="0"/>
              <w:rPr>
                <w:sz w:val="20"/>
                <w:szCs w:val="20"/>
                <w:color w:val="auto"/>
              </w:rPr>
            </w:pPr>
            <w:r>
              <w:rPr>
                <w:rFonts w:ascii="Arial" w:cs="Arial" w:eastAsia="Arial" w:hAnsi="Arial"/>
                <w:sz w:val="16"/>
                <w:szCs w:val="16"/>
                <w:color w:val="auto"/>
              </w:rPr>
              <w:t>$3,881</w:t>
            </w:r>
          </w:p>
        </w:tc>
        <w:tc>
          <w:tcPr>
            <w:tcW w:w="980" w:type="dxa"/>
            <w:vAlign w:val="bottom"/>
          </w:tcPr>
          <w:p>
            <w:pPr>
              <w:jc w:val="right"/>
              <w:spacing w:after="0"/>
              <w:rPr>
                <w:sz w:val="20"/>
                <w:szCs w:val="20"/>
                <w:color w:val="auto"/>
              </w:rPr>
            </w:pPr>
            <w:r>
              <w:rPr>
                <w:rFonts w:ascii="Arial" w:cs="Arial" w:eastAsia="Arial" w:hAnsi="Arial"/>
                <w:sz w:val="16"/>
                <w:szCs w:val="16"/>
                <w:color w:val="auto"/>
              </w:rPr>
              <w:t>12,550</w:t>
            </w:r>
          </w:p>
        </w:tc>
        <w:tc>
          <w:tcPr>
            <w:tcW w:w="8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82,511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Unrealized gain on debt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securities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(38,197)</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246,905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10,647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(183,241)</w:t>
            </w:r>
          </w:p>
        </w:tc>
        <w:tc>
          <w:tcPr>
            <w:tcW w:w="0" w:type="dxa"/>
            <w:vAlign w:val="bottom"/>
          </w:tcPr>
          <w:p>
            <w:pPr>
              <w:spacing w:after="0"/>
              <w:rPr>
                <w:sz w:val="1"/>
                <w:szCs w:val="1"/>
                <w:color w:val="auto"/>
              </w:rPr>
            </w:pPr>
          </w:p>
        </w:tc>
      </w:tr>
      <w:tr>
        <w:trPr>
          <w:trHeight w:val="174"/>
        </w:trPr>
        <w:tc>
          <w:tcPr>
            <w:tcW w:w="2580" w:type="dxa"/>
            <w:vAlign w:val="bottom"/>
          </w:tcPr>
          <w:p>
            <w:pPr>
              <w:ind w:left="240"/>
              <w:spacing w:after="0" w:line="175" w:lineRule="exact"/>
              <w:rPr>
                <w:sz w:val="20"/>
                <w:szCs w:val="20"/>
                <w:color w:val="auto"/>
              </w:rPr>
            </w:pPr>
            <w:r>
              <w:rPr>
                <w:rFonts w:ascii="Arial" w:cs="Arial" w:eastAsia="Arial" w:hAnsi="Arial"/>
                <w:sz w:val="16"/>
                <w:szCs w:val="16"/>
                <w:color w:val="auto"/>
              </w:rPr>
              <w:t>ASC842 Adoption (eff. January</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400"/>
              <w:spacing w:after="0"/>
              <w:rPr>
                <w:sz w:val="20"/>
                <w:szCs w:val="20"/>
                <w:color w:val="auto"/>
              </w:rPr>
            </w:pPr>
            <w:r>
              <w:rPr>
                <w:rFonts w:ascii="Arial" w:cs="Arial" w:eastAsia="Arial" w:hAnsi="Arial"/>
                <w:sz w:val="16"/>
                <w:szCs w:val="16"/>
                <w:color w:val="auto"/>
              </w:rPr>
              <w:t>1, 2020)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0"/>
        </w:trPr>
        <w:tc>
          <w:tcPr>
            <w:tcW w:w="25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Series C preferred stock -</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warrant exercise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(47,877)</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247,041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(222,177)</w:t>
            </w:r>
          </w:p>
        </w:tc>
        <w:tc>
          <w:tcPr>
            <w:tcW w:w="0" w:type="dxa"/>
            <w:vAlign w:val="bottom"/>
          </w:tcPr>
          <w:p>
            <w:pPr>
              <w:spacing w:after="0"/>
              <w:rPr>
                <w:sz w:val="1"/>
                <w:szCs w:val="1"/>
                <w:color w:val="auto"/>
              </w:rPr>
            </w:pPr>
          </w:p>
        </w:tc>
      </w:tr>
      <w:tr>
        <w:trPr>
          <w:trHeight w:val="209"/>
        </w:trPr>
        <w:tc>
          <w:tcPr>
            <w:tcW w:w="258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3,480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5,267</w:t>
            </w:r>
          </w:p>
        </w:tc>
        <w:tc>
          <w:tcPr>
            <w:tcW w:w="0" w:type="dxa"/>
            <w:vAlign w:val="bottom"/>
          </w:tcPr>
          <w:p>
            <w:pPr>
              <w:spacing w:after="0"/>
              <w:rPr>
                <w:sz w:val="1"/>
                <w:szCs w:val="1"/>
                <w:color w:val="auto"/>
              </w:rPr>
            </w:pPr>
          </w:p>
        </w:tc>
      </w:tr>
      <w:tr>
        <w:trPr>
          <w:trHeight w:val="215"/>
        </w:trPr>
        <w:tc>
          <w:tcPr>
            <w:tcW w:w="2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c>
          <w:tcPr>
            <w:tcW w:w="0" w:type="dxa"/>
            <w:vAlign w:val="bottom"/>
          </w:tcPr>
          <w:p>
            <w:pPr>
              <w:spacing w:after="0"/>
              <w:rPr>
                <w:sz w:val="1"/>
                <w:szCs w:val="1"/>
                <w:color w:val="auto"/>
              </w:rPr>
            </w:pPr>
          </w:p>
        </w:tc>
      </w:tr>
      <w:tr>
        <w:trPr>
          <w:trHeight w:val="174"/>
        </w:trPr>
        <w:tc>
          <w:tcPr>
            <w:tcW w:w="2580" w:type="dxa"/>
            <w:vAlign w:val="bottom"/>
          </w:tcPr>
          <w:p>
            <w:pPr>
              <w:ind w:left="240"/>
              <w:spacing w:after="0" w:line="175" w:lineRule="exact"/>
              <w:rPr>
                <w:sz w:val="20"/>
                <w:szCs w:val="20"/>
                <w:color w:val="auto"/>
              </w:rPr>
            </w:pPr>
            <w:r>
              <w:rPr>
                <w:rFonts w:ascii="Arial" w:cs="Arial" w:eastAsia="Arial" w:hAnsi="Arial"/>
                <w:sz w:val="16"/>
                <w:szCs w:val="16"/>
                <w:color w:val="auto"/>
              </w:rPr>
              <w:t>Conversion of preferred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240"/>
              <w:spacing w:after="0" w:line="159" w:lineRule="exact"/>
              <w:rPr>
                <w:sz w:val="20"/>
                <w:szCs w:val="20"/>
                <w:color w:val="auto"/>
              </w:rPr>
            </w:pPr>
            <w:r>
              <w:rPr>
                <w:rFonts w:ascii="Arial" w:cs="Arial" w:eastAsia="Arial" w:hAnsi="Arial"/>
                <w:sz w:val="16"/>
                <w:szCs w:val="16"/>
                <w:color w:val="auto"/>
              </w:rPr>
              <w:t>warrants to Class B common</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40"/>
              <w:spacing w:after="0"/>
              <w:rPr>
                <w:sz w:val="20"/>
                <w:szCs w:val="20"/>
                <w:color w:val="auto"/>
              </w:rPr>
            </w:pPr>
            <w:r>
              <w:rPr>
                <w:rFonts w:ascii="Arial" w:cs="Arial" w:eastAsia="Arial" w:hAnsi="Arial"/>
                <w:sz w:val="16"/>
                <w:szCs w:val="16"/>
                <w:color w:val="auto"/>
              </w:rPr>
              <w:t>stock warrants</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Preferred stock conversion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Class B common stock</w:t>
            </w:r>
          </w:p>
        </w:tc>
        <w:tc>
          <w:tcPr>
            <w:tcW w:w="9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(65,971)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(247,041)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65,971</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247,034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247,041</w:t>
            </w:r>
          </w:p>
        </w:tc>
        <w:tc>
          <w:tcPr>
            <w:tcW w:w="0" w:type="dxa"/>
            <w:vAlign w:val="bottom"/>
          </w:tcPr>
          <w:p>
            <w:pPr>
              <w:spacing w:after="0"/>
              <w:rPr>
                <w:sz w:val="1"/>
                <w:szCs w:val="1"/>
                <w:color w:val="auto"/>
              </w:rPr>
            </w:pPr>
          </w:p>
        </w:tc>
      </w:tr>
      <w:tr>
        <w:trPr>
          <w:trHeight w:val="174"/>
        </w:trPr>
        <w:tc>
          <w:tcPr>
            <w:tcW w:w="2580" w:type="dxa"/>
            <w:vAlign w:val="bottom"/>
          </w:tcPr>
          <w:p>
            <w:pPr>
              <w:ind w:left="240"/>
              <w:spacing w:after="0" w:line="175" w:lineRule="exact"/>
              <w:rPr>
                <w:sz w:val="20"/>
                <w:szCs w:val="20"/>
                <w:color w:val="auto"/>
              </w:rPr>
            </w:pPr>
            <w:r>
              <w:rPr>
                <w:rFonts w:ascii="Arial" w:cs="Arial" w:eastAsia="Arial" w:hAnsi="Arial"/>
                <w:sz w:val="16"/>
                <w:szCs w:val="16"/>
                <w:color w:val="auto"/>
              </w:rPr>
              <w:t>Sale of Class A 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240"/>
              <w:spacing w:after="0" w:line="159" w:lineRule="exact"/>
              <w:rPr>
                <w:sz w:val="20"/>
                <w:szCs w:val="20"/>
                <w:color w:val="auto"/>
              </w:rPr>
            </w:pPr>
            <w:r>
              <w:rPr>
                <w:rFonts w:ascii="Arial" w:cs="Arial" w:eastAsia="Arial" w:hAnsi="Arial"/>
                <w:sz w:val="16"/>
                <w:szCs w:val="16"/>
                <w:color w:val="auto"/>
              </w:rPr>
              <w:t>upon initial public offering, net of</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40"/>
              <w:spacing w:after="0"/>
              <w:rPr>
                <w:sz w:val="20"/>
                <w:szCs w:val="20"/>
                <w:color w:val="auto"/>
              </w:rPr>
            </w:pPr>
            <w:r>
              <w:rPr>
                <w:rFonts w:ascii="Arial" w:cs="Arial" w:eastAsia="Arial" w:hAnsi="Arial"/>
                <w:sz w:val="16"/>
                <w:szCs w:val="16"/>
                <w:color w:val="auto"/>
              </w:rPr>
              <w:t>issuance costs</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13,800</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175,533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175,534</w:t>
            </w: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Cashless exercise of common</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 warrant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2580" w:type="dxa"/>
            <w:vAlign w:val="bottom"/>
          </w:tcPr>
          <w:p>
            <w:pPr>
              <w:ind w:left="240"/>
              <w:spacing w:after="0" w:line="175" w:lineRule="exact"/>
              <w:rPr>
                <w:sz w:val="20"/>
                <w:szCs w:val="20"/>
                <w:color w:val="auto"/>
              </w:rPr>
            </w:pPr>
            <w:r>
              <w:rPr>
                <w:rFonts w:ascii="Arial" w:cs="Arial" w:eastAsia="Arial" w:hAnsi="Arial"/>
                <w:sz w:val="16"/>
                <w:szCs w:val="16"/>
                <w:color w:val="auto"/>
              </w:rPr>
              <w:t>Issuance of common stock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tcPr>
          <w:p>
            <w:pPr>
              <w:ind w:left="240"/>
              <w:spacing w:after="0"/>
              <w:rPr>
                <w:sz w:val="20"/>
                <w:szCs w:val="20"/>
                <w:color w:val="auto"/>
              </w:rPr>
            </w:pPr>
            <w:r>
              <w:rPr>
                <w:rFonts w:ascii="Arial" w:cs="Arial" w:eastAsia="Arial" w:hAnsi="Arial"/>
                <w:sz w:val="16"/>
                <w:szCs w:val="16"/>
                <w:color w:val="auto"/>
              </w:rPr>
              <w:t>settle restricted stock units</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Class A common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59"/>
        </w:trPr>
        <w:tc>
          <w:tcPr>
            <w:tcW w:w="2700" w:type="dxa"/>
            <w:vAlign w:val="bottom"/>
            <w:shd w:val="clear" w:color="auto" w:fill="CCEEFF"/>
          </w:tcPr>
          <w:p>
            <w:pPr>
              <w:ind w:left="240"/>
              <w:spacing w:after="0" w:line="159" w:lineRule="exact"/>
              <w:rPr>
                <w:sz w:val="20"/>
                <w:szCs w:val="20"/>
                <w:color w:val="auto"/>
              </w:rPr>
            </w:pPr>
            <w:r>
              <w:rPr>
                <w:rFonts w:ascii="Arial" w:cs="Arial" w:eastAsia="Arial" w:hAnsi="Arial"/>
                <w:sz w:val="16"/>
                <w:szCs w:val="16"/>
                <w:color w:val="auto"/>
              </w:rPr>
              <w:t>stock upon closing of follow-on</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97"/>
        </w:trPr>
        <w:tc>
          <w:tcPr>
            <w:tcW w:w="2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45,524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45,525</w:t>
            </w:r>
          </w:p>
        </w:tc>
      </w:tr>
      <w:tr>
        <w:trPr>
          <w:trHeight w:val="174"/>
        </w:trPr>
        <w:tc>
          <w:tcPr>
            <w:tcW w:w="2700" w:type="dxa"/>
            <w:vAlign w:val="bottom"/>
          </w:tcPr>
          <w:p>
            <w:pPr>
              <w:ind w:left="240"/>
              <w:spacing w:after="0" w:line="175" w:lineRule="exact"/>
              <w:rPr>
                <w:sz w:val="20"/>
                <w:szCs w:val="20"/>
                <w:color w:val="auto"/>
              </w:rPr>
            </w:pPr>
            <w:r>
              <w:rPr>
                <w:rFonts w:ascii="Arial" w:cs="Arial" w:eastAsia="Arial" w:hAnsi="Arial"/>
                <w:sz w:val="16"/>
                <w:szCs w:val="16"/>
                <w:color w:val="auto"/>
              </w:rPr>
              <w:t>Withholding taxes for the net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59"/>
        </w:trPr>
        <w:tc>
          <w:tcPr>
            <w:tcW w:w="2700" w:type="dxa"/>
            <w:vAlign w:val="bottom"/>
          </w:tcPr>
          <w:p>
            <w:pPr>
              <w:ind w:left="240"/>
              <w:spacing w:after="0" w:line="159" w:lineRule="exact"/>
              <w:rPr>
                <w:sz w:val="20"/>
                <w:szCs w:val="20"/>
                <w:color w:val="auto"/>
              </w:rPr>
            </w:pPr>
            <w:r>
              <w:rPr>
                <w:rFonts w:ascii="Arial" w:cs="Arial" w:eastAsia="Arial" w:hAnsi="Arial"/>
                <w:sz w:val="16"/>
                <w:szCs w:val="16"/>
                <w:color w:val="auto"/>
              </w:rPr>
              <w:t>share settlement of restricted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4"/>
        </w:trPr>
        <w:tc>
          <w:tcPr>
            <w:tcW w:w="2700" w:type="dxa"/>
            <w:vAlign w:val="bottom"/>
          </w:tcPr>
          <w:p>
            <w:pPr>
              <w:ind w:left="240"/>
              <w:spacing w:after="0"/>
              <w:rPr>
                <w:sz w:val="20"/>
                <w:szCs w:val="20"/>
                <w:color w:val="auto"/>
              </w:rPr>
            </w:pPr>
            <w:r>
              <w:rPr>
                <w:rFonts w:ascii="Arial" w:cs="Arial" w:eastAsia="Arial" w:hAnsi="Arial"/>
                <w:sz w:val="16"/>
                <w:szCs w:val="16"/>
                <w:color w:val="auto"/>
              </w:rPr>
              <w:t>stock units</w:t>
            </w:r>
          </w:p>
        </w:tc>
        <w:tc>
          <w:tcPr>
            <w:tcW w:w="140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2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ESPP purchase</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174"/>
        </w:trPr>
        <w:tc>
          <w:tcPr>
            <w:tcW w:w="2700" w:type="dxa"/>
            <w:vAlign w:val="bottom"/>
          </w:tcPr>
          <w:p>
            <w:pPr>
              <w:ind w:left="240"/>
              <w:spacing w:after="0" w:line="175" w:lineRule="exact"/>
              <w:rPr>
                <w:sz w:val="20"/>
                <w:szCs w:val="20"/>
                <w:color w:val="auto"/>
              </w:rPr>
            </w:pPr>
            <w:r>
              <w:rPr>
                <w:rFonts w:ascii="Arial" w:cs="Arial" w:eastAsia="Arial" w:hAnsi="Arial"/>
                <w:sz w:val="16"/>
                <w:szCs w:val="16"/>
                <w:color w:val="auto"/>
              </w:rPr>
              <w:t>Acquisition delayed share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4"/>
        </w:trPr>
        <w:tc>
          <w:tcPr>
            <w:tcW w:w="2700" w:type="dxa"/>
            <w:vAlign w:val="bottom"/>
          </w:tcPr>
          <w:p>
            <w:pPr>
              <w:ind w:left="240"/>
              <w:spacing w:after="0"/>
              <w:rPr>
                <w:sz w:val="20"/>
                <w:szCs w:val="20"/>
                <w:color w:val="auto"/>
              </w:rPr>
            </w:pPr>
            <w:r>
              <w:rPr>
                <w:rFonts w:ascii="Arial" w:cs="Arial" w:eastAsia="Arial" w:hAnsi="Arial"/>
                <w:sz w:val="16"/>
                <w:szCs w:val="16"/>
                <w:color w:val="auto"/>
              </w:rPr>
              <w:t>issuance</w:t>
            </w:r>
          </w:p>
        </w:tc>
        <w:tc>
          <w:tcPr>
            <w:tcW w:w="140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2,744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2,744</w:t>
            </w:r>
          </w:p>
        </w:tc>
      </w:tr>
      <w:tr>
        <w:trPr>
          <w:trHeight w:val="214"/>
        </w:trPr>
        <w:tc>
          <w:tcPr>
            <w:tcW w:w="2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210"/>
        </w:trPr>
        <w:tc>
          <w:tcPr>
            <w:tcW w:w="2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(63,176)</w:t>
            </w:r>
          </w:p>
        </w:tc>
      </w:tr>
      <w:tr>
        <w:trPr>
          <w:trHeight w:val="22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98,435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522,161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205,734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r>
      <w:tr>
        <w:trPr>
          <w:trHeight w:val="208"/>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2019</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(63,176)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(47,877)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(38,197)</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76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4,274</w:t>
            </w:r>
          </w:p>
        </w:tc>
      </w:tr>
      <w:tr>
        <w:trPr>
          <w:trHeight w:val="214"/>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7,678</w:t>
            </w: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Reduction in the carrying amount of 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fair value of convertible preferred stock warrants and others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0"/>
        </w:trPr>
        <w:tc>
          <w:tcPr>
            <w:tcW w:w="7680" w:type="dxa"/>
            <w:vAlign w:val="bottom"/>
          </w:tcPr>
          <w:p>
            <w:pPr>
              <w:ind w:left="44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14"/>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768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14"/>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w:t>
            </w:r>
          </w:p>
        </w:tc>
      </w:tr>
      <w:tr>
        <w:trPr>
          <w:trHeight w:val="210"/>
        </w:trPr>
        <w:tc>
          <w:tcPr>
            <w:tcW w:w="7680" w:type="dxa"/>
            <w:vAlign w:val="bottom"/>
          </w:tcPr>
          <w:p>
            <w:pPr>
              <w:ind w:left="440"/>
              <w:spacing w:after="0"/>
              <w:rPr>
                <w:sz w:val="20"/>
                <w:szCs w:val="20"/>
                <w:color w:val="auto"/>
              </w:rPr>
            </w:pPr>
            <w:r>
              <w:rPr>
                <w:rFonts w:ascii="Arial" w:cs="Arial" w:eastAsia="Arial" w:hAnsi="Arial"/>
                <w:sz w:val="16"/>
                <w:szCs w:val="16"/>
                <w:color w:val="auto"/>
              </w:rPr>
              <w:t>Seller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4"/>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8"/>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w:t>
            </w:r>
          </w:p>
        </w:tc>
      </w:tr>
      <w:tr>
        <w:trPr>
          <w:trHeight w:val="19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2"/>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7680" w:type="dxa"/>
            <w:vAlign w:val="bottom"/>
          </w:tcPr>
          <w:p>
            <w:pPr>
              <w:ind w:left="240"/>
              <w:spacing w:after="0"/>
              <w:rPr>
                <w:sz w:val="20"/>
                <w:szCs w:val="20"/>
                <w:color w:val="auto"/>
              </w:rPr>
            </w:pPr>
            <w:r>
              <w:rPr>
                <w:rFonts w:ascii="Arial" w:cs="Arial" w:eastAsia="Arial" w:hAnsi="Arial"/>
                <w:sz w:val="16"/>
                <w:szCs w:val="16"/>
                <w:color w:val="auto"/>
              </w:rPr>
              <w:t>Maturities of marketable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8,250</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non-marketable equity investment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(9,504)</w:t>
            </w:r>
          </w:p>
        </w:tc>
      </w:tr>
      <w:tr>
        <w:trPr>
          <w:trHeight w:val="205"/>
        </w:trPr>
        <w:tc>
          <w:tcPr>
            <w:tcW w:w="76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(169,576)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r>
      <w:tr>
        <w:trPr>
          <w:trHeight w:val="195"/>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Proceeds from debt issuance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19,750</w:t>
            </w:r>
          </w:p>
        </w:tc>
      </w:tr>
      <w:tr>
        <w:trPr>
          <w:trHeight w:val="215"/>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w:t>
            </w: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Proceeds from offerings of issuance of Class A common stock, net of underwriting discounts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4"/>
        </w:trPr>
        <w:tc>
          <w:tcPr>
            <w:tcW w:w="768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226,905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768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Proceeds from exercise of common stock options and withholding taxes for the net share settlement of</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97"/>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 units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Payment of costs for the initial public offering and the follow-on offering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82,511</w:t>
            </w:r>
          </w:p>
        </w:tc>
      </w:tr>
      <w:tr>
        <w:trPr>
          <w:trHeight w:val="210"/>
        </w:trPr>
        <w:tc>
          <w:tcPr>
            <w:tcW w:w="7680" w:type="dxa"/>
            <w:vAlign w:val="bottom"/>
          </w:tcPr>
          <w:p>
            <w:pPr>
              <w:ind w:left="240"/>
              <w:spacing w:after="0"/>
              <w:rPr>
                <w:sz w:val="20"/>
                <w:szCs w:val="20"/>
                <w:color w:val="auto"/>
              </w:rPr>
            </w:pPr>
            <w:r>
              <w:rPr>
                <w:rFonts w:ascii="Arial" w:cs="Arial" w:eastAsia="Arial" w:hAnsi="Arial"/>
                <w:sz w:val="16"/>
                <w:szCs w:val="16"/>
                <w:color w:val="auto"/>
              </w:rPr>
              <w:t>Proceeds from ESPP purchase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91,182</w:t>
            </w:r>
          </w:p>
        </w:tc>
      </w:tr>
      <w:tr>
        <w:trPr>
          <w:trHeight w:val="209"/>
        </w:trPr>
        <w:tc>
          <w:tcPr>
            <w:tcW w:w="7680" w:type="dxa"/>
            <w:vAlign w:val="bottom"/>
          </w:tcPr>
          <w:p>
            <w:pPr>
              <w:ind w:left="4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79,838</w:t>
            </w:r>
          </w:p>
        </w:tc>
      </w:tr>
      <w:tr>
        <w:trPr>
          <w:trHeight w:val="21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87,853</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8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68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 with lease modification</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9"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Description of Business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is a large resale platform that enables consumers to buy and sell primarily secondhand women’s and kid’s apparel, shoes and accessories. The Company conducts its marketing and administrative functions from Oakland, California and Scottsdale, Arizona and operates its fulfillment centers in Pennsylvania, Georgia and Arizona. Another distribution center in Texas is under construction. The Company expanded its operations to Europe through its acquisition of Remix, which closed in October 2021.</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3"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The Company’s registration statement on Form S-1 related to its initial public offering (the “IPO”) was declared effective on March 25, 2021 by the Securities and Exchange Commission (“SEC”), and the Company’s Class A common stock began trading on the Nasdaq Global Select Market on March 26, 2021. Upon the closing of the IPO, the Company sold 13,800,000 shares of Class A common stock to the public at a price of $14.00 per share. The aggregate net proceeds were $175.5 million after deducting offering costs, underwriting discounts and commissions of $17.7 million.</w:t>
      </w:r>
    </w:p>
    <w:p>
      <w:pPr>
        <w:spacing w:after="0" w:line="21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Immediately prior to the completion of the IPO, the Company filed its Amended and Restated Certificate of Incorporation, which authorized a total of 1,000,000,000 shares of Class A common stock, 120,000,000 shares of Class B common stock and 100,000,000 shares of undesignated preferred stock.</w:t>
      </w:r>
    </w:p>
    <w:p>
      <w:pPr>
        <w:spacing w:after="0" w:line="213"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Immediately prior to the completion of the IPO, 65,970,938 shares of the convertible preferred stock then outstanding were converted into an equivalent number of shares of Class B common stock. The Company reclassified the convertible preferred stock to Class B common stock and additional paid-in capital upon the conversion in the three months ended March 31, 2021. 12,889,760 shares of the outstanding historical common stock were reclassified into an equivalent number of shares of Class B common stock. 164,973 shares of the convertible preferred stock warrants were converted to an equivalent number of shares of Class B common stock warrants.</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7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On August 2, 2021, the Company issued and sold 2,000,000 shares of Class A common stock at a price of $24.25 per share in a registered public offering. The aggregate net proceeds were $ 45.5 million, after deducting $3.3 million of underwriting discounts and commissions and offering costs. Refer to Note 10, Common Stock and Common Stock Warrants for more details.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account balances and transactions have been eliminated upon consolidation. The preparation of consolidated financial statements in accordance with accounting principles generally accepted in the United States of America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allowance for bad debts, breakage on loyalty points and rewards, valuation of inventory, warrants, stock-based compensation, valuation of right-of-use assets, valuation of goodwill and acquired intangibles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COVID-19 pandemic has adversely impacted businesses worldwide and has impacted various aspects of the Company’s business and operations. The Company’s revenue growth and operating spend has been and may continue to be affected by COVID-19 and related restrictions on business, labor cost increases and supply chain issues. Estimates and assumptions about future events and their effects cannot be determined with certainty and therefore require the exercise of significant judgment.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6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Company’s functional currency is the United States (“U.S.”) dollar for its operations except for Remix whose functional currency is the Bulgarian lev. In accordance with authoritative guidance, assets and liabilities of the Company’s foreign operations are translated from the respective functional currencies into U.S. dollars at period-end rates, while income and expenses are translated using the average exchange rate during the period in which the transactions occurred. The related translation adjustments are reflected as a foreign currency translation adjustment in accumulated other comprehensive income (loss).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Revenue is recognized in accordance with Accounting Standards Topic 606 (“ASC 606”). Under ASC 606, revenue is recognized upon transfer of control of promised goods and services to customers in an amount that reflects the consideration the Company expects to receive for those goods and services. The Company generates the majority of its revenue from its marketplace, which allows its buyers to browse and purchase resale items for women’s and kids’ apparel, shoes and accessories on behalf of sellers. The Company recognizes revenue through the following steps: (1) 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Both buyers and sellers may be customers in the Company’s revenue arrangements. Sellers are the primary customer in a consignment arrangement while the buyer is the primary customer in sale of Company-owned inventory, referred to as product sales. A contract with a customer exists in both cases when the end-customer purchases the goods obligating the Company to deliver the identified performance obligation(s). Generally,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Consignment Revenue</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generates consignment revenue from the sale of secondhand women’s and kids’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consignor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Consignment revenue is recognized upon purchase of the consigned good by the buyer as its performance obligation of providing consignment services to the consignor is satisfied at that point. Consignment revenue is recognized net of seller payouts, discounts, incentives and returns. Sales tax assessed by governmental authorities is excluded from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 Revenue</w:t>
      </w:r>
    </w:p>
    <w:p>
      <w:pPr>
        <w:spacing w:after="0" w:line="18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recognizes product revenue on a gross basis as the Company acts as the principal in the transaction. Online sales and sales to third-party retail partners are generally recognized upon shipment of the purchased good to the buyer. Product revenue is recognized net of discounts, incentives and returns. Sales tax assessed by governmental authorities is excluded from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Shipping Fees</w:t>
      </w:r>
    </w:p>
    <w:p>
      <w:pPr>
        <w:spacing w:after="0" w:line="18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charges shipping fees to buyers, which are included in revenue. All outbound shipping costs are accounted for in cost of revenue at the time revenue is recognized.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Returns</w:t>
      </w:r>
    </w:p>
    <w:p>
      <w:pPr>
        <w:spacing w:after="0" w:line="18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generally has a 14-day return period which may change from time to time and recognizes a returns reserve, based on historical experience, which is recorded in accrued and other current liabilities on the consolidated balance sheet.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Incentives</w:t>
      </w:r>
    </w:p>
    <w:p>
      <w:pPr>
        <w:spacing w:after="0" w:line="18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Incentives include website discounts, customer credits and loyalty program rewards issued to sellers and buyers. Incentives are treated as a reduction of product revenue and consignment revenue. Revenue treatment for our loyalty program is discussed further below under Deferred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Deferred Revenue</w:t>
      </w:r>
    </w:p>
    <w:p>
      <w:pPr>
        <w:spacing w:after="0" w:line="18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Deferred revenue consists primarily of cash collections for product items purchased, but not shipped, and revenue allocated to unredeemed loyalty points. Cash collections for items purchased, but not shipped, are generally recognized as revenue upon shipment. As of December 31, 2021 and 2020, the Company had $1.7 million and $0.9 million, respectively, in deferred revenue for such items, which were recognized shortly after the period end, and are included in accrued and other current liabilities on the consolidated balance sheets.</w:t>
      </w:r>
    </w:p>
    <w:p>
      <w:pPr>
        <w:spacing w:after="0" w:line="155"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7"/>
          <w:szCs w:val="17"/>
          <w:color w:val="auto"/>
        </w:rPr>
        <w:t>In August 2019, the Company launched a customer loyalty program that provides customers with rewards that can be applied to future purchases or other incentives. 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the Company’s historical redemption rates. Revenue is recognized when the loyalty rewards are redeemed or expire. As of December 31, 2021 and 2020, the Company had a liability of $4.0 million and $4.1 million, respectively, related to the loyalty program which is included in accrued and other current liabilities in the consolidated balance sheets. The Company recognized $13.8 million, $6.6 million and $0.1 million of revenue related to loyalty points in the 2021, 2020 and 2019 periods, respectively. Revenue allocated to loyalty points is expected to be recognized within one year as loyalty points expire 12 months after issuance.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by Geographic Area</w:t>
      </w:r>
    </w:p>
    <w:p>
      <w:pPr>
        <w:spacing w:after="0" w:line="18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Revenue is attributed to a geographic area based on the shipped-from location. The following summarizes the Company’s revenue by geographic area (in thousands):</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gridSpan w:val="2"/>
            <w:shd w:val="clear" w:color="auto" w:fill="CCEEFF"/>
          </w:tcPr>
          <w:p>
            <w:pPr>
              <w:jc w:val="center"/>
              <w:ind w:right="540"/>
              <w:spacing w:after="0"/>
              <w:rPr>
                <w:sz w:val="20"/>
                <w:szCs w:val="20"/>
                <w:color w:val="auto"/>
              </w:rPr>
            </w:pPr>
            <w:r>
              <w:rPr>
                <w:rFonts w:ascii="Arial" w:cs="Arial" w:eastAsia="Arial" w:hAnsi="Arial"/>
                <w:sz w:val="16"/>
                <w:szCs w:val="16"/>
                <w:b w:val="1"/>
                <w:bCs w:val="1"/>
                <w:color w:val="auto"/>
                <w:w w:val="97"/>
              </w:rPr>
              <w:t>Year Ended</w:t>
            </w:r>
          </w:p>
        </w:tc>
        <w:tc>
          <w:tcPr>
            <w:tcW w:w="6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r>
      <w:tr>
        <w:trPr>
          <w:trHeight w:val="205"/>
        </w:trPr>
        <w:tc>
          <w:tcPr>
            <w:tcW w:w="2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2021</w:t>
            </w:r>
          </w:p>
        </w:tc>
        <w:tc>
          <w:tcPr>
            <w:tcW w:w="640" w:type="dxa"/>
            <w:vAlign w:val="bottom"/>
          </w:tcPr>
          <w:p>
            <w:pPr>
              <w:spacing w:after="0"/>
              <w:rPr>
                <w:sz w:val="17"/>
                <w:szCs w:val="17"/>
                <w:color w:val="auto"/>
              </w:rPr>
            </w:pP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8"/>
              </w:rPr>
              <w:t>December 31, 2020</w:t>
            </w:r>
          </w:p>
        </w:tc>
        <w:tc>
          <w:tcPr>
            <w:tcW w:w="620" w:type="dxa"/>
            <w:vAlign w:val="bottom"/>
          </w:tcPr>
          <w:p>
            <w:pPr>
              <w:spacing w:after="0"/>
              <w:rPr>
                <w:sz w:val="17"/>
                <w:szCs w:val="17"/>
                <w:color w:val="auto"/>
              </w:rPr>
            </w:pPr>
          </w:p>
        </w:tc>
        <w:tc>
          <w:tcPr>
            <w:tcW w:w="1960" w:type="dxa"/>
            <w:vAlign w:val="bottom"/>
          </w:tcPr>
          <w:p>
            <w:pPr>
              <w:jc w:val="right"/>
              <w:ind w:right="221"/>
              <w:spacing w:after="0"/>
              <w:rPr>
                <w:sz w:val="20"/>
                <w:szCs w:val="20"/>
                <w:color w:val="auto"/>
              </w:rPr>
            </w:pPr>
            <w:r>
              <w:rPr>
                <w:rFonts w:ascii="Arial" w:cs="Arial" w:eastAsia="Arial" w:hAnsi="Arial"/>
                <w:sz w:val="16"/>
                <w:szCs w:val="16"/>
                <w:b w:val="1"/>
                <w:bCs w:val="1"/>
                <w:color w:val="auto"/>
              </w:rPr>
              <w:t>December 31, 2019</w:t>
            </w:r>
          </w:p>
        </w:tc>
      </w:tr>
      <w:tr>
        <w:trPr>
          <w:trHeight w:val="205"/>
        </w:trPr>
        <w:tc>
          <w:tcPr>
            <w:tcW w:w="2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North America</w:t>
            </w:r>
          </w:p>
        </w:tc>
        <w:tc>
          <w:tcPr>
            <w:tcW w:w="6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240,677</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186,015</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12"/>
        </w:trPr>
        <w:tc>
          <w:tcPr>
            <w:tcW w:w="2420" w:type="dxa"/>
            <w:vAlign w:val="bottom"/>
          </w:tcPr>
          <w:p>
            <w:pPr>
              <w:ind w:left="340"/>
              <w:spacing w:after="0"/>
              <w:rPr>
                <w:sz w:val="20"/>
                <w:szCs w:val="20"/>
                <w:color w:val="auto"/>
              </w:rPr>
            </w:pPr>
            <w:r>
              <w:rPr>
                <w:rFonts w:ascii="Arial" w:cs="Arial" w:eastAsia="Arial" w:hAnsi="Arial"/>
                <w:sz w:val="16"/>
                <w:szCs w:val="16"/>
                <w:color w:val="auto"/>
              </w:rPr>
              <w:t>Europe</w:t>
            </w:r>
          </w:p>
        </w:tc>
        <w:tc>
          <w:tcPr>
            <w:tcW w:w="640" w:type="dxa"/>
            <w:vAlign w:val="bottom"/>
          </w:tcPr>
          <w:p>
            <w:pPr>
              <w:spacing w:after="0"/>
              <w:rPr>
                <w:sz w:val="18"/>
                <w:szCs w:val="18"/>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11,115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251,792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186,015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536"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right="620"/>
        <w:spacing w:after="0" w:line="430" w:lineRule="auto"/>
        <w:rPr>
          <w:sz w:val="20"/>
          <w:szCs w:val="20"/>
          <w:color w:val="auto"/>
        </w:rPr>
      </w:pPr>
      <w:r>
        <w:rPr>
          <w:rFonts w:ascii="Arial" w:cs="Arial" w:eastAsia="Arial" w:hAnsi="Arial"/>
          <w:sz w:val="18"/>
          <w:szCs w:val="18"/>
          <w:color w:val="auto"/>
        </w:rPr>
        <w:t xml:space="preserve">Europe net sales in the year ended December 31, 2021 is primarily coming from the Company’s Remix operations acquired in 2021. </w:t>
      </w:r>
      <w:r>
        <w:rPr>
          <w:rFonts w:ascii="Arial" w:cs="Arial" w:eastAsia="Arial" w:hAnsi="Arial"/>
          <w:sz w:val="18"/>
          <w:szCs w:val="18"/>
          <w:b w:val="1"/>
          <w:bCs w:val="1"/>
          <w:i w:val="1"/>
          <w:iCs w:val="1"/>
          <w:color w:val="auto"/>
        </w:rPr>
        <w:t>Segments</w:t>
      </w:r>
    </w:p>
    <w:p>
      <w:pPr>
        <w:jc w:val="both"/>
        <w:ind w:firstLine="318"/>
        <w:spacing w:after="0" w:line="234" w:lineRule="auto"/>
        <w:rPr>
          <w:sz w:val="20"/>
          <w:szCs w:val="20"/>
          <w:color w:val="auto"/>
        </w:rPr>
      </w:pPr>
      <w:r>
        <w:rPr>
          <w:rFonts w:ascii="Arial" w:cs="Arial" w:eastAsia="Arial" w:hAnsi="Arial"/>
          <w:sz w:val="18"/>
          <w:szCs w:val="18"/>
          <w:color w:val="auto"/>
        </w:rPr>
        <w:t>The Company operates under one operating segment and one reportable segment as its chief operating decision maker, who is its Chief Executive Officer, reviews financial information presented on a consolidated basis for purposes of making operating decisions, allocating resources and evaluating financial performance. The long-lived assets, excluding goodwill and intangible assets, outside of the United States are immaterial.</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3" w:lineRule="exact"/>
        <w:rPr>
          <w:sz w:val="20"/>
          <w:szCs w:val="20"/>
          <w:color w:val="auto"/>
        </w:rPr>
      </w:pPr>
    </w:p>
    <w:p>
      <w:pPr>
        <w:jc w:val="both"/>
        <w:ind w:firstLine="318"/>
        <w:spacing w:after="0" w:line="218"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estimated fair values on the acquisition date. The excess of the fair value of purchase consideration over the values of these identifiable assets and liabilities is recorded as goodwill. When determining the fair value of assets acquired and liabilities assumed, the management makes significant estimates and assumptions, especially with respect to intangible assets. Significant estimates in valuing intangible assets include, but are not limited to, expected future cash flows, which includes consideration of future growth and margins, future changes in technology, brand awareness and discount rates. Fair value estimates are based on the assumptions that management believes to be reasonable, but which are inherently uncertain and unpredictable and, as a result, actual results may differ from estimates. After the purchase accounting is finalized, any subsequent adjustments are reflected in the consolidated statements of operations. Acquisition costs, such as legal and consulting fees, are expensed as incurred.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follows the two-class method when computing net loss per common share when shares issued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Comprehensive loss is comprised of net loss and other charges or credits to equity that are not the result of transactions with owners. There was $0.7 million foreign currency translation loss included in the other comprehensive loss for the year ended December 31, 2021. There were $0.4 million other comprehensive losses related to unrealized gains or losses on debt securities classified as available-for-sale for the year ended December 31, 2021. There were no material unrealized gains or losses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classifies all highly liquid instruments with an original maturity of three months or less at the time of purchase as cash equivalents. Cash and cash equivalents are comprised of bank deposits and commercial paper, and money market funds.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Restricted cash primarily represents letters of credit with financial institutions held as collateral for its facility leases. Restricted cash is classified non-current if the Company expects that the cash will remain restricted for a period greater than one-year. Current restricted cash is included in other current assets on the consolidated balance sheet.</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provides a reconciliation of cash and cash equivalents as well as restricted cash reported within the consolidated balance sheets to the amounts shown in the consolidated statements of cash flows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79"/>
        </w:trPr>
        <w:tc>
          <w:tcPr>
            <w:tcW w:w="7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8"/>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84,550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64,485</w:t>
            </w:r>
          </w:p>
        </w:tc>
      </w:tr>
      <w:tr>
        <w:trPr>
          <w:trHeight w:val="225"/>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Restricted cash, current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19"/>
        </w:trPr>
        <w:tc>
          <w:tcPr>
            <w:tcW w:w="8000" w:type="dxa"/>
            <w:vAlign w:val="bottom"/>
            <w:gridSpan w:val="2"/>
          </w:tcPr>
          <w:p>
            <w:pPr>
              <w:ind w:left="20"/>
              <w:spacing w:after="0"/>
              <w:rPr>
                <w:sz w:val="20"/>
                <w:szCs w:val="20"/>
                <w:color w:val="auto"/>
              </w:rPr>
            </w:pPr>
            <w:r>
              <w:rPr>
                <w:rFonts w:ascii="Arial" w:cs="Arial" w:eastAsia="Arial" w:hAnsi="Arial"/>
                <w:sz w:val="18"/>
                <w:szCs w:val="18"/>
                <w:color w:val="auto"/>
                <w:w w:val="99"/>
              </w:rPr>
              <w:t>Total cash, cash equivalents and restricted cash shown in the consolidated statements of cash flows</w:t>
            </w: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91,840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67,539</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Restricted cash, non-current of $6.7 million and $2.7 million is included in other assets in the consolidated balance sheets as of December 31, 2021 and 2020,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invests its excess cash in investment grade, short to intermediate-term, fixed income securities and recognizes the transaction on the trade-date.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reviewed periodically to identify possible other-than-temporary impairments. Realized gains or losses and other-than-temporary impairments, if any, on available-for sale securities are reported in other income, net as incurred.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never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2021 and 2020, there were no customers that represented 10% or more of the Company’s accounts receivable balance. There were no customers that individually exceeded 10% of the Company’s revenue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Accounts receivable consists of amounts due from payment processors and trade customers that do not bear interest. The Company records an allowance for doubtful accounts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doubtful accounts was immaterial as of December 31, 2021 and 2020.</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Inventory, Net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Inventories, consisting of merchandise that the Company has purchased and holds title, are accounted for using the specific identification method, and are valued at the lower of cost and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Property and equipment are stated at cost less accumulated depreciation. Depreciation is recorded on a straight-line basis over the estimated useful lives of the assets.</w:t>
      </w:r>
    </w:p>
    <w:p>
      <w:pPr>
        <w:sectPr>
          <w:pgSz w:w="11900" w:h="16838" w:orient="portrait"/>
          <w:cols w:equalWidth="0" w:num="1">
            <w:col w:w="11240"/>
          </w:cols>
          <w:pgMar w:left="320" w:top="536" w:right="339" w:bottom="1440" w:gutter="0" w:footer="0" w:header="0"/>
        </w:sectPr>
      </w:pP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useful lives of the Company’s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34860"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Machinery and equipment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252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Leasehold improvements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Computers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3-10 years</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 years</w:t>
      </w:r>
    </w:p>
    <w:p>
      <w:pPr>
        <w:spacing w:after="0" w:line="233" w:lineRule="auto"/>
        <w:rPr>
          <w:sz w:val="20"/>
          <w:szCs w:val="20"/>
          <w:color w:val="auto"/>
        </w:rPr>
      </w:pPr>
      <w:r>
        <w:rPr>
          <w:rFonts w:ascii="Arial" w:cs="Arial" w:eastAsia="Arial" w:hAnsi="Arial"/>
          <w:sz w:val="17"/>
          <w:szCs w:val="17"/>
          <w:color w:val="auto"/>
        </w:rPr>
        <w:t>Shorter of lease term or</w:t>
      </w:r>
    </w:p>
    <w:p>
      <w:pPr>
        <w:spacing w:after="0" w:line="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estimated useful life</w:t>
      </w:r>
    </w:p>
    <w:p>
      <w:pPr>
        <w:spacing w:after="0" w:line="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 years</w:t>
      </w:r>
    </w:p>
    <w:p>
      <w:pPr>
        <w:spacing w:after="0" w:line="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5-7 years</w:t>
      </w:r>
    </w:p>
    <w:p>
      <w:pPr>
        <w:spacing w:after="0" w:line="200" w:lineRule="exact"/>
        <w:rPr>
          <w:sz w:val="20"/>
          <w:szCs w:val="20"/>
          <w:color w:val="auto"/>
        </w:rPr>
      </w:pPr>
    </w:p>
    <w:p>
      <w:pPr>
        <w:sectPr>
          <w:pgSz w:w="11900" w:h="16838" w:orient="portrait"/>
          <w:cols w:equalWidth="0" w:num="2">
            <w:col w:w="8260" w:space="720"/>
            <w:col w:w="2260"/>
          </w:cols>
          <w:pgMar w:left="320" w:top="536" w:right="339" w:bottom="1440" w:gutter="0" w:footer="0" w:header="0"/>
          <w:type w:val="continuous"/>
        </w:sectPr>
      </w:pP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Maintenance and repairs are charged to expense as incurred, and improvements and betterments are capitalized.</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When assets are retired or otherwise disposed of, the cost and accumulated depreciation and amortization are removed from the balance sheet and any resulting gain or loss is reflected in the consolidated statement of operations in the period realized.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undiscounted cash flows expected to be generated from the use of the asset and its eventual disposition. If such assets are considered to be impaired, the impairment to be recognized is equal to the excess of the fair value over the carrying amount of the impaired assets. There were no impairments of long-lived assets for the years ended December 31, 2021 and 2020.</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Goodwill is not subject to amortization, but is reviewed for impairment on an annual basis or more frequently if events or changes in circumstances indicate that the carrying value of goodwill may not be recoverable. The Company tests goodwill for impairment annually as of the first day of its fourth fiscal quarter and in interim periods if events occur that would indicate that the carrying value of goodwill may be impaired. The Company assesses goodwill for impairment by comparing the fair value of the reporting unit to its carrying amount.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When a business is acquired, a portion of the purchase price is typically allocated to identifiable intangible assets, such as trademark, acquired technology and customer relationships. Fair value of these assets is determined primarily using the income approach, which requires the management to project future cash flows and apply an appropriate discount rate. Intangible assets with finite lives are amortized on a straight-line basis over their economic lives ranging from 3 years to 9 years.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the Company’s results of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made a strategic investment in preferred shares of a privately held online retail company in October 2021. The Company accounts for its investment in accordance with ASC 321</w:t>
      </w:r>
      <w:r>
        <w:rPr>
          <w:rFonts w:ascii="Arial" w:cs="Arial" w:eastAsia="Arial" w:hAnsi="Arial"/>
          <w:sz w:val="18"/>
          <w:szCs w:val="18"/>
          <w:i w:val="1"/>
          <w:iCs w:val="1"/>
          <w:color w:val="auto"/>
        </w:rPr>
        <w:t>, Investments – Equity Securities</w:t>
      </w:r>
      <w:r>
        <w:rPr>
          <w:rFonts w:ascii="Arial" w:cs="Arial" w:eastAsia="Arial" w:hAnsi="Arial"/>
          <w:sz w:val="18"/>
          <w:szCs w:val="18"/>
          <w:color w:val="auto"/>
        </w:rPr>
        <w:t xml:space="preserve"> (“ASC 321”). Upon acquisition, the investment is measured at cost, which represents the then fair value. Under ASC 321, the Company can elect to subsequently measure the investments at initial cost, minus impairment and any changes, plus or minus, resulting from observable price in orderly transactions for the identical or a similar investment of the same issuer. This election must be made for each investment separately. Changes in the carrying value of other investment are recognized through net loss. Each reporting period, the Company performs a qualitative assessment to evaluate whether the investment is impaired. The Company’s assessment includes a review of recent operating results and trends, recent sales/acquisitions of the investee securities and other factors that raise concerns about the investee’s ability to continue as a going concern. If the investment is impaired, an impairment charge is recognized in the amount by which the carrying amount of the investment exceeds the estimated fair value of the investment, with the impairment charge recognized through net loss. The Company’s non-marketable equity investment of $3.8 million was included in the other assets in the consolidated balance sheet as of December 31, 2021 and there was no impairment recognized on the investment.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records asset retirement obligations (“AROs”) for the estimated cost of restoring its automated warehouse facilities to the specific condition required per the terms of its lease agreement, upon termination of the lease. AROs represent the present value of the expected costs and timing of the related obligations incurred. The ARO assets and liabilities are recorded in property and equipment within the machinery and equipment line item and other non-current liabilities in the consolidated balance sheets. The Company records accretion expense, which represents the increase in the ARO, over the remaining estimated duration of the lease including renewal periods that are included in the lease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Accretion expense is recorded in operations, product and technology expense in the consolidated statement of operations using accretion rates based on credit adjusted risk-free interest rates.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8"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color w:val="auto"/>
        </w:rPr>
        <w:t xml:space="preserve">Effective January 1, 2020,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the optional transition method and applied the standard only to leases that existed at that date.</w:t>
      </w:r>
    </w:p>
    <w:p>
      <w:pPr>
        <w:spacing w:after="0" w:line="13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leases, lease payments are recognized on a straight-line basis over the lease term and variable payments in the period in which the obligation is incurred.</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Seller Payable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Gift Cards and Site and Seller Credits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sells thredUP gift cards on its e-commerce website. Seller credits and site credits can be converted to thredUP gift cards. thredUP gift cards do not expire or lose value over periods of inactivity. The Company accounts for gift cards by recognizing a gift card liability at the time a gift card is delivered to the customer. As of December 31, 2021 and 2020, $7.3 million and $6.2 million of gift card liability, respectively, was included in accrued and other current liabilities on the consolidated balance sheets. Revenue from gift cards is generally recognized when the gift cards are redeemed by the customer and amounted to $0.9 million, $0.6 million and $0.1 million in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issues both site credits and seller credits. The Company issues site credits for various reasons such as for promotions or for refunds. The Company issues seller credits to sellers in exchange for consignment items sold. Site credits can be applied towards future charges but cannot be converted into cash. Site credits and seller credits may also be converted to thredUP gift cards after one year at the discretion of the Company. These credits are recognized as revenue when used, converted, or expired. As of December 31, 2021 and 2020, $5.9 million and $3.2 million, respectively, of such customer site credits were included in accrued and other current liabilities on the consolidated balance sheets.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Breakage on gift cards and site credits is immaterial for the years ended December 31, 2021, 2020 and 2019.</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Cost of consignment revenue consists of outbound shipping, outbound labor and packaging costs. Cost of product revenue mainly consists of the inventory cost, inbound shipping related to the sold merchandise, outbound shipping, outbound labor, packaging costs and inventory write-downs.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Operations, Product and Technology</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related to our technology were approximately $28.7 million, $20.7 million and $19.0 million, during the years ended December 31, 2021, 2020 and 2019, respectively.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Marketing</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Marketing costs consist primarily of advertising, public relations expenditures and personnel costs for employees engaged in marketing.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Marketing costs also include an allocation of corporate facilities and information technology costs including equipment, depreciation and rent.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Advertising and other promotional costs included in the marketing line item on the consolidated statement of operations are expensed as incurred and were approximately $54.1 million, $38.4 million and $39.2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Sales, general and administrative expenses consist of personnel costs for employees involved in general corporate functions, including accounting, finance, tax, legal and people services; customer service; and retail stores. Sales, general and administrative also includes payment processing fees, professional fees and allocation of corporate facilities and information technology costs such as equipment, depreciation and rent.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Stock-based compensation costs are based on the fair values on the date of grant for stock awards and stock options and on the date of enrollment for the employee stock purchase plan (“ESPP”). The fair values of Restricted Stock Units (“RSUs”) are based on ThredUp’s stock price on the date of grant. The fair values of stock options and ESPP are estimated using the Black-Scholes option-pricing model. The fair values of equity awards are recognized as compensation expense over the requisite service period or over the period in which the related services are received (generally the vesting period), using the straight-line method. The estimated fair value of equity awards that contain performance conditions is expensed over the term of the award once the Company has determined that it is probable that performance conditions will be satisfied. The Company accounts for forfeitures as they occur. The determination of fair value for share-based awards on the date of grant using an option pricing model requires management to make certain assumptions regarding subjective variables.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Within the consolidated balance sheets, the Company included restricted cash, non-current within non-current other assets for the prior period to conform with current period presentation.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6"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consolidated financial statements on a recurring basis (at least annually). As of December 31, 2021 and 2020,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7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Level 2—Inputs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 Recently Issued But Not Yet Adopted</w:t>
      </w:r>
    </w:p>
    <w:p>
      <w:pPr>
        <w:spacing w:after="0" w:line="16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subsequent amendments to the initial guidance: ASU 2018-19, ASU 2019-04, ASU 2019-05, ASU 2019-10, ASU</w:t>
      </w:r>
      <w:r>
        <w:rPr>
          <w:rFonts w:ascii="Arial" w:cs="Arial" w:eastAsia="Arial" w:hAnsi="Arial"/>
          <w:sz w:val="18"/>
          <w:szCs w:val="18"/>
          <w:i w:val="1"/>
          <w:iCs w:val="1"/>
          <w:color w:val="auto"/>
        </w:rPr>
        <w:t xml:space="preserve"> </w:t>
      </w:r>
      <w:r>
        <w:rPr>
          <w:rFonts w:ascii="Arial" w:cs="Arial" w:eastAsia="Arial" w:hAnsi="Arial"/>
          <w:sz w:val="18"/>
          <w:szCs w:val="18"/>
          <w:color w:val="auto"/>
        </w:rPr>
        <w:t>2019-11, ASU 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is currently evaluating the impact of this standard on its consolidated financial statements.</w:t>
      </w:r>
    </w:p>
    <w:p>
      <w:pPr>
        <w:spacing w:after="0" w:line="128" w:lineRule="exact"/>
        <w:rPr>
          <w:sz w:val="20"/>
          <w:szCs w:val="20"/>
          <w:color w:val="auto"/>
        </w:rPr>
      </w:pPr>
    </w:p>
    <w:p>
      <w:pPr>
        <w:ind w:left="340" w:hanging="334"/>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 Measurements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all of the marketable securities,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financial instruments measured at fair value for each of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Fair Value as of December 31, 2021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8"/>
                <w:szCs w:val="18"/>
                <w:color w:val="auto"/>
              </w:rPr>
            </w:pPr>
          </w:p>
        </w:tc>
        <w:tc>
          <w:tcPr>
            <w:tcW w:w="1260" w:type="dxa"/>
            <w:vAlign w:val="bottom"/>
          </w:tcPr>
          <w:p>
            <w:pPr>
              <w:jc w:val="right"/>
              <w:ind w:right="5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40"/>
              <w:spacing w:after="0"/>
              <w:rPr>
                <w:sz w:val="20"/>
                <w:szCs w:val="20"/>
                <w:color w:val="auto"/>
              </w:rPr>
            </w:pPr>
            <w:r>
              <w:rPr>
                <w:rFonts w:ascii="Arial" w:cs="Arial" w:eastAsia="Arial" w:hAnsi="Arial"/>
                <w:sz w:val="16"/>
                <w:szCs w:val="16"/>
                <w:color w:val="auto"/>
              </w:rPr>
              <w:t>Money market fund</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41,376</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41,376</w:t>
            </w:r>
          </w:p>
        </w:tc>
        <w:tc>
          <w:tcPr>
            <w:tcW w:w="0" w:type="dxa"/>
            <w:vAlign w:val="bottom"/>
          </w:tcPr>
          <w:p>
            <w:pPr>
              <w:spacing w:after="0"/>
              <w:rPr>
                <w:sz w:val="1"/>
                <w:szCs w:val="1"/>
                <w:color w:val="auto"/>
              </w:rPr>
            </w:pPr>
          </w:p>
        </w:tc>
      </w:tr>
      <w:tr>
        <w:trPr>
          <w:trHeight w:val="24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U.S. treasury securities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37,190</w:t>
            </w:r>
          </w:p>
        </w:tc>
        <w:tc>
          <w:tcPr>
            <w:tcW w:w="0" w:type="dxa"/>
            <w:vAlign w:val="bottom"/>
          </w:tcPr>
          <w:p>
            <w:pPr>
              <w:spacing w:after="0"/>
              <w:rPr>
                <w:sz w:val="1"/>
                <w:szCs w:val="1"/>
                <w:color w:val="auto"/>
              </w:rPr>
            </w:pPr>
          </w:p>
        </w:tc>
      </w:tr>
      <w:tr>
        <w:trPr>
          <w:trHeight w:val="236"/>
        </w:trPr>
        <w:tc>
          <w:tcPr>
            <w:tcW w:w="440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12,098</w:t>
            </w:r>
          </w:p>
        </w:tc>
        <w:tc>
          <w:tcPr>
            <w:tcW w:w="0" w:type="dxa"/>
            <w:vAlign w:val="bottom"/>
          </w:tcPr>
          <w:p>
            <w:pPr>
              <w:spacing w:after="0"/>
              <w:rPr>
                <w:sz w:val="1"/>
                <w:szCs w:val="1"/>
                <w:color w:val="auto"/>
              </w:rPr>
            </w:pPr>
          </w:p>
        </w:tc>
      </w:tr>
      <w:tr>
        <w:trPr>
          <w:trHeight w:val="24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55,921</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U.S. government agency bonds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28,166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28,166</w:t>
            </w:r>
          </w:p>
        </w:tc>
        <w:tc>
          <w:tcPr>
            <w:tcW w:w="0" w:type="dxa"/>
            <w:vAlign w:val="bottom"/>
          </w:tcPr>
          <w:p>
            <w:pPr>
              <w:spacing w:after="0"/>
              <w:rPr>
                <w:sz w:val="1"/>
                <w:szCs w:val="1"/>
                <w:color w:val="auto"/>
              </w:rPr>
            </w:pPr>
          </w:p>
        </w:tc>
      </w:tr>
      <w:tr>
        <w:trPr>
          <w:trHeight w:val="228"/>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174,751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Classified as: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equivalents</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53,474</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121,277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174,751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Level 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21"/>
              <w:spacing w:after="0"/>
              <w:rPr>
                <w:sz w:val="20"/>
                <w:szCs w:val="20"/>
                <w:color w:val="auto"/>
              </w:rPr>
            </w:pPr>
            <w:r>
              <w:rPr>
                <w:rFonts w:ascii="Arial" w:cs="Arial" w:eastAsia="Arial" w:hAnsi="Arial"/>
                <w:sz w:val="16"/>
                <w:szCs w:val="16"/>
                <w:b w:val="1"/>
                <w:bCs w:val="1"/>
                <w:color w:val="auto"/>
              </w:rPr>
              <w:t>Total</w:t>
            </w:r>
          </w:p>
        </w:tc>
      </w:tr>
      <w:tr>
        <w:trPr>
          <w:trHeight w:val="192"/>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09"/>
        </w:trPr>
        <w:tc>
          <w:tcPr>
            <w:tcW w:w="4700" w:type="dxa"/>
            <w:vAlign w:val="bottom"/>
          </w:tcPr>
          <w:p>
            <w:pPr>
              <w:ind w:left="440"/>
              <w:spacing w:after="0"/>
              <w:rPr>
                <w:sz w:val="20"/>
                <w:szCs w:val="20"/>
                <w:color w:val="auto"/>
              </w:rPr>
            </w:pPr>
            <w:r>
              <w:rPr>
                <w:rFonts w:ascii="Arial" w:cs="Arial" w:eastAsia="Arial" w:hAnsi="Arial"/>
                <w:sz w:val="16"/>
                <w:szCs w:val="16"/>
                <w:color w:val="auto"/>
              </w:rPr>
              <w:t>Cash equivalents: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4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Money market fund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43,460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43,460</w:t>
            </w:r>
          </w:p>
        </w:tc>
      </w:tr>
      <w:tr>
        <w:trPr>
          <w:trHeight w:val="208"/>
        </w:trPr>
        <w:tc>
          <w:tcPr>
            <w:tcW w:w="4700" w:type="dxa"/>
            <w:vAlign w:val="bottom"/>
          </w:tcPr>
          <w:p>
            <w:pPr>
              <w:ind w:left="240"/>
              <w:spacing w:after="0"/>
              <w:rPr>
                <w:sz w:val="20"/>
                <w:szCs w:val="20"/>
                <w:color w:val="auto"/>
              </w:rPr>
            </w:pPr>
            <w:r>
              <w:rPr>
                <w:rFonts w:ascii="Arial" w:cs="Arial" w:eastAsia="Arial" w:hAnsi="Arial"/>
                <w:sz w:val="16"/>
                <w:szCs w:val="16"/>
                <w:color w:val="auto"/>
              </w:rPr>
              <w:t>Total cash equivalents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43,460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43,460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47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Liabilities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9"/>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Convertible preferred stock warrant liability</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r>
      <w:tr>
        <w:trPr>
          <w:trHeight w:val="228"/>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money market funds and commercial paper were included within cash equivalents. U.S. treasury securities, U.S.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government agency bonds and corporate debt securities were included within the marketable securities.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Company’s money market funds, U.S. treasury securities, corporate debt securities, U.S. government agency bonds were valued using Level 1 inputs because they are valued using quoted market prices.</w:t>
      </w:r>
    </w:p>
    <w:p>
      <w:pPr>
        <w:spacing w:after="0" w:line="2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Company’s commercial papers were valued using Level 2 inputs because they are valued using quoted prices for similar assets or liabilities in active markets and quoted prices for identical or similar assets or liabilities in markets that are not active.</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2021 and 2020 the amortized cost of the Company’s financial assets and liabilities approximate their estimated fair values.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2021, out of the $121.3 million carrying amount of marketable securities, $49.0 million had a contractual maturity date of less than one year and $72.2 million had a contractual maturity date between one and two years.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convertible preferred stock warrant liability was included in other non-current liabilities and was valued using Level 3 inputs, before the convertible preferred stock warrants were converted to Class B common stock warrants upon IPO.</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the years ended December 31, 2021 and 2020, there were no transfers between Level 1, Level 2, or Level 3 assets reported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hanging="334"/>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r>
      <w:tr>
        <w:trPr>
          <w:trHeight w:val="245"/>
        </w:trPr>
        <w:tc>
          <w:tcPr>
            <w:tcW w:w="74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2020</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w:t>
            </w:r>
          </w:p>
        </w:tc>
      </w:tr>
      <w:tr>
        <w:trPr>
          <w:trHeight w:val="264"/>
        </w:trPr>
        <w:tc>
          <w:tcPr>
            <w:tcW w:w="7460" w:type="dxa"/>
            <w:vAlign w:val="bottom"/>
          </w:tcPr>
          <w:p>
            <w:pPr>
              <w:ind w:left="340"/>
              <w:spacing w:after="0"/>
              <w:rPr>
                <w:sz w:val="20"/>
                <w:szCs w:val="20"/>
                <w:color w:val="auto"/>
              </w:rPr>
            </w:pPr>
            <w:r>
              <w:rPr>
                <w:rFonts w:ascii="Arial" w:cs="Arial" w:eastAsia="Arial" w:hAnsi="Arial"/>
                <w:sz w:val="18"/>
                <w:szCs w:val="18"/>
                <w:color w:val="auto"/>
              </w:rPr>
              <w:t>Internal-use software</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5,517</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4,764</w:t>
            </w:r>
          </w:p>
        </w:tc>
      </w:tr>
      <w:tr>
        <w:trPr>
          <w:trHeight w:val="26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Computers and software</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64"/>
        </w:trPr>
        <w:tc>
          <w:tcPr>
            <w:tcW w:w="7460" w:type="dxa"/>
            <w:vAlign w:val="bottom"/>
          </w:tcPr>
          <w:p>
            <w:pPr>
              <w:ind w:left="3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4,705</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6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64"/>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19"/>
        </w:trPr>
        <w:tc>
          <w:tcPr>
            <w:tcW w:w="7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55,221</w:t>
            </w:r>
          </w:p>
        </w:tc>
      </w:tr>
      <w:tr>
        <w:trPr>
          <w:trHeight w:val="264"/>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(20,562)</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w:t>
            </w: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years ended December 31, 2021 and 2020, the Company capitalized $2.1 million and $1.4 million of costs associated with internal-use software, respectively. For the years ended December 31, 2021 and 2020 the Company capitalized $0.3 million and $0.4 million, respectively, out of $2.5 million and $1.7 million total interest costs incurred for each respective period. Depreciation and amortization expense of property and equipment was $8.5 million and $5.6 million for the year ended December 31, 2021 and 2020, respectively.</w:t>
      </w:r>
    </w:p>
    <w:p>
      <w:pPr>
        <w:spacing w:after="0" w:line="133" w:lineRule="exact"/>
        <w:rPr>
          <w:sz w:val="20"/>
          <w:szCs w:val="20"/>
          <w:color w:val="auto"/>
        </w:rPr>
      </w:pPr>
    </w:p>
    <w:p>
      <w:pPr>
        <w:ind w:left="340" w:hanging="334"/>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Remix</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July 24, 2021, the Company entered into Share Purchase Agreements with the shareholders of Remix, a fashion resale company headquartered in Sofia, Bulgaria, to purchase 100% of the outstanding equity interests of Remix and its subsidiary. The acquisition of Remix closed on October 7, 2021. With this acquisition, the Company added a complementary operational infrastructure and an experienced management team to enable its expansion into Europe.</w:t>
      </w:r>
    </w:p>
    <w:p>
      <w:pPr>
        <w:spacing w:after="0" w:line="15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Company acquired the business for total cash consideration of $25.6 million and future issuance of 130,597 Class A common shares in 2023 with a fair value of $2.7 million as of the closing date. Revenue of $11.1 million and net loss of $1.2 million from this acquisition have been included in the consolidated statements of operations from the acquisition date through December 31, 2021. The Company incurred $1.1 million in transaction-related costs during the year ended December 31, 2021, which are included within sales, general and administrative expenses.</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allocation of the purchase price is based on the estimated fair values of the assets acquired and liabilities assumed by major class related to the acquisition of Remix and are reflected, as of the acquisition date, in the accompanying financial statements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140" w:type="dxa"/>
        <w:tblCellMar>
          <w:top w:w="0" w:type="dxa"/>
          <w:left w:w="0" w:type="dxa"/>
          <w:bottom w:w="0" w:type="dxa"/>
          <w:right w:w="0" w:type="dxa"/>
        </w:tblCellMar>
      </w:tblPr>
      <w:tr>
        <w:trPr>
          <w:trHeight w:val="212"/>
        </w:trPr>
        <w:tc>
          <w:tcPr>
            <w:tcW w:w="41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Purchase Price</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9"/>
        </w:trPr>
        <w:tc>
          <w:tcPr>
            <w:tcW w:w="4180" w:type="dxa"/>
            <w:vAlign w:val="bottom"/>
          </w:tcPr>
          <w:p>
            <w:pPr>
              <w:ind w:left="540"/>
              <w:spacing w:after="0"/>
              <w:rPr>
                <w:sz w:val="20"/>
                <w:szCs w:val="20"/>
                <w:color w:val="auto"/>
              </w:rPr>
            </w:pPr>
            <w:r>
              <w:rPr>
                <w:rFonts w:ascii="Arial" w:cs="Arial" w:eastAsia="Arial" w:hAnsi="Arial"/>
                <w:sz w:val="16"/>
                <w:szCs w:val="16"/>
                <w:color w:val="auto"/>
              </w:rPr>
              <w:t>Cash consideration</w:t>
            </w:r>
          </w:p>
        </w:tc>
        <w:tc>
          <w:tcPr>
            <w:tcW w:w="1480" w:type="dxa"/>
            <w:vAlign w:val="bottom"/>
          </w:tcPr>
          <w:p>
            <w:pPr>
              <w:jc w:val="right"/>
              <w:ind w:right="981"/>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25,550</w:t>
            </w:r>
          </w:p>
        </w:tc>
      </w:tr>
      <w:tr>
        <w:trPr>
          <w:trHeight w:val="212"/>
        </w:trPr>
        <w:tc>
          <w:tcPr>
            <w:tcW w:w="4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Delayed share issuance</w:t>
            </w:r>
          </w:p>
        </w:tc>
        <w:tc>
          <w:tcPr>
            <w:tcW w:w="14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r>
      <w:tr>
        <w:trPr>
          <w:trHeight w:val="208"/>
        </w:trPr>
        <w:tc>
          <w:tcPr>
            <w:tcW w:w="4180" w:type="dxa"/>
            <w:vAlign w:val="bottom"/>
          </w:tcPr>
          <w:p>
            <w:pPr>
              <w:ind w:left="760"/>
              <w:spacing w:after="0"/>
              <w:rPr>
                <w:sz w:val="20"/>
                <w:szCs w:val="20"/>
                <w:color w:val="auto"/>
              </w:rPr>
            </w:pPr>
            <w:r>
              <w:rPr>
                <w:rFonts w:ascii="Arial" w:cs="Arial" w:eastAsia="Arial" w:hAnsi="Arial"/>
                <w:sz w:val="16"/>
                <w:szCs w:val="16"/>
                <w:color w:val="auto"/>
              </w:rPr>
              <w:t>Total purchase consideration</w:t>
            </w:r>
          </w:p>
        </w:tc>
        <w:tc>
          <w:tcPr>
            <w:tcW w:w="148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28,294</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8"/>
        </w:trPr>
        <w:tc>
          <w:tcPr>
            <w:tcW w:w="4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9"/>
        </w:trPr>
        <w:tc>
          <w:tcPr>
            <w:tcW w:w="4180" w:type="dxa"/>
            <w:vAlign w:val="bottom"/>
          </w:tcPr>
          <w:p>
            <w:pPr>
              <w:ind w:left="540"/>
              <w:spacing w:after="0"/>
              <w:rPr>
                <w:sz w:val="20"/>
                <w:szCs w:val="20"/>
                <w:color w:val="auto"/>
              </w:rPr>
            </w:pPr>
            <w:r>
              <w:rPr>
                <w:rFonts w:ascii="Arial" w:cs="Arial" w:eastAsia="Arial" w:hAnsi="Arial"/>
                <w:sz w:val="16"/>
                <w:szCs w:val="16"/>
                <w:color w:val="auto"/>
              </w:rPr>
              <w:t>Cash and cash equivalents</w:t>
            </w:r>
          </w:p>
        </w:tc>
        <w:tc>
          <w:tcPr>
            <w:tcW w:w="1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1,860</w:t>
            </w:r>
          </w:p>
        </w:tc>
      </w:tr>
      <w:tr>
        <w:trPr>
          <w:trHeight w:val="214"/>
        </w:trPr>
        <w:tc>
          <w:tcPr>
            <w:tcW w:w="4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210"/>
        </w:trPr>
        <w:tc>
          <w:tcPr>
            <w:tcW w:w="418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1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3,657</w:t>
            </w:r>
          </w:p>
        </w:tc>
      </w:tr>
      <w:tr>
        <w:trPr>
          <w:trHeight w:val="214"/>
        </w:trPr>
        <w:tc>
          <w:tcPr>
            <w:tcW w:w="4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Intangible assets</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14,800</w:t>
            </w:r>
          </w:p>
        </w:tc>
      </w:tr>
      <w:tr>
        <w:trPr>
          <w:trHeight w:val="210"/>
        </w:trPr>
        <w:tc>
          <w:tcPr>
            <w:tcW w:w="4180" w:type="dxa"/>
            <w:vAlign w:val="bottom"/>
          </w:tcPr>
          <w:p>
            <w:pPr>
              <w:ind w:left="540"/>
              <w:spacing w:after="0"/>
              <w:rPr>
                <w:sz w:val="20"/>
                <w:szCs w:val="20"/>
                <w:color w:val="auto"/>
              </w:rPr>
            </w:pPr>
            <w:r>
              <w:rPr>
                <w:rFonts w:ascii="Arial" w:cs="Arial" w:eastAsia="Arial" w:hAnsi="Arial"/>
                <w:sz w:val="16"/>
                <w:szCs w:val="16"/>
                <w:color w:val="auto"/>
              </w:rPr>
              <w:t>Other assets</w:t>
            </w:r>
          </w:p>
        </w:tc>
        <w:tc>
          <w:tcPr>
            <w:tcW w:w="1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786</w:t>
            </w:r>
          </w:p>
        </w:tc>
      </w:tr>
      <w:tr>
        <w:trPr>
          <w:trHeight w:val="214"/>
        </w:trPr>
        <w:tc>
          <w:tcPr>
            <w:tcW w:w="4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payable</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w:t>
            </w:r>
          </w:p>
        </w:tc>
      </w:tr>
      <w:tr>
        <w:trPr>
          <w:trHeight w:val="209"/>
        </w:trPr>
        <w:tc>
          <w:tcPr>
            <w:tcW w:w="41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Accrued and other liabilities</w:t>
            </w:r>
          </w:p>
        </w:tc>
        <w:tc>
          <w:tcPr>
            <w:tcW w:w="1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w:t>
            </w:r>
          </w:p>
        </w:tc>
      </w:tr>
      <w:tr>
        <w:trPr>
          <w:trHeight w:val="205"/>
        </w:trPr>
        <w:tc>
          <w:tcPr>
            <w:tcW w:w="4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net assets acquired</w:t>
            </w:r>
          </w:p>
        </w:tc>
        <w:tc>
          <w:tcPr>
            <w:tcW w:w="14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15,795</w:t>
            </w:r>
          </w:p>
        </w:tc>
      </w:tr>
      <w:tr>
        <w:trPr>
          <w:trHeight w:val="205"/>
        </w:trPr>
        <w:tc>
          <w:tcPr>
            <w:tcW w:w="4180" w:type="dxa"/>
            <w:vAlign w:val="bottom"/>
          </w:tcPr>
          <w:p>
            <w:pPr>
              <w:ind w:left="540"/>
              <w:spacing w:after="0"/>
              <w:rPr>
                <w:sz w:val="20"/>
                <w:szCs w:val="20"/>
                <w:color w:val="auto"/>
              </w:rPr>
            </w:pPr>
            <w:r>
              <w:rPr>
                <w:rFonts w:ascii="Arial" w:cs="Arial" w:eastAsia="Arial" w:hAnsi="Arial"/>
                <w:sz w:val="16"/>
                <w:szCs w:val="16"/>
                <w:color w:val="auto"/>
              </w:rPr>
              <w:t>Goodwill as of October 7, 2021</w:t>
            </w:r>
          </w:p>
        </w:tc>
        <w:tc>
          <w:tcPr>
            <w:tcW w:w="1480" w:type="dxa"/>
            <w:vAlign w:val="bottom"/>
          </w:tcPr>
          <w:p>
            <w:pPr>
              <w:jc w:val="right"/>
              <w:ind w:right="981"/>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12,499</w:t>
            </w:r>
          </w:p>
        </w:tc>
      </w:tr>
      <w:tr>
        <w:trPr>
          <w:trHeight w:val="212"/>
        </w:trPr>
        <w:tc>
          <w:tcPr>
            <w:tcW w:w="4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currency translation adjustments</w:t>
            </w:r>
          </w:p>
        </w:tc>
        <w:tc>
          <w:tcPr>
            <w:tcW w:w="14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8"/>
        </w:trPr>
        <w:tc>
          <w:tcPr>
            <w:tcW w:w="4180" w:type="dxa"/>
            <w:vAlign w:val="bottom"/>
          </w:tcPr>
          <w:p>
            <w:pPr>
              <w:ind w:left="540"/>
              <w:spacing w:after="0"/>
              <w:rPr>
                <w:sz w:val="20"/>
                <w:szCs w:val="20"/>
                <w:color w:val="auto"/>
              </w:rPr>
            </w:pPr>
            <w:r>
              <w:rPr>
                <w:rFonts w:ascii="Arial" w:cs="Arial" w:eastAsia="Arial" w:hAnsi="Arial"/>
                <w:sz w:val="16"/>
                <w:szCs w:val="16"/>
                <w:color w:val="auto"/>
              </w:rPr>
              <w:t>Goodwill as of December 31, 2021</w:t>
            </w:r>
          </w:p>
        </w:tc>
        <w:tc>
          <w:tcPr>
            <w:tcW w:w="148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12,238</w:t>
            </w:r>
          </w:p>
        </w:tc>
      </w:tr>
      <w:tr>
        <w:trPr>
          <w:trHeight w:val="20"/>
        </w:trPr>
        <w:tc>
          <w:tcPr>
            <w:tcW w:w="4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Goodwill was calculated as the excess of the consideration transferred over the net assets acquired and represents the estimated future economic benefits arising from other assets acquired, the assembled workforce and planned growth in strategic markets that could not be individually identified and separately recognized. Goodwill recognized as a result of this acquisition is not deductible for tax purposes.</w:t>
      </w:r>
    </w:p>
    <w:p>
      <w:pPr>
        <w:spacing w:after="0" w:line="176" w:lineRule="exact"/>
        <w:rPr>
          <w:sz w:val="20"/>
          <w:szCs w:val="20"/>
          <w:color w:val="auto"/>
        </w:rPr>
      </w:pPr>
    </w:p>
    <w:tbl>
      <w:tblPr>
        <w:tblLayout w:type="fixed"/>
        <w:tblInd w:w="1780" w:type="dxa"/>
        <w:tblCellMar>
          <w:top w:w="0" w:type="dxa"/>
          <w:left w:w="0" w:type="dxa"/>
          <w:bottom w:w="0" w:type="dxa"/>
          <w:right w:w="0" w:type="dxa"/>
        </w:tblCellMar>
      </w:tblPr>
      <w:tr>
        <w:trPr>
          <w:trHeight w:val="214"/>
        </w:trPr>
        <w:tc>
          <w:tcPr>
            <w:tcW w:w="578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Intangible assets with determinable lives</w:t>
            </w: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8"/>
        </w:trPr>
        <w:tc>
          <w:tcPr>
            <w:tcW w:w="57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Customer relationships</w:t>
            </w:r>
          </w:p>
        </w:tc>
        <w:tc>
          <w:tcPr>
            <w:tcW w:w="100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18"/>
                <w:szCs w:val="18"/>
                <w:color w:val="auto"/>
              </w:rPr>
            </w:pPr>
          </w:p>
        </w:tc>
      </w:tr>
      <w:tr>
        <w:trPr>
          <w:trHeight w:val="210"/>
        </w:trPr>
        <w:tc>
          <w:tcPr>
            <w:tcW w:w="5780" w:type="dxa"/>
            <w:vAlign w:val="bottom"/>
          </w:tcPr>
          <w:p>
            <w:pPr>
              <w:ind w:left="760"/>
              <w:spacing w:after="0"/>
              <w:rPr>
                <w:sz w:val="20"/>
                <w:szCs w:val="20"/>
                <w:color w:val="auto"/>
              </w:rPr>
            </w:pPr>
            <w:r>
              <w:rPr>
                <w:rFonts w:ascii="Arial" w:cs="Arial" w:eastAsia="Arial" w:hAnsi="Arial"/>
                <w:sz w:val="16"/>
                <w:szCs w:val="16"/>
                <w:color w:val="auto"/>
              </w:rPr>
              <w:t>Developed technology</w:t>
            </w:r>
          </w:p>
        </w:tc>
        <w:tc>
          <w:tcPr>
            <w:tcW w:w="10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4,900</w:t>
            </w:r>
          </w:p>
        </w:tc>
        <w:tc>
          <w:tcPr>
            <w:tcW w:w="100" w:type="dxa"/>
            <w:vAlign w:val="bottom"/>
          </w:tcPr>
          <w:p>
            <w:pPr>
              <w:spacing w:after="0"/>
              <w:rPr>
                <w:sz w:val="18"/>
                <w:szCs w:val="18"/>
                <w:color w:val="auto"/>
              </w:rPr>
            </w:pPr>
          </w:p>
        </w:tc>
      </w:tr>
      <w:tr>
        <w:trPr>
          <w:trHeight w:val="238"/>
        </w:trPr>
        <w:tc>
          <w:tcPr>
            <w:tcW w:w="57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Trademarks</w:t>
            </w:r>
          </w:p>
        </w:tc>
        <w:tc>
          <w:tcPr>
            <w:tcW w:w="10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20"/>
                <w:szCs w:val="20"/>
                <w:color w:val="auto"/>
              </w:rPr>
            </w:pPr>
          </w:p>
        </w:tc>
      </w:tr>
      <w:tr>
        <w:trPr>
          <w:trHeight w:val="208"/>
        </w:trPr>
        <w:tc>
          <w:tcPr>
            <w:tcW w:w="5780" w:type="dxa"/>
            <w:vAlign w:val="bottom"/>
          </w:tcPr>
          <w:p>
            <w:pPr>
              <w:ind w:left="760"/>
              <w:spacing w:after="0"/>
              <w:rPr>
                <w:sz w:val="20"/>
                <w:szCs w:val="20"/>
                <w:color w:val="auto"/>
              </w:rPr>
            </w:pPr>
            <w:r>
              <w:rPr>
                <w:rFonts w:ascii="Arial" w:cs="Arial" w:eastAsia="Arial" w:hAnsi="Arial"/>
                <w:sz w:val="16"/>
                <w:szCs w:val="16"/>
                <w:color w:val="auto"/>
              </w:rPr>
              <w:t>Total identified intangible assets as of October 7, 2021</w:t>
            </w: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18"/>
                <w:szCs w:val="18"/>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57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7"/>
                <w:szCs w:val="17"/>
                <w:color w:val="auto"/>
              </w:rPr>
            </w:pPr>
          </w:p>
        </w:tc>
      </w:tr>
      <w:tr>
        <w:trPr>
          <w:trHeight w:val="208"/>
        </w:trPr>
        <w:tc>
          <w:tcPr>
            <w:tcW w:w="5780" w:type="dxa"/>
            <w:vAlign w:val="bottom"/>
          </w:tcPr>
          <w:p>
            <w:pPr>
              <w:ind w:left="760"/>
              <w:spacing w:after="0"/>
              <w:rPr>
                <w:sz w:val="20"/>
                <w:szCs w:val="20"/>
                <w:color w:val="auto"/>
              </w:rPr>
            </w:pPr>
            <w:r>
              <w:rPr>
                <w:rFonts w:ascii="Arial" w:cs="Arial" w:eastAsia="Arial" w:hAnsi="Arial"/>
                <w:sz w:val="16"/>
                <w:szCs w:val="16"/>
                <w:color w:val="auto"/>
              </w:rPr>
              <w:t>Gross carrying amount as of December 31, 2021</w:t>
            </w: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14,492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Customer relationships represent the fair value of future projected revenue that will be derived from sales of products to existing customers of Remix business. Customer relationships were valued using the multi-period excess earning method of the income approach. Developed technology primarily consists of a client facing platform (i.e., website and mobile app) and supporting functions, all of which were internally developed. Trademarks relates to the “Remix” trade name. Developed technology and trademarks were valued using the relief-from-royalty method under the income approach. This method involves forecasting avoided royalties, reducing them by taxes and discounting the resulting net cash flows to a present value using an appropriate discount rate that requires judgement by management.</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did not present pro forma and other financial information for the acquisition of Remix, as this is not considered to be a material business combination.</w:t>
      </w:r>
    </w:p>
    <w:p>
      <w:pPr>
        <w:spacing w:after="0" w:line="128" w:lineRule="exact"/>
        <w:rPr>
          <w:sz w:val="20"/>
          <w:szCs w:val="20"/>
          <w:color w:val="auto"/>
        </w:rPr>
      </w:pPr>
    </w:p>
    <w:p>
      <w:pPr>
        <w:ind w:left="340" w:hanging="334"/>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goodwill is primarily attributable to the planned growth in the combined business after the acquisition of Remix. Goodwill is not amortized to earnings, but instead is reviewed for impairment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annually, absent any interim indicators of impairment. The carrying amount of goodwill was $12.2 million as of December 31,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carrying amounts and accumulated amortization of the intangible assets with determinable lives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As of December 31, 2021</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Intangible assets with determinable lives</w:t>
            </w:r>
          </w:p>
        </w:tc>
        <w:tc>
          <w:tcPr>
            <w:tcW w:w="1980" w:type="dxa"/>
            <w:vAlign w:val="bottom"/>
          </w:tcPr>
          <w:p>
            <w:pPr>
              <w:jc w:val="center"/>
              <w:ind w:left="321"/>
              <w:spacing w:after="0" w:line="158" w:lineRule="exact"/>
              <w:rPr>
                <w:sz w:val="20"/>
                <w:szCs w:val="20"/>
                <w:color w:val="auto"/>
              </w:rPr>
            </w:pPr>
            <w:r>
              <w:rPr>
                <w:rFonts w:ascii="Arial" w:cs="Arial" w:eastAsia="Arial" w:hAnsi="Arial"/>
                <w:sz w:val="16"/>
                <w:szCs w:val="16"/>
                <w:b w:val="1"/>
                <w:bCs w:val="1"/>
                <w:color w:val="auto"/>
                <w:w w:val="98"/>
              </w:rPr>
              <w:t>Amortization Period</w:t>
            </w:r>
          </w:p>
        </w:tc>
        <w:tc>
          <w:tcPr>
            <w:tcW w:w="19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68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3"/>
                <w:szCs w:val="13"/>
                <w:color w:val="auto"/>
              </w:rPr>
            </w:pPr>
          </w:p>
        </w:tc>
        <w:tc>
          <w:tcPr>
            <w:tcW w:w="17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98"/>
              </w:rPr>
              <w:t>Carrying amount, net</w:t>
            </w:r>
          </w:p>
        </w:tc>
        <w:tc>
          <w:tcPr>
            <w:tcW w:w="0" w:type="dxa"/>
            <w:vAlign w:val="bottom"/>
          </w:tcPr>
          <w:p>
            <w:pPr>
              <w:spacing w:after="0"/>
              <w:rPr>
                <w:sz w:val="1"/>
                <w:szCs w:val="1"/>
                <w:color w:val="auto"/>
              </w:rPr>
            </w:pPr>
          </w:p>
        </w:tc>
      </w:tr>
      <w:tr>
        <w:trPr>
          <w:trHeight w:val="212"/>
        </w:trPr>
        <w:tc>
          <w:tcPr>
            <w:tcW w:w="3560" w:type="dxa"/>
            <w:vAlign w:val="bottom"/>
            <w:vMerge w:val="continue"/>
          </w:tcPr>
          <w:p>
            <w:pPr>
              <w:spacing w:after="0"/>
              <w:rPr>
                <w:sz w:val="18"/>
                <w:szCs w:val="18"/>
                <w:color w:val="auto"/>
              </w:rPr>
            </w:pPr>
          </w:p>
        </w:tc>
        <w:tc>
          <w:tcPr>
            <w:tcW w:w="1980" w:type="dxa"/>
            <w:vAlign w:val="bottom"/>
          </w:tcPr>
          <w:p>
            <w:pPr>
              <w:jc w:val="center"/>
              <w:ind w:left="321"/>
              <w:spacing w:after="0"/>
              <w:rPr>
                <w:sz w:val="20"/>
                <w:szCs w:val="20"/>
                <w:color w:val="auto"/>
              </w:rPr>
            </w:pPr>
            <w:r>
              <w:rPr>
                <w:rFonts w:ascii="Arial" w:cs="Arial" w:eastAsia="Arial" w:hAnsi="Arial"/>
                <w:sz w:val="16"/>
                <w:szCs w:val="16"/>
                <w:b w:val="1"/>
                <w:bCs w:val="1"/>
                <w:color w:val="auto"/>
              </w:rPr>
              <w:t>(years)</w:t>
            </w:r>
          </w:p>
        </w:tc>
        <w:tc>
          <w:tcPr>
            <w:tcW w:w="19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Customer relationships</w:t>
            </w:r>
          </w:p>
        </w:tc>
        <w:tc>
          <w:tcPr>
            <w:tcW w:w="1980" w:type="dxa"/>
            <w:vAlign w:val="bottom"/>
            <w:tcBorders>
              <w:top w:val="single" w:sz="8" w:color="CCEEFF"/>
            </w:tcBorders>
            <w:shd w:val="clear" w:color="auto" w:fill="CCEEFF"/>
          </w:tcPr>
          <w:p>
            <w:pPr>
              <w:jc w:val="center"/>
              <w:ind w:left="321"/>
              <w:spacing w:after="0"/>
              <w:rPr>
                <w:sz w:val="20"/>
                <w:szCs w:val="20"/>
                <w:color w:val="auto"/>
              </w:rPr>
            </w:pPr>
            <w:r>
              <w:rPr>
                <w:rFonts w:ascii="Arial" w:cs="Arial" w:eastAsia="Arial" w:hAnsi="Arial"/>
                <w:sz w:val="16"/>
                <w:szCs w:val="16"/>
                <w:color w:val="auto"/>
              </w:rPr>
              <w:t>8</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5,092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10"/>
        </w:trPr>
        <w:tc>
          <w:tcPr>
            <w:tcW w:w="3560" w:type="dxa"/>
            <w:vAlign w:val="bottom"/>
          </w:tcPr>
          <w:p>
            <w:pPr>
              <w:ind w:left="440"/>
              <w:spacing w:after="0"/>
              <w:rPr>
                <w:sz w:val="20"/>
                <w:szCs w:val="20"/>
                <w:color w:val="auto"/>
              </w:rPr>
            </w:pPr>
            <w:r>
              <w:rPr>
                <w:rFonts w:ascii="Arial" w:cs="Arial" w:eastAsia="Arial" w:hAnsi="Arial"/>
                <w:sz w:val="16"/>
                <w:szCs w:val="16"/>
                <w:color w:val="auto"/>
              </w:rPr>
              <w:t>Developed technology</w:t>
            </w:r>
          </w:p>
        </w:tc>
        <w:tc>
          <w:tcPr>
            <w:tcW w:w="1980" w:type="dxa"/>
            <w:vAlign w:val="bottom"/>
          </w:tcPr>
          <w:p>
            <w:pPr>
              <w:jc w:val="center"/>
              <w:ind w:left="321"/>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Trademarks</w:t>
            </w:r>
          </w:p>
        </w:tc>
        <w:tc>
          <w:tcPr>
            <w:tcW w:w="19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rPr>
              <w:t>9</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208"/>
        </w:trPr>
        <w:tc>
          <w:tcPr>
            <w:tcW w:w="3560" w:type="dxa"/>
            <w:vAlign w:val="bottom"/>
          </w:tcPr>
          <w:p>
            <w:pPr>
              <w:ind w:left="440"/>
              <w:spacing w:after="0"/>
              <w:rPr>
                <w:sz w:val="20"/>
                <w:szCs w:val="20"/>
                <w:color w:val="auto"/>
              </w:rPr>
            </w:pPr>
            <w:r>
              <w:rPr>
                <w:rFonts w:ascii="Arial" w:cs="Arial" w:eastAsia="Arial" w:hAnsi="Arial"/>
                <w:sz w:val="16"/>
                <w:szCs w:val="16"/>
                <w:color w:val="auto"/>
              </w:rPr>
              <w:t>Total</w:t>
            </w:r>
          </w:p>
        </w:tc>
        <w:tc>
          <w:tcPr>
            <w:tcW w:w="1980" w:type="dxa"/>
            <w:vAlign w:val="bottom"/>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14,492</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Developed technology, customer relationships, and trademarks intangibles amortization is recorded within operations, product and technology, sales general and administrative, and marketing expense lines, respectively, within the Consolidated Statements of Operations.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estimated future amortization of intangible assets with determinable lives as of December 31, 2021 are $2.7 million for 2022, $2.7 million for 2023, $2.4 million for 2024, $1.2 million for 2025, $1.2 million for 2026 and $3.7 million for thereafter.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7.  Balance Sheet Components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7440" w:type="dxa"/>
            <w:vAlign w:val="bottom"/>
          </w:tcPr>
          <w:p>
            <w:pPr>
              <w:ind w:left="320"/>
              <w:spacing w:after="0"/>
              <w:rPr>
                <w:sz w:val="20"/>
                <w:szCs w:val="20"/>
                <w:color w:val="auto"/>
              </w:rPr>
            </w:pPr>
            <w:r>
              <w:rPr>
                <w:rFonts w:ascii="Arial" w:cs="Arial" w:eastAsia="Arial" w:hAnsi="Arial"/>
                <w:sz w:val="18"/>
                <w:szCs w:val="18"/>
                <w:color w:val="auto"/>
              </w:rPr>
              <w:t>Inventories consist of the following (in thousands):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8,247</w:t>
            </w:r>
          </w:p>
        </w:tc>
        <w:tc>
          <w:tcPr>
            <w:tcW w:w="8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9,825</w:t>
            </w:r>
          </w:p>
        </w:tc>
        <w:tc>
          <w:tcPr>
            <w:tcW w:w="80" w:type="dxa"/>
            <w:vAlign w:val="bottom"/>
          </w:tcPr>
          <w:p>
            <w:pPr>
              <w:spacing w:after="0"/>
              <w:rPr>
                <w:sz w:val="18"/>
                <w:szCs w:val="18"/>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vMerge w:val="restart"/>
          </w:tcPr>
          <w:p>
            <w:pPr>
              <w:ind w:left="320"/>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74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4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Gift card and site credit liabilities</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vendor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taxes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340"/>
              <w:spacing w:after="0"/>
              <w:rPr>
                <w:sz w:val="20"/>
                <w:szCs w:val="20"/>
                <w:color w:val="auto"/>
              </w:rPr>
            </w:pPr>
            <w:r>
              <w:rPr>
                <w:rFonts w:ascii="Arial" w:cs="Arial" w:eastAsia="Arial" w:hAnsi="Arial"/>
                <w:sz w:val="18"/>
                <w:szCs w:val="18"/>
                <w:color w:val="auto"/>
              </w:rPr>
              <w:t>Allowance for returns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other</w:t>
            </w: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4"/>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leases certain office space and distribution centers with lease terms ranging from 20 to 146 months. These leases require monthly lease payments that may be subject to annual increases throughout the lease term. Certain of these leases also include renewal options at the election of the Company to renew or extend the lease for an additional 12 to 120 months. For certain leases,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optional periods have been considered in the determination of the right-of-use assets and lease liabilities associated with these leases as the Company has determined it is reasonably certain it will exercise the renewal options. The majority of the Company’s existing office space and distribution center in Europe are short-term leases as of December 31, 2021. In December 2021, the Company entered into an agreement to lease a new headquarter office and distribution center in Sophia, Bulgaria (the “Bulgaria Lease”). The Bulgaria Lease is expected to commence in March 2022 with an original term of 10 years from the commencement date. The base rent is approximately €14.1 million or $15.9 million, estimated at December 31, 2021 Euro to USD spot rate, in aggregate over the original term.</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maturities of the Company’s operating lease liabilities as of December 31, 2021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jc w:val="right"/>
              <w:ind w:right="512"/>
              <w:spacing w:after="0"/>
              <w:rPr>
                <w:sz w:val="20"/>
                <w:szCs w:val="20"/>
                <w:color w:val="auto"/>
              </w:rPr>
            </w:pPr>
            <w:r>
              <w:rPr>
                <w:rFonts w:ascii="Arial" w:cs="Arial" w:eastAsia="Arial" w:hAnsi="Arial"/>
                <w:sz w:val="18"/>
                <w:szCs w:val="18"/>
                <w:b w:val="1"/>
                <w:bCs w:val="1"/>
                <w:color w:val="auto"/>
              </w:rPr>
              <w:t>December 31,</w:t>
            </w: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r>
      <w:tr>
        <w:trPr>
          <w:trHeight w:val="225"/>
        </w:trPr>
        <w:tc>
          <w:tcPr>
            <w:tcW w:w="888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7,808</w:t>
            </w: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r>
      <w:tr>
        <w:trPr>
          <w:trHeight w:val="225"/>
        </w:trPr>
        <w:tc>
          <w:tcPr>
            <w:tcW w:w="888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6,061</w:t>
            </w: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r>
      <w:tr>
        <w:trPr>
          <w:trHeight w:val="225"/>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26,437</w:t>
            </w:r>
          </w:p>
        </w:tc>
      </w:tr>
      <w:tr>
        <w:trPr>
          <w:trHeight w:val="219"/>
        </w:trPr>
        <w:tc>
          <w:tcPr>
            <w:tcW w:w="8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60,873</w:t>
            </w:r>
          </w:p>
        </w:tc>
      </w:tr>
      <w:tr>
        <w:trPr>
          <w:trHeight w:val="225"/>
        </w:trPr>
        <w:tc>
          <w:tcPr>
            <w:tcW w:w="8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(13,843)</w:t>
            </w: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tenant improvement allowance yet to be received</w:t>
            </w:r>
          </w:p>
        </w:tc>
        <w:tc>
          <w:tcPr>
            <w:tcW w:w="3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18"/>
        </w:trPr>
        <w:tc>
          <w:tcPr>
            <w:tcW w:w="8880" w:type="dxa"/>
            <w:vAlign w:val="bottom"/>
          </w:tcPr>
          <w:p>
            <w:pPr>
              <w:ind w:left="340"/>
              <w:spacing w:after="0" w:line="204" w:lineRule="exact"/>
              <w:rPr>
                <w:sz w:val="20"/>
                <w:szCs w:val="20"/>
                <w:color w:val="auto"/>
              </w:rPr>
            </w:pPr>
            <w:r>
              <w:rPr>
                <w:rFonts w:ascii="Arial" w:cs="Arial" w:eastAsia="Arial" w:hAnsi="Arial"/>
                <w:sz w:val="18"/>
                <w:szCs w:val="18"/>
                <w:color w:val="auto"/>
              </w:rPr>
              <w:t>Total lease liabilities</w:t>
            </w:r>
          </w:p>
        </w:tc>
        <w:tc>
          <w:tcPr>
            <w:tcW w:w="3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40,928</w:t>
            </w:r>
          </w:p>
        </w:tc>
      </w:tr>
      <w:tr>
        <w:trPr>
          <w:trHeight w:val="22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18"/>
        </w:trPr>
        <w:tc>
          <w:tcPr>
            <w:tcW w:w="8880" w:type="dxa"/>
            <w:vAlign w:val="bottom"/>
          </w:tcPr>
          <w:p>
            <w:pPr>
              <w:ind w:left="340"/>
              <w:spacing w:after="0" w:line="204" w:lineRule="exact"/>
              <w:rPr>
                <w:sz w:val="20"/>
                <w:szCs w:val="20"/>
                <w:color w:val="auto"/>
              </w:rPr>
            </w:pPr>
            <w:r>
              <w:rPr>
                <w:rFonts w:ascii="Arial" w:cs="Arial" w:eastAsia="Arial" w:hAnsi="Arial"/>
                <w:sz w:val="18"/>
                <w:szCs w:val="18"/>
                <w:color w:val="auto"/>
              </w:rPr>
              <w:t>Total non-current lease liabilities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36,997</w:t>
            </w:r>
          </w:p>
        </w:tc>
      </w:tr>
      <w:tr>
        <w:trPr>
          <w:trHeight w:val="20"/>
        </w:trPr>
        <w:tc>
          <w:tcPr>
            <w:tcW w:w="8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Security deposits and letters of credits used to secure the leases were $0.8 million and $6.3 million, respectively, as of December 31, 2021 and $0.3 million and $3.1 million, respectively, as of December 31, 2020.</w:t>
      </w:r>
    </w:p>
    <w:p>
      <w:pPr>
        <w:spacing w:after="0" w:line="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Operating lease cost was $7.0 million and $6.8 million for the years ended December 31, 2021 and 2020, respectively. Rent expense for operating leases under ASC 840 was $4.4 million for the year ended December 31, 2019. The following table summarizes the cost components of the Company’s operating leases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19"/>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Operating Lease Cost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Fixed Cost</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9"/>
                <w:szCs w:val="19"/>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5,568</w:t>
            </w: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Lease Cost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00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1,197</w:t>
            </w:r>
          </w:p>
        </w:tc>
      </w:tr>
      <w:tr>
        <w:trPr>
          <w:trHeight w:val="28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r>
              <w:rPr>
                <w:rFonts w:ascii="Arial" w:cs="Arial" w:eastAsia="Arial" w:hAnsi="Arial"/>
                <w:sz w:val="22"/>
                <w:szCs w:val="22"/>
                <w:color w:val="auto"/>
                <w:vertAlign w:val="superscript"/>
              </w:rPr>
              <w:t>(2)</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6,823</w:t>
            </w:r>
          </w:p>
        </w:tc>
      </w:tr>
      <w:tr>
        <w:trPr>
          <w:trHeight w:val="113"/>
        </w:trPr>
        <w:tc>
          <w:tcPr>
            <w:tcW w:w="800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 w:lineRule="exact"/>
        <w:rPr>
          <w:sz w:val="20"/>
          <w:szCs w:val="20"/>
          <w:color w:val="auto"/>
        </w:rPr>
      </w:pPr>
    </w:p>
    <w:p>
      <w:pPr>
        <w:ind w:left="320" w:hanging="314"/>
        <w:spacing w:after="0" w:line="241"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terms of the lease agreements, the Company is also responsible for certain variable lease payments that are not included in the measurement of the lease liability. Variable lease payments include non-lease components such as common area maintenance fees.</w:t>
      </w:r>
    </w:p>
    <w:p>
      <w:pPr>
        <w:spacing w:after="0" w:line="1" w:lineRule="exact"/>
        <w:rPr>
          <w:rFonts w:ascii="Arial" w:cs="Arial" w:eastAsia="Arial" w:hAnsi="Arial"/>
          <w:sz w:val="16"/>
          <w:szCs w:val="16"/>
          <w:color w:val="auto"/>
        </w:rPr>
      </w:pPr>
    </w:p>
    <w:p>
      <w:pPr>
        <w:ind w:left="320" w:hanging="314"/>
        <w:spacing w:after="0" w:line="252"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majority of lease costs are reflected in the Consolidated Statement of Operations within Operations, product and technology and Sales,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ind w:left="320"/>
              <w:spacing w:after="0"/>
              <w:rPr>
                <w:sz w:val="20"/>
                <w:szCs w:val="20"/>
                <w:color w:val="auto"/>
              </w:rPr>
            </w:pPr>
            <w:r>
              <w:rPr>
                <w:rFonts w:ascii="Arial" w:cs="Arial" w:eastAsia="Arial" w:hAnsi="Arial"/>
                <w:sz w:val="18"/>
                <w:szCs w:val="18"/>
                <w:color w:val="auto"/>
              </w:rPr>
              <w:t>Other information related to leases was as follows (in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11"/>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Year Ended December 31,</w:t>
            </w:r>
          </w:p>
        </w:tc>
      </w:tr>
      <w:tr>
        <w:trPr>
          <w:trHeight w:val="219"/>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Supplemental Cash Flows Information</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304"/>
        </w:trPr>
        <w:tc>
          <w:tcPr>
            <w:tcW w:w="9660" w:type="dxa"/>
            <w:vAlign w:val="bottom"/>
            <w:gridSpan w:val="4"/>
          </w:tcPr>
          <w:p>
            <w:pPr>
              <w:ind w:left="320"/>
              <w:spacing w:after="0"/>
              <w:rPr>
                <w:sz w:val="20"/>
                <w:szCs w:val="20"/>
                <w:color w:val="auto"/>
              </w:rPr>
            </w:pPr>
            <w:r>
              <w:rPr>
                <w:rFonts w:ascii="Arial" w:cs="Arial" w:eastAsia="Arial" w:hAnsi="Arial"/>
                <w:sz w:val="18"/>
                <w:szCs w:val="18"/>
                <w:color w:val="auto"/>
              </w:rPr>
              <w:t>The following table discloses the weighted-average remaining lease term and discount rate for the period: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2021</w:t>
            </w:r>
          </w:p>
        </w:tc>
        <w:tc>
          <w:tcPr>
            <w:tcW w:w="1840" w:type="dxa"/>
            <w:vAlign w:val="bottom"/>
          </w:tcPr>
          <w:p>
            <w:pPr>
              <w:jc w:val="right"/>
              <w:ind w:right="32"/>
              <w:spacing w:after="0"/>
              <w:rPr>
                <w:sz w:val="20"/>
                <w:szCs w:val="20"/>
                <w:color w:val="auto"/>
              </w:rPr>
            </w:pPr>
            <w:r>
              <w:rPr>
                <w:rFonts w:ascii="Arial" w:cs="Arial" w:eastAsia="Arial" w:hAnsi="Arial"/>
                <w:sz w:val="18"/>
                <w:szCs w:val="18"/>
                <w:b w:val="1"/>
                <w:bCs w:val="1"/>
                <w:color w:val="auto"/>
              </w:rPr>
              <w:t>December 31, 2020</w:t>
            </w:r>
          </w:p>
        </w:tc>
      </w:tr>
      <w:tr>
        <w:trPr>
          <w:trHeight w:val="206"/>
        </w:trPr>
        <w:tc>
          <w:tcPr>
            <w:tcW w:w="72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Operating Leases</w:t>
            </w: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Long-term Debt and Convertible Preferred Stock Warrants</w:t>
      </w:r>
    </w:p>
    <w:p>
      <w:pPr>
        <w:spacing w:after="0" w:line="18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The Company entered into a loan and security agreement (“Term Loan”) with Western Alliance Bank (“Bank”) for an aggregate amount up to $40.0 million to refinance its Loan and Security Agreement with Silicon Valley Bank (“SVB”) in February 2019. The Term Loan was amended three times before December 31, 2020.</w:t>
      </w:r>
    </w:p>
    <w:p>
      <w:pPr>
        <w:spacing w:after="0" w:line="14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In February 2021, the Company amended and restated the loan and security agreement with the Bank to reflect all waivers and amendments to date. Subsequently, the Company borrowed an additional $5.0 million for an aggregate principal amount of $40.0 million. In connection with the additional $5.0 million draw, the Company issued additional warrant shares for Series E-1 preferred stock in the amount of 15,979.</w:t>
      </w:r>
    </w:p>
    <w:p>
      <w:pPr>
        <w:spacing w:after="0" w:line="14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On May 14, 2021, the Company entered into the first amendment to the amended and restated loan and security Agreement (the “First Amendment”) with the Bank. The First Amendment amended the agreement dated February 3, 2021, with the most notable change being a decrease in interest rate. In accordance with the First Amendment, the interest rate on the Term Loan is the prime rate published in The Wall Street Journal plus 1.5% with a floor of 5.5% per annum.</w:t>
      </w:r>
    </w:p>
    <w:p>
      <w:pPr>
        <w:spacing w:after="0" w:line="14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The Term Loan can be prepaid without penalty or premium at any time. The Term Loan contains certain covenants, which, if not met, allows the Bank to call all outstanding borrowings plus accrued interest. The covenants include minimum cash and liquidity thresholds, quarterly minimum net revenue and revenue growth thresholds, and a debt service requirement specified by the Term Loan. The Bank has secured the loan through its first ranking lien on all corporate assets, with a negative pledge on intellectual property. The Company was in compliance with all debt covenants as of December 31, 2021.</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nominal interest rate was 5.50% and the effective interest rate was 6.65%.</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maturities of the loan agreement as of December 31, 2021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Amount</w:t>
            </w:r>
          </w:p>
        </w:tc>
      </w:tr>
      <w:tr>
        <w:trPr>
          <w:trHeight w:val="219"/>
        </w:trPr>
        <w:tc>
          <w:tcPr>
            <w:tcW w:w="9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5"/>
        </w:trPr>
        <w:tc>
          <w:tcPr>
            <w:tcW w:w="9080" w:type="dxa"/>
            <w:vAlign w:val="bottom"/>
          </w:tcPr>
          <w:p>
            <w:pPr>
              <w:ind w:left="2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6"/>
        </w:trPr>
        <w:tc>
          <w:tcPr>
            <w:tcW w:w="9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5"/>
        </w:trPr>
        <w:tc>
          <w:tcPr>
            <w:tcW w:w="9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principal</w:t>
            </w:r>
          </w:p>
        </w:tc>
        <w:tc>
          <w:tcPr>
            <w:tcW w:w="4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25"/>
        </w:trPr>
        <w:tc>
          <w:tcPr>
            <w:tcW w:w="908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5"/>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19"/>
        </w:trPr>
        <w:tc>
          <w:tcPr>
            <w:tcW w:w="9080" w:type="dxa"/>
            <w:vAlign w:val="bottom"/>
          </w:tcPr>
          <w:p>
            <w:pPr>
              <w:ind w:left="340"/>
              <w:spacing w:after="0"/>
              <w:rPr>
                <w:sz w:val="20"/>
                <w:szCs w:val="20"/>
                <w:color w:val="auto"/>
              </w:rPr>
            </w:pPr>
            <w:r>
              <w:rPr>
                <w:rFonts w:ascii="Arial" w:cs="Arial" w:eastAsia="Arial" w:hAnsi="Arial"/>
                <w:sz w:val="18"/>
                <w:szCs w:val="18"/>
                <w:color w:val="auto"/>
              </w:rPr>
              <w:t>Non-current portion of long-term debt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27,559</w:t>
            </w:r>
          </w:p>
        </w:tc>
      </w:tr>
      <w:tr>
        <w:trPr>
          <w:trHeight w:val="20"/>
        </w:trPr>
        <w:tc>
          <w:tcPr>
            <w:tcW w:w="9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 Issued with Loan and Security Agreement</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issued various preferred stock warrants under its loan and security agreements with SVB and the Bank. Immediately prior to the conversion upon IPO and as of December 31, 2020, the following preferred stock warrant liabilities were outstanding.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7"/>
              </w:rPr>
              <w:t>Balance Sheet</w:t>
            </w:r>
          </w:p>
        </w:tc>
        <w:tc>
          <w:tcPr>
            <w:tcW w:w="150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7"/>
              </w:rPr>
              <w:t>Exercise Price</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Immediately Prior</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2"/>
        </w:trPr>
        <w:tc>
          <w:tcPr>
            <w:tcW w:w="192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Description</w:t>
            </w:r>
          </w:p>
        </w:tc>
        <w:tc>
          <w:tcPr>
            <w:tcW w:w="162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Issuance Date</w:t>
            </w:r>
          </w:p>
        </w:tc>
        <w:tc>
          <w:tcPr>
            <w:tcW w:w="1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8"/>
              </w:rPr>
              <w:t>Expiration Date</w:t>
            </w:r>
          </w:p>
        </w:tc>
        <w:tc>
          <w:tcPr>
            <w:tcW w:w="1620" w:type="dxa"/>
            <w:vAlign w:val="bottom"/>
            <w:gridSpan w:val="2"/>
            <w:vMerge w:val="continue"/>
            <w:shd w:val="clear" w:color="auto" w:fill="CCEEFF"/>
          </w:tcPr>
          <w:p>
            <w:pPr>
              <w:spacing w:after="0"/>
              <w:rPr>
                <w:sz w:val="14"/>
                <w:szCs w:val="14"/>
                <w:color w:val="auto"/>
              </w:rPr>
            </w:pPr>
          </w:p>
        </w:tc>
        <w:tc>
          <w:tcPr>
            <w:tcW w:w="1500" w:type="dxa"/>
            <w:vAlign w:val="bottom"/>
            <w:gridSpan w:val="3"/>
            <w:vMerge w:val="continue"/>
            <w:shd w:val="clear" w:color="auto" w:fill="CCEEFF"/>
          </w:tcPr>
          <w:p>
            <w:pPr>
              <w:spacing w:after="0"/>
              <w:rPr>
                <w:sz w:val="14"/>
                <w:szCs w:val="14"/>
                <w:color w:val="auto"/>
              </w:rPr>
            </w:pPr>
          </w:p>
        </w:tc>
        <w:tc>
          <w:tcPr>
            <w:tcW w:w="1620" w:type="dxa"/>
            <w:vAlign w:val="bottom"/>
            <w:gridSpan w:val="2"/>
            <w:shd w:val="clear" w:color="auto" w:fill="CCEEFF"/>
          </w:tcPr>
          <w:p>
            <w:pPr>
              <w:jc w:val="center"/>
              <w:ind w:right="100"/>
              <w:spacing w:after="0" w:line="172" w:lineRule="exact"/>
              <w:rPr>
                <w:sz w:val="20"/>
                <w:szCs w:val="20"/>
                <w:color w:val="auto"/>
              </w:rPr>
            </w:pPr>
            <w:r>
              <w:rPr>
                <w:rFonts w:ascii="Arial" w:cs="Arial" w:eastAsia="Arial" w:hAnsi="Arial"/>
                <w:sz w:val="18"/>
                <w:szCs w:val="18"/>
                <w:b w:val="1"/>
                <w:bCs w:val="1"/>
                <w:color w:val="auto"/>
                <w:w w:val="97"/>
              </w:rPr>
              <w:t>to the</w:t>
            </w: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92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20" w:type="dxa"/>
            <w:vAlign w:val="bottom"/>
            <w:gridSpan w:val="2"/>
            <w:vMerge w:val="restart"/>
            <w:shd w:val="clear" w:color="auto" w:fill="CCEEFF"/>
          </w:tcPr>
          <w:p>
            <w:pPr>
              <w:jc w:val="center"/>
              <w:ind w:right="100"/>
              <w:spacing w:after="0" w:line="172" w:lineRule="exact"/>
              <w:rPr>
                <w:sz w:val="20"/>
                <w:szCs w:val="20"/>
                <w:color w:val="auto"/>
              </w:rPr>
            </w:pPr>
            <w:r>
              <w:rPr>
                <w:rFonts w:ascii="Arial" w:cs="Arial" w:eastAsia="Arial" w:hAnsi="Arial"/>
                <w:sz w:val="18"/>
                <w:szCs w:val="18"/>
                <w:b w:val="1"/>
                <w:bCs w:val="1"/>
                <w:color w:val="auto"/>
                <w:w w:val="99"/>
              </w:rPr>
              <w:t>Classification</w:t>
            </w:r>
          </w:p>
        </w:tc>
        <w:tc>
          <w:tcPr>
            <w:tcW w:w="2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280"/>
              <w:spacing w:after="0" w:line="172" w:lineRule="exact"/>
              <w:rPr>
                <w:sz w:val="20"/>
                <w:szCs w:val="20"/>
                <w:color w:val="auto"/>
              </w:rPr>
            </w:pPr>
            <w:r>
              <w:rPr>
                <w:rFonts w:ascii="Arial" w:cs="Arial" w:eastAsia="Arial" w:hAnsi="Arial"/>
                <w:sz w:val="18"/>
                <w:szCs w:val="18"/>
                <w:b w:val="1"/>
                <w:bCs w:val="1"/>
                <w:color w:val="auto"/>
                <w:w w:val="97"/>
              </w:rPr>
              <w:t>Per Share</w:t>
            </w:r>
          </w:p>
        </w:tc>
        <w:tc>
          <w:tcPr>
            <w:tcW w:w="1620" w:type="dxa"/>
            <w:vAlign w:val="bottom"/>
            <w:gridSpan w:val="2"/>
            <w:vMerge w:val="restart"/>
            <w:shd w:val="clear" w:color="auto" w:fill="CCEEFF"/>
          </w:tcPr>
          <w:p>
            <w:pPr>
              <w:jc w:val="center"/>
              <w:ind w:right="80"/>
              <w:spacing w:after="0" w:line="172" w:lineRule="exact"/>
              <w:rPr>
                <w:sz w:val="20"/>
                <w:szCs w:val="20"/>
                <w:color w:val="auto"/>
              </w:rPr>
            </w:pPr>
            <w:r>
              <w:rPr>
                <w:rFonts w:ascii="Arial" w:cs="Arial" w:eastAsia="Arial" w:hAnsi="Arial"/>
                <w:sz w:val="18"/>
                <w:szCs w:val="18"/>
                <w:b w:val="1"/>
                <w:bCs w:val="1"/>
                <w:color w:val="auto"/>
                <w:w w:val="97"/>
              </w:rPr>
              <w:t>Completion of</w:t>
            </w:r>
          </w:p>
        </w:tc>
        <w:tc>
          <w:tcPr>
            <w:tcW w:w="1340" w:type="dxa"/>
            <w:vAlign w:val="bottom"/>
            <w:vMerge w:val="restart"/>
            <w:shd w:val="clear" w:color="auto" w:fill="CCEEFF"/>
          </w:tcPr>
          <w:p>
            <w:pPr>
              <w:jc w:val="right"/>
              <w:ind w:right="392"/>
              <w:spacing w:after="0" w:line="17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
        </w:trPr>
        <w:tc>
          <w:tcPr>
            <w:tcW w:w="1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gridSpan w:val="2"/>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gridSpan w:val="2"/>
            <w:vMerge w:val="continue"/>
            <w:shd w:val="clear" w:color="auto" w:fill="CCEEFF"/>
          </w:tcPr>
          <w:p>
            <w:pPr>
              <w:spacing w:after="0"/>
              <w:rPr>
                <w:sz w:val="3"/>
                <w:szCs w:val="3"/>
                <w:color w:val="auto"/>
              </w:rPr>
            </w:pPr>
          </w:p>
        </w:tc>
        <w:tc>
          <w:tcPr>
            <w:tcW w:w="1620" w:type="dxa"/>
            <w:vAlign w:val="bottom"/>
            <w:gridSpan w:val="2"/>
            <w:vMerge w:val="continue"/>
            <w:shd w:val="clear" w:color="auto" w:fill="CCEEFF"/>
          </w:tcPr>
          <w:p>
            <w:pPr>
              <w:spacing w:after="0"/>
              <w:rPr>
                <w:sz w:val="3"/>
                <w:szCs w:val="3"/>
                <w:color w:val="auto"/>
              </w:rPr>
            </w:pPr>
          </w:p>
        </w:tc>
        <w:tc>
          <w:tcPr>
            <w:tcW w:w="134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IPO</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D</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1/22/2015</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1/22/2025</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2.2600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13,382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4/20/2015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1/22/2025</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2/7/2019</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63,917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63,917</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F</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5/29/2020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8/14/2020</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31,958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31,958</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11/25/2020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2/8/2021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164,973</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148,994</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The convertible preferred stock warrant liability of $0.8 million was included in other non-current liabilities in the consolidated balance sheet as of December 31, 2020.</w:t>
      </w:r>
    </w:p>
    <w:p>
      <w:pPr>
        <w:spacing w:after="0" w:line="14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Immediately prior to the completion of IPO in March 2021, all 164,973 shares of the convertible preferred stock warrant were remeasured to fair value and converted to equivalent number of Class B common stock warrants. The Company reclassified the convertible preferred stock warrant liability to additional paid-in capital upon the conversion. Refer to Note 10, Common Stock and Common Stock Warrants for more details on common stock warrants.</w:t>
      </w:r>
    </w:p>
    <w:p>
      <w:pPr>
        <w:spacing w:after="0" w:line="125" w:lineRule="exact"/>
        <w:rPr>
          <w:sz w:val="20"/>
          <w:szCs w:val="20"/>
          <w:color w:val="auto"/>
        </w:rPr>
      </w:pPr>
    </w:p>
    <w:p>
      <w:pPr>
        <w:ind w:left="440" w:hanging="434"/>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Immediately prior to the completion of the IPO, 65,970,938 shares of the convertible preferred stock converted to an equivalent number of shares of Class B common stock and 164,973 shares of the convertible preferred stock warrants were converted to an equivalent number of Class B common stock warrants.</w:t>
      </w:r>
    </w:p>
    <w:p>
      <w:pPr>
        <w:spacing w:after="0" w:line="140" w:lineRule="exact"/>
        <w:rPr>
          <w:sz w:val="20"/>
          <w:szCs w:val="20"/>
          <w:color w:val="auto"/>
        </w:rPr>
      </w:pPr>
    </w:p>
    <w:p>
      <w:pPr>
        <w:jc w:val="both"/>
        <w:ind w:firstLine="318"/>
        <w:spacing w:after="0" w:line="195" w:lineRule="exact"/>
        <w:rPr>
          <w:sz w:val="20"/>
          <w:szCs w:val="20"/>
          <w:color w:val="auto"/>
        </w:rPr>
      </w:pPr>
      <w:r>
        <w:rPr>
          <w:rFonts w:ascii="Arial" w:cs="Arial" w:eastAsia="Arial" w:hAnsi="Arial"/>
          <w:sz w:val="18"/>
          <w:szCs w:val="18"/>
          <w:color w:val="auto"/>
        </w:rPr>
        <w:t>On August 2, 2021, the Company completed a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Class A common stock at a price of $24.25 per share. The Company issued and sold 2,000,000 shares of Class A common stock. The aggregate net proceeds were $45.5 million after deducting $3.3 million of underwriting discounts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commissions and offering costs. The selling stockholders sold 5,388,024 shares of Class A common stock (including 963,655 shares that were offered and sold pursuant to the full exercise of the underwriters’ option to purchase additional shares), which were converted from Class B common stock. The Company did not receive any of the proceeds from the sale of the Class A common stock by the selling stockholders.</w:t>
      </w:r>
    </w:p>
    <w:p>
      <w:pPr>
        <w:spacing w:after="0" w:line="134"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During the year ended December 31, 2021, the Company issued 128,643 shares of Class B common stock through cashless net exercises of the entire 164,973 shares underlying Class B common stock warrants. No Class B common stock warrants were outstanding as of December 31, 2021.</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Class A common stock and Class B common stock issued and outstanding: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center"/>
              <w:ind w:right="572"/>
              <w:spacing w:after="0"/>
              <w:rPr>
                <w:sz w:val="20"/>
                <w:szCs w:val="20"/>
                <w:color w:val="auto"/>
              </w:rPr>
            </w:pPr>
            <w:r>
              <w:rPr>
                <w:rFonts w:ascii="Arial" w:cs="Arial" w:eastAsia="Arial" w:hAnsi="Arial"/>
                <w:sz w:val="18"/>
                <w:szCs w:val="18"/>
                <w:b w:val="1"/>
                <w:bCs w:val="1"/>
                <w:color w:val="auto"/>
                <w:w w:val="98"/>
              </w:rPr>
              <w:t>As of December 31, 2021</w:t>
            </w:r>
          </w:p>
        </w:tc>
        <w:tc>
          <w:tcPr>
            <w:tcW w:w="1300" w:type="dxa"/>
            <w:vAlign w:val="bottom"/>
            <w:tcBorders>
              <w:bottom w:val="single" w:sz="8" w:color="auto"/>
            </w:tcBorders>
          </w:tcPr>
          <w:p>
            <w:pPr>
              <w:spacing w:after="0"/>
              <w:rPr>
                <w:sz w:val="20"/>
                <w:szCs w:val="20"/>
                <w:color w:val="auto"/>
              </w:rPr>
            </w:pPr>
          </w:p>
        </w:tc>
      </w:tr>
      <w:tr>
        <w:trPr>
          <w:trHeight w:val="219"/>
        </w:trPr>
        <w:tc>
          <w:tcPr>
            <w:tcW w:w="5220" w:type="dxa"/>
            <w:vAlign w:val="bottom"/>
          </w:tcPr>
          <w:p>
            <w:pPr>
              <w:spacing w:after="0"/>
              <w:rPr>
                <w:sz w:val="19"/>
                <w:szCs w:val="19"/>
                <w:color w:val="auto"/>
              </w:rPr>
            </w:pPr>
          </w:p>
        </w:tc>
        <w:tc>
          <w:tcPr>
            <w:tcW w:w="194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w w:val="97"/>
              </w:rPr>
              <w:t>Authorized</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b w:val="1"/>
                <w:bCs w:val="1"/>
                <w:color w:val="auto"/>
              </w:rPr>
              <w:t>Issued and Outstanding</w:t>
            </w:r>
          </w:p>
        </w:tc>
      </w:tr>
      <w:tr>
        <w:trPr>
          <w:trHeight w:val="218"/>
        </w:trPr>
        <w:tc>
          <w:tcPr>
            <w:tcW w:w="5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780" w:type="dxa"/>
            <w:vAlign w:val="bottom"/>
            <w:gridSpan w:val="3"/>
          </w:tcPr>
          <w:p>
            <w:pPr>
              <w:jc w:val="center"/>
              <w:ind w:right="552"/>
              <w:spacing w:after="0"/>
              <w:rPr>
                <w:sz w:val="20"/>
                <w:szCs w:val="20"/>
                <w:color w:val="auto"/>
              </w:rPr>
            </w:pPr>
            <w:r>
              <w:rPr>
                <w:rFonts w:ascii="Arial" w:cs="Arial" w:eastAsia="Arial" w:hAnsi="Arial"/>
                <w:sz w:val="18"/>
                <w:szCs w:val="18"/>
                <w:b w:val="1"/>
                <w:bCs w:val="1"/>
                <w:color w:val="auto"/>
                <w:w w:val="98"/>
              </w:rPr>
              <w:t>(in thousands)</w:t>
            </w:r>
          </w:p>
        </w:tc>
        <w:tc>
          <w:tcPr>
            <w:tcW w:w="1300" w:type="dxa"/>
            <w:vAlign w:val="bottom"/>
          </w:tcPr>
          <w:p>
            <w:pPr>
              <w:spacing w:after="0"/>
              <w:rPr>
                <w:sz w:val="19"/>
                <w:szCs w:val="19"/>
                <w:color w:val="auto"/>
              </w:rPr>
            </w:pPr>
          </w:p>
        </w:tc>
      </w:tr>
      <w:tr>
        <w:trPr>
          <w:trHeight w:val="225"/>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Class 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57,779</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Class B</w:t>
            </w:r>
          </w:p>
        </w:tc>
        <w:tc>
          <w:tcPr>
            <w:tcW w:w="1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w:t>
            </w:r>
          </w:p>
        </w:tc>
      </w:tr>
      <w:tr>
        <w:trPr>
          <w:trHeight w:val="23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reserved shares of common stock for issuance, on an as-converted basis, as follows:</w:t>
      </w:r>
    </w:p>
    <w:p>
      <w:pPr>
        <w:spacing w:after="0" w:line="18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1072"/>
              <w:spacing w:after="0"/>
              <w:rPr>
                <w:sz w:val="20"/>
                <w:szCs w:val="20"/>
                <w:color w:val="auto"/>
              </w:rPr>
            </w:pPr>
            <w:r>
              <w:rPr>
                <w:rFonts w:ascii="Arial" w:cs="Arial" w:eastAsia="Arial" w:hAnsi="Arial"/>
                <w:sz w:val="18"/>
                <w:szCs w:val="18"/>
                <w:b w:val="1"/>
                <w:bCs w:val="1"/>
                <w:color w:val="auto"/>
              </w:rPr>
              <w:t>2020</w:t>
            </w:r>
          </w:p>
        </w:tc>
      </w:tr>
      <w:tr>
        <w:trPr>
          <w:trHeight w:val="218"/>
        </w:trPr>
        <w:tc>
          <w:tcPr>
            <w:tcW w:w="5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gridSpan w:val="3"/>
          </w:tcPr>
          <w:p>
            <w:pPr>
              <w:ind w:left="320"/>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Pr>
          <w:p>
            <w:pPr>
              <w:spacing w:after="0"/>
              <w:rPr>
                <w:sz w:val="19"/>
                <w:szCs w:val="19"/>
                <w:color w:val="auto"/>
              </w:rPr>
            </w:pPr>
          </w:p>
        </w:tc>
      </w:tr>
      <w:tr>
        <w:trPr>
          <w:trHeight w:val="225"/>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r>
      <w:tr>
        <w:trPr>
          <w:trHeight w:val="22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Shares available for future grants</w:t>
            </w:r>
          </w:p>
        </w:tc>
        <w:tc>
          <w:tcPr>
            <w:tcW w:w="88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6"/>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plan purchases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Restricted stock units 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1840" w:type="dxa"/>
            <w:vAlign w:val="bottom"/>
            <w:gridSpan w:val="3"/>
          </w:tcPr>
          <w:p>
            <w:pPr>
              <w:jc w:val="right"/>
              <w:ind w:right="10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65,971</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convertible preferred stock warrants</w:t>
            </w:r>
          </w:p>
        </w:tc>
        <w:tc>
          <w:tcPr>
            <w:tcW w:w="18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9"/>
        </w:trPr>
        <w:tc>
          <w:tcPr>
            <w:tcW w:w="75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34,427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89,097</w:t>
            </w:r>
          </w:p>
        </w:tc>
      </w:tr>
      <w:tr>
        <w:trPr>
          <w:trHeight w:val="20"/>
        </w:trPr>
        <w:tc>
          <w:tcPr>
            <w:tcW w:w="57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Stock-Based Compensation Plans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2010 Stock Incentive Plan</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2010, the Company adopted the Second Amended and Restated 2010 Stock Plan (“2010 Plan”), and amended the 2010 Plan in 2011. The 2010 Plan provides for the grant of stock awards to employees, consultants and directors of the Company. Options granted under the 2010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2010 Plan. In 2021, the board of directors authorized an additional 1.0 million shares for the 2010 Plan.</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Stock awards under the 2010 Plan may be granted with terms of up to 10 years and at prices determined by the board of directors, provided, however, that (i) the exercise price of an ISO or NSO shall not be less than 100% of the estimated fair value of the shares on the date of the grant, and (ii) the exercise price of an ISO granted to a 10% or more stockholder shall not be less than 110%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estimated fair value of the shares on the grant date. The options generally vest over a four-year period. For certain options, vesting accelerates upon the occurrence of specified events, such as a change of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IPO Options Under the 2010 Plan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In the year ended on December 31, 2021, $3.2 million was recognized as compensation expense from stock options subject to these performance conditions.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2021, in connection with the IPO, the Company’s board of directors adopted the 2021 Stock Option and Incentive Plan (“2021 Plan”) to replace the 2010 Plan, which was subsequently approved by the Company’s stockholders in March 2021. The 2021 Plan became effective on March 24, 2021.</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2021, no stock options were granted under the 2021 Plan. As of December 31, 2021, 1,436,451 restricted stock units were granted under the 2021 Plan.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 activity under the 2010 Plan, as amended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4"/>
                <w:szCs w:val="14"/>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Available</w:t>
            </w: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Remaining</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for Grant</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rPr>
              <w:t>Exercise Price Per</w:t>
            </w: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9"/>
              </w:rPr>
              <w:t>Contractual Life</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ind w:left="409"/>
              <w:spacing w:after="0"/>
              <w:rPr>
                <w:sz w:val="20"/>
                <w:szCs w:val="20"/>
                <w:color w:val="auto"/>
              </w:rPr>
            </w:pPr>
            <w:r>
              <w:rPr>
                <w:rFonts w:ascii="Arial" w:cs="Arial" w:eastAsia="Arial" w:hAnsi="Arial"/>
                <w:sz w:val="14"/>
                <w:szCs w:val="14"/>
                <w:b w:val="1"/>
                <w:bCs w:val="1"/>
                <w:color w:val="auto"/>
              </w:rPr>
              <w:t>Share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060" w:type="dxa"/>
            <w:vAlign w:val="bottom"/>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107,696</w:t>
            </w: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Options authorized</w:t>
            </w: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60" w:type="dxa"/>
            <w:vAlign w:val="bottom"/>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(3,480)</w:t>
            </w:r>
          </w:p>
        </w:tc>
        <w:tc>
          <w:tcPr>
            <w:tcW w:w="10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forfeited and expired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60" w:type="dxa"/>
            <w:vAlign w:val="bottom"/>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Transferred to 2021 Plan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060" w:type="dxa"/>
            <w:vAlign w:val="bottom"/>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208,042</w:t>
            </w:r>
          </w:p>
        </w:tc>
        <w:tc>
          <w:tcPr>
            <w:tcW w:w="0" w:type="dxa"/>
            <w:vAlign w:val="bottom"/>
          </w:tcPr>
          <w:p>
            <w:pPr>
              <w:spacing w:after="0"/>
              <w:rPr>
                <w:sz w:val="1"/>
                <w:szCs w:val="1"/>
                <w:color w:val="auto"/>
              </w:rPr>
            </w:pPr>
          </w:p>
        </w:tc>
      </w:tr>
      <w:tr>
        <w:trPr>
          <w:trHeight w:val="224"/>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Options outstanding and exercisable –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11,434</w:t>
            </w:r>
          </w:p>
        </w:tc>
        <w:tc>
          <w:tcPr>
            <w:tcW w:w="10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125,242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aggregated intrinsic value represents the difference between the exercise price and the fair value of common stock. The aggregate intrinsic value of all options exercised was $53.8 million, $2.9 million and $0.9 million during the years ended December 31, 2021, 2020 and 2019, respectively. The weighted average grant date fair value of options granted was $6.66, $1.72 and $1.38 during the years ended December 31, 2021, 2020 and 2019, respectively.</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records stock-based awards at fair value as of the grant date, using the Black Scholes option pricing model. The fair value of stock options granted were estimated using the following range of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9"/>
        </w:trPr>
        <w:tc>
          <w:tcPr>
            <w:tcW w:w="524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center"/>
              <w:ind w:left="352"/>
              <w:spacing w:after="0" w:line="219" w:lineRule="exact"/>
              <w:rPr>
                <w:sz w:val="20"/>
                <w:szCs w:val="20"/>
                <w:color w:val="auto"/>
              </w:rPr>
            </w:pPr>
            <w:r>
              <w:rPr>
                <w:rFonts w:ascii="Arial" w:cs="Arial" w:eastAsia="Arial" w:hAnsi="Arial"/>
                <w:sz w:val="18"/>
                <w:szCs w:val="18"/>
                <w:b w:val="1"/>
                <w:bCs w:val="1"/>
                <w:color w:val="auto"/>
                <w:w w:val="93"/>
              </w:rPr>
              <w:t>2021</w:t>
            </w:r>
            <w:r>
              <w:rPr>
                <w:rFonts w:ascii="Arial" w:cs="Arial" w:eastAsia="Arial" w:hAnsi="Arial"/>
                <w:sz w:val="22"/>
                <w:szCs w:val="22"/>
                <w:b w:val="1"/>
                <w:bCs w:val="1"/>
                <w:color w:val="auto"/>
                <w:w w:val="93"/>
                <w:vertAlign w:val="superscript"/>
              </w:rPr>
              <w:t>(1)</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8"/>
                <w:szCs w:val="18"/>
                <w:b w:val="1"/>
                <w:bCs w:val="1"/>
                <w:color w:val="auto"/>
                <w:w w:val="93"/>
              </w:rPr>
              <w:t>2020</w:t>
            </w:r>
            <w:r>
              <w:rPr>
                <w:rFonts w:ascii="Arial" w:cs="Arial" w:eastAsia="Arial" w:hAnsi="Arial"/>
                <w:sz w:val="22"/>
                <w:szCs w:val="22"/>
                <w:b w:val="1"/>
                <w:bCs w:val="1"/>
                <w:color w:val="auto"/>
                <w:w w:val="93"/>
                <w:vertAlign w:val="superscript"/>
              </w:rPr>
              <w:t>(1)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8"/>
                <w:szCs w:val="18"/>
                <w:b w:val="1"/>
                <w:bCs w:val="1"/>
                <w:color w:val="auto"/>
              </w:rPr>
              <w:t>2019</w:t>
            </w:r>
          </w:p>
        </w:tc>
      </w:tr>
      <w:tr>
        <w:trPr>
          <w:trHeight w:val="21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7"/>
              </w:rPr>
              <w:t>5.00 - 10.00</w:t>
            </w:r>
          </w:p>
        </w:tc>
        <w:tc>
          <w:tcPr>
            <w:tcW w:w="232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7"/>
              </w:rPr>
              <w:t>5.00-10.00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6.25</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center"/>
              <w:ind w:left="352"/>
              <w:spacing w:after="0"/>
              <w:rPr>
                <w:sz w:val="20"/>
                <w:szCs w:val="20"/>
                <w:color w:val="auto"/>
              </w:rPr>
            </w:pPr>
            <w:r>
              <w:rPr>
                <w:rFonts w:ascii="Arial" w:cs="Arial" w:eastAsia="Arial" w:hAnsi="Arial"/>
                <w:sz w:val="18"/>
                <w:szCs w:val="18"/>
                <w:color w:val="auto"/>
                <w:w w:val="98"/>
              </w:rPr>
              <w:t>59.4%-61.8%</w:t>
            </w:r>
          </w:p>
        </w:tc>
        <w:tc>
          <w:tcPr>
            <w:tcW w:w="2320" w:type="dxa"/>
            <w:vAlign w:val="bottom"/>
            <w:gridSpan w:val="3"/>
          </w:tcPr>
          <w:p>
            <w:pPr>
              <w:jc w:val="center"/>
              <w:ind w:left="452"/>
              <w:spacing w:after="0"/>
              <w:rPr>
                <w:sz w:val="20"/>
                <w:szCs w:val="20"/>
                <w:color w:val="auto"/>
              </w:rPr>
            </w:pPr>
            <w:r>
              <w:rPr>
                <w:rFonts w:ascii="Arial" w:cs="Arial" w:eastAsia="Arial" w:hAnsi="Arial"/>
                <w:sz w:val="18"/>
                <w:szCs w:val="18"/>
                <w:color w:val="auto"/>
                <w:w w:val="98"/>
              </w:rPr>
              <w:t>46.9%-54.9%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c>
          <w:tcPr>
            <w:tcW w:w="1000" w:type="dxa"/>
            <w:vAlign w:val="bottom"/>
          </w:tcPr>
          <w:p>
            <w:pPr>
              <w:ind w:left="60"/>
              <w:spacing w:after="0"/>
              <w:rPr>
                <w:sz w:val="20"/>
                <w:szCs w:val="20"/>
                <w:color w:val="auto"/>
              </w:rPr>
            </w:pPr>
            <w:r>
              <w:rPr>
                <w:rFonts w:ascii="Arial" w:cs="Arial" w:eastAsia="Arial" w:hAnsi="Arial"/>
                <w:sz w:val="18"/>
                <w:szCs w:val="18"/>
                <w:color w:val="auto"/>
              </w:rPr>
              <w:t>– 47.8%</w:t>
            </w: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rate</w:t>
            </w:r>
          </w:p>
        </w:tc>
        <w:tc>
          <w:tcPr>
            <w:tcW w:w="178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8"/>
              </w:rPr>
              <w:t>0.44%-1.10%</w:t>
            </w:r>
          </w:p>
        </w:tc>
        <w:tc>
          <w:tcPr>
            <w:tcW w:w="232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8"/>
              </w:rPr>
              <w:t>0.28%-1.55%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2.44%</w:t>
            </w: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80" w:type="dxa"/>
            <w:vAlign w:val="bottom"/>
          </w:tcPr>
          <w:p>
            <w:pPr>
              <w:jc w:val="center"/>
              <w:ind w:left="35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1000" w:type="dxa"/>
            <w:vAlign w:val="bottom"/>
          </w:tcPr>
          <w:p>
            <w:pPr>
              <w:jc w:val="center"/>
              <w:ind w:right="712"/>
              <w:spacing w:after="0"/>
              <w:rPr>
                <w:sz w:val="20"/>
                <w:szCs w:val="20"/>
                <w:color w:val="auto"/>
              </w:rPr>
            </w:pPr>
            <w:r>
              <w:rPr>
                <w:rFonts w:ascii="Arial" w:cs="Arial" w:eastAsia="Arial" w:hAnsi="Arial"/>
                <w:sz w:val="18"/>
                <w:szCs w:val="18"/>
                <w:color w:val="auto"/>
                <w:w w:val="88"/>
              </w:rPr>
              <w:t>—</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Assumptions include non-employee options after adoption of ASU 2018-07 as of January 1, 2020.</w:t>
      </w:r>
    </w:p>
    <w:p>
      <w:pPr>
        <w:spacing w:after="0" w:line="15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Each of these inputs is subjective and generally requires significant judgment.</w:t>
      </w:r>
    </w:p>
    <w:p>
      <w:pPr>
        <w:spacing w:after="0" w:line="146" w:lineRule="exact"/>
        <w:rPr>
          <w:rFonts w:ascii="Arial" w:cs="Arial" w:eastAsia="Arial" w:hAnsi="Arial"/>
          <w:sz w:val="16"/>
          <w:szCs w:val="16"/>
          <w:color w:val="auto"/>
        </w:rPr>
      </w:pPr>
    </w:p>
    <w:p>
      <w:pPr>
        <w:jc w:val="both"/>
        <w:ind w:left="320"/>
        <w:spacing w:after="0" w:line="250" w:lineRule="auto"/>
        <w:rPr>
          <w:rFonts w:ascii="Arial" w:cs="Arial" w:eastAsia="Arial" w:hAnsi="Arial"/>
          <w:sz w:val="16"/>
          <w:szCs w:val="16"/>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—Historically, for all periods prior to the IPO in March 2021, the fair value of the shares of common stock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as there was no public market for the common stock. The board of directors determines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 After the completion of the IPO in March 2021, the fair value of each share of underlying common stock is based on the closing price of the Company’s common stock as reported on the date of grant on the Nasdaq Global Select Market.</w:t>
      </w:r>
    </w:p>
    <w:p>
      <w:pPr>
        <w:spacing w:after="0" w:line="133" w:lineRule="exact"/>
        <w:rPr>
          <w:rFonts w:ascii="Arial" w:cs="Arial" w:eastAsia="Arial" w:hAnsi="Arial"/>
          <w:sz w:val="16"/>
          <w:szCs w:val="16"/>
          <w:color w:val="auto"/>
        </w:rPr>
      </w:pPr>
    </w:p>
    <w:p>
      <w:pPr>
        <w:jc w:val="both"/>
        <w:ind w:left="320"/>
        <w:spacing w:after="0" w:line="281" w:lineRule="auto"/>
        <w:rPr>
          <w:rFonts w:ascii="Arial" w:cs="Arial" w:eastAsia="Arial" w:hAnsi="Arial"/>
          <w:sz w:val="16"/>
          <w:szCs w:val="16"/>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Company’s stock options are expected to be outstanding and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08" w:lineRule="exact"/>
        <w:rPr>
          <w:rFonts w:ascii="Arial" w:cs="Arial" w:eastAsia="Arial" w:hAnsi="Arial"/>
          <w:sz w:val="16"/>
          <w:szCs w:val="16"/>
          <w:color w:val="auto"/>
        </w:rPr>
      </w:pPr>
    </w:p>
    <w:p>
      <w:pPr>
        <w:jc w:val="both"/>
        <w:ind w:left="320"/>
        <w:spacing w:after="0" w:line="259" w:lineRule="auto"/>
        <w:rPr>
          <w:rFonts w:ascii="Arial" w:cs="Arial" w:eastAsia="Arial" w:hAnsi="Arial"/>
          <w:sz w:val="16"/>
          <w:szCs w:val="16"/>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Because the Company does not have sufficient trading history for its common stock, the expected volatility was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average volatility for comparable publicly-traded companies, over a period equal to the expected term of the stock option grants.</w:t>
      </w:r>
    </w:p>
    <w:p>
      <w:pPr>
        <w:spacing w:after="0" w:line="124" w:lineRule="exact"/>
        <w:rPr>
          <w:rFonts w:ascii="Arial" w:cs="Arial" w:eastAsia="Arial" w:hAnsi="Arial"/>
          <w:sz w:val="16"/>
          <w:szCs w:val="16"/>
          <w:color w:val="auto"/>
        </w:rPr>
      </w:pPr>
    </w:p>
    <w:p>
      <w:pPr>
        <w:ind w:left="320"/>
        <w:spacing w:after="0" w:line="272" w:lineRule="auto"/>
        <w:rPr>
          <w:rFonts w:ascii="Arial" w:cs="Arial" w:eastAsia="Arial" w:hAnsi="Arial"/>
          <w:sz w:val="16"/>
          <w:szCs w:val="16"/>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rate assumption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3" w:lineRule="exact"/>
        <w:rPr>
          <w:rFonts w:ascii="Arial" w:cs="Arial" w:eastAsia="Arial" w:hAnsi="Arial"/>
          <w:sz w:val="16"/>
          <w:szCs w:val="16"/>
          <w:color w:val="auto"/>
        </w:rPr>
      </w:pPr>
    </w:p>
    <w:p>
      <w:pPr>
        <w:ind w:left="320"/>
        <w:spacing w:after="0" w:line="272" w:lineRule="auto"/>
        <w:rPr>
          <w:rFonts w:ascii="Arial" w:cs="Arial" w:eastAsia="Arial" w:hAnsi="Arial"/>
          <w:sz w:val="16"/>
          <w:szCs w:val="16"/>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has never paid dividends on its common stock and does not anticipate paying dividends on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uses an expected dividend yield of zero.</w:t>
      </w:r>
    </w:p>
    <w:p>
      <w:pPr>
        <w:spacing w:after="0" w:line="10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2021 Employee Stock Purchase Plan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2021, the Company’s board of directors adopted the Employee Stock Purchase Plan (“ESPP”), which was subsequently approved by the stockholders in March 2021. The ESPP became effective on March 24, 2021. The first offering period began on March 25, 2021, and there was $0.5 million in stock-based compensation related to the ESPP for the year ended December 31, 2021.</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used the following assumptions to estimate the fair value of stock offered under the ESPP for the years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48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6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5700" w:type="dxa"/>
            <w:vAlign w:val="bottom"/>
            <w:tcBorders>
              <w:bottom w:val="single" w:sz="8" w:color="CCEEFF"/>
            </w:tcBorders>
          </w:tcPr>
          <w:p>
            <w:pPr>
              <w:spacing w:after="0"/>
              <w:rPr>
                <w:sz w:val="15"/>
                <w:szCs w:val="15"/>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- 0.68</w:t>
            </w:r>
          </w:p>
        </w:tc>
      </w:tr>
      <w:tr>
        <w:trPr>
          <w:trHeight w:val="225"/>
        </w:trPr>
        <w:tc>
          <w:tcPr>
            <w:tcW w:w="5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right"/>
              <w:spacing w:after="0"/>
              <w:rPr>
                <w:sz w:val="20"/>
                <w:szCs w:val="20"/>
                <w:color w:val="auto"/>
              </w:rPr>
            </w:pPr>
            <w:r>
              <w:rPr>
                <w:rFonts w:ascii="Arial" w:cs="Arial" w:eastAsia="Arial" w:hAnsi="Arial"/>
                <w:sz w:val="18"/>
                <w:szCs w:val="18"/>
                <w:color w:val="auto"/>
              </w:rPr>
              <w:t>60.65%</w:t>
            </w:r>
          </w:p>
        </w:tc>
        <w:tc>
          <w:tcPr>
            <w:tcW w:w="1360" w:type="dxa"/>
            <w:vAlign w:val="bottom"/>
          </w:tcPr>
          <w:p>
            <w:pPr>
              <w:ind w:left="20"/>
              <w:spacing w:after="0"/>
              <w:rPr>
                <w:sz w:val="20"/>
                <w:szCs w:val="20"/>
                <w:color w:val="auto"/>
              </w:rPr>
            </w:pPr>
            <w:r>
              <w:rPr>
                <w:rFonts w:ascii="Arial" w:cs="Arial" w:eastAsia="Arial" w:hAnsi="Arial"/>
                <w:sz w:val="18"/>
                <w:szCs w:val="18"/>
                <w:color w:val="auto"/>
              </w:rPr>
              <w:t>- 71.25%</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- 0.10%</w:t>
            </w:r>
          </w:p>
        </w:tc>
      </w:tr>
      <w:tr>
        <w:trPr>
          <w:trHeight w:val="225"/>
        </w:trPr>
        <w:tc>
          <w:tcPr>
            <w:tcW w:w="57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purchase rights</w:t>
            </w:r>
          </w:p>
        </w:tc>
        <w:tc>
          <w:tcPr>
            <w:tcW w:w="2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$5.28</w:t>
            </w:r>
          </w:p>
        </w:tc>
      </w:tr>
    </w:tbl>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issues service-based and performance-based RSUs to employees. The RSUs automatically convert to shares of the</w:t>
      </w:r>
    </w:p>
    <w:p>
      <w:pPr>
        <w:spacing w:after="0" w:line="1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Company’s common stock on a one-for-one basis as the awards vest. RSUs granted to newly hired employees typically vest 25% annually over 4 years commencing on the date of grant. The RSUs are measured at grant date fair value, at the market price of the Company’s common stock on the grant date. The Company records stock-based compensation expense related to the RSUs ratably over the employee respective requisite service period.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RSUs excluding RSUs with performance-based vesting conditions (“PSUs”) activity under the 2021 Plan:</w:t>
      </w:r>
    </w:p>
    <w:p>
      <w:pPr>
        <w:spacing w:after="0" w:line="34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3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8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Weighted-Average</w:t>
            </w: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1"/>
                <w:szCs w:val="11"/>
                <w:color w:val="auto"/>
              </w:rPr>
            </w:pPr>
          </w:p>
        </w:tc>
        <w:tc>
          <w:tcPr>
            <w:tcW w:w="14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66"/>
        </w:trPr>
        <w:tc>
          <w:tcPr>
            <w:tcW w:w="36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500" w:type="dxa"/>
            <w:vAlign w:val="bottom"/>
            <w:gridSpan w:val="2"/>
            <w:vMerge w:val="restart"/>
          </w:tcPr>
          <w:p>
            <w:pPr>
              <w:jc w:val="center"/>
              <w:ind w:left="146"/>
              <w:spacing w:after="0" w:line="133" w:lineRule="exact"/>
              <w:rPr>
                <w:sz w:val="20"/>
                <w:szCs w:val="20"/>
                <w:color w:val="auto"/>
              </w:rPr>
            </w:pPr>
            <w:r>
              <w:rPr>
                <w:rFonts w:ascii="Arial" w:cs="Arial" w:eastAsia="Arial" w:hAnsi="Arial"/>
                <w:sz w:val="14"/>
                <w:szCs w:val="14"/>
                <w:b w:val="1"/>
                <w:bCs w:val="1"/>
                <w:color w:val="auto"/>
              </w:rPr>
              <w:t>Remaining</w:t>
            </w:r>
          </w:p>
        </w:tc>
        <w:tc>
          <w:tcPr>
            <w:tcW w:w="4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600" w:type="dxa"/>
            <w:vAlign w:val="bottom"/>
          </w:tcPr>
          <w:p>
            <w:pPr>
              <w:spacing w:after="0"/>
              <w:rPr>
                <w:sz w:val="5"/>
                <w:szCs w:val="5"/>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5"/>
                <w:szCs w:val="5"/>
                <w:color w:val="auto"/>
              </w:rPr>
            </w:pPr>
          </w:p>
        </w:tc>
        <w:tc>
          <w:tcPr>
            <w:tcW w:w="1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Grant-Date Fair Value</w:t>
            </w:r>
          </w:p>
        </w:tc>
        <w:tc>
          <w:tcPr>
            <w:tcW w:w="1500" w:type="dxa"/>
            <w:vAlign w:val="bottom"/>
            <w:gridSpan w:val="2"/>
            <w:vMerge w:val="continue"/>
          </w:tcPr>
          <w:p>
            <w:pPr>
              <w:spacing w:after="0"/>
              <w:rPr>
                <w:sz w:val="5"/>
                <w:szCs w:val="5"/>
                <w:color w:val="auto"/>
              </w:rPr>
            </w:pPr>
          </w:p>
        </w:tc>
        <w:tc>
          <w:tcPr>
            <w:tcW w:w="184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Contractual Life</w:t>
            </w: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5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1,405</w:t>
            </w:r>
          </w:p>
        </w:tc>
        <w:tc>
          <w:tcPr>
            <w:tcW w:w="900" w:type="dxa"/>
            <w:vAlign w:val="bottom"/>
            <w:gridSpan w:val="2"/>
          </w:tcPr>
          <w:p>
            <w:pPr>
              <w:jc w:val="right"/>
              <w:ind w:right="30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0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Forfeited and 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CCEEFF"/>
            </w:tcBorders>
            <w:gridSpan w:val="2"/>
          </w:tcPr>
          <w:p>
            <w:pPr>
              <w:jc w:val="right"/>
              <w:ind w:right="30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ind w:left="266"/>
              <w:spacing w:after="0"/>
              <w:rPr>
                <w:sz w:val="20"/>
                <w:szCs w:val="20"/>
                <w:color w:val="auto"/>
              </w:rPr>
            </w:pPr>
            <w:r>
              <w:rPr>
                <w:rFonts w:ascii="Arial" w:cs="Arial" w:eastAsia="Arial" w:hAnsi="Arial"/>
                <w:sz w:val="18"/>
                <w:szCs w:val="18"/>
                <w:color w:val="auto"/>
                <w:w w:val="96"/>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stock-based compensation expense by department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9"/>
        </w:trPr>
        <w:tc>
          <w:tcPr>
            <w:tcW w:w="6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2019</w:t>
            </w:r>
          </w:p>
        </w:tc>
      </w:tr>
      <w:tr>
        <w:trPr>
          <w:trHeight w:val="21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19"/>
        </w:trPr>
        <w:tc>
          <w:tcPr>
            <w:tcW w:w="634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w:t>
            </w: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costs capitalized as part of internal-use software was $0.3 million during the year ended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such costs were capitalized during the years ended December 31, 2020 and 2019.</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2021, there was $11.9 million of total unrecognized stock-based compensation related to outstanding stock options, which will be recognized over a weighted average period of 1.85 years.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2021, the Company had $21.3 million unrecognized stock-based compensation related to RSUs excluding PSUs, which will be recognized over the weighted average remaining requisite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service period of 3.37 years. The total fair value of RSUs excluding PSUs that vested for the years ended 2021 and 2020 was $1.7 million and zero, respectively.</w:t>
      </w:r>
    </w:p>
    <w:p>
      <w:pPr>
        <w:spacing w:after="0" w:line="15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of December 31, 2021, there was $0.3 million of total unrecognized stock-based compensation on ESPP, which will be recognized over a weighted average period of 0.4 years.</w:t>
      </w:r>
    </w:p>
    <w:p>
      <w:pPr>
        <w:spacing w:after="0" w:line="200" w:lineRule="exact"/>
        <w:rPr>
          <w:sz w:val="20"/>
          <w:szCs w:val="20"/>
          <w:color w:val="auto"/>
        </w:rPr>
      </w:pPr>
    </w:p>
    <w:p>
      <w:pPr>
        <w:spacing w:after="0" w:line="326" w:lineRule="exact"/>
        <w:rPr>
          <w:sz w:val="20"/>
          <w:szCs w:val="20"/>
          <w:color w:val="auto"/>
        </w:rPr>
      </w:pPr>
    </w:p>
    <w:p>
      <w:pPr>
        <w:ind w:left="440" w:hanging="434"/>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Noncancellable Purchase Commitments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2021, the Company has non-cancelable contractual commitments of $17.0 million for software, construction and other services in the ordinary course of business with varying expiration terms through 2025. As of December 31, 2021, the future minimum payments under these arrangements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376"/>
              <w:spacing w:after="0"/>
              <w:rPr>
                <w:sz w:val="20"/>
                <w:szCs w:val="20"/>
                <w:color w:val="auto"/>
              </w:rPr>
            </w:pPr>
            <w:r>
              <w:rPr>
                <w:rFonts w:ascii="Arial" w:cs="Arial" w:eastAsia="Arial" w:hAnsi="Arial"/>
                <w:sz w:val="14"/>
                <w:szCs w:val="14"/>
                <w:b w:val="1"/>
                <w:bCs w:val="1"/>
                <w:color w:val="auto"/>
              </w:rPr>
              <w:t>Purchase</w:t>
            </w:r>
          </w:p>
        </w:tc>
      </w:tr>
      <w:tr>
        <w:trPr>
          <w:trHeight w:val="172"/>
        </w:trPr>
        <w:tc>
          <w:tcPr>
            <w:tcW w:w="9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Commitments</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2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131" w:lineRule="exact"/>
        <w:rPr>
          <w:sz w:val="20"/>
          <w:szCs w:val="20"/>
          <w:color w:val="auto"/>
        </w:rPr>
      </w:pPr>
    </w:p>
    <w:p>
      <w:pPr>
        <w:ind w:left="440" w:hanging="434"/>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2010, the Company sponsored a defined-contribution savings plan under Section 401(k) of the Internal Revenue Code (the “401(k) Plan”). The 401(k) Plan covers all United States employees who meet defined minimum age and service requirements and allows participants to defer a portion of their annual compensation on a pretax basis. For the years ended December 31, 2021, 2020 and 2019, no employer contributions were made to the 401(k) Plan.</w:t>
      </w:r>
    </w:p>
    <w:p>
      <w:pPr>
        <w:spacing w:after="0" w:line="133" w:lineRule="exact"/>
        <w:rPr>
          <w:sz w:val="20"/>
          <w:szCs w:val="20"/>
          <w:color w:val="auto"/>
        </w:rPr>
      </w:pPr>
    </w:p>
    <w:p>
      <w:pPr>
        <w:ind w:left="440" w:hanging="434"/>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had no federal or foreign provision for income taxes as the Company has incurred operating losses since inception. The Company has U.S. pre-tax book loss of $61.9 million and foreign pre-tax book loss of $1.2 million for the year ended December 31, 2021. The Company’s state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provision, which was current, was $80,000 and $56,000 for the years ended December 31, 2021 and 2020, respectively.</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effective tax rate, as a percentage of pretax income, differs from the statutory federal rate primarily due to the valuation allowance that the Company records on its deferred tax assets as management believes it is more likely than not that the deferred tax assets will not be fully realized.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federal statutory income tax provision for the Company’s effective income tax provision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79"/>
        </w:trPr>
        <w:tc>
          <w:tcPr>
            <w:tcW w:w="6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18"/>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at federal statutory rate</w:t>
            </w:r>
          </w:p>
        </w:tc>
        <w:tc>
          <w:tcPr>
            <w:tcW w:w="1460" w:type="dxa"/>
            <w:vAlign w:val="bottom"/>
            <w:shd w:val="clear" w:color="auto" w:fill="CCEEFF"/>
          </w:tcPr>
          <w:p>
            <w:pPr>
              <w:jc w:val="right"/>
              <w:ind w:right="1258"/>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State taxes, net of federal effect</w:t>
            </w:r>
          </w:p>
        </w:tc>
        <w:tc>
          <w:tcPr>
            <w:tcW w:w="1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26"/>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Non-deductible expenses</w:t>
            </w:r>
          </w:p>
        </w:tc>
        <w:tc>
          <w:tcPr>
            <w:tcW w:w="1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Foreign tax rate differential</w:t>
            </w:r>
          </w:p>
        </w:tc>
        <w:tc>
          <w:tcPr>
            <w:tcW w:w="1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6"/>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based compensation</w:t>
            </w:r>
          </w:p>
        </w:tc>
        <w:tc>
          <w:tcPr>
            <w:tcW w:w="1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Change in valuation allowance</w:t>
            </w:r>
          </w:p>
        </w:tc>
        <w:tc>
          <w:tcPr>
            <w:tcW w:w="1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8,814</w:t>
            </w:r>
          </w:p>
        </w:tc>
        <w:tc>
          <w:tcPr>
            <w:tcW w:w="100" w:type="dxa"/>
            <w:vAlign w:val="bottom"/>
          </w:tcPr>
          <w:p>
            <w:pPr>
              <w:spacing w:after="0"/>
              <w:rPr>
                <w:sz w:val="19"/>
                <w:szCs w:val="19"/>
                <w:color w:val="auto"/>
              </w:rPr>
            </w:pP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tcPr>
          <w:p>
            <w:pPr>
              <w:jc w:val="right"/>
              <w:ind w:right="1258"/>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components of the Company’s deferred tax assets and liabilities consisted of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79"/>
        </w:trPr>
        <w:tc>
          <w:tcPr>
            <w:tcW w:w="63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05"/>
        </w:trPr>
        <w:tc>
          <w:tcPr>
            <w:tcW w:w="63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1500" w:type="dxa"/>
            <w:vAlign w:val="bottom"/>
          </w:tcPr>
          <w:p>
            <w:pPr>
              <w:jc w:val="right"/>
              <w:ind w:right="1298"/>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r>
      <w:tr>
        <w:trPr>
          <w:trHeight w:val="226"/>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and deferred revenue</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Stock compensation</w:t>
            </w:r>
          </w:p>
        </w:tc>
        <w:tc>
          <w:tcPr>
            <w:tcW w:w="1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r>
      <w:tr>
        <w:trPr>
          <w:trHeight w:val="226"/>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operating loss carryforwards</w:t>
            </w:r>
          </w:p>
        </w:tc>
        <w:tc>
          <w:tcPr>
            <w:tcW w:w="1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53,550</w:t>
            </w:r>
          </w:p>
        </w:tc>
        <w:tc>
          <w:tcPr>
            <w:tcW w:w="100" w:type="dxa"/>
            <w:vAlign w:val="bottom"/>
            <w:tcBorders>
              <w:bottom w:val="single" w:sz="8" w:color="CCEEFF"/>
            </w:tcBorders>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58,533</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1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(56,581)</w:t>
            </w:r>
          </w:p>
        </w:tc>
        <w:tc>
          <w:tcPr>
            <w:tcW w:w="100" w:type="dxa"/>
            <w:vAlign w:val="bottom"/>
            <w:tcBorders>
              <w:bottom w:val="single" w:sz="8" w:color="CCEEFF"/>
            </w:tcBorders>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Intangibles</w:t>
            </w:r>
          </w:p>
        </w:tc>
        <w:tc>
          <w:tcPr>
            <w:tcW w:w="1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15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top w:val="single" w:sz="8" w:color="CCEEFF"/>
            </w:tcBorders>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500" w:type="dxa"/>
            <w:vAlign w:val="bottom"/>
          </w:tcPr>
          <w:p>
            <w:pPr>
              <w:jc w:val="right"/>
              <w:ind w:right="1298"/>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losses of approximately $75.8 million as of December 31, 2021 and $53.6 million as of 2020 related to U.S. federal and state taxes. A valuation allowance is provided when it is more likely than not that the deferred tax assets will not be realized. The Company has established a valuation allowance to offset deferred tax assets as of December 31, 2021 and 2020 due to the uncertainty of realizing future benefits from its net operating loss carryforwards and other deferred tax assets.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increased by approximately $18.8 million and $10.5 million in the years ended December 31, 2021 and 2020, respectively.</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Federal and state, and foreign net operating loss carryforwards of approximately $297.7 million, $203.2 million and $12.0 million, respectively, for income tax purposes are available to offset future taxable income as of December 31, 2021. $189.4 million of the U.S. federal net operating losses can be carried forward indefinitely and are available to offset 80% of future taxable income. If not used, these carryforwards will begin to expire in varying amounts beginning in 2030.</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Tax Reform Act of 1986 and similar California legislation impose substantial restrictions on the utilization of net operating losses and tax credit carryforwards in the event that there is a change in ownership as provided by Section 382 and Section 383 of the Internal Revenue Code and similar state provisions. Such a limitation could result in the limitation and/or expiration of the net operating loss carryforwards and tax credits before utilization, which could result in increased future tax liabilities when the Company becomes taxable for federal or state purposes. While the Company has experienced an ownership change since its inception, an immaterial amount of net operating losses or tax credits has been limited as of December 31, 2021.</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has no uncertain tax positions, and the Company’s policy is to recognize interest expense and penalties related to income tax matters as a component of income tax expense. There was no accrued interest and penalties associated with uncertain tax positions as of December 31, 2021 and 2020.</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tax years 2010 through current will remain open for examination by the federal and state authorities for three and four years, respectively, from the date of utilization of any net operating loss credits. The Company is not currently under examination by income tax authorities in federal, state or other jurisdictions.</w:t>
      </w:r>
    </w:p>
    <w:p>
      <w:pPr>
        <w:spacing w:after="0" w:line="131" w:lineRule="exact"/>
        <w:rPr>
          <w:sz w:val="20"/>
          <w:szCs w:val="20"/>
          <w:color w:val="auto"/>
        </w:rPr>
      </w:pPr>
    </w:p>
    <w:p>
      <w:pPr>
        <w:ind w:left="440" w:hanging="434"/>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participating securities were excluded from the computation of diluted net loss per share attributable to common stockholders for the periods presented, because including them would have been anti-dilutive (on an as-converted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As of December 31,</w:t>
            </w:r>
          </w:p>
        </w:tc>
        <w:tc>
          <w:tcPr>
            <w:tcW w:w="1560" w:type="dxa"/>
            <w:vAlign w:val="bottom"/>
            <w:tcBorders>
              <w:bottom w:val="single" w:sz="8" w:color="auto"/>
            </w:tcBorders>
          </w:tcPr>
          <w:p>
            <w:pPr>
              <w:spacing w:after="0"/>
              <w:rPr>
                <w:sz w:val="20"/>
                <w:szCs w:val="20"/>
                <w:color w:val="auto"/>
              </w:rPr>
            </w:pPr>
          </w:p>
        </w:tc>
      </w:tr>
      <w:tr>
        <w:trPr>
          <w:trHeight w:val="219"/>
        </w:trPr>
        <w:tc>
          <w:tcPr>
            <w:tcW w:w="6360" w:type="dxa"/>
            <w:vAlign w:val="bottom"/>
          </w:tcPr>
          <w:p>
            <w:pPr>
              <w:spacing w:after="0"/>
              <w:rPr>
                <w:sz w:val="19"/>
                <w:szCs w:val="19"/>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2019</w:t>
            </w:r>
          </w:p>
        </w:tc>
      </w:tr>
      <w:tr>
        <w:trPr>
          <w:trHeight w:val="218"/>
        </w:trPr>
        <w:tc>
          <w:tcPr>
            <w:tcW w:w="6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(in thousands)</w:t>
            </w:r>
          </w:p>
        </w:tc>
        <w:tc>
          <w:tcPr>
            <w:tcW w:w="1560" w:type="dxa"/>
            <w:vAlign w:val="bottom"/>
          </w:tcPr>
          <w:p>
            <w:pPr>
              <w:spacing w:after="0"/>
              <w:rPr>
                <w:sz w:val="19"/>
                <w:szCs w:val="19"/>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65,928</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convertible preferred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53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The following description summarizes the most important terms of the common stock of ThredUp Inc. (the “Company,” “we,” “our,” or “us”) and certain provisions of our amended and restated certificate of incorporation and amended and restated bylaws currently in effect. This summary does not purport to be complete and is qualified by reference to our amended and restated certificate of incorporation, amended and restated bylaws, each of which have been previously filed with the Securities and Exchange Commission (the “SEC”) and are incorporated by reference as an exhibit to the Annual Report on Form 10-K of which this Exhibit 4.2 is a part, as well as to the applicable provisions of Delaware law.</w:t>
      </w:r>
    </w:p>
    <w:p>
      <w:pPr>
        <w:spacing w:after="0" w:line="15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7"/>
          <w:szCs w:val="17"/>
          <w:color w:val="auto"/>
        </w:rPr>
        <w:t>Our authorized capital stock consists of 1,000,000,000 shares of Class A common stock, $0.0001 par value per share, 120,000,000 shares of Class B common stock, $0.0001 par value per share, and 100,000,000 shares of undesignated preferred stock, $0.0001 par value per share.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13"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8"/>
          <w:szCs w:val="18"/>
          <w:color w:val="auto"/>
        </w:rPr>
        <w:t>We have two classes of authorized common stock, Class A common stock and Class B common stock. Only our Class A common stock is registered under Section 12 of the Securities Exchange Act of 1934, as amended, and trades on the Nasdaq Global Select Market (“Nasdaq”) under the ticker symbol “TDUP.”</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13"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ten votes per share, on all matters submitted to a vote of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57" w:lineRule="exact"/>
        <w:rPr>
          <w:sz w:val="20"/>
          <w:szCs w:val="20"/>
          <w:color w:val="auto"/>
        </w:rPr>
      </w:pPr>
    </w:p>
    <w:p>
      <w:pPr>
        <w:ind w:left="640" w:hanging="316"/>
        <w:spacing w:after="0" w:line="282"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9" w:lineRule="exact"/>
        <w:rPr>
          <w:rFonts w:ascii="Arial" w:cs="Arial" w:eastAsia="Arial" w:hAnsi="Arial"/>
          <w:sz w:val="18"/>
          <w:szCs w:val="18"/>
          <w:color w:val="auto"/>
        </w:rPr>
      </w:pPr>
    </w:p>
    <w:p>
      <w:pPr>
        <w:jc w:val="both"/>
        <w:ind w:left="640" w:hanging="316"/>
        <w:spacing w:after="0" w:line="27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53"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Our amended and restated certificate of incorporation does not provide for cumulative voting for the election of directors. Our amended and restated certificate of incorporation and amended and restated</w:t>
      </w:r>
    </w:p>
    <w:p>
      <w:pPr>
        <w:sectPr>
          <w:pgSz w:w="11900" w:h="16838" w:orient="portrait"/>
          <w:cols w:equalWidth="0" w:num="1">
            <w:col w:w="11240"/>
          </w:cols>
          <w:pgMar w:left="320" w:top="13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bylaws established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157"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8"/>
          <w:szCs w:val="18"/>
          <w:color w:val="auto"/>
        </w:rPr>
        <w:t>In the event that our co-founder James Reinhart is terminated or resigns from his position as Chief Executive Officer (the “Founder Departure”), each share of Class B common stock held of record by Mr. Reinhart, or by his permitted transferees, shall automatically, without any further action, convert into one share of Class A common stock the day following the Founder Departure.</w:t>
      </w:r>
    </w:p>
    <w:p>
      <w:pPr>
        <w:spacing w:after="0" w:line="15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All outstanding shares of Class A common stock and Class B common stock will convert automatically into shares of a single class of common stock on the earlier of the date that is March 30, 2028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13"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13"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ectPr>
          <w:pgSz w:w="11900" w:h="16838" w:orient="portrait"/>
          <w:cols w:equalWidth="0" w:num="1">
            <w:col w:w="11240"/>
          </w:cols>
          <w:pgMar w:left="320" w:top="13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 Limitations on Rights of Holders of Common Stock</w:t>
      </w:r>
    </w:p>
    <w:p>
      <w:pPr>
        <w:spacing w:after="0" w:line="213"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Certain holders of our common stock are entitled to rights with respect to the registration of their shares under the Securities Act. These registration rights are contained in the investors’ rights agreement. We, along with certain holders of our common stock, are parties to the investors’ rights agreement. The registration rights set forth in the investors’ rights agreement will expire on March 30, 2026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Certain holders of our common stock are entitled to certain demand registration rights. At any time beginning on September 22, 2021, the holders of at least 30% of these shares then outstanding may request that we register the offer and sale of their shares on a registration statement on Form S-1. We are obligated to effect only two such registrations. If we determine that it would be seriously detrimental to our stockholders to effect such a demand registration, we have the right to defer such registration, not more than twice in any twelve-month period, for a period of not more than 120 days. Additionally, we will not be required to effect a demand registration during the period beginning 90 days prior to our good faith estimate of the date of the filing of and ending on a date 180 days after the effectiveness of a registration statement relating to our common stock.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213"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8"/>
          <w:szCs w:val="18"/>
          <w:color w:val="auto"/>
        </w:rPr>
        <w:t>Certain holders of our common stock are entitled to certain Form S-3 registration rights. The holders of at least 10% of these shares then outstanding may request that we register the offer and sale of their</w:t>
      </w:r>
    </w:p>
    <w:p>
      <w:pPr>
        <w:sectPr>
          <w:pgSz w:w="11900" w:h="16838" w:orient="portrait"/>
          <w:cols w:equalWidth="0" w:num="1">
            <w:col w:w="11240"/>
          </w:cols>
          <w:pgMar w:left="320" w:top="13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on a registration statement on Form S-3 if we are eligible to file a registration statement on Form S-3 so long as the request covers at least that number of shares with an anticipated aggregate offering price of at least $1.0 million.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our stockholders to effect such a registration, we have the right to defer such registration, not more than twice in any twelve-month period, for a period of not more than 120 days. Additionally, we will not be required to effect a demand registration during the period beginning 60 days prior to our good faith estimate of the date of the filing of and ending on a date 180 days after the effectiveness of a registration statement relating to our common stock.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 common stock, certain holders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 stock option, stock purchase or similar plan, (2) a registration relating to a transaction under Rule 145 of the Securities Act, (3) a registration on any form that does not include substantially the same information as would be required to be included in a registration statement covering the public offering of our common stock or (4)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Anti-Takeover </w:t>
      </w:r>
      <w:r>
        <w:rPr>
          <w:rFonts w:ascii="Arial" w:cs="Arial" w:eastAsia="Arial" w:hAnsi="Arial"/>
          <w:sz w:val="18"/>
          <w:szCs w:val="18"/>
          <w:b w:val="1"/>
          <w:bCs w:val="1"/>
          <w:i w:val="1"/>
          <w:iCs w:val="1"/>
          <w:color w:val="auto"/>
        </w:rPr>
        <w:t>Provisions</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Delaware Law</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ectPr>
          <w:pgSz w:w="11900" w:h="16838" w:orient="portrait"/>
          <w:cols w:equalWidth="0" w:num="1">
            <w:col w:w="11240"/>
          </w:cols>
          <w:pgMar w:left="320" w:top="13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13"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32" w:lineRule="exact"/>
        <w:rPr>
          <w:sz w:val="20"/>
          <w:szCs w:val="20"/>
          <w:color w:val="auto"/>
        </w:rPr>
      </w:pPr>
    </w:p>
    <w:p>
      <w:pPr>
        <w:jc w:val="both"/>
        <w:ind w:left="640" w:hanging="316"/>
        <w:spacing w:after="0" w:line="28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Dual-Class Stock. </w:t>
      </w:r>
      <w:r>
        <w:rPr>
          <w:rFonts w:ascii="Arial" w:cs="Arial" w:eastAsia="Arial" w:hAnsi="Arial"/>
          <w:sz w:val="18"/>
          <w:szCs w:val="18"/>
          <w:color w:val="auto"/>
        </w:rPr>
        <w:t>As described above, our amended and restated certificate of incorporation provides for a dual-class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which provides our founders, certain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29" w:lineRule="exact"/>
        <w:rPr>
          <w:rFonts w:ascii="Arial" w:cs="Arial" w:eastAsia="Arial" w:hAnsi="Arial"/>
          <w:sz w:val="18"/>
          <w:szCs w:val="18"/>
          <w:color w:val="auto"/>
        </w:rPr>
      </w:pPr>
    </w:p>
    <w:p>
      <w:pPr>
        <w:jc w:val="both"/>
        <w:ind w:left="640" w:hanging="316"/>
        <w:spacing w:after="0" w:line="281"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These provisions make it more difficult to change the composition of our board of directors and promote continuity of management.</w:t>
      </w:r>
    </w:p>
    <w:p>
      <w:pPr>
        <w:spacing w:after="0" w:line="135" w:lineRule="exact"/>
        <w:rPr>
          <w:rFonts w:ascii="Arial" w:cs="Arial" w:eastAsia="Arial" w:hAnsi="Arial"/>
          <w:sz w:val="18"/>
          <w:szCs w:val="18"/>
          <w:color w:val="auto"/>
        </w:rPr>
      </w:pPr>
    </w:p>
    <w:p>
      <w:pPr>
        <w:jc w:val="both"/>
        <w:ind w:left="640" w:hanging="316"/>
        <w:spacing w:after="0" w:line="28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29" w:lineRule="exact"/>
        <w:rPr>
          <w:rFonts w:ascii="Arial" w:cs="Arial" w:eastAsia="Arial" w:hAnsi="Arial"/>
          <w:sz w:val="18"/>
          <w:szCs w:val="18"/>
          <w:color w:val="auto"/>
        </w:rPr>
      </w:pPr>
    </w:p>
    <w:p>
      <w:pPr>
        <w:jc w:val="both"/>
        <w:ind w:left="640" w:hanging="316"/>
        <w:spacing w:after="0" w:line="280"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of Stockholders. </w:t>
      </w:r>
      <w:r>
        <w:rPr>
          <w:rFonts w:ascii="Arial" w:cs="Arial" w:eastAsia="Arial" w:hAnsi="Arial"/>
          <w:sz w:val="18"/>
          <w:szCs w:val="18"/>
          <w:color w:val="auto"/>
        </w:rPr>
        <w:t>Our amended and restated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is not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5" w:lineRule="exact"/>
        <w:rPr>
          <w:rFonts w:ascii="Arial" w:cs="Arial" w:eastAsia="Arial" w:hAnsi="Arial"/>
          <w:sz w:val="18"/>
          <w:szCs w:val="18"/>
          <w:color w:val="auto"/>
        </w:rPr>
      </w:pPr>
    </w:p>
    <w:p>
      <w:pPr>
        <w:jc w:val="both"/>
        <w:ind w:left="640" w:hanging="316"/>
        <w:spacing w:after="0" w:line="281"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w:t>
      </w:r>
    </w:p>
    <w:p>
      <w:pPr>
        <w:sectPr>
          <w:pgSz w:w="11900" w:h="16838" w:orient="portrait"/>
          <w:cols w:equalWidth="0" w:num="1">
            <w:col w:w="11240"/>
          </w:cols>
          <w:pgMar w:left="320" w:top="13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40" w:right="20"/>
        <w:spacing w:after="0" w:line="282" w:lineRule="auto"/>
        <w:rPr>
          <w:sz w:val="20"/>
          <w:szCs w:val="20"/>
          <w:color w:val="auto"/>
        </w:rPr>
      </w:pPr>
      <w:r>
        <w:rPr>
          <w:rFonts w:ascii="Arial" w:cs="Arial" w:eastAsia="Arial" w:hAnsi="Arial"/>
          <w:sz w:val="18"/>
          <w:szCs w:val="18"/>
          <w:color w:val="auto"/>
        </w:rPr>
        <w:t>deter a potential acquirer from conducting a solicitation of proxies to elect the acquirer’s own slate of directors or otherwise attempting to obtain control of our company.</w:t>
      </w:r>
    </w:p>
    <w:p>
      <w:pPr>
        <w:spacing w:after="0" w:line="132" w:lineRule="exact"/>
        <w:rPr>
          <w:sz w:val="20"/>
          <w:szCs w:val="20"/>
          <w:color w:val="auto"/>
        </w:rPr>
      </w:pPr>
    </w:p>
    <w:p>
      <w:pPr>
        <w:jc w:val="both"/>
        <w:ind w:left="640" w:hanging="316"/>
        <w:spacing w:after="0" w:line="289"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amended and restated certificate of incorporation does not provide for cumulative voting.</w:t>
      </w:r>
    </w:p>
    <w:p>
      <w:pPr>
        <w:spacing w:after="0" w:line="126" w:lineRule="exact"/>
        <w:rPr>
          <w:rFonts w:ascii="Arial" w:cs="Arial" w:eastAsia="Arial" w:hAnsi="Arial"/>
          <w:sz w:val="18"/>
          <w:szCs w:val="18"/>
          <w:color w:val="auto"/>
        </w:rPr>
      </w:pPr>
    </w:p>
    <w:p>
      <w:pPr>
        <w:ind w:left="640" w:hanging="316"/>
        <w:spacing w:after="0" w:line="303"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provides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113" w:lineRule="exact"/>
        <w:rPr>
          <w:rFonts w:ascii="Arial" w:cs="Arial" w:eastAsia="Arial" w:hAnsi="Arial"/>
          <w:sz w:val="18"/>
          <w:szCs w:val="18"/>
          <w:color w:val="auto"/>
        </w:rPr>
      </w:pPr>
    </w:p>
    <w:p>
      <w:pPr>
        <w:ind w:left="640" w:hanging="316"/>
        <w:spacing w:after="0" w:line="303"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approval by holders of at least two-thirds of our then outstanding common stock.</w:t>
      </w:r>
    </w:p>
    <w:p>
      <w:pPr>
        <w:spacing w:after="0" w:line="113" w:lineRule="exact"/>
        <w:rPr>
          <w:rFonts w:ascii="Arial" w:cs="Arial" w:eastAsia="Arial" w:hAnsi="Arial"/>
          <w:sz w:val="18"/>
          <w:szCs w:val="18"/>
          <w:color w:val="auto"/>
        </w:rPr>
      </w:pPr>
    </w:p>
    <w:p>
      <w:pPr>
        <w:jc w:val="both"/>
        <w:ind w:left="640" w:hanging="316"/>
        <w:spacing w:after="0" w:line="283"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the stockholders,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up to 100,000,000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31" w:lineRule="exact"/>
        <w:rPr>
          <w:rFonts w:ascii="Arial" w:cs="Arial" w:eastAsia="Arial" w:hAnsi="Arial"/>
          <w:sz w:val="18"/>
          <w:szCs w:val="18"/>
          <w:color w:val="auto"/>
        </w:rPr>
      </w:pPr>
    </w:p>
    <w:p>
      <w:pPr>
        <w:jc w:val="both"/>
        <w:ind w:left="640" w:hanging="316"/>
        <w:spacing w:after="0" w:line="278"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Our amended and restated bylaws provide that, unless we consent in writing to the selection of an alternative forum,</w:t>
      </w:r>
      <w:r>
        <w:rPr>
          <w:rFonts w:ascii="Arial" w:cs="Arial" w:eastAsia="Arial" w:hAnsi="Arial"/>
          <w:sz w:val="18"/>
          <w:szCs w:val="18"/>
          <w:i w:val="1"/>
          <w:iCs w:val="1"/>
          <w:color w:val="auto"/>
        </w:rPr>
        <w:t xml:space="preserve"> </w:t>
      </w:r>
      <w:r>
        <w:rPr>
          <w:rFonts w:ascii="Arial" w:cs="Arial" w:eastAsia="Arial" w:hAnsi="Arial"/>
          <w:sz w:val="18"/>
          <w:szCs w:val="18"/>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federal district courts of the United States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3"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The transfer agent and registrar for our Class A common stock and Class B common stock is Computershare Trust Company, N.A. The transfer agent’s address is 250 Royal Street, Canton, MA 02021.</w:t>
      </w:r>
    </w:p>
    <w:p>
      <w:pPr>
        <w:sectPr>
          <w:pgSz w:w="11900" w:h="16838" w:orient="portrait"/>
          <w:cols w:equalWidth="0" w:num="1">
            <w:col w:w="11240"/>
          </w:cols>
          <w:pgMar w:left="320" w:top="13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A common stock is listed on Nasdaq under the symbol “TDUP.”</w:t>
      </w:r>
    </w:p>
    <w:p>
      <w:pPr>
        <w:sectPr>
          <w:pgSz w:w="11900" w:h="16838" w:orient="portrait"/>
          <w:cols w:equalWidth="0" w:num="1">
            <w:col w:w="11240"/>
          </w:cols>
          <w:pgMar w:left="320" w:top="13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132715</wp:posOffset>
            </wp:positionV>
            <wp:extent cx="1287145" cy="353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128714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July 1, 2010</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Mr. Christopher Homer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672 Tremont Street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Boston, MA 02118</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Dear Chris,</w:t>
      </w:r>
    </w:p>
    <w:p>
      <w:pPr>
        <w:spacing w:after="0" w:line="24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Thank you for taking the time to work with us as we detailed the specifics of the role of Chief Sales Engineer &amp; CTO at thredUP. We are pleased to extend you an offer for this position of starting immediately in our Cambridge Office. Your compensation will be $60,000 per year and will be paid monthly on the last day of the month. As part of your compensation your are entitled to health benefits, which we will determine in advance of your first day.</w:t>
      </w:r>
    </w:p>
    <w:p>
      <w:pPr>
        <w:spacing w:after="0" w:line="211"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We look forward to having you work at thredUP as we build the next great consumer brand on the Internet. Should you have any questions or wish to discuss the offer further, please don't hesitate to contact me. In the meantime, I hope we can continue the dialogue about specific duties and responsibilities of this position.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seeing you soon.</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Sincerely,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Reinhart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Reinhart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thredUP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71348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r>
              <w:rPr>
                <w:rFonts w:ascii="Arial" w:cs="Arial" w:eastAsia="Arial" w:hAnsi="Arial"/>
                <w:sz w:val="21"/>
                <w:szCs w:val="21"/>
                <w:color w:val="auto"/>
              </w:rPr>
              <w:t>2 Canal Park</w:t>
            </w:r>
          </w:p>
        </w:tc>
        <w:tc>
          <w:tcPr>
            <w:tcW w:w="3120" w:type="dxa"/>
            <w:vAlign w:val="bottom"/>
          </w:tcPr>
          <w:p>
            <w:pPr>
              <w:ind w:left="1820"/>
              <w:spacing w:after="0"/>
              <w:rPr>
                <w:sz w:val="20"/>
                <w:szCs w:val="20"/>
                <w:color w:val="auto"/>
              </w:rPr>
            </w:pPr>
            <w:r>
              <w:rPr>
                <w:rFonts w:ascii="Arial" w:cs="Arial" w:eastAsia="Arial" w:hAnsi="Arial"/>
                <w:sz w:val="18"/>
                <w:szCs w:val="18"/>
                <w:color w:val="auto"/>
                <w:w w:val="88"/>
              </w:rPr>
              <w:t>www.thredup.com</w:t>
            </w:r>
          </w:p>
        </w:tc>
      </w:tr>
      <w:tr>
        <w:trPr>
          <w:trHeight w:val="256"/>
        </w:trPr>
        <w:tc>
          <w:tcPr>
            <w:tcW w:w="3800" w:type="dxa"/>
            <w:vAlign w:val="bottom"/>
          </w:tcPr>
          <w:p>
            <w:pPr>
              <w:spacing w:after="0" w:line="255" w:lineRule="exact"/>
              <w:rPr>
                <w:sz w:val="20"/>
                <w:szCs w:val="20"/>
                <w:color w:val="auto"/>
              </w:rPr>
            </w:pPr>
            <w:r>
              <w:rPr>
                <w:rFonts w:ascii="Arial" w:cs="Arial" w:eastAsia="Arial" w:hAnsi="Arial"/>
                <w:sz w:val="21"/>
                <w:szCs w:val="21"/>
                <w:color w:val="auto"/>
              </w:rPr>
              <w:t>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w:t>
            </w:r>
          </w:p>
        </w:tc>
        <w:tc>
          <w:tcPr>
            <w:tcW w:w="3120" w:type="dxa"/>
            <w:vAlign w:val="bottom"/>
          </w:tcPr>
          <w:p>
            <w:pPr>
              <w:ind w:left="1820"/>
              <w:spacing w:after="0"/>
              <w:rPr>
                <w:sz w:val="20"/>
                <w:szCs w:val="20"/>
                <w:color w:val="auto"/>
              </w:rPr>
            </w:pPr>
            <w:r>
              <w:rPr>
                <w:rFonts w:ascii="Arial" w:cs="Arial" w:eastAsia="Arial" w:hAnsi="Arial"/>
                <w:sz w:val="18"/>
                <w:szCs w:val="18"/>
                <w:color w:val="auto"/>
              </w:rPr>
              <w:t>(617) 575-9676</w:t>
            </w:r>
          </w:p>
        </w:tc>
      </w:tr>
      <w:tr>
        <w:trPr>
          <w:trHeight w:val="271"/>
        </w:trPr>
        <w:tc>
          <w:tcPr>
            <w:tcW w:w="3800" w:type="dxa"/>
            <w:vAlign w:val="bottom"/>
          </w:tcPr>
          <w:p>
            <w:pPr>
              <w:spacing w:after="0"/>
              <w:rPr>
                <w:sz w:val="20"/>
                <w:szCs w:val="20"/>
                <w:color w:val="auto"/>
              </w:rPr>
            </w:pPr>
            <w:r>
              <w:rPr>
                <w:rFonts w:ascii="Arial" w:cs="Arial" w:eastAsia="Arial" w:hAnsi="Arial"/>
                <w:sz w:val="21"/>
                <w:szCs w:val="21"/>
                <w:color w:val="auto"/>
              </w:rPr>
              <w:t>Cambridge, MA 02141</w:t>
            </w:r>
          </w:p>
        </w:tc>
        <w:tc>
          <w:tcPr>
            <w:tcW w:w="3120" w:type="dxa"/>
            <w:vAlign w:val="bottom"/>
          </w:tcPr>
          <w:p>
            <w:pPr>
              <w:spacing w:after="0"/>
              <w:rPr>
                <w:sz w:val="23"/>
                <w:szCs w:val="23"/>
                <w:color w:val="auto"/>
              </w:rPr>
            </w:pPr>
          </w:p>
        </w:tc>
      </w:tr>
    </w:tbl>
    <w:p>
      <w:pPr>
        <w:sectPr>
          <w:pgSz w:w="11900" w:h="16838" w:orient="portrait"/>
          <w:cols w:equalWidth="0" w:num="1">
            <w:col w:w="11240"/>
          </w:cols>
          <w:pgMar w:left="320" w:top="13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SECOND AMENDMENT TO AMENDED AND RESTATED LOAN AND SECURITY AGREEMENT</w:t>
      </w:r>
    </w:p>
    <w:p>
      <w:pPr>
        <w:spacing w:after="0" w:line="177"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8"/>
          <w:szCs w:val="18"/>
          <w:color w:val="auto"/>
        </w:rPr>
        <w:t>This Second Amendment to Amended and Restated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3, 2021, by and among WESTERN ALLIANCE BANK, an Arizona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ThredUp Inc.</w:t>
      </w:r>
      <w:r>
        <w:rPr>
          <w:rFonts w:ascii="Arial" w:cs="Arial" w:eastAsia="Arial" w:hAnsi="Arial"/>
          <w:sz w:val="18"/>
          <w:szCs w:val="18"/>
          <w:color w:val="auto"/>
        </w:rPr>
        <w:t xml:space="preserve">, a Delaware corporation (“Parent”), </w:t>
      </w:r>
      <w:r>
        <w:rPr>
          <w:rFonts w:ascii="Arial" w:cs="Arial" w:eastAsia="Arial" w:hAnsi="Arial"/>
          <w:sz w:val="18"/>
          <w:szCs w:val="18"/>
          <w:b w:val="1"/>
          <w:bCs w:val="1"/>
          <w:color w:val="auto"/>
        </w:rPr>
        <w:t>ThredUp CF LLC</w:t>
      </w:r>
      <w:r>
        <w:rPr>
          <w:rFonts w:ascii="Arial" w:cs="Arial" w:eastAsia="Arial" w:hAnsi="Arial"/>
          <w:sz w:val="18"/>
          <w:szCs w:val="18"/>
          <w:color w:val="auto"/>
        </w:rPr>
        <w:t xml:space="preserve">, a Delaware limited liability company (“ThredUP CF”), </w:t>
      </w:r>
      <w:r>
        <w:rPr>
          <w:rFonts w:ascii="Arial" w:cs="Arial" w:eastAsia="Arial" w:hAnsi="Arial"/>
          <w:sz w:val="18"/>
          <w:szCs w:val="18"/>
          <w:b w:val="1"/>
          <w:bCs w:val="1"/>
          <w:color w:val="auto"/>
        </w:rPr>
        <w:t>ThredUp Intermediary Holdings LLC</w:t>
      </w:r>
      <w:r>
        <w:rPr>
          <w:rFonts w:ascii="Arial" w:cs="Arial" w:eastAsia="Arial" w:hAnsi="Arial"/>
          <w:sz w:val="18"/>
          <w:szCs w:val="18"/>
          <w:color w:val="auto"/>
        </w:rPr>
        <w:t xml:space="preserve">, a Virginia limited liability company (“Holdings”), and </w:t>
      </w:r>
      <w:r>
        <w:rPr>
          <w:rFonts w:ascii="Arial" w:cs="Arial" w:eastAsia="Arial" w:hAnsi="Arial"/>
          <w:sz w:val="18"/>
          <w:szCs w:val="18"/>
          <w:b w:val="1"/>
          <w:bCs w:val="1"/>
          <w:color w:val="auto"/>
        </w:rPr>
        <w:t>Knitwit GC LLC</w:t>
      </w:r>
      <w:r>
        <w:rPr>
          <w:rFonts w:ascii="Arial" w:cs="Arial" w:eastAsia="Arial" w:hAnsi="Arial"/>
          <w:sz w:val="18"/>
          <w:szCs w:val="18"/>
          <w:color w:val="auto"/>
        </w:rPr>
        <w:t>, a Virginia limited liability company (“Knitwit”, and together with Parent, ThredUP CF and Holdings, each a “Borrower” and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7"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Borrowers and Bank are parties to that certain Amended and Restated Loan and Security Agreement dated as of February 3, 2021, (as amended from time to time, including by that certain First Amendment to Amended and Restated Loan and Security Agreement dated as of May 14, 2021, collectively, the “</w:t>
      </w:r>
      <w:r>
        <w:rPr>
          <w:rFonts w:ascii="Arial" w:cs="Arial" w:eastAsia="Arial" w:hAnsi="Arial"/>
          <w:sz w:val="17"/>
          <w:szCs w:val="17"/>
          <w:b w:val="1"/>
          <w:bCs w:val="1"/>
          <w:color w:val="auto"/>
        </w:rPr>
        <w:t>Agreement</w:t>
      </w:r>
      <w:r>
        <w:rPr>
          <w:rFonts w:ascii="Arial" w:cs="Arial" w:eastAsia="Arial" w:hAnsi="Arial"/>
          <w:sz w:val="17"/>
          <w:szCs w:val="17"/>
          <w:color w:val="auto"/>
        </w:rPr>
        <w:t>”). The parties desire to amend the Agreement in accordance with the terms of this Amendment.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agree as follows:</w:t>
      </w:r>
    </w:p>
    <w:p>
      <w:pPr>
        <w:spacing w:after="0" w:line="177" w:lineRule="exact"/>
        <w:rPr>
          <w:sz w:val="20"/>
          <w:szCs w:val="20"/>
          <w:color w:val="auto"/>
        </w:rPr>
      </w:pPr>
    </w:p>
    <w:p>
      <w:pPr>
        <w:ind w:left="1280" w:hanging="638"/>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defined term and its definition in Section 1.1 of the Agreement hereby is amended and restated as follows:</w:t>
      </w:r>
    </w:p>
    <w:p>
      <w:pPr>
        <w:spacing w:after="0" w:line="177" w:lineRule="exact"/>
        <w:rPr>
          <w:sz w:val="20"/>
          <w:szCs w:val="20"/>
          <w:color w:val="auto"/>
        </w:rPr>
      </w:pPr>
    </w:p>
    <w:p>
      <w:pPr>
        <w:jc w:val="both"/>
        <w:ind w:left="640" w:right="640" w:firstLine="636"/>
        <w:spacing w:after="0" w:line="214" w:lineRule="auto"/>
        <w:rPr>
          <w:sz w:val="20"/>
          <w:szCs w:val="20"/>
          <w:color w:val="auto"/>
        </w:rPr>
      </w:pPr>
      <w:r>
        <w:rPr>
          <w:rFonts w:ascii="Arial" w:cs="Arial" w:eastAsia="Arial" w:hAnsi="Arial"/>
          <w:sz w:val="18"/>
          <w:szCs w:val="18"/>
          <w:color w:val="auto"/>
        </w:rPr>
        <w:t xml:space="preserve">“RML” means the number of months obtained by dividing (a) the aggregate amount of Borrowers’ unrestricted cash and cash equivalents (i) held at Bank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beginning on September 29, 2021 and at all times thereafter, held in accounts outside of Bank that are subject to an account control agreement in favor of Bank as the senior secured party, by (b) Borrowers’ monthly trailing three (3) month average EBDA.</w:t>
      </w:r>
    </w:p>
    <w:p>
      <w:pPr>
        <w:spacing w:after="0" w:line="163" w:lineRule="exact"/>
        <w:rPr>
          <w:sz w:val="20"/>
          <w:szCs w:val="20"/>
          <w:color w:val="auto"/>
        </w:rPr>
      </w:pPr>
    </w:p>
    <w:p>
      <w:pPr>
        <w:jc w:val="both"/>
        <w:ind w:firstLine="642"/>
        <w:spacing w:after="0" w:line="214"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any Borrower of any provision shall not affect any right of Bank thereafter to demand strict compliance and performance. Any suspension or waiver of a right must be in writing signed by an officer of Bank.</w:t>
      </w:r>
    </w:p>
    <w:p>
      <w:pPr>
        <w:spacing w:after="0" w:line="162" w:lineRule="exact"/>
        <w:rPr>
          <w:rFonts w:ascii="Arial" w:cs="Arial" w:eastAsia="Arial" w:hAnsi="Arial"/>
          <w:sz w:val="18"/>
          <w:szCs w:val="18"/>
          <w:color w:val="auto"/>
        </w:rPr>
      </w:pPr>
    </w:p>
    <w:p>
      <w:pPr>
        <w:jc w:val="both"/>
        <w:ind w:firstLine="642"/>
        <w:spacing w:after="0" w:line="214"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w:t>
      </w:r>
    </w:p>
    <w:p>
      <w:pPr>
        <w:spacing w:after="0" w:line="162" w:lineRule="exact"/>
        <w:rPr>
          <w:rFonts w:ascii="Arial" w:cs="Arial" w:eastAsia="Arial" w:hAnsi="Arial"/>
          <w:sz w:val="18"/>
          <w:szCs w:val="18"/>
          <w:color w:val="auto"/>
        </w:rPr>
      </w:pPr>
    </w:p>
    <w:p>
      <w:pPr>
        <w:ind w:firstLine="642"/>
        <w:spacing w:after="0" w:line="229"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Borrower represents and warrants that the Representations and Warranties contained in the Agreement are true and correct as of the date of this Amendment, and that no Event of Default has occurred and is continuing.</w:t>
      </w:r>
    </w:p>
    <w:p>
      <w:pPr>
        <w:spacing w:after="0" w:line="161" w:lineRule="exact"/>
        <w:rPr>
          <w:rFonts w:ascii="Arial" w:cs="Arial" w:eastAsia="Arial" w:hAnsi="Arial"/>
          <w:sz w:val="18"/>
          <w:szCs w:val="18"/>
          <w:color w:val="auto"/>
        </w:rPr>
      </w:pPr>
    </w:p>
    <w:p>
      <w:pPr>
        <w:ind w:left="1280" w:hanging="638"/>
        <w:spacing w:after="0"/>
        <w:tabs>
          <w:tab w:leader="none" w:pos="12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As a condition to the effectiveness of this Amendment, Bank shall have received, in form and substance satisfactory to Bank, the following:</w:t>
      </w:r>
    </w:p>
    <w:p>
      <w:pPr>
        <w:spacing w:after="0" w:line="211" w:lineRule="exact"/>
        <w:rPr>
          <w:rFonts w:ascii="Arial" w:cs="Arial" w:eastAsia="Arial" w:hAnsi="Arial"/>
          <w:sz w:val="15"/>
          <w:szCs w:val="15"/>
          <w:color w:val="auto"/>
        </w:rPr>
      </w:pPr>
    </w:p>
    <w:p>
      <w:pPr>
        <w:ind w:left="2540" w:hanging="626"/>
        <w:spacing w:after="0"/>
        <w:tabs>
          <w:tab w:leader="none" w:pos="2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Amendment, duly executed by each Borrower;</w:t>
      </w:r>
    </w:p>
    <w:p>
      <w:pPr>
        <w:spacing w:after="0" w:line="168" w:lineRule="exact"/>
        <w:rPr>
          <w:rFonts w:ascii="Arial" w:cs="Arial" w:eastAsia="Arial" w:hAnsi="Arial"/>
          <w:sz w:val="18"/>
          <w:szCs w:val="18"/>
          <w:color w:val="auto"/>
        </w:rPr>
      </w:pPr>
    </w:p>
    <w:p>
      <w:pPr>
        <w:ind w:left="2540" w:hanging="626"/>
        <w:spacing w:after="0"/>
        <w:tabs>
          <w:tab w:leader="none" w:pos="2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reasonable Bank Expenses invoiced through the date of this Amendment, which may be debited from any of</w:t>
      </w:r>
    </w:p>
    <w:p>
      <w:pPr>
        <w:spacing w:after="0"/>
        <w:rPr>
          <w:rFonts w:ascii="Arial" w:cs="Arial" w:eastAsia="Arial" w:hAnsi="Arial"/>
          <w:sz w:val="17"/>
          <w:szCs w:val="17"/>
          <w:color w:val="auto"/>
        </w:rPr>
      </w:pPr>
      <w:r>
        <w:rPr>
          <w:rFonts w:ascii="Arial" w:cs="Arial" w:eastAsia="Arial" w:hAnsi="Arial"/>
          <w:sz w:val="18"/>
          <w:szCs w:val="18"/>
          <w:color w:val="auto"/>
        </w:rPr>
        <w:t>Borrower’s accounts; and</w:t>
      </w:r>
    </w:p>
    <w:p>
      <w:pPr>
        <w:spacing w:after="0" w:line="163" w:lineRule="exact"/>
        <w:rPr>
          <w:rFonts w:ascii="Arial" w:cs="Arial" w:eastAsia="Arial" w:hAnsi="Arial"/>
          <w:sz w:val="17"/>
          <w:szCs w:val="17"/>
          <w:color w:val="auto"/>
        </w:rPr>
      </w:pPr>
    </w:p>
    <w:p>
      <w:pPr>
        <w:ind w:left="2540" w:hanging="626"/>
        <w:spacing w:after="0"/>
        <w:tabs>
          <w:tab w:leader="none" w:pos="25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such other documents, and completion of such other matters, as Bank may reasonably deem necessary or appropriate.</w:t>
      </w:r>
    </w:p>
    <w:p>
      <w:pPr>
        <w:spacing w:after="0" w:line="211" w:lineRule="exact"/>
        <w:rPr>
          <w:rFonts w:ascii="Arial" w:cs="Arial" w:eastAsia="Arial" w:hAnsi="Arial"/>
          <w:sz w:val="15"/>
          <w:szCs w:val="15"/>
          <w:color w:val="auto"/>
        </w:rPr>
      </w:pPr>
    </w:p>
    <w:p>
      <w:pPr>
        <w:ind w:right="220" w:firstLine="642"/>
        <w:spacing w:after="0" w:line="229"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0" w:right="33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145415</wp:posOffset>
            </wp:positionV>
            <wp:extent cx="7143115" cy="51993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43115" cy="5199380"/>
                    </a:xfrm>
                    <a:prstGeom prst="rect">
                      <a:avLst/>
                    </a:prstGeom>
                    <a:noFill/>
                  </pic:spPr>
                </pic:pic>
              </a:graphicData>
            </a:graphic>
          </wp:anchor>
        </w:drawing>
      </w:r>
    </w:p>
    <w:p>
      <w:pPr>
        <w:spacing w:after="0" w:line="21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ThredUp Inc., a Delaware corporation</w:t>
      </w:r>
    </w:p>
    <w:p>
      <w:pPr>
        <w:spacing w:after="0" w:line="1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ThredUp CF LLC, a Delaware limited liability company</w:t>
      </w:r>
    </w:p>
    <w:p>
      <w:pPr>
        <w:spacing w:after="0" w:line="1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ThredUp Intermediary Holdings LLC, a Virginia limited liability</w:t>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company</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Knitwit GC LLC, a Virginia limited liability company</w:t>
      </w:r>
    </w:p>
    <w:p>
      <w:pPr>
        <w:spacing w:after="0" w:line="1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Sean Sobers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Western Alliance Bank, an Arizona corporation</w:t>
      </w:r>
    </w:p>
    <w:p>
      <w:pPr>
        <w:spacing w:after="0" w:line="18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Shirish Sharma</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Shirish Sharma</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Second Amendment to Amended and Restated Loan and Security Agreement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40"/>
          </w:cols>
          <w:pgMar w:left="500" w:top="1386" w:right="9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List of Subsidiaries of ThredUp Inc.</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ThredUp Intermediary Holdings LLC (Virginia)</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Knitwit GC LLC (Virginia)</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ThredUp CF LLC (Delaware)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thredUP Circular Fashion Fund Inc. (Delaware)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Remix Global EAD (Bulgaria)</w:t>
      </w:r>
    </w:p>
    <w:p>
      <w:pPr>
        <w:sectPr>
          <w:pgSz w:w="11900" w:h="16838" w:orient="portrait"/>
          <w:cols w:equalWidth="0" w:num="1">
            <w:col w:w="11240"/>
          </w:cols>
          <w:pgMar w:left="320" w:top="360" w:right="339" w:bottom="1440" w:gutter="0" w:footer="0" w:header="0"/>
        </w:sectPr>
      </w:pPr>
    </w:p>
    <w:bookmarkStart w:id="126" w:name="page127"/>
    <w:bookmarkEnd w:id="126"/>
    <w:p>
      <w:pPr>
        <w:jc w:val="center"/>
        <w:ind w:right="-3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We consent to the incorporation by reference in the registration statements (Nos. 333-256038 and 333-254783) on Form S-8 of our report dated March 21, 2022, with respect to the consolidated financial statements of ThredUp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ectPr>
          <w:pgSz w:w="11900" w:h="16838" w:orient="portrait"/>
          <w:cols w:equalWidth="0" w:num="1">
            <w:col w:w="10920"/>
          </w:cols>
          <w:pgMar w:left="320" w:top="1380" w:right="6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2020" w:right="2020" w:firstLine="47"/>
        <w:spacing w:after="0" w:line="28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85" w:lineRule="exact"/>
        <w:rPr>
          <w:sz w:val="20"/>
          <w:szCs w:val="20"/>
          <w:color w:val="auto"/>
        </w:rPr>
      </w:pPr>
    </w:p>
    <w:p>
      <w:pPr>
        <w:ind w:left="200" w:hanging="194"/>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ThredUp Inc. ("registrant");</w:t>
      </w:r>
    </w:p>
    <w:p>
      <w:pPr>
        <w:spacing w:after="0" w:line="84" w:lineRule="exact"/>
        <w:rPr>
          <w:rFonts w:ascii="Arial" w:cs="Arial" w:eastAsia="Arial" w:hAnsi="Arial"/>
          <w:sz w:val="18"/>
          <w:szCs w:val="18"/>
          <w:color w:val="auto"/>
        </w:rPr>
      </w:pPr>
    </w:p>
    <w:p>
      <w:pPr>
        <w:jc w:val="both"/>
        <w:ind w:firstLine="6"/>
        <w:spacing w:after="0" w:line="248" w:lineRule="auto"/>
        <w:tabs>
          <w:tab w:leader="none" w:pos="2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firstLine="6"/>
        <w:spacing w:after="0" w:line="251" w:lineRule="auto"/>
        <w:tabs>
          <w:tab w:leader="none" w:pos="1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84" w:lineRule="exact"/>
        <w:rPr>
          <w:rFonts w:ascii="Arial" w:cs="Arial" w:eastAsia="Arial" w:hAnsi="Arial"/>
          <w:sz w:val="17"/>
          <w:szCs w:val="17"/>
          <w:color w:val="auto"/>
        </w:rPr>
      </w:pPr>
    </w:p>
    <w:p>
      <w:pPr>
        <w:jc w:val="both"/>
        <w:ind w:left="480" w:firstLine="3"/>
        <w:spacing w:after="0" w:line="248" w:lineRule="auto"/>
        <w:tabs>
          <w:tab w:leader="none" w:pos="7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70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firstLine="6"/>
        <w:spacing w:after="0" w:line="280" w:lineRule="auto"/>
        <w:tabs>
          <w:tab w:leader="none" w:pos="2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7"/>
          <w:szCs w:val="17"/>
          <w:color w:val="auto"/>
        </w:rPr>
      </w:pPr>
    </w:p>
    <w:p>
      <w:pPr>
        <w:ind w:left="480" w:firstLine="3"/>
        <w:spacing w:after="0" w:line="251" w:lineRule="auto"/>
        <w:tabs>
          <w:tab w:leader="none" w:pos="7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8"/>
          <w:szCs w:val="18"/>
          <w:color w:val="auto"/>
        </w:rPr>
      </w:pPr>
    </w:p>
    <w:p>
      <w:pPr>
        <w:ind w:left="480" w:firstLine="3"/>
        <w:spacing w:after="0" w:line="251" w:lineRule="auto"/>
        <w:tabs>
          <w:tab w:leader="none" w:pos="6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9"/>
          <w:szCs w:val="19"/>
          <w:color w:val="auto"/>
        </w:rPr>
        <w:t>March 21, 2022</w:t>
      </w:r>
    </w:p>
    <w:p>
      <w:pPr>
        <w:spacing w:after="0" w:line="6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20320</wp:posOffset>
            </wp:positionV>
            <wp:extent cx="48545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5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James Reinhart</w:t>
      </w:r>
    </w:p>
    <w:p>
      <w:pPr>
        <w:spacing w:after="0" w:line="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Chief Executive Officer</w:t>
      </w:r>
    </w:p>
    <w:p>
      <w:pPr>
        <w:spacing w:after="0" w:line="40"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3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2020" w:right="2020" w:firstLine="47"/>
        <w:spacing w:after="0" w:line="28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85" w:lineRule="exact"/>
        <w:rPr>
          <w:sz w:val="20"/>
          <w:szCs w:val="20"/>
          <w:color w:val="auto"/>
        </w:rPr>
      </w:pPr>
    </w:p>
    <w:p>
      <w:pPr>
        <w:ind w:left="200" w:hanging="194"/>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ThredUp Inc. ("registrant");</w:t>
      </w:r>
    </w:p>
    <w:p>
      <w:pPr>
        <w:spacing w:after="0" w:line="84" w:lineRule="exact"/>
        <w:rPr>
          <w:rFonts w:ascii="Arial" w:cs="Arial" w:eastAsia="Arial" w:hAnsi="Arial"/>
          <w:sz w:val="18"/>
          <w:szCs w:val="18"/>
          <w:color w:val="auto"/>
        </w:rPr>
      </w:pPr>
    </w:p>
    <w:p>
      <w:pPr>
        <w:jc w:val="both"/>
        <w:ind w:firstLine="6"/>
        <w:spacing w:after="0" w:line="248" w:lineRule="auto"/>
        <w:tabs>
          <w:tab w:leader="none" w:pos="2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firstLine="6"/>
        <w:spacing w:after="0" w:line="251" w:lineRule="auto"/>
        <w:tabs>
          <w:tab w:leader="none" w:pos="1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84" w:lineRule="exact"/>
        <w:rPr>
          <w:rFonts w:ascii="Arial" w:cs="Arial" w:eastAsia="Arial" w:hAnsi="Arial"/>
          <w:sz w:val="17"/>
          <w:szCs w:val="17"/>
          <w:color w:val="auto"/>
        </w:rPr>
      </w:pPr>
    </w:p>
    <w:p>
      <w:pPr>
        <w:jc w:val="both"/>
        <w:ind w:left="480" w:firstLine="3"/>
        <w:spacing w:after="0" w:line="248" w:lineRule="auto"/>
        <w:tabs>
          <w:tab w:leader="none" w:pos="71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7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firstLine="6"/>
        <w:spacing w:after="0" w:line="280" w:lineRule="auto"/>
        <w:tabs>
          <w:tab w:leader="none" w:pos="2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7"/>
          <w:szCs w:val="17"/>
          <w:color w:val="auto"/>
        </w:rPr>
      </w:pPr>
    </w:p>
    <w:p>
      <w:pPr>
        <w:ind w:left="480" w:firstLine="3"/>
        <w:spacing w:after="0" w:line="251" w:lineRule="auto"/>
        <w:tabs>
          <w:tab w:leader="none" w:pos="70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8"/>
          <w:szCs w:val="18"/>
          <w:color w:val="auto"/>
        </w:rPr>
      </w:pPr>
    </w:p>
    <w:p>
      <w:pPr>
        <w:ind w:left="480" w:firstLine="3"/>
        <w:spacing w:after="0" w:line="251"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March 21, 2022</w:t>
      </w:r>
    </w:p>
    <w:p>
      <w:pPr>
        <w:spacing w:after="0" w:line="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20320</wp:posOffset>
            </wp:positionV>
            <wp:extent cx="3819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Sean Sobers</w:t>
      </w:r>
    </w:p>
    <w:p>
      <w:pPr>
        <w:spacing w:after="0" w:line="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43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 James Reinhart, Chief Executive Officer of ThredUp Inc. (Company), do hereby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48" w:lineRule="exact"/>
        <w:rPr>
          <w:sz w:val="20"/>
          <w:szCs w:val="20"/>
          <w:color w:val="auto"/>
        </w:rPr>
      </w:pPr>
    </w:p>
    <w:p>
      <w:pPr>
        <w:ind w:left="740" w:right="660" w:hanging="398"/>
        <w:spacing w:after="0" w:line="251"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740" w:right="40" w:hanging="398"/>
        <w:spacing w:after="0" w:line="251"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March 21, 2022</w:t>
      </w:r>
    </w:p>
    <w:p>
      <w:pPr>
        <w:spacing w:after="0" w:line="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20320</wp:posOffset>
            </wp:positionV>
            <wp:extent cx="47536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47536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James Reinhart</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w:t>
      </w:r>
    </w:p>
    <w:p>
      <w:pPr>
        <w:spacing w:after="0" w:line="40"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3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 Sean Sobers, Chief Financial Officer of ThredUp Inc. (Company), do hereby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48" w:lineRule="exact"/>
        <w:rPr>
          <w:sz w:val="20"/>
          <w:szCs w:val="20"/>
          <w:color w:val="auto"/>
        </w:rPr>
      </w:pPr>
    </w:p>
    <w:p>
      <w:pPr>
        <w:ind w:left="740" w:right="660" w:hanging="398"/>
        <w:spacing w:after="0" w:line="251"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740" w:right="40" w:hanging="398"/>
        <w:spacing w:after="0" w:line="251"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9"/>
          <w:szCs w:val="19"/>
          <w:color w:val="auto"/>
        </w:rPr>
        <w:t>March 21, 2022</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20320</wp:posOffset>
            </wp:positionV>
            <wp:extent cx="45434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5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Sean Sobers</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decimal"/>
      <w:start w:val="1"/>
    </w:lvl>
    <w:lvl w:ilvl="1">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3"/>
    </w:lvl>
  </w:abstractNum>
  <w:abstractNum w:abstractNumId="29">
    <w:nsid w:val="51EAD36B"/>
    <w:multiLevelType w:val="hybridMultilevel"/>
    <w:lvl w:ilvl="0">
      <w:lvlJc w:val="left"/>
      <w:lvlText w:val="%1."/>
      <w:numFmt w:val="decimal"/>
      <w:start w:val="4"/>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6"/>
    </w:lvl>
  </w:abstractNum>
  <w:abstractNum w:abstractNumId="32">
    <w:nsid w:val="153EA438"/>
    <w:multiLevelType w:val="hybridMultilevel"/>
    <w:lvl w:ilvl="0">
      <w:lvlJc w:val="left"/>
      <w:lvlText w:val="%1."/>
      <w:numFmt w:val="decimal"/>
      <w:start w:val="8"/>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0"/>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2"/>
    </w:lvl>
  </w:abstractNum>
  <w:abstractNum w:abstractNumId="37">
    <w:nsid w:val="1D4ED43B"/>
    <w:multiLevelType w:val="hybridMultilevel"/>
    <w:lvl w:ilvl="0">
      <w:lvlJc w:val="left"/>
      <w:lvlText w:val="%1."/>
      <w:numFmt w:val="decimal"/>
      <w:start w:val="13"/>
    </w:lvl>
  </w:abstractNum>
  <w:abstractNum w:abstractNumId="38">
    <w:nsid w:val="725A06FB"/>
    <w:multiLevelType w:val="hybridMultilevel"/>
    <w:lvl w:ilvl="0">
      <w:lvlJc w:val="left"/>
      <w:lvlText w:val="%1."/>
      <w:numFmt w:val="decimal"/>
      <w:start w:val="14"/>
    </w:lvl>
  </w:abstractNum>
  <w:abstractNum w:abstractNumId="39">
    <w:nsid w:val="2CD89A32"/>
    <w:multiLevelType w:val="hybridMultilevel"/>
    <w:lvl w:ilvl="0">
      <w:lvlJc w:val="left"/>
      <w:lvlText w:val="%1."/>
      <w:numFmt w:val="decimal"/>
      <w:start w:val="15"/>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2"/>
    </w:lvl>
    <w:lvl w:ilvl="1">
      <w:lvlJc w:val="left"/>
      <w:lvlText w:val="(%2)"/>
      <w:numFmt w:val="lowerRoman"/>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jpe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86" Type="http://schemas.openxmlformats.org/officeDocument/2006/relationships/hyperlink" Target="https://www.sec.gov/Archives/edgar/data/1484778/000162828021003857/exhibit32-sx1.htm" TargetMode="External"/><Relationship Id="rId87" Type="http://schemas.openxmlformats.org/officeDocument/2006/relationships/hyperlink" Target="https://www.sec.gov/Archives/edgar/data/1484778/000162828021003857/exhibit34-sx1.htm" TargetMode="External"/><Relationship Id="rId88" Type="http://schemas.openxmlformats.org/officeDocument/2006/relationships/hyperlink" Target="https://www.sec.gov/Archives/edgar/data/1484778/000162828021003857/exhibit41-sx1.htm" TargetMode="External"/><Relationship Id="rId89" Type="http://schemas.openxmlformats.org/officeDocument/2006/relationships/hyperlink" Target="https://www.sec.gov/Archives/edgar/data/1484778/000162828021003857/exhibit42-sx1.htm" TargetMode="External"/><Relationship Id="rId90" Type="http://schemas.openxmlformats.org/officeDocument/2006/relationships/hyperlink" Target="https://www.sec.gov/Archives/edgar/data/1484778/000162828021003857/exhibit101-sx1.htm" TargetMode="External"/><Relationship Id="rId91" Type="http://schemas.openxmlformats.org/officeDocument/2006/relationships/hyperlink" Target="https://www.sec.gov/Archives/edgar/data/1484778/000162828021003857/exhibit102-sx1.htm" TargetMode="External"/><Relationship Id="rId92" Type="http://schemas.openxmlformats.org/officeDocument/2006/relationships/hyperlink" Target="https://www.sec.gov/Archives/edgar/data/1484778/000162828021005019/exhibit103-sx1a1x2021stock.htm" TargetMode="External"/><Relationship Id="rId93" Type="http://schemas.openxmlformats.org/officeDocument/2006/relationships/hyperlink" Target="https://www.sec.gov/Archives/edgar/data/1484778/000162828021005019/exhibit104-sx1a1.htm" TargetMode="External"/><Relationship Id="rId94" Type="http://schemas.openxmlformats.org/officeDocument/2006/relationships/hyperlink" Target="https://www.sec.gov/Archives/edgar/data/1484778/000162828021003857/exhibit105-sx1.htm" TargetMode="External"/><Relationship Id="rId95" Type="http://schemas.openxmlformats.org/officeDocument/2006/relationships/hyperlink" Target="https://www.sec.gov/Archives/edgar/data/1484778/000162828021003857/exhibit106-sx1.htm" TargetMode="External"/><Relationship Id="rId96" Type="http://schemas.openxmlformats.org/officeDocument/2006/relationships/hyperlink" Target="https://www.sec.gov/Archives/edgar/data/1484778/000162828021003857/exhibit107-sx1.htm" TargetMode="External"/><Relationship Id="rId97" Type="http://schemas.openxmlformats.org/officeDocument/2006/relationships/hyperlink" Target="https://www.sec.gov/Archives/edgar/data/1484778/000162828021003857/exhibit108-sx1.htm" TargetMode="External"/><Relationship Id="rId98" Type="http://schemas.openxmlformats.org/officeDocument/2006/relationships/hyperlink" Target="https://www.sec.gov/Archives/edgar/data/1484778/000162828021003857/exhibit109-sx1.htm" TargetMode="External"/><Relationship Id="rId99" Type="http://schemas.openxmlformats.org/officeDocument/2006/relationships/hyperlink" Target="https://www.sec.gov/Archives/edgar/data/1484778/000162828021003857/exhibit1010-sx1.htm" TargetMode="External"/><Relationship Id="rId100" Type="http://schemas.openxmlformats.org/officeDocument/2006/relationships/hyperlink" Target="https://www.sec.gov/Archives/edgar/data/1484778/000162828021003857/exhibit1011-sx1.htm" TargetMode="External"/><Relationship Id="rId102" Type="http://schemas.openxmlformats.org/officeDocument/2006/relationships/hyperlink" Target="https://www.sec.gov/Archives/edgar/data/1484778/000162828021003857/exhibit1012-sx1.htm" TargetMode="External"/><Relationship Id="rId103" Type="http://schemas.openxmlformats.org/officeDocument/2006/relationships/hyperlink" Target="https://www.sec.gov/Archives/edgar/data/0001484778/000162828021005019/exhibit1014-sx1a1.htm" TargetMode="External"/><Relationship Id="rId104" Type="http://schemas.openxmlformats.org/officeDocument/2006/relationships/hyperlink" Target="https://www.sec.gov/Archives/edgar/data/1484778/000148477821000028/westernalliancebank-thred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2022-03-22T05:19:44Z</dcterms:created>
  <dcterms:modified xsi:type="dcterms:W3CDTF">2022-03-22T05:19:44Z</dcterms:modified>
</cp:coreProperties>
</file>