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3700" w:right="1640" w:hanging="3692"/>
        <w:spacing w:after="0" w:line="367" w:lineRule="auto"/>
        <w:tabs>
          <w:tab w:leader="none" w:pos="3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200" w:right="1640" w:hanging="2192"/>
        <w:spacing w:after="0" w:line="375" w:lineRule="auto"/>
        <w:tabs>
          <w:tab w:leader="none" w:pos="37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86360</wp:posOffset>
            </wp:positionV>
            <wp:extent cx="154305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Delaware</w:t>
            </w:r>
          </w:p>
        </w:tc>
        <w:tc>
          <w:tcPr>
            <w:tcW w:w="2480" w:type="dxa"/>
            <w:vAlign w:val="bottom"/>
          </w:tcPr>
          <w:p>
            <w:pPr>
              <w:spacing w:after="0"/>
              <w:rPr>
                <w:sz w:val="17"/>
                <w:szCs w:val="17"/>
                <w:color w:val="auto"/>
              </w:rPr>
            </w:pPr>
          </w:p>
        </w:tc>
        <w:tc>
          <w:tcPr>
            <w:tcW w:w="3920" w:type="dxa"/>
            <w:vAlign w:val="bottom"/>
            <w:gridSpan w:val="3"/>
          </w:tcPr>
          <w:p>
            <w:pPr>
              <w:jc w:val="right"/>
              <w:ind w:right="2348"/>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197"/>
        </w:trPr>
        <w:tc>
          <w:tcPr>
            <w:tcW w:w="4840" w:type="dxa"/>
            <w:vAlign w:val="bottom"/>
            <w:gridSpan w:val="3"/>
          </w:tcPr>
          <w:p>
            <w:pPr>
              <w:jc w:val="center"/>
              <w:ind w:left="72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480" w:type="dxa"/>
            <w:vAlign w:val="bottom"/>
          </w:tcPr>
          <w:p>
            <w:pPr>
              <w:spacing w:after="0"/>
              <w:rPr>
                <w:sz w:val="17"/>
                <w:szCs w:val="17"/>
                <w:color w:val="auto"/>
              </w:rPr>
            </w:pPr>
          </w:p>
        </w:tc>
        <w:tc>
          <w:tcPr>
            <w:tcW w:w="3920" w:type="dxa"/>
            <w:vAlign w:val="bottom"/>
            <w:gridSpan w:val="3"/>
          </w:tcPr>
          <w:p>
            <w:pPr>
              <w:jc w:val="center"/>
              <w:ind w:right="1628"/>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73"/>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969 Broadway, Suite 200</w:t>
            </w:r>
          </w:p>
        </w:tc>
        <w:tc>
          <w:tcPr>
            <w:tcW w:w="2480" w:type="dxa"/>
            <w:vAlign w:val="bottom"/>
          </w:tcPr>
          <w:p>
            <w:pPr>
              <w:spacing w:after="0"/>
              <w:rPr>
                <w:sz w:val="24"/>
                <w:szCs w:val="24"/>
                <w:color w:val="auto"/>
              </w:rPr>
            </w:pPr>
          </w:p>
        </w:tc>
        <w:tc>
          <w:tcPr>
            <w:tcW w:w="3920" w:type="dxa"/>
            <w:vAlign w:val="bottom"/>
            <w:gridSpan w:val="3"/>
            <w:vMerge w:val="restart"/>
          </w:tcPr>
          <w:p>
            <w:pPr>
              <w:jc w:val="right"/>
              <w:ind w:right="2528"/>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5"/>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Oakland, California</w:t>
            </w:r>
          </w:p>
        </w:tc>
        <w:tc>
          <w:tcPr>
            <w:tcW w:w="2480" w:type="dxa"/>
            <w:vAlign w:val="bottom"/>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40" w:type="dxa"/>
            <w:vAlign w:val="bottom"/>
            <w:gridSpan w:val="3"/>
          </w:tcPr>
          <w:p>
            <w:pPr>
              <w:jc w:val="center"/>
              <w:ind w:left="708"/>
              <w:spacing w:after="0"/>
              <w:rPr>
                <w:sz w:val="20"/>
                <w:szCs w:val="20"/>
                <w:color w:val="auto"/>
              </w:rPr>
            </w:pPr>
            <w:r>
              <w:rPr>
                <w:rFonts w:ascii="Arial" w:cs="Arial" w:eastAsia="Arial" w:hAnsi="Arial"/>
                <w:sz w:val="14"/>
                <w:szCs w:val="14"/>
                <w:i w:val="1"/>
                <w:iCs w:val="1"/>
                <w:color w:val="auto"/>
              </w:rPr>
              <w:t>(Address of principal executive offices)</w:t>
            </w: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ind w:right="18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541"/>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jc w:val="center"/>
              <w:ind w:right="828"/>
              <w:spacing w:after="0"/>
              <w:rPr>
                <w:sz w:val="20"/>
                <w:szCs w:val="20"/>
                <w:color w:val="auto"/>
              </w:rPr>
            </w:pPr>
            <w:r>
              <w:rPr>
                <w:rFonts w:ascii="Arial" w:cs="Arial" w:eastAsia="Arial" w:hAnsi="Arial"/>
                <w:sz w:val="14"/>
                <w:szCs w:val="14"/>
                <w:b w:val="1"/>
                <w:bCs w:val="1"/>
                <w:color w:val="auto"/>
              </w:rPr>
              <w:t>(415) 402-5202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2"/>
          </w:tcPr>
          <w:p>
            <w:pPr>
              <w:jc w:val="center"/>
              <w:ind w:left="12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840" w:type="dxa"/>
            <w:vAlign w:val="bottom"/>
            <w:gridSpan w:val="3"/>
          </w:tcPr>
          <w:p>
            <w:pPr>
              <w:jc w:val="center"/>
              <w:ind w:right="1108"/>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7"/>
        </w:trPr>
        <w:tc>
          <w:tcPr>
            <w:tcW w:w="4840" w:type="dxa"/>
            <w:vAlign w:val="bottom"/>
            <w:gridSpan w:val="3"/>
          </w:tcPr>
          <w:p>
            <w:pPr>
              <w:jc w:val="center"/>
              <w:ind w:right="1088"/>
              <w:spacing w:after="0" w:line="147" w:lineRule="exact"/>
              <w:rPr>
                <w:sz w:val="20"/>
                <w:szCs w:val="20"/>
                <w:color w:val="auto"/>
              </w:rPr>
            </w:pPr>
            <w:r>
              <w:rPr>
                <w:rFonts w:ascii="Arial" w:cs="Arial" w:eastAsia="Arial" w:hAnsi="Arial"/>
                <w:sz w:val="14"/>
                <w:szCs w:val="14"/>
                <w:color w:val="auto"/>
              </w:rPr>
              <w:t>Class A Common Stock, $0.0001 par value per share</w:t>
            </w:r>
          </w:p>
        </w:tc>
        <w:tc>
          <w:tcPr>
            <w:tcW w:w="2480" w:type="dxa"/>
            <w:vAlign w:val="bottom"/>
          </w:tcPr>
          <w:p>
            <w:pPr>
              <w:jc w:val="center"/>
              <w:ind w:right="848"/>
              <w:spacing w:after="0" w:line="147" w:lineRule="exact"/>
              <w:rPr>
                <w:sz w:val="20"/>
                <w:szCs w:val="20"/>
                <w:color w:val="auto"/>
              </w:rPr>
            </w:pPr>
            <w:r>
              <w:rPr>
                <w:rFonts w:ascii="Arial" w:cs="Arial" w:eastAsia="Arial" w:hAnsi="Arial"/>
                <w:sz w:val="14"/>
                <w:szCs w:val="14"/>
                <w:color w:val="auto"/>
              </w:rPr>
              <w:t>TDUP</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jc w:val="center"/>
              <w:spacing w:after="0" w:line="147"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rPr>
              <w:t>Long-Term Stock Exchange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1"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2"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060" w:type="dxa"/>
            <w:vAlign w:val="bottom"/>
          </w:tcPr>
          <w:p>
            <w:pPr>
              <w:ind w:left="30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5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There were 84,334,540 shares of Class A common stock and 28,100,227 shares of Class B common stock outstanding as of July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w w:val="99"/>
              </w:rPr>
              <w:t>PART I. FINANCIAL INFORMATION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gridSpan w:val="10"/>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Balance Sheets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Statements of Operations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0" w:type="dxa"/>
            <w:vAlign w:val="bottom"/>
            <w:gridSpan w:val="19"/>
          </w:tcPr>
          <w:p>
            <w:pPr>
              <w:spacing w:after="0" w:line="189" w:lineRule="exact"/>
              <w:rPr>
                <w:sz w:val="20"/>
                <w:szCs w:val="20"/>
                <w:color w:val="auto"/>
              </w:rPr>
            </w:pPr>
            <w:r>
              <w:rPr>
                <w:rFonts w:ascii="Arial" w:cs="Arial" w:eastAsia="Arial" w:hAnsi="Arial"/>
                <w:sz w:val="18"/>
                <w:szCs w:val="18"/>
                <w:color w:val="0000FF"/>
              </w:rPr>
              <w:t>Unaudited Condensed Consolidated Statements of Comprehensive Loss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740" w:type="dxa"/>
            <w:vAlign w:val="bottom"/>
            <w:tcBorders>
              <w:bottom w:val="single" w:sz="8" w:color="0000FF"/>
            </w:tcBorders>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9"/>
              </w:rPr>
              <w:t>Unaudited Condensed Consolidated Statements of Stockholders’ Equity</w:t>
            </w:r>
          </w:p>
        </w:tc>
        <w:tc>
          <w:tcPr>
            <w:tcW w:w="306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Statements of Cash Flows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2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240" w:type="dxa"/>
            <w:vAlign w:val="bottom"/>
            <w:tcBorders>
              <w:bottom w:val="single" w:sz="8" w:color="CCEEFF"/>
            </w:tcBorders>
            <w:gridSpan w:val="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5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PART II. OTHER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460" w:type="dxa"/>
            <w:vAlign w:val="bottom"/>
            <w:tcBorders>
              <w:bottom w:val="single" w:sz="8" w:color="CCEEFF"/>
            </w:tcBorders>
            <w:gridSpan w:val="1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Risk Factors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20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10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Defaults Upon Senior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2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7020" w:type="dxa"/>
            <w:vAlign w:val="bottom"/>
            <w:tcBorders>
              <w:bottom w:val="single" w:sz="8" w:color="CCEEFF"/>
            </w:tcBorders>
            <w:gridSpan w:val="1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Other Information</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8320" w:type="dxa"/>
            <w:vAlign w:val="bottom"/>
            <w:tcBorders>
              <w:bottom w:val="single" w:sz="8" w:color="CCEEFF"/>
            </w:tcBorders>
            <w:gridSpan w:val="1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Signatures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76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3860" w:type="dxa"/>
            <w:vAlign w:val="bottom"/>
            <w:gridSpan w:val="9"/>
          </w:tcPr>
          <w:p>
            <w:pPr>
              <w:jc w:val="center"/>
              <w:ind w:left="33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7" w:lineRule="exact"/>
        <w:rPr>
          <w:sz w:val="20"/>
          <w:szCs w:val="20"/>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reorganization activities;</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deploy new and evolving technologies, such as artificial intelligence and machine learning, in our offerings;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and execute a strategic alternative for our European operations conducted through our Remix subsidiary;</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revenue from new Resale-as-a-Service (“RaaS”) offerings as sources of revenue;</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the effects of foreign currency exchange rate fluctuations, inflationary pressures, increased interest rates, cybersecurity risks, changing consumer habits, climate change and extreme weather events and general global economic uncertainty;</w:t>
      </w:r>
    </w:p>
    <w:p>
      <w:pPr>
        <w:spacing w:after="0" w:line="65"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applicable laws and regulations; and</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and realize the benefits of our past or future strategic acquisitions or investments.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our ability to continue to generate revenue from new RaaS offerings as sources of revenue; risks from an intensely competitive market; our ability to effectively deploy new and evolving technologies, such as artificial intelligence and machine learning, in our offerings; risks arising from economic and industry trends, including the effects of foreign currency exchange rate fluctuations, inflationary pressures, increased interest rates, changing consumer habits, climate change and general global economic uncertainty; our ability to comply with applicable laws and regulations; our ability to recognize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 in Part I, Item 1A, Risk Factors, of our Annual Report on Form 10-K for the year ended December 31, 2023, in Part II, Item 1A, Risk Factors, in the section titled “Risk Factors” in Part II, Item 1A of our Quarterly Report on Form 10-Q for the quarter ended March 31, 2024 filed with the SEC on May 6, 2024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ThredUp is one of the world’s largest online resale platforms for apparel, shoes and accessories, based primarily on items processed, items sold and the capacity of our distribution centers.</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56,084</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15,687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78,179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93,888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82,839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87,672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231,211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249,967</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34,210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35,934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73,649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76,673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44,621</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22,006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144,722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146,050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Class A and B common stock, $0.0001 par value; 1,120,000 shares authorized as of June 30,</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2024 and December 31, 2023; 112,386 and 108,784 shares issued and outstanding as of</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2024 and December 31, 2023, respectively</w:t>
            </w:r>
          </w:p>
        </w:tc>
        <w:tc>
          <w:tcPr>
            <w:tcW w:w="26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599,333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585,156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(478,875)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103,917</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231,211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500" w:type="dxa"/>
            <w:vAlign w:val="bottom"/>
            <w:gridSpan w:val="2"/>
          </w:tcPr>
          <w:p>
            <w:pPr>
              <w:ind w:left="300"/>
              <w:spacing w:after="0" w:line="147"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2"/>
                <w:szCs w:val="12"/>
                <w:color w:val="auto"/>
              </w:rPr>
            </w:pPr>
          </w:p>
        </w:tc>
        <w:tc>
          <w:tcPr>
            <w:tcW w:w="142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1340" w:type="dxa"/>
            <w:vAlign w:val="bottom"/>
          </w:tcPr>
          <w:p>
            <w:pPr>
              <w:jc w:val="right"/>
              <w:ind w:right="452"/>
              <w:spacing w:after="0" w:line="147"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5"/>
          </w:tcPr>
          <w:p>
            <w:pPr>
              <w:ind w:left="140"/>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63,855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53,415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125,080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99,894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58,686</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158,580</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18,800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32,955</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51,755</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106,825</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78,118</w:t>
            </w:r>
          </w:p>
        </w:tc>
        <w:tc>
          <w:tcPr>
            <w:tcW w:w="0" w:type="dxa"/>
            <w:vAlign w:val="bottom"/>
          </w:tcPr>
          <w:p>
            <w:pPr>
              <w:spacing w:after="0"/>
              <w:rPr>
                <w:sz w:val="1"/>
                <w:szCs w:val="1"/>
                <w:color w:val="auto"/>
              </w:rPr>
            </w:pPr>
          </w:p>
        </w:tc>
      </w:tr>
      <w:tr>
        <w:trPr>
          <w:trHeight w:val="229"/>
        </w:trPr>
        <w:tc>
          <w:tcPr>
            <w:tcW w:w="428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35,513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32,089</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145,720</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(38,895)</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(30,491)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(38,532)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in computing loss</w:t>
            </w:r>
          </w:p>
        </w:tc>
        <w:tc>
          <w:tcPr>
            <w:tcW w:w="3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110,997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103,905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110,145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102,911</w:t>
            </w:r>
          </w:p>
        </w:tc>
        <w:tc>
          <w:tcPr>
            <w:tcW w:w="0" w:type="dxa"/>
            <w:vAlign w:val="bottom"/>
          </w:tcPr>
          <w:p>
            <w:pPr>
              <w:spacing w:after="0"/>
              <w:rPr>
                <w:sz w:val="1"/>
                <w:szCs w:val="1"/>
                <w:color w:val="auto"/>
              </w:rPr>
            </w:pPr>
          </w:p>
        </w:tc>
      </w:tr>
      <w:tr>
        <w:trPr>
          <w:trHeight w:val="247"/>
        </w:trPr>
        <w:tc>
          <w:tcPr>
            <w:tcW w:w="4280" w:type="dxa"/>
            <w:vAlign w:val="bottom"/>
          </w:tcPr>
          <w:p>
            <w:pPr>
              <w:ind w:left="180"/>
              <w:spacing w:after="0"/>
              <w:rPr>
                <w:sz w:val="20"/>
                <w:szCs w:val="20"/>
                <w:color w:val="auto"/>
              </w:rPr>
            </w:pPr>
            <w:r>
              <w:rPr>
                <w:rFonts w:ascii="Arial" w:cs="Arial" w:eastAsia="Arial" w:hAnsi="Arial"/>
                <w:sz w:val="18"/>
                <w:szCs w:val="18"/>
                <w:color w:val="auto"/>
              </w:rPr>
              <w:t>per share, basic and diluted</w:t>
            </w:r>
          </w:p>
        </w:tc>
        <w:tc>
          <w:tcPr>
            <w:tcW w:w="3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2"/>
                <w:szCs w:val="12"/>
                <w:color w:val="auto"/>
              </w:rPr>
            </w:pPr>
          </w:p>
        </w:tc>
        <w:tc>
          <w:tcPr>
            <w:tcW w:w="142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2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1340" w:type="dxa"/>
            <w:vAlign w:val="bottom"/>
          </w:tcPr>
          <w:p>
            <w:pPr>
              <w:jc w:val="right"/>
              <w:ind w:right="455"/>
              <w:spacing w:after="0" w:line="147"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(38,553)</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75"/>
        </w:trPr>
        <w:tc>
          <w:tcPr>
            <w:tcW w:w="4280" w:type="dxa"/>
            <w:vAlign w:val="bottom"/>
          </w:tcPr>
          <w:p>
            <w:pPr>
              <w:ind w:left="180"/>
              <w:spacing w:after="0" w:line="176" w:lineRule="exact"/>
              <w:rPr>
                <w:sz w:val="20"/>
                <w:szCs w:val="20"/>
                <w:color w:val="auto"/>
              </w:rPr>
            </w:pPr>
            <w:r>
              <w:rPr>
                <w:rFonts w:ascii="Arial" w:cs="Arial" w:eastAsia="Arial" w:hAnsi="Arial"/>
                <w:sz w:val="18"/>
                <w:szCs w:val="18"/>
                <w:color w:val="auto"/>
              </w:rPr>
              <w:t>Unrealized gain (loss) on available-for-sale</w:t>
            </w:r>
          </w:p>
        </w:tc>
        <w:tc>
          <w:tcPr>
            <w:tcW w:w="3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(37,332)</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2023</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108,784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585,156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103,917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00" w:type="dxa"/>
            <w:vAlign w:val="bottom"/>
          </w:tcPr>
          <w:p>
            <w:pPr>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1,694</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2024</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110,217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592,193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00" w:type="dxa"/>
            <w:vAlign w:val="bottom"/>
          </w:tcPr>
          <w:p>
            <w:pPr>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160"/>
              <w:spacing w:after="0" w:line="145" w:lineRule="exact"/>
              <w:rPr>
                <w:sz w:val="20"/>
                <w:szCs w:val="20"/>
                <w:color w:val="auto"/>
              </w:rPr>
            </w:pPr>
            <w:r>
              <w:rPr>
                <w:rFonts w:ascii="Arial" w:cs="Arial" w:eastAsia="Arial" w:hAnsi="Arial"/>
                <w:sz w:val="14"/>
                <w:szCs w:val="14"/>
                <w:color w:val="auto"/>
              </w:rPr>
              <w:t>options, restricted stock units, and employee</w:t>
            </w:r>
          </w:p>
        </w:tc>
        <w:tc>
          <w:tcPr>
            <w:tcW w:w="12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2,458</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407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stock purchase plan</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June 30, 2024</w:t>
            </w:r>
          </w:p>
        </w:tc>
        <w:tc>
          <w:tcPr>
            <w:tcW w:w="12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112,386</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599,333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(509,383)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6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101,532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551,852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1,484</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(19,793)</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102,836</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561,577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Issuance of common stock from exercise of stock</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00" w:type="dxa"/>
            <w:vAlign w:val="bottom"/>
          </w:tcPr>
          <w:p>
            <w:pPr>
              <w:ind w:left="160"/>
              <w:spacing w:after="0" w:line="139" w:lineRule="exact"/>
              <w:rPr>
                <w:sz w:val="20"/>
                <w:szCs w:val="20"/>
                <w:color w:val="auto"/>
              </w:rPr>
            </w:pPr>
            <w:r>
              <w:rPr>
                <w:rFonts w:ascii="Arial" w:cs="Arial" w:eastAsia="Arial" w:hAnsi="Arial"/>
                <w:sz w:val="14"/>
                <w:szCs w:val="14"/>
                <w:color w:val="auto"/>
              </w:rPr>
              <w:t>options, restricted stock units, and employee</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2,663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stock purchase plan</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(18,760)</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June 30, 2023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105,335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569,780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Six Months Ended</w:t>
            </w:r>
          </w:p>
        </w:tc>
      </w:tr>
      <w:tr>
        <w:trPr>
          <w:trHeight w:val="147"/>
        </w:trPr>
        <w:tc>
          <w:tcPr>
            <w:tcW w:w="7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200" w:type="dxa"/>
            <w:vAlign w:val="bottom"/>
          </w:tcPr>
          <w:p>
            <w:pPr>
              <w:jc w:val="right"/>
              <w:ind w:right="471"/>
              <w:spacing w:after="0" w:line="147" w:lineRule="exact"/>
              <w:rPr>
                <w:sz w:val="20"/>
                <w:szCs w:val="20"/>
                <w:color w:val="auto"/>
              </w:rPr>
            </w:pPr>
            <w:r>
              <w:rPr>
                <w:rFonts w:ascii="Arial" w:cs="Arial" w:eastAsia="Arial" w:hAnsi="Arial"/>
                <w:sz w:val="14"/>
                <w:szCs w:val="14"/>
                <w:b w:val="1"/>
                <w:bCs w:val="1"/>
                <w:color w:val="auto"/>
              </w:rPr>
              <w:t>June 30,</w:t>
            </w:r>
          </w:p>
        </w:tc>
      </w:tr>
      <w:tr>
        <w:trPr>
          <w:trHeight w:val="185"/>
        </w:trPr>
        <w:tc>
          <w:tcPr>
            <w:tcW w:w="7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r>
      <w:tr>
        <w:trPr>
          <w:trHeight w:val="192"/>
        </w:trPr>
        <w:tc>
          <w:tcPr>
            <w:tcW w:w="7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(30,508)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(38,553)</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9,798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8,517</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17,019</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3,177</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(2,670)</w:t>
            </w: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Seller payable</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3,301</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r>
      <w:tr>
        <w:trPr>
          <w:trHeight w:val="230"/>
        </w:trPr>
        <w:tc>
          <w:tcPr>
            <w:tcW w:w="77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49,479</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29,309</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stock-based awards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Payments of withholding taxes on stock-based awards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44,051</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operates a large resale platform that enables consumers to buy and sell primarily secondhand apparel, shoes, and accessories.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1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may be condensed or omitted.</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lease liabilities, goodwill and acquired intangible assets.</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June 30, 2024, and the results of operations and cash flows for the interim periods presented.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2023 (the “2023 10-K”).</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accounting pronouncements adopted during the three and six months ended June 30, 2024.</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Not Yet Effective</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October 2023, the Financial Accounting Standards Board (the “FASB”) issued Accounting Standards Update (“ASU”) 2023-06, “Disclosure Improvements: Codification Amendments in Response to the SEC’s Disclosure Update and Simplification Initiative,” to amend certain disclosure and presentation requirements for a variety of topics within the Accounting Standards Codification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its consolidated financial statements and disclosures.</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2023, the FASB issued ASU 2023-07, Improvements to Reportable Segment Disclosures. This new guidance is designed to improve reportable segment disclosure requirements, primarily through enhanced disclosures about significant segment expenses. ASU 2023-07 is effective for fiscal years beginning after December 15, 2023, and interim periods within fiscal years beginning after December 15, 2024 on a retrospective basis. Early adoption is permitted. The Company is currently assessing the impact of adopting this new accounting standard on its consolidated financial statements and disclosures. However, the Company does not expect the adoption of ASU 2023-07 to have a material impact on its consolidated financial statements or disclosures.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fiscal year ending December 31, 2025 for the Company. The Company expects the adoption to result in enhanced income tax disclosures.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Loyalty Reward Redemption and Expiration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customer loyalty program, which allows end-customers to earn and accumulate points with each qualifying purchase. Earned points can be redeemed for loyalty rewards, such as non-cashoutable shopping credit, free shipping, or waived restocking fee, which can be applied to future purchases or returns. Unredeemed points expire after one year from the date the points were earned. Reward coupons expire six months from the date the reward is claimed. Points earned on purchases are a material right, representing a separate performance obligation.</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allocated consideration for the points earned through qualifying purchase transactions is deferred based on the standalone selling price of the points, adjusted for expected breakage in proportion to the pattern of redemption, and recorded within deferred revenue under accrued and other current liabilities within the Company’s condensed consolidated balance sheets. Revenue is recognized for these performance obligations at a point in time when rewards are redeemed by the end customer or expired.</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2024 and December 31, 2023, the Company had a deferred revenue liability of $1.3 million and $3.1 million, respectively, related to its customer loyalty program, which is included in accrued and other current liabilities within the Company’s condensed consolidated balance sheets. The Company recognized revenue from loyalty reward redemption and expiration of $3.8 million and $2.4 million for the three months ended June 30, 2024 and 2023, respectively, and $7.4 million and $4.6 million for the six months ended June 30, 2024 and 2023, respectively. As our loyalty points expire in 12 months and coupon rewards expire in six months, the revenue for the remaining performance obligation is expected to be recognized within a 12-month period.</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Gift Cards and Site Credits</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sells ThredUp gift cards on its e-commerce website and may also convert seller payables and site credits to ThredUp gift cards beginning after one year at the discretion of the Company. ThredUp gift cards do not expire or lose value over periods of inactivity. The Company accounts for gift cards by recognizing a gift card liability at the time a gift card is delivered to the customer. As of June 30, 2024 and December 31, 2023, $7.2 million and $6.6 million, respectively, of gift card liability was included in accrued and other current liabilities within the Company’s condensed consolidated balance sheets. Revenue from redemption of gift cards amounted to $0.3 million and $0.7 million for the three months ended June 30, 2024 and 2023, respectively, and $0.6 million and $1.2 million for the six months ended June 30, 2024 and 2023, respectively.</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recognizes breakage revenue when it determines that the redemption of gift cards is remote. Breakage revenue was $1.3 million and $2.6 million for the three and six months ended June 30, 2024, respectively. Breakage revenue was not material for the three and six months ended June 30, 2023.</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June 30, 2024 and December 31, 2023, $5.0 million and $4.8 million, respectively, of such customer site credits were included in accrued and other current liabilities within the Company’s condensed consolidated balance sheets. Revenue recognized from the redemption of site credits was $ 11.4 million and $10.7 million for the three months ended June 30, 2024 and 2023, respectively, and $22.1 million and $20.0 million for the six months ended June 30, 2024 and 2023,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condensed consolidated balance sheets that sum to the total of the same such amounts shown in the Company’s condensed consolidated statements of cash flows: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4"/>
          </w:tcPr>
          <w:p>
            <w:pPr>
              <w:jc w:val="right"/>
              <w:ind w:right="117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56,084</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61,469</w:t>
            </w:r>
          </w:p>
        </w:tc>
      </w:tr>
      <w:tr>
        <w:trPr>
          <w:trHeight w:val="21"/>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 xml:space="preserve">The Company applies the provisions of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spacing w:after="0" w:line="68" w:lineRule="exact"/>
        <w:rPr>
          <w:sz w:val="20"/>
          <w:szCs w:val="20"/>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measures certain assets and liabilities at fair value as discussed throughout the notes to its condensed consolidated financial statements. As of June 30, 2024 and December 31, 2023,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June 30, 2024 and December 31, 2023.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 as of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 2024</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3"/>
        </w:trPr>
        <w:tc>
          <w:tcPr>
            <w:tcW w:w="4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8,621</w:t>
            </w: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23"/>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19,616</w:t>
            </w:r>
          </w:p>
        </w:tc>
      </w:tr>
      <w:tr>
        <w:trPr>
          <w:trHeight w:val="209"/>
        </w:trPr>
        <w:tc>
          <w:tcPr>
            <w:tcW w:w="4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23"/>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30,141</w:t>
            </w:r>
          </w:p>
        </w:tc>
      </w:tr>
      <w:tr>
        <w:trPr>
          <w:trHeight w:val="21"/>
        </w:trPr>
        <w:tc>
          <w:tcPr>
            <w:tcW w:w="4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2"/>
        </w:trPr>
        <w:tc>
          <w:tcPr>
            <w:tcW w:w="43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6"/>
        </w:trPr>
        <w:tc>
          <w:tcPr>
            <w:tcW w:w="43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3"/>
        </w:trPr>
        <w:tc>
          <w:tcPr>
            <w:tcW w:w="4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14,954</w:t>
            </w: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23"/>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32,066</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23"/>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32,138</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40,166</w:t>
            </w:r>
          </w:p>
        </w:tc>
      </w:tr>
      <w:tr>
        <w:trPr>
          <w:trHeight w:val="20"/>
        </w:trPr>
        <w:tc>
          <w:tcPr>
            <w:tcW w:w="4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June 30, 2024 and December 31, 2023, the Company’s cash equivalents and marketable securities approximated their estimated fair value. As such, the unrealized gains or losses related to the Company’s cash equivalents and marketable securities were not material.</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and six months ended June 30, 2024 and 2023, the Company did not recognize any losses on its marketable securities due to credit-related factors.</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June 30, 2024, the Company’s money market funds were valued using Level 1 inputs because they were valued using quoted prices in active markets. The Company’s U.S. treasury securities, commercial paper and U.S. government agency bonds were valued using Level 2 inputs because they were valued using quoted prices for similar assets or liabilities in active markets and quoted prices for identical or similar assets or liabilities in markets that are not active.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There were no transfers into or out of Level 3 during the three and six months ended June 30, 2024. As of June 30, 2024, all of the $10.5 million carrying amount of marketable securities had a contractual maturity date of less than one year.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4"/>
          </w:tcPr>
          <w:p>
            <w:pPr>
              <w:jc w:val="right"/>
              <w:ind w:right="1173"/>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79,244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79,273</w:t>
            </w: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Internal-use software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11,284</w:t>
            </w: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Computers and software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6,542</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137,960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135,553</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(47,881)</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87,672</w:t>
            </w:r>
          </w:p>
        </w:tc>
      </w:tr>
      <w:tr>
        <w:trPr>
          <w:trHeight w:val="21"/>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Depreciation and amortization expense of property and equipment was $ 4.2 million for each of the three months ended June 30, 2024 and 2023, and $8.5 million and $7.2 million for the six months ended June 30, 2024 and 2023,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Goodwill is primarily attributable to the planned growth in the combined business after the acquisition of Remix Global EAD (“Remix”). Goodwill is reviewed for impairment at least annually, absent any interim indicators of impairment. Goodwill was $11.6 million and $12.0 million as of June 30, 2024 and December 31, 2023, respectively. The change in goodwill during the six months ended June 30, 2024 was due to foreign currency translation adjustments.</w:t>
      </w:r>
    </w:p>
    <w:p>
      <w:pPr>
        <w:spacing w:after="0" w:line="17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gross carrying amounts and accumulated amortization of the Company’s intangible assets with determinable lives as of June 30, 2024 and December 31, 2023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June 30, 2024</w:t>
            </w: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(4,131)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2023</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(3,482)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gross carrying amounts were due to foreign currency translation adjustments.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Amortization expense related to developed technology, customer relationships, and trademarks is recorded within operations, product, and technology; sales, general, and administrative; and marketing expense, respectively, within the Company’s condensed consolidated statements of operations. Amortization expense of intangible assets with determinable lives was $0.7 million for each of the three months ended June 30, 2024 and 2023, and $1.3 million for each of the six months ended June 30, 2024 and 2023.</w:t>
      </w:r>
    </w:p>
    <w:p>
      <w:pPr>
        <w:spacing w:after="0" w:line="284" w:lineRule="exact"/>
        <w:rPr>
          <w:sz w:val="20"/>
          <w:szCs w:val="20"/>
          <w:color w:val="auto"/>
        </w:rPr>
      </w:pPr>
    </w:p>
    <w:p>
      <w:pPr>
        <w:ind w:left="340" w:right="8060" w:hanging="332"/>
        <w:spacing w:after="0" w:line="451" w:lineRule="auto"/>
        <w:tabs>
          <w:tab w:leader="none" w:pos="21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color w:val="auto"/>
        </w:rPr>
        <w:t>Inventory consisted of the following: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4"/>
          </w:tcPr>
          <w:p>
            <w:pPr>
              <w:jc w:val="right"/>
              <w:ind w:right="1177"/>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12,354</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Work in process inventory relates to items that are currently undergoing preparation for sale, including itemization, cleaning, and repair.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4"/>
          </w:tcPr>
          <w:p>
            <w:pPr>
              <w:jc w:val="right"/>
              <w:ind w:right="1174"/>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4,080</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4,092</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Allowance for returns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35,934</w:t>
            </w: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Term Loan was subsequently amended several times, with the most recent amendment taking place in December 2023. As amended, the Term Loan matures on July 14, 2027 and provides for an aggregate borrowing amount of up to $48.8 million, of which $22.5 million is designated for the purchase of certain equipment. The Term Loan bears interest at the prime rate published in the Wall Street Journal plus a margin of 1.25%, with a floor of 4.75%.</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June 30, 2024, the Company was in compliance with its debt covenants under the Term Loan.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is payable in consecutive monthly installments. Interest is due monthly on amounts outstanding under the Term Loan.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permitted to make voluntary prepayments without penalty or premium at any time.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2024 and December 31, 2023, the effective interest rate for borrowings under the Term Loan was 10.73%.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six months ended June 30, 2024 and 2023, the Company did not make any borrowings under the Term Loan and repaid a total of $ 2.0 million in each of the periods on amounts outstanding under the Term Loan. As of June 30, 2024 and December 31, 2023, the amounts outstanding under the Term Loan were $24.3 million and $26.3 million, respectively.</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incurred $0.7 million of interest costs relating to the Term Loan during each of the three months ended June 30, 2024 and 2023. There was no capitalized interest during the three months ended June 30, 2024 and 2023.</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incurred $1.3 million and $1.4 million of interest costs relating to the Term Loan during the six months ended June 30, 2024 and 2023, respectively. There was no capitalized interest during the six months ended June 30, 2024, and $0.6 million was capitalized as part of an asset for the six months ended June 30,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2024, the future annual principal payments of the Term Loan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Amount</w:t>
            </w:r>
          </w:p>
        </w:tc>
      </w:tr>
      <w:tr>
        <w:trPr>
          <w:trHeight w:val="193"/>
        </w:trPr>
        <w:tc>
          <w:tcPr>
            <w:tcW w:w="9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4"/>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(Remaining six months)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Less: unamortized debt discount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w:t>
            </w:r>
          </w:p>
        </w:tc>
      </w:tr>
      <w:tr>
        <w:trPr>
          <w:trHeight w:val="20"/>
        </w:trPr>
        <w:tc>
          <w:tcPr>
            <w:tcW w:w="9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Stockholders’ Equity</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5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 June 30, 2024 and December 31, 2023:</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3400" w:type="dxa"/>
            <w:vAlign w:val="bottom"/>
            <w:tcBorders>
              <w:bottom w:val="single" w:sz="8" w:color="auto"/>
            </w:tcBorders>
            <w:gridSpan w:val="3"/>
          </w:tcPr>
          <w:p>
            <w:pPr>
              <w:jc w:val="right"/>
              <w:ind w:right="1139"/>
              <w:spacing w:after="0"/>
              <w:rPr>
                <w:sz w:val="20"/>
                <w:szCs w:val="20"/>
                <w:color w:val="auto"/>
              </w:rPr>
            </w:pPr>
            <w:r>
              <w:rPr>
                <w:rFonts w:ascii="Arial" w:cs="Arial" w:eastAsia="Arial" w:hAnsi="Arial"/>
                <w:sz w:val="14"/>
                <w:szCs w:val="14"/>
                <w:b w:val="1"/>
                <w:bCs w:val="1"/>
                <w:color w:val="auto"/>
              </w:rPr>
              <w:t>June 30, 2024</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17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2160" w:type="dxa"/>
            <w:vAlign w:val="bottom"/>
            <w:gridSpan w:val="3"/>
          </w:tcPr>
          <w:p>
            <w:pPr>
              <w:jc w:val="center"/>
              <w:ind w:right="480"/>
              <w:spacing w:after="0" w:line="143" w:lineRule="exact"/>
              <w:rPr>
                <w:sz w:val="20"/>
                <w:szCs w:val="20"/>
                <w:color w:val="auto"/>
              </w:rPr>
            </w:pPr>
            <w:r>
              <w:rPr>
                <w:rFonts w:ascii="Arial" w:cs="Arial" w:eastAsia="Arial" w:hAnsi="Arial"/>
                <w:sz w:val="14"/>
                <w:szCs w:val="14"/>
                <w:b w:val="1"/>
                <w:bCs w:val="1"/>
                <w:color w:val="auto"/>
              </w:rPr>
              <w:t>Issued and</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Authorized</w:t>
            </w:r>
          </w:p>
        </w:tc>
        <w:tc>
          <w:tcPr>
            <w:tcW w:w="1580" w:type="dxa"/>
            <w:vAlign w:val="bottom"/>
          </w:tcPr>
          <w:p>
            <w:pPr>
              <w:jc w:val="right"/>
              <w:ind w:right="337"/>
              <w:spacing w:after="0" w:line="143"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Outstanding</w:t>
            </w:r>
          </w:p>
        </w:tc>
        <w:tc>
          <w:tcPr>
            <w:tcW w:w="132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ind w:left="120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78,830</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29,954</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108,784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 Company has stock-based compensation plans, which are more fully described in Note 10, </w:t>
      </w:r>
      <w:r>
        <w:rPr>
          <w:rFonts w:ascii="Arial" w:cs="Arial" w:eastAsia="Arial" w:hAnsi="Arial"/>
          <w:sz w:val="18"/>
          <w:szCs w:val="18"/>
          <w:i w:val="1"/>
          <w:iCs w:val="1"/>
          <w:color w:val="auto"/>
        </w:rPr>
        <w:t>Stock-Based Compensation Plans</w:t>
      </w:r>
      <w:r>
        <w:rPr>
          <w:rFonts w:ascii="Arial" w:cs="Arial" w:eastAsia="Arial" w:hAnsi="Arial"/>
          <w:sz w:val="18"/>
          <w:szCs w:val="18"/>
          <w:color w:val="auto"/>
        </w:rPr>
        <w:t>, to the Consolidated Financial Statements included in the 2023 10-K. During the six months ended June 30, 2024, the Company granted restricted stock units subject to service conditions.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Six Months Ended</w:t>
            </w:r>
          </w:p>
        </w:tc>
      </w:tr>
      <w:tr>
        <w:trPr>
          <w:trHeight w:val="147"/>
        </w:trPr>
        <w:tc>
          <w:tcPr>
            <w:tcW w:w="428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1340" w:type="dxa"/>
            <w:vAlign w:val="bottom"/>
          </w:tcPr>
          <w:p>
            <w:pPr>
              <w:jc w:val="right"/>
              <w:ind w:right="456"/>
              <w:spacing w:after="0" w:line="147" w:lineRule="exact"/>
              <w:rPr>
                <w:sz w:val="20"/>
                <w:szCs w:val="20"/>
                <w:color w:val="auto"/>
              </w:rPr>
            </w:pPr>
            <w:r>
              <w:rPr>
                <w:rFonts w:ascii="Arial" w:cs="Arial" w:eastAsia="Arial" w:hAnsi="Arial"/>
                <w:sz w:val="14"/>
                <w:szCs w:val="14"/>
                <w:b w:val="1"/>
                <w:bCs w:val="1"/>
                <w:color w:val="auto"/>
              </w:rPr>
              <w:t>June 30,</w:t>
            </w:r>
          </w:p>
        </w:tc>
      </w:tr>
      <w:tr>
        <w:trPr>
          <w:trHeight w:val="185"/>
        </w:trPr>
        <w:tc>
          <w:tcPr>
            <w:tcW w:w="4280" w:type="dxa"/>
            <w:vAlign w:val="bottom"/>
          </w:tcPr>
          <w:p>
            <w:pPr>
              <w:spacing w:after="0"/>
              <w:rPr>
                <w:sz w:val="16"/>
                <w:szCs w:val="16"/>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2"/>
        </w:trPr>
        <w:tc>
          <w:tcPr>
            <w:tcW w:w="4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Operations, product, and technology</w:t>
            </w:r>
          </w:p>
        </w:tc>
        <w:tc>
          <w:tcPr>
            <w:tcW w:w="112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2,867</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5,438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Marketing</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3,981</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3,792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8,405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auto"/>
            </w:tcBorders>
          </w:tcPr>
          <w:p>
            <w:pPr>
              <w:jc w:val="right"/>
              <w:ind w:right="92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7,009</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7,628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14,220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17,019</w:t>
            </w:r>
          </w:p>
        </w:tc>
      </w:tr>
      <w:tr>
        <w:trPr>
          <w:trHeight w:val="21"/>
        </w:trPr>
        <w:tc>
          <w:tcPr>
            <w:tcW w:w="4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Stock-based compensation expense capitalized in internal use software was not material for the three and six months ended June 30, 2024 and 2023.</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11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activities for all stock options under the Company’s stock-based compensation plans for the six months ended June 30,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Exercise Price Per</w:t>
            </w: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Remaining Contractual</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6"/>
                <w:szCs w:val="16"/>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4.14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June 30,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3.60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Exercisable as of June 30, 2024</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15,119</w:t>
            </w:r>
          </w:p>
        </w:tc>
        <w:tc>
          <w:tcPr>
            <w:tcW w:w="2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1.97</w:t>
            </w:r>
          </w:p>
        </w:tc>
        <w:tc>
          <w:tcPr>
            <w:tcW w:w="80" w:type="dxa"/>
            <w:vAlign w:val="bottom"/>
          </w:tcPr>
          <w:p>
            <w:pPr>
              <w:spacing w:after="0"/>
              <w:rPr>
                <w:sz w:val="17"/>
                <w:szCs w:val="17"/>
                <w:color w:val="auto"/>
              </w:rPr>
            </w:pPr>
          </w:p>
        </w:tc>
        <w:tc>
          <w:tcPr>
            <w:tcW w:w="174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3.45 years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line="287"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intrinsic value is the amount by which the current market value of the underlying stock exceeds the exercise price of the stock awards.</w:t>
      </w:r>
    </w:p>
    <w:p>
      <w:pPr>
        <w:spacing w:after="0" w:line="15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of June 30, 2024, the total unrecognized compensation cost related to all nonvested stock options was $0.5 million and the related weighted-average period over which it is expected to be recognized was less than one year.</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223" w:lineRule="exact"/>
        <w:rPr>
          <w:sz w:val="20"/>
          <w:szCs w:val="20"/>
          <w:color w:val="auto"/>
        </w:rPr>
      </w:pPr>
    </w:p>
    <w:p>
      <w:pPr>
        <w:ind w:left="180" w:firstLine="324"/>
        <w:spacing w:after="0" w:line="287" w:lineRule="auto"/>
        <w:rPr>
          <w:sz w:val="20"/>
          <w:szCs w:val="20"/>
          <w:color w:val="auto"/>
        </w:rPr>
      </w:pPr>
      <w:r>
        <w:rPr>
          <w:rFonts w:ascii="Arial" w:cs="Arial" w:eastAsia="Arial" w:hAnsi="Arial"/>
          <w:sz w:val="18"/>
          <w:szCs w:val="18"/>
          <w:color w:val="auto"/>
        </w:rPr>
        <w:t>The following table summarizes the activities for all restricted stock units (“RSUs”) under the Company’s stock-based compensation plans for the six months ended June 30, 2024:</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9"/>
        </w:trPr>
        <w:tc>
          <w:tcPr>
            <w:tcW w:w="7760" w:type="dxa"/>
            <w:vAlign w:val="bottom"/>
          </w:tcPr>
          <w:p>
            <w:pPr>
              <w:spacing w:after="0"/>
              <w:rPr>
                <w:sz w:val="12"/>
                <w:szCs w:val="12"/>
                <w:color w:val="auto"/>
              </w:rPr>
            </w:pPr>
          </w:p>
        </w:tc>
        <w:tc>
          <w:tcPr>
            <w:tcW w:w="16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17"/>
              <w:spacing w:after="0" w:line="13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7"/>
        </w:trPr>
        <w:tc>
          <w:tcPr>
            <w:tcW w:w="7760" w:type="dxa"/>
            <w:vAlign w:val="bottom"/>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1680" w:type="dxa"/>
            <w:vAlign w:val="bottom"/>
          </w:tcPr>
          <w:p>
            <w:pPr>
              <w:jc w:val="right"/>
              <w:ind w:right="295"/>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9,735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June 30,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total vesting date fair value of RSUs that vested was $7.9 million and $17.3 million during the six months ended June 30, 2024 and 2023, respectively.</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three months ended March 31, 2023, the Company modified the vesting schedule of substantially all RSUs outstanding as of December 31, 2022 from 4 years to 3 years and recognized compensation expense of $2.4 million related to the acceleration of the vesting schedule.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June 30, 2024, the total unrecognized compensation cost related to all nonvested RSUs was $33.2 million and the related weighted-average period over which it is expected to be recognized was approximately two years.</w:t>
      </w:r>
    </w:p>
    <w:p>
      <w:pPr>
        <w:spacing w:after="0" w:line="261" w:lineRule="exact"/>
        <w:rPr>
          <w:sz w:val="20"/>
          <w:szCs w:val="20"/>
          <w:color w:val="auto"/>
        </w:rPr>
      </w:pPr>
    </w:p>
    <w:p>
      <w:pPr>
        <w:ind w:left="180" w:right="8080" w:hanging="172"/>
        <w:spacing w:after="0" w:line="375" w:lineRule="auto"/>
        <w:tabs>
          <w:tab w:leader="none" w:pos="31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Contingencies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1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U.S. The provision for income tax expense for the three and six months ended June 30, 2024 and 2023 was determined based upon estimates of the Company’s annual effective tax rate for the years ending December 31, 2024 and 2023, respectively. Since the Company is in a full valuation allowance position due to losses incurred since inception, the provision for taxes consists solely of certain state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Loss Per Share</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participating securities have been excluded from the computation of diluted loss per share for the periods presented because including them would have been anti-dilutive:</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240" w:type="dxa"/>
            <w:vAlign w:val="bottom"/>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June 30,</w:t>
            </w:r>
          </w:p>
        </w:tc>
      </w:tr>
      <w:tr>
        <w:trPr>
          <w:trHeight w:val="185"/>
        </w:trPr>
        <w:tc>
          <w:tcPr>
            <w:tcW w:w="7780" w:type="dxa"/>
            <w:vAlign w:val="bottom"/>
          </w:tcPr>
          <w:p>
            <w:pPr>
              <w:spacing w:after="0"/>
              <w:rPr>
                <w:sz w:val="16"/>
                <w:szCs w:val="16"/>
                <w:color w:val="auto"/>
              </w:rPr>
            </w:pPr>
          </w:p>
        </w:tc>
        <w:tc>
          <w:tcPr>
            <w:tcW w:w="16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2"/>
        </w:trPr>
        <w:tc>
          <w:tcPr>
            <w:tcW w:w="7780" w:type="dxa"/>
            <w:vAlign w:val="bottom"/>
          </w:tcPr>
          <w:p>
            <w:pPr>
              <w:spacing w:after="0"/>
              <w:rPr>
                <w:sz w:val="16"/>
                <w:szCs w:val="16"/>
                <w:color w:val="auto"/>
              </w:rPr>
            </w:pPr>
          </w:p>
        </w:tc>
        <w:tc>
          <w:tcPr>
            <w:tcW w:w="2240" w:type="dxa"/>
            <w:vAlign w:val="bottom"/>
            <w:gridSpan w:val="3"/>
          </w:tcPr>
          <w:p>
            <w:pPr>
              <w:ind w:left="126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6"/>
                <w:szCs w:val="16"/>
                <w:color w:val="auto"/>
              </w:rPr>
            </w:pPr>
          </w:p>
        </w:tc>
      </w:tr>
      <w:tr>
        <w:trPr>
          <w:trHeight w:val="23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13,215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29,260</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29,684</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August 2024, the Company announced that, following a review of its European operations, the Company intends to exit the European market and is evaluating strategic alternatives for its Remix business.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Arial" w:cs="Arial" w:eastAsia="Arial" w:hAnsi="Arial"/>
          <w:sz w:val="18"/>
          <w:szCs w:val="18"/>
          <w:color w:val="auto"/>
        </w:rPr>
        <w:t>Financial Statements</w:t>
      </w:r>
      <w:r>
        <w:rPr>
          <w:rFonts w:ascii="Arial" w:cs="Arial" w:eastAsia="Arial" w:hAnsi="Arial"/>
          <w:sz w:val="18"/>
          <w:szCs w:val="18"/>
          <w:i w:val="1"/>
          <w:iCs w:val="1"/>
          <w:color w:val="auto"/>
        </w:rPr>
        <w:t xml:space="preserve">, of this Quarterly Report on Form 10-Q;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this Quarterly Report on Form 10-Q; and our consolidated financial statements and related notes appearing in our Annual Report on Form 10-K for the year ended December 31, 2023 (the “</w:t>
      </w:r>
      <w:r>
        <w:rPr>
          <w:rFonts w:ascii="Arial" w:cs="Arial" w:eastAsia="Arial" w:hAnsi="Arial"/>
          <w:sz w:val="18"/>
          <w:szCs w:val="18"/>
          <w:color w:val="auto"/>
        </w:rPr>
        <w:t>2023</w:t>
      </w:r>
      <w:r>
        <w:rPr>
          <w:rFonts w:ascii="Arial" w:cs="Arial" w:eastAsia="Arial" w:hAnsi="Arial"/>
          <w:sz w:val="18"/>
          <w:szCs w:val="18"/>
          <w:i w:val="1"/>
          <w:iCs w:val="1"/>
          <w:color w:val="auto"/>
        </w:rPr>
        <w:t xml:space="preserve">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marketplaces we have built enable buyers in the U.S. and in Europe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Aside from Clean Out Kits, ThredUp also sources inventory from a variety of supply channels, such as wholesale supply in Europe.</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our core marketplace, some of the world’s leading brands and retailers are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Business Developments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Remix</w:t>
      </w:r>
    </w:p>
    <w:p>
      <w:pPr>
        <w:spacing w:after="0" w:line="115"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In August 2024, we announced that, following a review of our European operations, we intend to exit the European market and are evaluating strategic alternatives for our Remix business.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Second Quarter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$79.8 million, representing a decrease of 3.5% year over year.</w:t>
      </w:r>
    </w:p>
    <w:p>
      <w:pPr>
        <w:spacing w:after="0" w:line="2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$56.1 million, representing an increase of 0.7% year over year. Gross margin was 70.4%,</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of 300 basis points from 67.4% in the comparable quarter last year.</w:t>
      </w:r>
    </w:p>
    <w:p>
      <w:pPr>
        <w:spacing w:after="0" w:line="15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$14.0 million, or a negative 17.5% of revenue, for the second quarter of 2024,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$18.8 million, or a negative 22.7% of revenue, for the second quarter of 2023.</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Non-GAAP Adjusted EBITDA Loss: </w:t>
      </w:r>
      <w:r>
        <w:rPr>
          <w:rFonts w:ascii="Arial" w:cs="Arial" w:eastAsia="Arial" w:hAnsi="Arial"/>
          <w:sz w:val="18"/>
          <w:szCs w:val="18"/>
          <w:color w:val="auto"/>
        </w:rPr>
        <w:t>Non-GAAP Adjusted EBITDA loss was $1.5 million, or a negative 1.9% of revenue,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2024, compared to Non-GAAP Adjusted EBITDA loss of $ 5.0 million, or a negative 6.1% of revenue, for the second quarter of 2023. Non-GAAP Adjusted EBITDA loss and Non-GAAP Adjusted EBITDA loss margin are non-GAAP measures which may not be comparable to similarly-titled measures used by other companies. See below for a reconciliation of Non-GAAP Adjusted EBITDA loss to net loss.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1.7 million and Orders totaled 1.7 million in the second quarter of 2024,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a decrease of 2.6% and a decrease of 5.8%, respectively, compared to the second quarter of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313"/>
              <w:spacing w:after="0" w:line="147"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2"/>
                <w:szCs w:val="12"/>
                <w:color w:val="auto"/>
              </w:rPr>
            </w:pPr>
          </w:p>
        </w:tc>
        <w:tc>
          <w:tcPr>
            <w:tcW w:w="1320" w:type="dxa"/>
            <w:vAlign w:val="bottom"/>
          </w:tcPr>
          <w:p>
            <w:pPr>
              <w:jc w:val="right"/>
              <w:ind w:right="533"/>
              <w:spacing w:after="0" w:line="147"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33"/>
              <w:spacing w:after="0" w:line="147"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340" w:type="dxa"/>
            <w:vAlign w:val="bottom"/>
          </w:tcPr>
          <w:p>
            <w:pPr>
              <w:jc w:val="right"/>
              <w:ind w:right="553"/>
              <w:spacing w:after="0" w:line="147" w:lineRule="exact"/>
              <w:rPr>
                <w:sz w:val="20"/>
                <w:szCs w:val="20"/>
                <w:color w:val="auto"/>
              </w:rPr>
            </w:pPr>
            <w:r>
              <w:rPr>
                <w:rFonts w:ascii="Arial" w:cs="Arial" w:eastAsia="Arial" w:hAnsi="Arial"/>
                <w:sz w:val="14"/>
                <w:szCs w:val="14"/>
                <w:b w:val="1"/>
                <w:bCs w:val="1"/>
                <w:color w:val="auto"/>
              </w:rPr>
              <w:t>June 30,</w:t>
            </w: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60" w:type="dxa"/>
            <w:vAlign w:val="bottom"/>
            <w:gridSpan w:val="5"/>
          </w:tcPr>
          <w:p>
            <w:pPr>
              <w:jc w:val="right"/>
              <w:ind w:right="173"/>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1,666</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1,710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1,666</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1,710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Orders</w:t>
            </w:r>
          </w:p>
        </w:tc>
        <w:tc>
          <w:tcPr>
            <w:tcW w:w="2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1,686</w:t>
            </w:r>
          </w:p>
        </w:tc>
        <w:tc>
          <w:tcPr>
            <w:tcW w:w="300" w:type="dxa"/>
            <w:vAlign w:val="bottom"/>
          </w:tcPr>
          <w:p>
            <w:pPr>
              <w:spacing w:after="0"/>
              <w:rPr>
                <w:sz w:val="19"/>
                <w:szCs w:val="19"/>
                <w:color w:val="auto"/>
              </w:rPr>
            </w:pPr>
          </w:p>
        </w:tc>
        <w:tc>
          <w:tcPr>
            <w:tcW w:w="1320" w:type="dxa"/>
            <w:vAlign w:val="bottom"/>
          </w:tcPr>
          <w:p>
            <w:pPr>
              <w:jc w:val="right"/>
              <w:ind w:right="413"/>
              <w:spacing w:after="0"/>
              <w:rPr>
                <w:sz w:val="20"/>
                <w:szCs w:val="20"/>
                <w:color w:val="auto"/>
              </w:rPr>
            </w:pPr>
            <w:r>
              <w:rPr>
                <w:rFonts w:ascii="Arial" w:cs="Arial" w:eastAsia="Arial" w:hAnsi="Arial"/>
                <w:sz w:val="18"/>
                <w:szCs w:val="18"/>
                <w:color w:val="auto"/>
              </w:rPr>
              <w:t>1,789</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3,337</w:t>
            </w:r>
          </w:p>
        </w:tc>
        <w:tc>
          <w:tcPr>
            <w:tcW w:w="280" w:type="dxa"/>
            <w:vAlign w:val="bottom"/>
          </w:tcPr>
          <w:p>
            <w:pPr>
              <w:spacing w:after="0"/>
              <w:rPr>
                <w:sz w:val="19"/>
                <w:szCs w:val="19"/>
                <w:color w:val="auto"/>
              </w:rPr>
            </w:pP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3,300</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79,755</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82,658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159,343</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158,580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56,120</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3"/>
              <w:spacing w:after="0"/>
              <w:rPr>
                <w:sz w:val="20"/>
                <w:szCs w:val="20"/>
                <w:color w:val="auto"/>
              </w:rPr>
            </w:pPr>
            <w:r>
              <w:rPr>
                <w:rFonts w:ascii="Arial" w:cs="Arial" w:eastAsia="Arial" w:hAnsi="Arial"/>
                <w:sz w:val="18"/>
                <w:szCs w:val="18"/>
                <w:color w:val="auto"/>
              </w:rPr>
              <w:t>55,732</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111,446</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106,825</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70.4 %</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67.4 %</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 bps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67.4 %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(13,954)</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(18,760)</w:t>
            </w: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(30,508)</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3"/>
              <w:spacing w:after="0"/>
              <w:rPr>
                <w:sz w:val="20"/>
                <w:szCs w:val="20"/>
                <w:color w:val="auto"/>
              </w:rPr>
            </w:pPr>
            <w:r>
              <w:rPr>
                <w:rFonts w:ascii="Arial" w:cs="Arial" w:eastAsia="Arial" w:hAnsi="Arial"/>
                <w:sz w:val="18"/>
                <w:szCs w:val="18"/>
                <w:color w:val="auto"/>
              </w:rPr>
              <w:t>(38,553)</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bps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Non-GAAP Adjusted EBITDA</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33"/>
              <w:spacing w:after="0"/>
              <w:rPr>
                <w:sz w:val="20"/>
                <w:szCs w:val="20"/>
                <w:color w:val="auto"/>
              </w:rPr>
            </w:pPr>
            <w:r>
              <w:rPr>
                <w:rFonts w:ascii="Arial" w:cs="Arial" w:eastAsia="Arial" w:hAnsi="Arial"/>
                <w:sz w:val="18"/>
                <w:szCs w:val="18"/>
                <w:color w:val="auto"/>
              </w:rPr>
              <w:t>(1,544)</w:t>
            </w:r>
          </w:p>
        </w:tc>
        <w:tc>
          <w:tcPr>
            <w:tcW w:w="3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53"/>
              <w:spacing w:after="0"/>
              <w:rPr>
                <w:sz w:val="20"/>
                <w:szCs w:val="20"/>
                <w:color w:val="auto"/>
              </w:rPr>
            </w:pPr>
            <w:r>
              <w:rPr>
                <w:rFonts w:ascii="Arial" w:cs="Arial" w:eastAsia="Arial" w:hAnsi="Arial"/>
                <w:sz w:val="18"/>
                <w:szCs w:val="18"/>
                <w:color w:val="auto"/>
              </w:rPr>
              <w:t>(5,012)</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(69.2)</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53"/>
              <w:spacing w:after="0"/>
              <w:rPr>
                <w:sz w:val="20"/>
                <w:szCs w:val="20"/>
                <w:color w:val="auto"/>
              </w:rPr>
            </w:pPr>
            <w:r>
              <w:rPr>
                <w:rFonts w:ascii="Arial" w:cs="Arial" w:eastAsia="Arial" w:hAnsi="Arial"/>
                <w:sz w:val="18"/>
                <w:szCs w:val="18"/>
                <w:color w:val="auto"/>
              </w:rPr>
              <w:t>(2,280)</w:t>
            </w:r>
          </w:p>
        </w:tc>
        <w:tc>
          <w:tcPr>
            <w:tcW w:w="28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53"/>
              <w:spacing w:after="0"/>
              <w:rPr>
                <w:sz w:val="20"/>
                <w:szCs w:val="20"/>
                <w:color w:val="auto"/>
              </w:rPr>
            </w:pPr>
            <w:r>
              <w:rPr>
                <w:rFonts w:ascii="Arial" w:cs="Arial" w:eastAsia="Arial" w:hAnsi="Arial"/>
                <w:sz w:val="18"/>
                <w:szCs w:val="18"/>
                <w:color w:val="auto"/>
              </w:rPr>
              <w:t>(11,647)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(80.4)</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loss(1)</w:t>
            </w:r>
          </w:p>
        </w:tc>
        <w:tc>
          <w:tcPr>
            <w:tcW w:w="2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Non-GAAP Adjusted EBITDA</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rPr>
              <w:t>(6.1)%</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bps</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rPr>
              <w:t>(7.3)%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margin(1)</w:t>
            </w:r>
          </w:p>
        </w:tc>
        <w:tc>
          <w:tcPr>
            <w:tcW w:w="2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hanging="332"/>
        <w:spacing w:after="0" w:line="268"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Adjusted EBITDA loss and Non-GAAP Adjusted EBITDA loss margin are non-GAAP measures which may not be comparable to similarly-titled measures used by other companies. See below for a reconciliation of Non-GAAP Adjusted EBITDA loss to net loss.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Metrics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Non-GAAP Adjusted EBITDA Loss and Non-GAAP Adjusted EBITDA Loss Margin</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Non-GAAP Adjusted EBITDA loss means net loss adjusted to exclude, where applicable in a given period, stock-based compensation expense, depreciation and amortization, severance and other reorganization costs, interest expense, and provision for income taxes. Non-GAAP Adjusted EBITDA loss margin represents Non-GAAP Adjusted EBITDA loss divided by Total revenue. We use Non-GAAP Adjusted EBITDA loss and Non-GAAP Adjusted EBITDA loss margin as non-GAAP measures to evaluate and assess our operating performance and the operating leverage in our business, and for internal planning and forecasting purposes. We believe that Non-GAAP Adjusted EBITDA loss and Non-GAAP Adjusted EBITDA loss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loss to Non-GAAP Adjusted EBITDA loss: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8"/>
              <w:spacing w:after="0" w:line="14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ind w:left="40"/>
              <w:spacing w:after="0" w:line="14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490"/>
              <w:spacing w:after="0" w:line="147"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right"/>
              <w:ind w:right="655"/>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7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(18,760)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(30,508)</w:t>
            </w:r>
          </w:p>
        </w:tc>
        <w:tc>
          <w:tcPr>
            <w:tcW w:w="820" w:type="dxa"/>
            <w:vAlign w:val="bottom"/>
            <w:gridSpan w:val="3"/>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(38,553)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gridSpan w:val="5"/>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
              <w:spacing w:after="0"/>
              <w:rPr>
                <w:sz w:val="20"/>
                <w:szCs w:val="20"/>
                <w:color w:val="auto"/>
              </w:rPr>
            </w:pPr>
            <w:r>
              <w:rPr>
                <w:rFonts w:ascii="Arial" w:cs="Arial" w:eastAsia="Arial" w:hAnsi="Arial"/>
                <w:sz w:val="18"/>
                <w:szCs w:val="18"/>
                <w:color w:val="auto"/>
              </w:rPr>
              <w:t>7,009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7,628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4"/>
          </w:tcPr>
          <w:p>
            <w:pPr>
              <w:jc w:val="right"/>
              <w:ind w:right="10"/>
              <w:spacing w:after="0"/>
              <w:rPr>
                <w:sz w:val="20"/>
                <w:szCs w:val="20"/>
                <w:color w:val="auto"/>
              </w:rPr>
            </w:pPr>
            <w:r>
              <w:rPr>
                <w:rFonts w:ascii="Arial" w:cs="Arial" w:eastAsia="Arial" w:hAnsi="Arial"/>
                <w:sz w:val="18"/>
                <w:szCs w:val="18"/>
                <w:color w:val="auto"/>
              </w:rPr>
              <w:t>14,220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17,019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4,865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4,836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9,798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gridSpan w:val="7"/>
          </w:tcPr>
          <w:p>
            <w:pPr>
              <w:spacing w:after="0"/>
              <w:rPr>
                <w:sz w:val="20"/>
                <w:szCs w:val="20"/>
                <w:color w:val="auto"/>
              </w:rPr>
            </w:pPr>
            <w:r>
              <w:rPr>
                <w:rFonts w:ascii="Arial" w:cs="Arial" w:eastAsia="Arial" w:hAnsi="Arial"/>
                <w:sz w:val="18"/>
                <w:szCs w:val="18"/>
                <w:color w:val="auto"/>
              </w:rPr>
              <w:t>Severance and other reorganization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4"/>
          </w:tcPr>
          <w:p>
            <w:pPr>
              <w:jc w:val="right"/>
              <w:ind w:right="10"/>
              <w:spacing w:after="0"/>
              <w:rPr>
                <w:sz w:val="20"/>
                <w:szCs w:val="20"/>
                <w:color w:val="auto"/>
              </w:rPr>
            </w:pPr>
            <w:r>
              <w:rPr>
                <w:rFonts w:ascii="Arial" w:cs="Arial" w:eastAsia="Arial" w:hAnsi="Arial"/>
                <w:sz w:val="18"/>
                <w:szCs w:val="18"/>
                <w:color w:val="auto"/>
              </w:rPr>
              <w:t>2,864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Non-GAAP Adjusted EBITDA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(5,012)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(11,647)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540" w:type="dxa"/>
            <w:vAlign w:val="bottom"/>
            <w:tcBorders>
              <w:top w:val="single" w:sz="8" w:color="CCEEFF"/>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3"/>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tcPr>
          <w:p>
            <w:pPr>
              <w:jc w:val="right"/>
              <w:ind w:right="8"/>
              <w:spacing w:after="0" w:line="203" w:lineRule="exact"/>
              <w:rPr>
                <w:sz w:val="20"/>
                <w:szCs w:val="20"/>
                <w:color w:val="auto"/>
              </w:rPr>
            </w:pPr>
            <w:r>
              <w:rPr>
                <w:rFonts w:ascii="Arial" w:cs="Arial" w:eastAsia="Arial" w:hAnsi="Arial"/>
                <w:sz w:val="18"/>
                <w:szCs w:val="18"/>
                <w:color w:val="auto"/>
              </w:rPr>
              <w:t>79,755</w:t>
            </w: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55"/>
              <w:spacing w:after="0" w:line="203" w:lineRule="exact"/>
              <w:rPr>
                <w:sz w:val="20"/>
                <w:szCs w:val="20"/>
                <w:color w:val="auto"/>
              </w:rPr>
            </w:pPr>
            <w:r>
              <w:rPr>
                <w:rFonts w:ascii="Arial" w:cs="Arial" w:eastAsia="Arial" w:hAnsi="Arial"/>
                <w:sz w:val="18"/>
                <w:szCs w:val="18"/>
                <w:color w:val="auto"/>
              </w:rPr>
              <w:t>82,658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gridSpan w:val="2"/>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4"/>
          </w:tcPr>
          <w:p>
            <w:pPr>
              <w:jc w:val="right"/>
              <w:ind w:right="10"/>
              <w:spacing w:after="0" w:line="203" w:lineRule="exact"/>
              <w:rPr>
                <w:sz w:val="20"/>
                <w:szCs w:val="20"/>
                <w:color w:val="auto"/>
              </w:rPr>
            </w:pPr>
            <w:r>
              <w:rPr>
                <w:rFonts w:ascii="Arial" w:cs="Arial" w:eastAsia="Arial" w:hAnsi="Arial"/>
                <w:sz w:val="18"/>
                <w:szCs w:val="18"/>
                <w:color w:val="auto"/>
              </w:rPr>
              <w:t>159,343</w:t>
            </w: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ind w:right="396"/>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tcPr>
          <w:p>
            <w:pPr>
              <w:jc w:val="right"/>
              <w:ind w:right="150"/>
              <w:spacing w:after="0" w:line="203" w:lineRule="exact"/>
              <w:rPr>
                <w:sz w:val="20"/>
                <w:szCs w:val="20"/>
                <w:color w:val="auto"/>
              </w:rPr>
            </w:pPr>
            <w:r>
              <w:rPr>
                <w:rFonts w:ascii="Arial" w:cs="Arial" w:eastAsia="Arial" w:hAnsi="Arial"/>
                <w:sz w:val="18"/>
                <w:szCs w:val="18"/>
                <w:color w:val="auto"/>
              </w:rPr>
              <w:t>158,580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Non-GAAP Adjusted EBITDA loss margin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646"/>
        </w:trPr>
        <w:tc>
          <w:tcPr>
            <w:tcW w:w="6360" w:type="dxa"/>
            <w:vAlign w:val="bottom"/>
            <w:gridSpan w:val="17"/>
          </w:tcPr>
          <w:p>
            <w:pPr>
              <w:spacing w:after="0"/>
              <w:rPr>
                <w:sz w:val="20"/>
                <w:szCs w:val="20"/>
                <w:color w:val="auto"/>
              </w:rPr>
            </w:pPr>
            <w:r>
              <w:rPr>
                <w:rFonts w:ascii="Arial" w:cs="Arial" w:eastAsia="Arial" w:hAnsi="Arial"/>
                <w:sz w:val="18"/>
                <w:szCs w:val="18"/>
                <w:b w:val="1"/>
                <w:bCs w:val="1"/>
                <w:color w:val="auto"/>
              </w:rPr>
              <w:t>Comparison of the Three and Six Months Ended June 30, 2024 and 2023</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Arial" w:cs="Arial" w:eastAsia="Arial" w:hAnsi="Arial"/>
                <w:sz w:val="18"/>
                <w:szCs w:val="18"/>
                <w:i w:val="1"/>
                <w:iCs w:val="1"/>
                <w:color w:val="auto"/>
              </w:rPr>
              <w:t>Revenue</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96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jc w:val="right"/>
              <w:ind w:right="608"/>
              <w:spacing w:after="0"/>
              <w:rPr>
                <w:sz w:val="20"/>
                <w:szCs w:val="20"/>
                <w:color w:val="auto"/>
              </w:rPr>
            </w:pPr>
            <w:r>
              <w:rPr>
                <w:rFonts w:ascii="Arial" w:cs="Arial" w:eastAsia="Arial" w:hAnsi="Arial"/>
                <w:sz w:val="14"/>
                <w:szCs w:val="14"/>
                <w:b w:val="1"/>
                <w:bCs w:val="1"/>
                <w:color w:val="auto"/>
              </w:rPr>
              <w:t>Amount</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ind w:left="180"/>
              <w:spacing w:after="0" w:line="14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95"/>
              <w:spacing w:after="0" w:line="14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restart"/>
          </w:tcPr>
          <w:p>
            <w:pPr>
              <w:jc w:val="right"/>
              <w:ind w:right="136"/>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gridSpan w:val="9"/>
          </w:tcPr>
          <w:p>
            <w:pPr>
              <w:ind w:left="140"/>
              <w:spacing w:after="0"/>
              <w:rPr>
                <w:sz w:val="20"/>
                <w:szCs w:val="20"/>
                <w:color w:val="auto"/>
              </w:rPr>
            </w:pPr>
            <w:r>
              <w:rPr>
                <w:rFonts w:ascii="Arial" w:cs="Arial" w:eastAsia="Arial" w:hAnsi="Arial"/>
                <w:sz w:val="14"/>
                <w:szCs w:val="14"/>
                <w:i w:val="1"/>
                <w:iCs w:val="1"/>
                <w:color w:val="auto"/>
              </w:rPr>
              <w:t>(in thousands, except percentages)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15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Consignment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57"/>
              <w:spacing w:after="0"/>
              <w:rPr>
                <w:sz w:val="20"/>
                <w:szCs w:val="20"/>
                <w:color w:val="auto"/>
              </w:rPr>
            </w:pPr>
            <w:r>
              <w:rPr>
                <w:rFonts w:ascii="Arial" w:cs="Arial" w:eastAsia="Arial" w:hAnsi="Arial"/>
                <w:sz w:val="18"/>
                <w:szCs w:val="18"/>
                <w:color w:val="auto"/>
              </w:rPr>
              <w:t>63,855</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53,415</w:t>
            </w:r>
          </w:p>
        </w:tc>
        <w:tc>
          <w:tcPr>
            <w:tcW w:w="20" w:type="dxa"/>
            <w:vAlign w:val="bottom"/>
            <w:shd w:val="clear" w:color="auto" w:fill="CCEEFF"/>
          </w:tcPr>
          <w:p>
            <w:pPr>
              <w:spacing w:after="0"/>
              <w:rPr>
                <w:sz w:val="15"/>
                <w:szCs w:val="15"/>
                <w:color w:val="auto"/>
              </w:rPr>
            </w:pP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44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125,080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99,894</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25,186</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gridSpan w:val="3"/>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40" w:type="dxa"/>
            <w:vAlign w:val="bottom"/>
            <w:gridSpan w:val="3"/>
            <w:vMerge w:val="continue"/>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15,900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29,243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(13,343)</w:t>
            </w:r>
          </w:p>
        </w:tc>
        <w:tc>
          <w:tcPr>
            <w:tcW w:w="4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(45.6)%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34,263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58,686</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(24,423)</w:t>
            </w: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79,755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82,658</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4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159,343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158,580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spacing w:after="0" w:line="163" w:lineRule="exact"/>
              <w:rPr>
                <w:sz w:val="20"/>
                <w:szCs w:val="20"/>
                <w:color w:val="auto"/>
              </w:rPr>
            </w:pPr>
            <w:r>
              <w:rPr>
                <w:rFonts w:ascii="Arial" w:cs="Arial" w:eastAsia="Arial" w:hAnsi="Arial"/>
                <w:sz w:val="18"/>
                <w:szCs w:val="18"/>
                <w:color w:val="auto"/>
              </w:rPr>
              <w:t>Consignment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540" w:type="dxa"/>
            <w:vAlign w:val="bottom"/>
          </w:tcPr>
          <w:p>
            <w:pPr>
              <w:ind w:left="160"/>
              <w:spacing w:after="0" w:line="176" w:lineRule="exact"/>
              <w:rPr>
                <w:sz w:val="20"/>
                <w:szCs w:val="20"/>
                <w:color w:val="auto"/>
              </w:rPr>
            </w:pPr>
            <w:r>
              <w:rPr>
                <w:rFonts w:ascii="Arial" w:cs="Arial" w:eastAsia="Arial" w:hAnsi="Arial"/>
                <w:sz w:val="18"/>
                <w:szCs w:val="18"/>
                <w:color w:val="auto"/>
              </w:rPr>
              <w:t>revenue as a</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540" w:type="dxa"/>
            <w:vAlign w:val="bottom"/>
          </w:tcPr>
          <w:p>
            <w:pPr>
              <w:ind w:left="160"/>
              <w:spacing w:after="0" w:line="183" w:lineRule="exact"/>
              <w:rPr>
                <w:sz w:val="20"/>
                <w:szCs w:val="20"/>
                <w:color w:val="auto"/>
              </w:rPr>
            </w:pPr>
            <w:r>
              <w:rPr>
                <w:rFonts w:ascii="Arial" w:cs="Arial" w:eastAsia="Arial" w:hAnsi="Arial"/>
                <w:sz w:val="18"/>
                <w:szCs w:val="18"/>
                <w:color w:val="auto"/>
              </w:rPr>
              <w:t>percentage of</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80.1 %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64.6 %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78.5 %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63.0 %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1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revenue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1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as a</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right w:val="single" w:sz="8" w:color="CCEEFF"/>
            </w:tcBorders>
          </w:tcPr>
          <w:p>
            <w:pPr>
              <w:spacing w:after="0"/>
              <w:rPr>
                <w:sz w:val="15"/>
                <w:szCs w:val="15"/>
                <w:color w:val="auto"/>
              </w:rPr>
            </w:pPr>
          </w:p>
        </w:tc>
        <w:tc>
          <w:tcPr>
            <w:tcW w:w="1540" w:type="dxa"/>
            <w:vAlign w:val="bottom"/>
            <w:shd w:val="clear" w:color="auto" w:fill="CCEEFF"/>
          </w:tcPr>
          <w:p>
            <w:pPr>
              <w:ind w:left="160"/>
              <w:spacing w:after="0" w:line="183" w:lineRule="exact"/>
              <w:rPr>
                <w:sz w:val="20"/>
                <w:szCs w:val="20"/>
                <w:color w:val="auto"/>
              </w:rPr>
            </w:pPr>
            <w:r>
              <w:rPr>
                <w:rFonts w:ascii="Arial" w:cs="Arial" w:eastAsia="Arial" w:hAnsi="Arial"/>
                <w:sz w:val="18"/>
                <w:szCs w:val="18"/>
                <w:color w:val="auto"/>
              </w:rPr>
              <w:t>percentage of</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21.5 %</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Borders>
              <w:right w:val="single" w:sz="8" w:color="CCEEFF"/>
            </w:tcBorders>
          </w:tcPr>
          <w:p>
            <w:pPr>
              <w:spacing w:after="0"/>
              <w:rPr>
                <w:sz w:val="20"/>
                <w:szCs w:val="20"/>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 decreased $2.9 million, or 3.5%, for the three months ended June 30, 2024 as compared to the same period in 2023. This decline was driven by a $ 13.3 million or 45.6% decrease in product revenue, partially offset by a $10.4 million or 19.5% increase in consignment revenue. The shift occurred as we transitioned our RaaS clients from a product to a consignment model and introduced our European operations to the consignment model in the third quarter of 2023. The overall decrease in total revenue was mainly due to a 5.8% decrease in Orders, primarily driven by our European operations. This was partially offset by a 13.8% increase in the average order value.</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 increased $0.8 million, or 0.5%, for the six months ended June 30, 2024 as compared to the same period in 2023. This growth was driven by a $25.2 million or 25.2% increase in consignment revenue, partially offset by a $24.4 million or 41.6% decrease in product revenue. The shift occurred as we transitioned our RaaS clients from a product to a consignment model and introduced our European operations to the consignment model in the third quarter of 2023. The overall increase in total revenue was mainly due to a 1.1% increase in Orders, primarily driven by our U.S. operations, and a 10.8% increase in the average order value.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0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1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6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Cost of</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consignment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57"/>
              <w:spacing w:after="0"/>
              <w:rPr>
                <w:sz w:val="20"/>
                <w:szCs w:val="20"/>
                <w:color w:val="auto"/>
              </w:rPr>
            </w:pPr>
            <w:r>
              <w:rPr>
                <w:rFonts w:ascii="Arial" w:cs="Arial" w:eastAsia="Arial" w:hAnsi="Arial"/>
                <w:sz w:val="18"/>
                <w:szCs w:val="18"/>
                <w:color w:val="auto"/>
              </w:rPr>
              <w:t>12,266</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9,580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4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57"/>
              <w:spacing w:after="0"/>
              <w:rPr>
                <w:sz w:val="20"/>
                <w:szCs w:val="20"/>
                <w:color w:val="auto"/>
              </w:rPr>
            </w:pPr>
            <w:r>
              <w:rPr>
                <w:rFonts w:ascii="Arial" w:cs="Arial" w:eastAsia="Arial" w:hAnsi="Arial"/>
                <w:sz w:val="18"/>
                <w:szCs w:val="18"/>
                <w:color w:val="auto"/>
              </w:rPr>
              <w:t>22,768</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18,800</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center"/>
              <w:ind w:left="156"/>
              <w:spacing w:after="0"/>
              <w:rPr>
                <w:sz w:val="20"/>
                <w:szCs w:val="20"/>
                <w:color w:val="auto"/>
              </w:rPr>
            </w:pPr>
            <w:r>
              <w:rPr>
                <w:rFonts w:ascii="Arial" w:cs="Arial" w:eastAsia="Arial" w:hAnsi="Arial"/>
                <w:sz w:val="18"/>
                <w:szCs w:val="18"/>
                <w:color w:val="auto"/>
                <w:w w:val="97"/>
              </w:rPr>
              <w:t>3,968</w:t>
            </w:r>
          </w:p>
        </w:tc>
        <w:tc>
          <w:tcPr>
            <w:tcW w:w="4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5"/>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20"/>
              <w:spacing w:after="0" w:line="176" w:lineRule="exact"/>
              <w:rPr>
                <w:sz w:val="20"/>
                <w:szCs w:val="20"/>
                <w:color w:val="auto"/>
              </w:rPr>
            </w:pPr>
            <w:r>
              <w:rPr>
                <w:rFonts w:ascii="Arial" w:cs="Arial" w:eastAsia="Arial" w:hAnsi="Arial"/>
                <w:sz w:val="18"/>
                <w:szCs w:val="18"/>
                <w:color w:val="auto"/>
              </w:rPr>
              <w:t>Cost of product</w:t>
            </w:r>
          </w:p>
        </w:tc>
        <w:tc>
          <w:tcPr>
            <w:tcW w:w="200" w:type="dxa"/>
            <w:vAlign w:val="bottom"/>
          </w:tcPr>
          <w:p>
            <w:pPr>
              <w:spacing w:after="0"/>
              <w:rPr>
                <w:sz w:val="15"/>
                <w:szCs w:val="15"/>
                <w:color w:val="auto"/>
              </w:rPr>
            </w:pPr>
          </w:p>
        </w:tc>
        <w:tc>
          <w:tcPr>
            <w:tcW w:w="980" w:type="dxa"/>
            <w:vAlign w:val="bottom"/>
            <w:vMerge w:val="restart"/>
          </w:tcPr>
          <w:p>
            <w:pPr>
              <w:jc w:val="right"/>
              <w:ind w:right="157"/>
              <w:spacing w:after="0"/>
              <w:rPr>
                <w:sz w:val="20"/>
                <w:szCs w:val="20"/>
                <w:color w:val="auto"/>
              </w:rPr>
            </w:pPr>
            <w:r>
              <w:rPr>
                <w:rFonts w:ascii="Arial" w:cs="Arial" w:eastAsia="Arial" w:hAnsi="Arial"/>
                <w:sz w:val="18"/>
                <w:szCs w:val="18"/>
                <w:color w:val="auto"/>
              </w:rPr>
              <w:t>11,369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155"/>
              <w:spacing w:after="0"/>
              <w:rPr>
                <w:sz w:val="20"/>
                <w:szCs w:val="20"/>
                <w:color w:val="auto"/>
              </w:rPr>
            </w:pPr>
            <w:r>
              <w:rPr>
                <w:rFonts w:ascii="Arial" w:cs="Arial" w:eastAsia="Arial" w:hAnsi="Arial"/>
                <w:sz w:val="18"/>
                <w:szCs w:val="18"/>
                <w:color w:val="auto"/>
              </w:rPr>
              <w:t>17,346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(5,977)</w:t>
            </w:r>
          </w:p>
        </w:tc>
        <w:tc>
          <w:tcPr>
            <w:tcW w:w="4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ind w:right="157"/>
              <w:spacing w:after="0"/>
              <w:rPr>
                <w:sz w:val="20"/>
                <w:szCs w:val="20"/>
                <w:color w:val="auto"/>
              </w:rPr>
            </w:pPr>
            <w:r>
              <w:rPr>
                <w:rFonts w:ascii="Arial" w:cs="Arial" w:eastAsia="Arial" w:hAnsi="Arial"/>
                <w:sz w:val="18"/>
                <w:szCs w:val="18"/>
                <w:color w:val="auto"/>
              </w:rPr>
              <w:t>25,129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8"/>
                <w:szCs w:val="18"/>
                <w:color w:val="auto"/>
              </w:rPr>
              <w:t>32,955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center"/>
              <w:ind w:left="136"/>
              <w:spacing w:after="0"/>
              <w:rPr>
                <w:sz w:val="20"/>
                <w:szCs w:val="20"/>
                <w:color w:val="auto"/>
              </w:rPr>
            </w:pPr>
            <w:r>
              <w:rPr>
                <w:rFonts w:ascii="Arial" w:cs="Arial" w:eastAsia="Arial" w:hAnsi="Arial"/>
                <w:sz w:val="18"/>
                <w:szCs w:val="18"/>
                <w:color w:val="auto"/>
              </w:rPr>
              <w:t>(7,826)</w:t>
            </w:r>
          </w:p>
        </w:tc>
        <w:tc>
          <w:tcPr>
            <w:tcW w:w="4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1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cost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57"/>
              <w:spacing w:after="0"/>
              <w:rPr>
                <w:sz w:val="20"/>
                <w:szCs w:val="20"/>
                <w:color w:val="auto"/>
              </w:rPr>
            </w:pPr>
            <w:r>
              <w:rPr>
                <w:rFonts w:ascii="Arial" w:cs="Arial" w:eastAsia="Arial" w:hAnsi="Arial"/>
                <w:sz w:val="18"/>
                <w:szCs w:val="18"/>
                <w:color w:val="auto"/>
              </w:rPr>
              <w:t>23,635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26,926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4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57"/>
              <w:spacing w:after="0"/>
              <w:rPr>
                <w:sz w:val="20"/>
                <w:szCs w:val="20"/>
                <w:color w:val="auto"/>
              </w:rPr>
            </w:pPr>
            <w:r>
              <w:rPr>
                <w:rFonts w:ascii="Arial" w:cs="Arial" w:eastAsia="Arial" w:hAnsi="Arial"/>
                <w:sz w:val="18"/>
                <w:szCs w:val="18"/>
                <w:color w:val="auto"/>
              </w:rPr>
              <w:t>47,897</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51,755</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center"/>
              <w:ind w:left="136"/>
              <w:spacing w:after="0"/>
              <w:rPr>
                <w:sz w:val="20"/>
                <w:szCs w:val="20"/>
                <w:color w:val="auto"/>
              </w:rPr>
            </w:pPr>
            <w:r>
              <w:rPr>
                <w:rFonts w:ascii="Arial" w:cs="Arial" w:eastAsia="Arial" w:hAnsi="Arial"/>
                <w:sz w:val="18"/>
                <w:szCs w:val="18"/>
                <w:color w:val="auto"/>
              </w:rPr>
              <w:t>(3,858)</w:t>
            </w:r>
          </w:p>
        </w:tc>
        <w:tc>
          <w:tcPr>
            <w:tcW w:w="4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6"/>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0.7 %</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7"/>
              <w:spacing w:after="0" w:line="203" w:lineRule="exact"/>
              <w:rPr>
                <w:sz w:val="20"/>
                <w:szCs w:val="20"/>
                <w:color w:val="auto"/>
              </w:rPr>
            </w:pPr>
            <w:r>
              <w:rPr>
                <w:rFonts w:ascii="Arial" w:cs="Arial" w:eastAsia="Arial" w:hAnsi="Arial"/>
                <w:sz w:val="18"/>
                <w:szCs w:val="18"/>
                <w:color w:val="auto"/>
              </w:rPr>
              <w:t>56,120</w:t>
            </w:r>
          </w:p>
        </w:tc>
        <w:tc>
          <w:tcPr>
            <w:tcW w:w="8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55,732</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388</w:t>
            </w:r>
          </w:p>
        </w:tc>
        <w:tc>
          <w:tcPr>
            <w:tcW w:w="4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7"/>
              <w:spacing w:after="0" w:line="203" w:lineRule="exact"/>
              <w:rPr>
                <w:sz w:val="20"/>
                <w:szCs w:val="20"/>
                <w:color w:val="auto"/>
              </w:rPr>
            </w:pPr>
            <w:r>
              <w:rPr>
                <w:rFonts w:ascii="Arial" w:cs="Arial" w:eastAsia="Arial" w:hAnsi="Arial"/>
                <w:sz w:val="18"/>
                <w:szCs w:val="18"/>
                <w:color w:val="auto"/>
              </w:rPr>
              <w:t>111,446</w:t>
            </w:r>
          </w:p>
        </w:tc>
        <w:tc>
          <w:tcPr>
            <w:tcW w:w="8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106,825</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center"/>
              <w:ind w:left="156"/>
              <w:spacing w:after="0" w:line="203" w:lineRule="exact"/>
              <w:rPr>
                <w:sz w:val="20"/>
                <w:szCs w:val="20"/>
                <w:color w:val="auto"/>
              </w:rPr>
            </w:pPr>
            <w:r>
              <w:rPr>
                <w:rFonts w:ascii="Arial" w:cs="Arial" w:eastAsia="Arial" w:hAnsi="Arial"/>
                <w:sz w:val="18"/>
                <w:szCs w:val="18"/>
                <w:color w:val="auto"/>
                <w:w w:val="97"/>
              </w:rPr>
              <w:t>4,621</w:t>
            </w:r>
          </w:p>
        </w:tc>
        <w:tc>
          <w:tcPr>
            <w:tcW w:w="4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Consignment revenue is recognized net of seller payouts. Seller payouts related to product revenue are included as a component of cost of product revenue. As such, product revenue has a lower gross margin than consignment revenue.</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margin was 70.4% and 67.4% for the three months ended June 30, 2024 and 2023, respectively, or an increase of 300 basis points. The increase in gross margin for the three months ended June 30, 2024 as compared to the same period in 2023 was primarily due to an increase in consignment revenue as a percentage of total revenue. The transition of our RaaS clients and the introduction of our European operations to the consignment model in the third quarter of 2023 drove growth in our consignment revenue, positively impacting our gross margin.</w:t>
      </w:r>
    </w:p>
    <w:p>
      <w:pPr>
        <w:spacing w:after="0" w:line="18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Gross margin was 69.9% and 67.4% for the six months ended June 30, 2024 and 2023, respectively, or an increase of 250 basis points</w:t>
      </w:r>
      <w:r>
        <w:rPr>
          <w:rFonts w:ascii="Arial" w:cs="Arial" w:eastAsia="Arial" w:hAnsi="Arial"/>
          <w:sz w:val="21"/>
          <w:szCs w:val="21"/>
          <w:color w:val="auto"/>
        </w:rPr>
        <w:t>.</w:t>
      </w:r>
      <w:r>
        <w:rPr>
          <w:rFonts w:ascii="Arial" w:cs="Arial" w:eastAsia="Arial" w:hAnsi="Arial"/>
          <w:sz w:val="18"/>
          <w:szCs w:val="18"/>
          <w:color w:val="auto"/>
        </w:rPr>
        <w:t xml:space="preserve"> The increase in gross margin for the six months ended June 30, 2024 as compared to the same period in 2023 was primarily due to an increase in consignment revenue as a percentage of total revenue and lower shipping costs. The transition of our RaaS clients and the introduction of our European operations to the consignment model in the third quarter of 2023 drove growth in our consignment revenue, positively impacting our gross margin.</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Consignment Gross Margin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61"/>
              <w:spacing w:after="0" w:line="147"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300" w:type="dxa"/>
            <w:vAlign w:val="bottom"/>
            <w:vMerge w:val="restart"/>
          </w:tcPr>
          <w:p>
            <w:pPr>
              <w:jc w:val="right"/>
              <w:ind w:right="624"/>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81"/>
              <w:spacing w:after="0" w:line="147"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right"/>
              <w:ind w:right="4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Cost of</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consignment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12,266</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9,580</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464"/>
              <w:spacing w:after="0"/>
              <w:rPr>
                <w:sz w:val="20"/>
                <w:szCs w:val="20"/>
                <w:color w:val="auto"/>
              </w:rPr>
            </w:pPr>
            <w:r>
              <w:rPr>
                <w:rFonts w:ascii="Arial" w:cs="Arial" w:eastAsia="Arial" w:hAnsi="Arial"/>
                <w:sz w:val="18"/>
                <w:szCs w:val="18"/>
                <w:color w:val="auto"/>
              </w:rPr>
              <w:t>2,686</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28.0 % $</w:t>
            </w:r>
          </w:p>
        </w:tc>
        <w:tc>
          <w:tcPr>
            <w:tcW w:w="104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22,768</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18,800</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462"/>
              <w:spacing w:after="0"/>
              <w:rPr>
                <w:sz w:val="20"/>
                <w:szCs w:val="20"/>
                <w:color w:val="auto"/>
              </w:rPr>
            </w:pPr>
            <w:r>
              <w:rPr>
                <w:rFonts w:ascii="Arial" w:cs="Arial" w:eastAsia="Arial" w:hAnsi="Arial"/>
                <w:sz w:val="18"/>
                <w:szCs w:val="18"/>
                <w:color w:val="auto"/>
              </w:rPr>
              <w:t>3,968</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5"/>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20"/>
              <w:spacing w:after="0" w:line="176" w:lineRule="exact"/>
              <w:rPr>
                <w:sz w:val="20"/>
                <w:szCs w:val="20"/>
                <w:color w:val="auto"/>
              </w:rPr>
            </w:pPr>
            <w:r>
              <w:rPr>
                <w:rFonts w:ascii="Arial" w:cs="Arial" w:eastAsia="Arial" w:hAnsi="Arial"/>
                <w:sz w:val="18"/>
                <w:szCs w:val="18"/>
                <w:color w:val="auto"/>
              </w:rPr>
              <w:t>Consignment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80.8 %</w:t>
            </w: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82.1 %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81.8 %</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5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Consignment gross margin was 80.8% and 82.1% for the three months ended June 30, 2024 and 2023, respectively, or a decrease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130 basis points. The decrease in consignment gross margin for the three months ended June 30, 2024 as compared to the same period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 was primarily due to a 130 basis point increase in outbound shipping, labor and packaging costs.</w:t>
      </w:r>
    </w:p>
    <w:p>
      <w:pPr>
        <w:spacing w:after="0" w:line="20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Consignment gross margin was 81.8% and 81.2% for the six months ended June 30, 2024 and 2023, respectively, or an increase of 60 basis points. The increase in consignment gross margin for the six months ended June 30, 2024 as compared to the same period in 2023 was primarily due to a 60 basis point decrease in outbound shipping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Product Gross Margin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78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61"/>
              <w:spacing w:after="0" w:line="147"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9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81"/>
              <w:spacing w:after="0" w:line="147"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32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80" w:type="dxa"/>
            <w:vAlign w:val="bottom"/>
            <w:gridSpan w:val="4"/>
          </w:tcPr>
          <w:p>
            <w:pPr>
              <w:jc w:val="right"/>
              <w:ind w:right="8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Cost of product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11,369</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17,346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(5,977)</w:t>
            </w:r>
          </w:p>
        </w:tc>
        <w:tc>
          <w:tcPr>
            <w:tcW w:w="14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(34.5)% $</w:t>
            </w:r>
          </w:p>
        </w:tc>
        <w:tc>
          <w:tcPr>
            <w:tcW w:w="104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25,129</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32,955</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402"/>
              <w:spacing w:after="0"/>
              <w:rPr>
                <w:sz w:val="20"/>
                <w:szCs w:val="20"/>
                <w:color w:val="auto"/>
              </w:rPr>
            </w:pPr>
            <w:r>
              <w:rPr>
                <w:rFonts w:ascii="Arial" w:cs="Arial" w:eastAsia="Arial" w:hAnsi="Arial"/>
                <w:sz w:val="18"/>
                <w:szCs w:val="18"/>
                <w:color w:val="auto"/>
              </w:rPr>
              <w:t>(7,826)</w:t>
            </w:r>
          </w:p>
        </w:tc>
        <w:tc>
          <w:tcPr>
            <w:tcW w:w="7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40" w:type="dxa"/>
            <w:vAlign w:val="bottom"/>
            <w:gridSpan w:val="3"/>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440" w:type="dxa"/>
            <w:vAlign w:val="bottom"/>
          </w:tcPr>
          <w:p>
            <w:pPr>
              <w:ind w:left="20"/>
              <w:spacing w:after="0" w:line="176" w:lineRule="exact"/>
              <w:rPr>
                <w:sz w:val="20"/>
                <w:szCs w:val="20"/>
                <w:color w:val="auto"/>
              </w:rPr>
            </w:pPr>
            <w:r>
              <w:rPr>
                <w:rFonts w:ascii="Arial" w:cs="Arial" w:eastAsia="Arial" w:hAnsi="Arial"/>
                <w:sz w:val="18"/>
                <w:szCs w:val="18"/>
                <w:color w:val="auto"/>
              </w:rPr>
              <w:t>Product gross</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28.5 %</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26.7 %</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43.8 %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440" w:type="dxa"/>
            <w:vAlign w:val="bottom"/>
          </w:tcPr>
          <w:p>
            <w:pPr>
              <w:ind w:left="180"/>
              <w:spacing w:after="0"/>
              <w:rPr>
                <w:sz w:val="20"/>
                <w:szCs w:val="20"/>
                <w:color w:val="auto"/>
              </w:rPr>
            </w:pPr>
            <w:r>
              <w:rPr>
                <w:rFonts w:ascii="Arial" w:cs="Arial" w:eastAsia="Arial" w:hAnsi="Arial"/>
                <w:sz w:val="18"/>
                <w:szCs w:val="18"/>
                <w:color w:val="auto"/>
              </w:rPr>
              <w:t>margin</w:t>
            </w: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Product gross margin was 28.5% and 40.7% for the three months ended June 30, 2024 and 2023, respectively, or a decrease of 1,220 basis points. The decrease in product gross margin for the three months ended June 30, 2024 as compared to the same period in 2023 was primarily due to a 1,380 basis point increase in product inventory costs, mainly driven by our European operations. This decrease was partially offset by a 160 basis point decrease in shipping, labor, and packaging costs.</w:t>
      </w:r>
    </w:p>
    <w:p>
      <w:pPr>
        <w:spacing w:after="0" w:line="1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Product gross margin was 26.7% and 43.8% for the six months ended June 30, 2024 and 2023, respectively, or a decrease of 1,710 basis points. The decrease in product gross margin for the six months ended June 30, 2024 as compared to the same period in 2023 was due to a 1,960 increase in product inventory costs, mainly driven by our European operations. This decrease was partially offset by a 250 basis point decrease in shipping, labor, and packaging costs.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8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1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301"/>
              <w:spacing w:after="0" w:line="14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10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8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Amount</w:t>
            </w:r>
          </w:p>
        </w:tc>
        <w:tc>
          <w:tcPr>
            <w:tcW w:w="7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80" w:type="dxa"/>
            <w:vAlign w:val="bottom"/>
            <w:gridSpan w:val="4"/>
          </w:tcPr>
          <w:p>
            <w:pPr>
              <w:jc w:val="right"/>
              <w:ind w:right="81"/>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product,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38,921</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39,771</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(850)</w:t>
            </w:r>
          </w:p>
        </w:tc>
        <w:tc>
          <w:tcPr>
            <w:tcW w:w="1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106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79,972</w:t>
            </w: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78,118</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462"/>
              <w:spacing w:after="0"/>
              <w:rPr>
                <w:sz w:val="20"/>
                <w:szCs w:val="20"/>
                <w:color w:val="auto"/>
              </w:rPr>
            </w:pPr>
            <w:r>
              <w:rPr>
                <w:rFonts w:ascii="Arial" w:cs="Arial" w:eastAsia="Arial" w:hAnsi="Arial"/>
                <w:sz w:val="18"/>
                <w:szCs w:val="18"/>
                <w:color w:val="auto"/>
              </w:rPr>
              <w:t>1,854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420" w:type="dxa"/>
            <w:vAlign w:val="bottom"/>
            <w:gridSpan w:val="3"/>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540" w:type="dxa"/>
            <w:vAlign w:val="bottom"/>
          </w:tcPr>
          <w:p>
            <w:pPr>
              <w:ind w:left="20"/>
              <w:spacing w:after="0" w:line="176" w:lineRule="exact"/>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ind w:left="180"/>
              <w:spacing w:after="0" w:line="176" w:lineRule="exact"/>
              <w:rPr>
                <w:sz w:val="20"/>
                <w:szCs w:val="20"/>
                <w:color w:val="auto"/>
              </w:rPr>
            </w:pPr>
            <w:r>
              <w:rPr>
                <w:rFonts w:ascii="Arial" w:cs="Arial" w:eastAsia="Arial" w:hAnsi="Arial"/>
                <w:sz w:val="18"/>
                <w:szCs w:val="18"/>
                <w:color w:val="auto"/>
              </w:rPr>
              <w:t>product, and</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tcPr>
          <w:p>
            <w:pPr>
              <w:ind w:left="180"/>
              <w:spacing w:after="0" w:line="183" w:lineRule="exact"/>
              <w:rPr>
                <w:sz w:val="20"/>
                <w:szCs w:val="20"/>
                <w:color w:val="auto"/>
              </w:rPr>
            </w:pPr>
            <w:r>
              <w:rPr>
                <w:rFonts w:ascii="Arial" w:cs="Arial" w:eastAsia="Arial" w:hAnsi="Arial"/>
                <w:sz w:val="18"/>
                <w:szCs w:val="18"/>
                <w:color w:val="auto"/>
              </w:rPr>
              <w:t>technology as a</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180"/>
              <w:spacing w:after="0" w:line="181" w:lineRule="exact"/>
              <w:rPr>
                <w:sz w:val="20"/>
                <w:szCs w:val="20"/>
                <w:color w:val="auto"/>
              </w:rPr>
            </w:pPr>
            <w:r>
              <w:rPr>
                <w:rFonts w:ascii="Arial" w:cs="Arial" w:eastAsia="Arial" w:hAnsi="Arial"/>
                <w:sz w:val="18"/>
                <w:szCs w:val="18"/>
                <w:color w:val="auto"/>
              </w:rPr>
              <w:t>percentage of</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48.8 %</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48.1 %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50.2 %</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5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Operations, product, and technology expenses decreased $ 0.9 million, or 2.1% for the three months ended June 30, 2024 as compared to the same period in 2023. The decrease was due to a $1.8 million decrease in personnel-related costs and a $0.4 million decrease in facilities, technology, and other costs. This decrease was partially offset by a $1.3 million increase in inbound shipping related to consignment revenue.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Operations, product, and technology expenses increased $1.9 million, or 2.4% for the six months ended June 30, 2024 as compared to the same period in 2023. The increase was due to a $2.1 million increase in inbound shipping related to consignment revenue, a $2.0 million increase in facilities, technology, and other costs, and a $1.0 million increase in severance costs as a result of our workforce reorganization in March 2024. This increase was partially offset by a $3.2 million decrease in personnel-related costs, of which $1.0 million was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1500" w:type="dxa"/>
            <w:vAlign w:val="bottom"/>
          </w:tcPr>
          <w:p>
            <w:pPr>
              <w:spacing w:after="0"/>
              <w:rPr>
                <w:sz w:val="17"/>
                <w:szCs w:val="17"/>
                <w:color w:val="auto"/>
              </w:rPr>
            </w:pPr>
          </w:p>
        </w:tc>
        <w:tc>
          <w:tcPr>
            <w:tcW w:w="24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ind w:right="76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1220" w:type="dxa"/>
            <w:vAlign w:val="bottom"/>
          </w:tcPr>
          <w:p>
            <w:pPr>
              <w:jc w:val="right"/>
              <w:ind w:right="261"/>
              <w:spacing w:after="0" w:line="147"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8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1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61"/>
              <w:spacing w:after="0" w:line="147"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28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gridSpan w:val="4"/>
          </w:tcPr>
          <w:p>
            <w:pPr>
              <w:jc w:val="right"/>
              <w:ind w:right="6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2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   16,053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18,643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(13.9)% $</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29,466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35,513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(6,047)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76"/>
        </w:trPr>
        <w:tc>
          <w:tcPr>
            <w:tcW w:w="1500" w:type="dxa"/>
            <w:vAlign w:val="bottom"/>
          </w:tcPr>
          <w:p>
            <w:pPr>
              <w:ind w:left="20"/>
              <w:spacing w:after="0" w:line="176" w:lineRule="exact"/>
              <w:rPr>
                <w:sz w:val="20"/>
                <w:szCs w:val="20"/>
                <w:color w:val="auto"/>
              </w:rPr>
            </w:pPr>
            <w:r>
              <w:rPr>
                <w:rFonts w:ascii="Arial" w:cs="Arial" w:eastAsia="Arial" w:hAnsi="Arial"/>
                <w:sz w:val="18"/>
                <w:szCs w:val="18"/>
                <w:color w:val="auto"/>
              </w:rPr>
              <w:t>Marketing as a</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ind w:left="200"/>
              <w:spacing w:after="0" w:line="183" w:lineRule="exact"/>
              <w:rPr>
                <w:sz w:val="20"/>
                <w:szCs w:val="20"/>
                <w:color w:val="auto"/>
              </w:rPr>
            </w:pPr>
            <w:r>
              <w:rPr>
                <w:rFonts w:ascii="Arial" w:cs="Arial" w:eastAsia="Arial" w:hAnsi="Arial"/>
                <w:sz w:val="18"/>
                <w:szCs w:val="18"/>
                <w:color w:val="auto"/>
              </w:rPr>
              <w:t>percentage of</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20.1 %</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18.5 %</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5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Marketing expenses decreased $2.6 million, or 13.9%, for the three months ended June 30, 2024 as compared to the same period in 2023. The decrease was due to a $2.0 million decrease in personnel-related costs, of which $0.8 million was related to stock-based compensation expense, a $0.4 million decrease in advertising costs, and a $0.2 million decrease in facilities, technology and other costs.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Marketing expenses decreased $6.0 million, or 17.0%, for the six months ended June 30, 2024 as compared to the same period in 2023. The decrease was due to a $3.0 million decrease in personnel-related costs, of which $1.8 million was related to stock-based compensation expense, a $2.9 million decrease in advertising costs, and a $0.4 million decrease in facilities, technology and other costs. This decrease was partially offset by a $0.3 million increase in severance costs as a result of our workforce reorganization in March 2024.</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8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30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gridSpan w:val="4"/>
          </w:tcPr>
          <w:p>
            <w:pPr>
              <w:jc w:val="right"/>
              <w:ind w:right="6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Sales, general,</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15,440</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16,030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(590)</w:t>
            </w:r>
          </w:p>
        </w:tc>
        <w:tc>
          <w:tcPr>
            <w:tcW w:w="14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 $</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33,013</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32,089</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442"/>
              <w:spacing w:after="0"/>
              <w:rPr>
                <w:sz w:val="20"/>
                <w:szCs w:val="20"/>
                <w:color w:val="auto"/>
              </w:rPr>
            </w:pPr>
            <w:r>
              <w:rPr>
                <w:rFonts w:ascii="Arial" w:cs="Arial" w:eastAsia="Arial" w:hAnsi="Arial"/>
                <w:sz w:val="18"/>
                <w:szCs w:val="18"/>
                <w:color w:val="auto"/>
              </w:rPr>
              <w:t>924</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440" w:type="dxa"/>
            <w:vAlign w:val="bottom"/>
            <w:gridSpan w:val="3"/>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line="176" w:lineRule="exact"/>
              <w:rPr>
                <w:sz w:val="20"/>
                <w:szCs w:val="20"/>
                <w:color w:val="auto"/>
              </w:rPr>
            </w:pPr>
            <w:r>
              <w:rPr>
                <w:rFonts w:ascii="Arial" w:cs="Arial" w:eastAsia="Arial" w:hAnsi="Arial"/>
                <w:sz w:val="18"/>
                <w:szCs w:val="18"/>
                <w:color w:val="auto"/>
              </w:rPr>
              <w:t>Sales, general,</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180"/>
              <w:spacing w:after="0" w:line="176" w:lineRule="exact"/>
              <w:rPr>
                <w:sz w:val="20"/>
                <w:szCs w:val="20"/>
                <w:color w:val="auto"/>
              </w:rPr>
            </w:pPr>
            <w:r>
              <w:rPr>
                <w:rFonts w:ascii="Arial" w:cs="Arial" w:eastAsia="Arial" w:hAnsi="Arial"/>
                <w:sz w:val="18"/>
                <w:szCs w:val="18"/>
                <w:color w:val="auto"/>
              </w:rPr>
              <w:t>and</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Pr>
          <w:p>
            <w:pPr>
              <w:ind w:left="180"/>
              <w:spacing w:after="0" w:line="183" w:lineRule="exact"/>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line="181" w:lineRule="exact"/>
              <w:rPr>
                <w:sz w:val="20"/>
                <w:szCs w:val="20"/>
                <w:color w:val="auto"/>
              </w:rPr>
            </w:pPr>
            <w:r>
              <w:rPr>
                <w:rFonts w:ascii="Arial" w:cs="Arial" w:eastAsia="Arial" w:hAnsi="Arial"/>
                <w:sz w:val="18"/>
                <w:szCs w:val="18"/>
                <w:color w:val="auto"/>
              </w:rPr>
              <w:t>as a percentage</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19.4 %</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20.7 %</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600" w:type="dxa"/>
            <w:vAlign w:val="bottom"/>
          </w:tcPr>
          <w:p>
            <w:pPr>
              <w:ind w:left="180"/>
              <w:spacing w:after="0"/>
              <w:rPr>
                <w:sz w:val="20"/>
                <w:szCs w:val="20"/>
                <w:color w:val="auto"/>
              </w:rPr>
            </w:pPr>
            <w:r>
              <w:rPr>
                <w:rFonts w:ascii="Arial" w:cs="Arial" w:eastAsia="Arial" w:hAnsi="Arial"/>
                <w:sz w:val="18"/>
                <w:szCs w:val="18"/>
                <w:color w:val="auto"/>
              </w:rPr>
              <w:t>of total revenue</w:t>
            </w:r>
          </w:p>
        </w:tc>
        <w:tc>
          <w:tcPr>
            <w:tcW w:w="2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Sales, general, and administrative expenses decreased $0.6 million, or 3.7%, for the three months ended June 30, 2024 as compared to the same period in 2023. The decrease was due to a $0.3 million decrease in personnel-related costs, a $0.2 million decrease in professional services, and a $0.1 million decrease in facilities, technology and other costs.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Sales, general, and administrative expenses increased $ 0.9 million, or 2.9%, for the six months ended June 30, 2024 as compared to the same period in 2023. The increase was due to a $1.0 million increase in severance costs as a result of our workforce reorganization in March 2024 and a $0.5 million increase in personnel-related costs. This increase was partially offset by a $0.6 million decrease in professional services.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44"/>
              <w:spacing w:after="0" w:line="147"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9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40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64"/>
              <w:spacing w:after="0" w:line="147" w:lineRule="exact"/>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2"/>
                <w:szCs w:val="12"/>
                <w:color w:val="auto"/>
              </w:rPr>
            </w:pPr>
          </w:p>
        </w:tc>
        <w:tc>
          <w:tcPr>
            <w:tcW w:w="9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40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5"/>
          </w:tcPr>
          <w:p>
            <w:pPr>
              <w:ind w:left="116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484"/>
              <w:spacing w:after="0"/>
              <w:rPr>
                <w:sz w:val="20"/>
                <w:szCs w:val="20"/>
                <w:color w:val="auto"/>
              </w:rPr>
            </w:pPr>
            <w:r>
              <w:rPr>
                <w:rFonts w:ascii="Arial" w:cs="Arial" w:eastAsia="Arial" w:hAnsi="Arial"/>
                <w:sz w:val="18"/>
                <w:szCs w:val="18"/>
                <w:color w:val="auto"/>
              </w:rPr>
              <w:t>69</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 $</w:t>
            </w: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(1,329)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(531)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for the three months ended June 30, 2024 remained relatively consistent as compared to the same period in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Interest expense increased $0.5 million for the six months ended June 30, 2024 as compared to the same period in 2023. This increase was primarily due to the capitalization of interest costs in the first quarter of 2023 in conjunction with the build-out of our distribution centers. We did not capitalize any interest in the same period in 2024.</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2"/>
                <w:szCs w:val="12"/>
                <w:color w:val="auto"/>
              </w:rPr>
            </w:pPr>
          </w:p>
        </w:tc>
        <w:tc>
          <w:tcPr>
            <w:tcW w:w="9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40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64"/>
              <w:spacing w:after="0" w:line="147" w:lineRule="exact"/>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420" w:type="dxa"/>
            <w:vAlign w:val="bottom"/>
            <w:vMerge w:val="restart"/>
          </w:tcPr>
          <w:p>
            <w:pPr>
              <w:jc w:val="right"/>
              <w:ind w:right="72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5"/>
          </w:tcPr>
          <w:p>
            <w:pPr>
              <w:jc w:val="right"/>
              <w:spacing w:after="0"/>
              <w:rPr>
                <w:sz w:val="20"/>
                <w:szCs w:val="20"/>
                <w:color w:val="auto"/>
              </w:rPr>
            </w:pPr>
            <w:r>
              <w:rPr>
                <w:rFonts w:ascii="Arial" w:cs="Arial" w:eastAsia="Arial" w:hAnsi="Arial"/>
                <w:sz w:val="14"/>
                <w:szCs w:val="14"/>
                <w:i w:val="1"/>
                <w:iCs w:val="1"/>
                <w:color w:val="auto"/>
              </w:rPr>
              <w:t>(in thousands, except percentages)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  $</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04"/>
              <w:spacing w:after="0"/>
              <w:rPr>
                <w:sz w:val="20"/>
                <w:szCs w:val="20"/>
                <w:color w:val="auto"/>
              </w:rPr>
            </w:pPr>
            <w:r>
              <w:rPr>
                <w:rFonts w:ascii="Arial" w:cs="Arial" w:eastAsia="Arial" w:hAnsi="Arial"/>
                <w:sz w:val="18"/>
                <w:szCs w:val="18"/>
                <w:color w:val="auto"/>
              </w:rPr>
              <w:t>313</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45.7 % $</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1,843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682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Other income, net increased $0.3 million for the three months ended June 30, 2024 as compared to the same period in 2023. The increase was primarily due to an increase in interest income from our marketable securities due to a higher interest rate environment.</w:t>
      </w:r>
    </w:p>
    <w:p>
      <w:pPr>
        <w:spacing w:after="0" w:line="15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Other income, net increased $0.7 million for the six months ended June 30, 2024 as compared to the same period in 2023. The increase was primarily due to an increase in interest income from our marketable securities due to a higher interest rate environment.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historically generated negative cash flows from operations and have primarily financed our operations through private and public sales of equity securities and debt. As of June 30, 2024, we had cash, cash equivalents and short-term marketable securities of $55.3 million. Additionally, we have a term loan facility (“Term Loan”) under which $22.5 million remained available to be drawn as of June 30, 2024 for the purchase of certain equipment, and we were in full compliance with our debt covenants under the Term Loan as of that date.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a further discussion on our Term Loan.</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operating losses to continue in 2024 as we continue to invest in growing our business and our infrastructure. Our primary sources of liquidity are cash flows generated from operations, cash on hand and borrowings available under the Term Loan. Our primary use of cash includes product inventory costs and seller payouts,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future capital requirements will depend on many factors, including but not limited to, the timing of any future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be limited in the remainder of 2024 as we have completed the first phase of our new distribution center in Texas. See the section titled “Risk Factors—Risks Relating to Our Indebtedness and Liquidity—We may require additional capital to support business growth, and this capital might not be available or may be available only by diluting existing stockholders” within the 2023 10-K.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Six Months Ended</w:t>
            </w:r>
          </w:p>
        </w:tc>
      </w:tr>
      <w:tr>
        <w:trPr>
          <w:trHeight w:val="147"/>
        </w:trPr>
        <w:tc>
          <w:tcPr>
            <w:tcW w:w="7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200" w:type="dxa"/>
            <w:vAlign w:val="bottom"/>
          </w:tcPr>
          <w:p>
            <w:pPr>
              <w:jc w:val="right"/>
              <w:ind w:right="455"/>
              <w:spacing w:after="0" w:line="147" w:lineRule="exact"/>
              <w:rPr>
                <w:sz w:val="20"/>
                <w:szCs w:val="20"/>
                <w:color w:val="auto"/>
              </w:rPr>
            </w:pPr>
            <w:r>
              <w:rPr>
                <w:rFonts w:ascii="Arial" w:cs="Arial" w:eastAsia="Arial" w:hAnsi="Arial"/>
                <w:sz w:val="14"/>
                <w:szCs w:val="14"/>
                <w:b w:val="1"/>
                <w:bCs w:val="1"/>
                <w:color w:val="auto"/>
              </w:rPr>
              <w:t>June 30,</w:t>
            </w:r>
          </w:p>
        </w:tc>
      </w:tr>
      <w:tr>
        <w:trPr>
          <w:trHeight w:val="185"/>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(3,579)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(14,839)</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29,309</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w:t>
            </w: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Operating Activities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operating activities was $3.6 million during the six months ended June 30, 2024, compared to net cash used of $14.8 million during the six months ended June 30, 2023. The $11.3 million decrease in operating cash outflows was primarily due to an $8.0 million decrease in our net loss, adjusted by a $2.6 million decrease in non-cash charges, and $5.8 million of favorable changes in operating assets and liabilities. The change in operating assets and liabilities was primarily due to a $7.7 million reduction in inventory, mainly driven by decreased upfront inventory purchases as we transitioned our RaaS clients and introduced our European operations to the consignment model in the third quarter of 2023, a $1.4 million increase in accounts payable, accrued and other liabilities due to timing of vendor payments, a $0.9 million reduction in accounts receivable due to timing in payment processing, a $0.7 million reduction in other assets primarily due to lower vendor prepayments, and a $0.7 million reduction in lease payments due to lower rent prepayment and the expiration of certain leases. This was partially offset by a $5.6 million decrease in seller payable primarily due to timing of seller credit cash-outs or redemptions.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Investing Activities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Net cash used in investing activities for the six months ended June 30, 2024 was $4.9 million as compared to net cash provided by investing activities of $29.3 million for the same period in 2023. The $34.3 million increase in cash outflows was primarily due to a $36.5 million decrease in maturities of marketable securities and a $7.3 million increase in purchases of marketable securities, partially offset by a $9.5 million decrease in purchases of property and equipment.</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Financing Activities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used in financing activities for the six months ended June 30, 2024 increased $0.9 million as compared to the same period in 2023 primarily due to a $0.6 million increase in payroll taxes paid on stock-based award activity and a $0.3 million decrease in proceeds from issuance of stock-based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There have been no material changes to our critical accounting policies since the 2023 10-K. For a description of critical accounting policies that affect our significant judgments and estimates used in the preparation of our condensed consolidated financial statements,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the 2023 10-K.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JOBS Act Accounting Election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2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2024, we had cash and cash equivalents of $44.8 million and marketable securities of $10.5 million, consisting primarily of money market funds, commercial paper,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2024, inflation remains at elevated levels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transact business in Europe through Remix in multiple currencies. As a result, our operating results, cash flows and net investment in Remix are subject to fluctuations due to changes in foreign currency exchange rates. As of June 30, 2024,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an unfavorable foreign currency translation adjustment of $1.1 million during the six months ended June 30, 2024, which was recognized in accumulated other comprehensive loss within our condensed consolidated balance sheet.</w:t>
      </w:r>
    </w:p>
    <w:p>
      <w:pPr>
        <w:spacing w:after="0" w:line="1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 hypothetical 10% change in foreign currency exchange rates would not have had a material impact on our financial condition or results of operations during any of the periods presented.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June 30, 2024.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2024.</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quarter ended June 30, 2024 that materially affected, or are reasonably likely to materially affect, our internal control over financial reporting.</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is supplementing the risk factors previously disclosed in the section titled “Risk Factors” in Part I, Item 1A of our Annual Report on Form 10-K for the fiscal year ended December 31, 2023 filed with the SEC on March 5, 2024 (our “Fiscal 2023 10-K”) and in the section titled “Risk Factors” in Part II, Item 1A of our Quarterly Report on Form 10-Q for the quarter ended March 31, 2024 filed with the SEC on May 6, 2024 (our “First Quarter 2024 10-Q”) to include the following risk factors, which should be read in conjunction with the other risk factors presented in our Fiscal 2023 10-K and First Quarter 2024 10-Q.</w:t>
      </w:r>
    </w:p>
    <w:p>
      <w:pPr>
        <w:spacing w:after="0" w:line="181" w:lineRule="exact"/>
        <w:rPr>
          <w:sz w:val="20"/>
          <w:szCs w:val="20"/>
          <w:color w:val="auto"/>
        </w:rPr>
      </w:pPr>
    </w:p>
    <w:p>
      <w:pPr>
        <w:ind w:right="220" w:firstLine="648"/>
        <w:spacing w:after="0" w:line="294" w:lineRule="auto"/>
        <w:rPr>
          <w:sz w:val="20"/>
          <w:szCs w:val="20"/>
          <w:color w:val="auto"/>
        </w:rPr>
      </w:pPr>
      <w:r>
        <w:rPr>
          <w:rFonts w:ascii="Arial" w:cs="Arial" w:eastAsia="Arial" w:hAnsi="Arial"/>
          <w:sz w:val="18"/>
          <w:szCs w:val="18"/>
          <w:b w:val="1"/>
          <w:bCs w:val="1"/>
          <w:i w:val="1"/>
          <w:iCs w:val="1"/>
          <w:color w:val="auto"/>
        </w:rPr>
        <w:t>Our efforts to identify and consummate a strategic alternative for our European operations conducted through our Remix subsidiary may not be successful.</w:t>
      </w:r>
    </w:p>
    <w:p>
      <w:pPr>
        <w:spacing w:after="0" w:line="3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Following a strategic review, we have determined to seek strategic alternatives for the Remix business with the intention to exit our existing European markets. Efforts to identify and consummate a strategic alternative could divert the attention of our management and cause us to incur various expenses, whether or not any strategic alternative is ultimately consummated. We may be unsuccessful in identifying and consummating a strategic alternative for our European operations and any such alternative may not have the anticipated benefits, any of which could harm our business, results of operations and financial condition.</w:t>
      </w:r>
    </w:p>
    <w:p>
      <w:pPr>
        <w:spacing w:after="0" w:line="2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10b5-1 Trading Plans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the three months ended June 30, 2024, none of our directors or officers (as defined in Rule 16a-1(f) under the Exchange Act) adopted or terminated a “Rule 10b5-1 trading arrangement” or “non-Rule 10b5-1 trading arrangement,” as those terms are defined in Item 408 of Regulation S-K.</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635"/>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5"/>
        </w:trPr>
        <w:tc>
          <w:tcPr>
            <w:tcW w:w="11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80" w:type="dxa"/>
            <w:vAlign w:val="bottom"/>
            <w:gridSpan w:val="13"/>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jc w:val="center"/>
              <w:ind w:left="235"/>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gridSpan w:val="1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auto"/>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260" w:type="dxa"/>
            <w:vAlign w:val="bottom"/>
            <w:tcBorders>
              <w:top w:val="single" w:sz="8" w:color="auto"/>
              <w:bottom w:val="single" w:sz="8" w:color="0000FF"/>
            </w:tcBorders>
            <w:gridSpan w:val="3"/>
            <w:shd w:val="clear" w:color="auto" w:fill="CCEEFF"/>
          </w:tcPr>
          <w:p>
            <w:pPr>
              <w:spacing w:after="0" w:line="182" w:lineRule="exact"/>
              <w:rPr>
                <w:sz w:val="20"/>
                <w:szCs w:val="20"/>
                <w:color w:val="auto"/>
              </w:rPr>
            </w:pPr>
            <w:r>
              <w:rPr>
                <w:rFonts w:ascii="Arial" w:cs="Arial" w:eastAsia="Arial" w:hAnsi="Arial"/>
                <w:sz w:val="18"/>
                <w:szCs w:val="18"/>
                <w:color w:val="0000FF"/>
                <w:w w:val="99"/>
              </w:rPr>
              <w:t>Restated Certificate of Incorporation of the Registrant</w:t>
            </w:r>
          </w:p>
        </w:tc>
        <w:tc>
          <w:tcPr>
            <w:tcW w:w="2440" w:type="dxa"/>
            <w:vAlign w:val="bottom"/>
            <w:tcBorders>
              <w:top w:val="single" w:sz="8" w:color="auto"/>
              <w:bottom w:val="single" w:sz="8" w:color="CCEEFF"/>
            </w:tcBorders>
            <w:gridSpan w:val="11"/>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39">
              <w:r>
                <w:rPr>
                  <w:rFonts w:ascii="Arial" w:cs="Arial" w:eastAsia="Arial" w:hAnsi="Arial"/>
                  <w:sz w:val="18"/>
                  <w:szCs w:val="18"/>
                  <w:color w:val="0000FF"/>
                </w:rPr>
                <w:t>Amended and Restated Bylaws of the Registrant, as adopted on February 16, 2023</w:t>
              </w:r>
            </w:hyperlink>
          </w:p>
        </w:tc>
        <w:tc>
          <w:tcPr>
            <w:tcW w:w="720" w:type="dxa"/>
            <w:vAlign w:val="bottom"/>
          </w:tcPr>
          <w:p>
            <w:pPr>
              <w:jc w:val="center"/>
              <w:ind w:left="235"/>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gridSpan w:val="3"/>
          </w:tcPr>
          <w:p>
            <w:pPr>
              <w:jc w:val="center"/>
              <w:ind w:left="335"/>
              <w:spacing w:after="0" w:line="189"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2/21/2023</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rFonts w:ascii="Arial" w:cs="Arial" w:eastAsia="Arial" w:hAnsi="Arial"/>
                <w:sz w:val="18"/>
                <w:szCs w:val="18"/>
                <w:color w:val="0000FF"/>
              </w:rPr>
            </w:pPr>
            <w:hyperlink r:id="rId40">
              <w:r>
                <w:rPr>
                  <w:rFonts w:ascii="Arial" w:cs="Arial" w:eastAsia="Arial" w:hAnsi="Arial"/>
                  <w:sz w:val="18"/>
                  <w:szCs w:val="18"/>
                  <w:color w:val="0000FF"/>
                </w:rPr>
                <w:t>Form of Class A common stock certificate of the Registrant</w:t>
              </w:r>
            </w:hyperlink>
          </w:p>
        </w:tc>
        <w:tc>
          <w:tcPr>
            <w:tcW w:w="720" w:type="dxa"/>
            <w:vAlign w:val="bottom"/>
            <w:shd w:val="clear" w:color="auto" w:fill="CCEEFF"/>
          </w:tcPr>
          <w:p>
            <w:pPr>
              <w:jc w:val="center"/>
              <w:ind w:left="235"/>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shd w:val="clear" w:color="auto" w:fill="CCEEFF"/>
          </w:tcPr>
          <w:p>
            <w:pPr>
              <w:jc w:val="center"/>
              <w:ind w:left="335"/>
              <w:spacing w:after="0" w:line="189" w:lineRule="exact"/>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41">
              <w:r>
                <w:rPr>
                  <w:rFonts w:ascii="Arial" w:cs="Arial" w:eastAsia="Arial" w:hAnsi="Arial"/>
                  <w:sz w:val="18"/>
                  <w:szCs w:val="18"/>
                  <w:color w:val="0000FF"/>
                </w:rPr>
                <w:t>Tenth Amended and Restated Investors’ Rights Agreement, dated February 16,</w:t>
              </w:r>
            </w:hyperlink>
          </w:p>
        </w:tc>
        <w:tc>
          <w:tcPr>
            <w:tcW w:w="720" w:type="dxa"/>
            <w:vAlign w:val="bottom"/>
          </w:tcPr>
          <w:p>
            <w:pPr>
              <w:jc w:val="center"/>
              <w:ind w:left="235"/>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tcPr>
          <w:p>
            <w:pPr>
              <w:jc w:val="center"/>
              <w:ind w:left="335"/>
              <w:spacing w:after="0" w:line="189"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2021, by and among the Registrant and certain of its stockholders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 Act Rules 13a-</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340" w:type="dxa"/>
            <w:vAlign w:val="bottom"/>
            <w:tcBorders>
              <w:top w:val="single" w:sz="8" w:color="0000FF"/>
              <w:bottom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0000FF"/>
            </w:tcBorders>
            <w:shd w:val="clear" w:color="auto" w:fill="CCEEFF"/>
          </w:tcPr>
          <w:p>
            <w:pPr>
              <w:spacing w:after="0" w:line="169" w:lineRule="exact"/>
              <w:rPr>
                <w:sz w:val="20"/>
                <w:szCs w:val="20"/>
                <w:color w:val="auto"/>
              </w:rPr>
            </w:pPr>
            <w:r>
              <w:rPr>
                <w:rFonts w:ascii="Arial" w:cs="Arial" w:eastAsia="Arial" w:hAnsi="Arial"/>
                <w:sz w:val="18"/>
                <w:szCs w:val="18"/>
                <w:color w:val="0000FF"/>
                <w:w w:val="98"/>
              </w:rPr>
              <w:t>Act of 2002</w:t>
            </w:r>
          </w:p>
        </w:tc>
        <w:tc>
          <w:tcPr>
            <w:tcW w:w="5460" w:type="dxa"/>
            <w:vAlign w:val="bottom"/>
            <w:tcBorders>
              <w:bottom w:val="single" w:sz="8" w:color="CCEEFF"/>
            </w:tcBorders>
            <w:gridSpan w:val="9"/>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Exchange Act Rules 13a-</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1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Act of 2002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 Section 1350, as</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80" w:type="dxa"/>
            <w:vAlign w:val="bottom"/>
            <w:tcBorders>
              <w:top w:val="single" w:sz="8" w:color="0000FF"/>
            </w:tcBorders>
            <w:gridSpan w:val="12"/>
            <w:shd w:val="clear" w:color="auto" w:fill="CCEEFF"/>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00" w:type="dxa"/>
            <w:vAlign w:val="bottom"/>
            <w:tcBorders>
              <w:top w:val="single" w:sz="8" w:color="CCEEFF"/>
            </w:tcBorders>
            <w:gridSpan w:val="3"/>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 Section 1350, as</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101.INS*</w:t>
            </w: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document</w:t>
            </w: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101.SCH*</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101.DEF*</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101.LAB*</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101.PRE*</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with applicable</w:t>
            </w: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2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THREDUP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ThredUp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as follows:</w:t>
      </w:r>
    </w:p>
    <w:p>
      <w:pPr>
        <w:spacing w:after="0" w:line="256" w:lineRule="exact"/>
        <w:rPr>
          <w:sz w:val="20"/>
          <w:szCs w:val="20"/>
          <w:color w:val="auto"/>
        </w:rPr>
      </w:pPr>
    </w:p>
    <w:p>
      <w:pPr>
        <w:ind w:right="140" w:firstLine="656"/>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ThredUp Inc., and that this corporation was originally incorporated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on January 7, 2009.</w:t>
      </w:r>
    </w:p>
    <w:p>
      <w:pPr>
        <w:spacing w:after="0" w:line="184" w:lineRule="exact"/>
        <w:rPr>
          <w:rFonts w:ascii="Times New Roman" w:cs="Times New Roman" w:eastAsia="Times New Roman" w:hAnsi="Times New Roman"/>
          <w:sz w:val="18"/>
          <w:szCs w:val="18"/>
          <w:color w:val="auto"/>
        </w:rPr>
      </w:pPr>
    </w:p>
    <w:p>
      <w:pPr>
        <w:ind w:right="280" w:firstLine="656"/>
        <w:spacing w:after="0" w:line="286" w:lineRule="auto"/>
        <w:tabs>
          <w:tab w:leader="none" w:pos="9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(this “</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was duly adopted in accordance with the provisions of Section 245 of the DGCL.</w:t>
      </w:r>
    </w:p>
    <w:p>
      <w:pPr>
        <w:spacing w:after="0" w:line="185" w:lineRule="exact"/>
        <w:rPr>
          <w:rFonts w:ascii="Times New Roman" w:cs="Times New Roman" w:eastAsia="Times New Roman" w:hAnsi="Times New Roman"/>
          <w:sz w:val="18"/>
          <w:szCs w:val="18"/>
          <w:color w:val="auto"/>
        </w:rPr>
      </w:pPr>
    </w:p>
    <w:p>
      <w:pPr>
        <w:ind w:right="20" w:firstLine="656"/>
        <w:spacing w:after="0" w:line="266" w:lineRule="auto"/>
        <w:tabs>
          <w:tab w:leader="none" w:pos="9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245(c) of the DGCL, this Amended and Restated Certificate of Incorporation only restates and integrates and does not further amend the provisions of the Amended and Restated Certificate as heretofore amended, and there is no discrepancy between those provisions and the provisions of this Amended and Restated Certificate of Incorporation.</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as amended, is hereby restated in its entirety to read as follows:</w:t>
      </w:r>
    </w:p>
    <w:p>
      <w:pPr>
        <w:spacing w:after="0" w:line="3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ThredUp Inc.</w:t>
      </w:r>
    </w:p>
    <w:p>
      <w:pPr>
        <w:spacing w:after="0" w:line="31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1209 Orange Street, in the City of Wilmington, County of New Castle, 19801. The name of its registered agent at such address is The Corporation Trust Company.</w:t>
      </w:r>
    </w:p>
    <w:p>
      <w:pPr>
        <w:spacing w:after="0" w:line="25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3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121" w:lineRule="exact"/>
        <w:rPr>
          <w:sz w:val="20"/>
          <w:szCs w:val="20"/>
          <w:color w:val="auto"/>
        </w:rPr>
      </w:pPr>
    </w:p>
    <w:p>
      <w:pPr>
        <w:ind w:right="100" w:firstLine="1304"/>
        <w:spacing w:after="0" w:line="261" w:lineRule="auto"/>
        <w:tabs>
          <w:tab w:leader="none" w:pos="1943"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Classes of Stock</w:t>
      </w:r>
      <w:r>
        <w:rPr>
          <w:rFonts w:ascii="Times New Roman" w:cs="Times New Roman" w:eastAsia="Times New Roman" w:hAnsi="Times New Roman"/>
          <w:sz w:val="18"/>
          <w:szCs w:val="18"/>
          <w:color w:val="auto"/>
        </w:rPr>
        <w:t>. The total number of shares of capital stock that the Corporation shall have authority to issue is 1,220,000,000, consisting of the following: 1,000,000,000 shares of Class A Common Stock, par value $0.0001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120,000,000 shares of Class B Common Stock, par value $0.0001 per share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100,000,000 shares of undesignated Preferred Stock, par value $0.0001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010000"/>
        </w:rPr>
      </w:pPr>
    </w:p>
    <w:p>
      <w:pPr>
        <w:ind w:right="180" w:firstLine="1304"/>
        <w:spacing w:after="0" w:line="257" w:lineRule="auto"/>
        <w:tabs>
          <w:tab w:leader="none" w:pos="1933"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Rights of Preferred Stock</w:t>
      </w:r>
      <w:r>
        <w:rPr>
          <w:rFonts w:ascii="Times New Roman" w:cs="Times New Roman" w:eastAsia="Times New Roman" w:hAnsi="Times New Roman"/>
          <w:sz w:val="18"/>
          <w:szCs w:val="18"/>
          <w:color w:val="auto"/>
        </w:rPr>
        <w:t>.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Times New Roman" w:cs="Times New Roman" w:eastAsia="Times New Roman" w:hAnsi="Times New Roman"/>
          <w:sz w:val="18"/>
          <w:szCs w:val="18"/>
          <w:b w:val="1"/>
          <w:bCs w:val="1"/>
          <w:color w:val="auto"/>
        </w:rPr>
        <w:t>Preferred Stock Designation</w:t>
      </w:r>
      <w:r>
        <w:rPr>
          <w:rFonts w:ascii="Times New Roman" w:cs="Times New Roman" w:eastAsia="Times New Roman" w:hAnsi="Times New Roman"/>
          <w:sz w:val="18"/>
          <w:szCs w:val="18"/>
          <w:color w:val="auto"/>
        </w:rPr>
        <w:t>”), setting forth such resolution or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32" w:name="page33"/>
    <w:bookmarkEnd w:id="32"/>
    <w:p>
      <w:pPr>
        <w:ind w:left="-240" w:right="60" w:firstLine="1304"/>
        <w:spacing w:after="0" w:line="258" w:lineRule="auto"/>
        <w:tabs>
          <w:tab w:leader="none" w:pos="1693" w:val="left"/>
        </w:tabs>
        <w:numPr>
          <w:ilvl w:val="1"/>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Vote to Increase or Decrease Authorized Shares of Preferred Stock</w:t>
      </w:r>
      <w:r>
        <w:rPr>
          <w:rFonts w:ascii="Times New Roman" w:cs="Times New Roman" w:eastAsia="Times New Roman" w:hAnsi="Times New Roman"/>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183" w:lineRule="exact"/>
        <w:rPr>
          <w:rFonts w:ascii="Times New Roman" w:cs="Times New Roman" w:eastAsia="Times New Roman" w:hAnsi="Times New Roman"/>
          <w:sz w:val="18"/>
          <w:szCs w:val="18"/>
          <w:color w:val="010000"/>
        </w:rPr>
      </w:pPr>
    </w:p>
    <w:p>
      <w:pPr>
        <w:ind w:left="-240" w:right="480" w:firstLine="1304"/>
        <w:spacing w:after="0" w:line="282" w:lineRule="auto"/>
        <w:tabs>
          <w:tab w:leader="none" w:pos="1703" w:val="left"/>
        </w:tabs>
        <w:numPr>
          <w:ilvl w:val="1"/>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Rights of Class A Common Stock and Class B Common Stock</w:t>
      </w:r>
      <w:r>
        <w:rPr>
          <w:rFonts w:ascii="Times New Roman" w:cs="Times New Roman" w:eastAsia="Times New Roman" w:hAnsi="Times New Roman"/>
          <w:sz w:val="18"/>
          <w:szCs w:val="18"/>
          <w:color w:val="auto"/>
        </w:rPr>
        <w:t>. The relative powers, rights, qualifications, limitations and restrictions granted to or imposed on the shares of Class A Common Stock and Class B Common Stock are as follows:</w:t>
      </w:r>
    </w:p>
    <w:p>
      <w:pPr>
        <w:spacing w:after="0" w:line="161" w:lineRule="exact"/>
        <w:rPr>
          <w:rFonts w:ascii="Times New Roman" w:cs="Times New Roman" w:eastAsia="Times New Roman" w:hAnsi="Times New Roman"/>
          <w:sz w:val="18"/>
          <w:szCs w:val="18"/>
          <w:color w:val="010000"/>
        </w:rPr>
      </w:pPr>
    </w:p>
    <w:p>
      <w:pPr>
        <w:ind w:left="1060" w:hanging="644"/>
        <w:spacing w:after="0"/>
        <w:tabs>
          <w:tab w:leader="none" w:pos="106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240" w:firstLine="1952"/>
        <w:spacing w:after="0" w:line="258" w:lineRule="auto"/>
        <w:tabs>
          <w:tab w:leader="none" w:pos="2349"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Right to Vote Together; Exception</w:t>
      </w:r>
      <w:r>
        <w:rPr>
          <w:rFonts w:ascii="Times New Roman" w:cs="Times New Roman" w:eastAsia="Times New Roman" w:hAnsi="Times New Roman"/>
          <w:sz w:val="18"/>
          <w:szCs w:val="18"/>
          <w:color w:val="auto"/>
        </w:rPr>
        <w:t xml:space="preserve">. Except as otherwise expressly provided herein or required by applicable law, the holders of Class A Common Stock and Class B Common Stock shall vote together as one class on all matters submitted to a vote of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w:t>
      </w:r>
    </w:p>
    <w:p>
      <w:pPr>
        <w:spacing w:after="0" w:line="183" w:lineRule="exact"/>
        <w:rPr>
          <w:rFonts w:ascii="Times New Roman" w:cs="Times New Roman" w:eastAsia="Times New Roman" w:hAnsi="Times New Roman"/>
          <w:sz w:val="18"/>
          <w:szCs w:val="18"/>
          <w:color w:val="010000"/>
        </w:rPr>
      </w:pPr>
    </w:p>
    <w:p>
      <w:pPr>
        <w:jc w:val="both"/>
        <w:ind w:left="-240" w:right="340" w:firstLine="1952"/>
        <w:spacing w:after="0" w:line="266" w:lineRule="auto"/>
        <w:tabs>
          <w:tab w:leader="none" w:pos="2346"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Votes Per Share</w:t>
      </w:r>
      <w:r>
        <w:rPr>
          <w:rFonts w:ascii="Times New Roman" w:cs="Times New Roman" w:eastAsia="Times New Roman" w:hAnsi="Times New Roman"/>
          <w:sz w:val="18"/>
          <w:szCs w:val="18"/>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ten (10) votes for each such share.</w:t>
      </w:r>
    </w:p>
    <w:p>
      <w:pPr>
        <w:spacing w:after="0" w:line="175" w:lineRule="exact"/>
        <w:rPr>
          <w:rFonts w:ascii="Times New Roman" w:cs="Times New Roman" w:eastAsia="Times New Roman" w:hAnsi="Times New Roman"/>
          <w:sz w:val="18"/>
          <w:szCs w:val="18"/>
          <w:color w:val="010000"/>
        </w:rPr>
      </w:pPr>
    </w:p>
    <w:p>
      <w:pPr>
        <w:ind w:left="-240" w:right="40" w:firstLine="656"/>
        <w:spacing w:after="0" w:line="266" w:lineRule="auto"/>
        <w:tabs>
          <w:tab w:leader="none" w:pos="1056"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175" w:lineRule="exact"/>
        <w:rPr>
          <w:rFonts w:ascii="Times New Roman" w:cs="Times New Roman" w:eastAsia="Times New Roman" w:hAnsi="Times New Roman"/>
          <w:sz w:val="18"/>
          <w:szCs w:val="18"/>
          <w:color w:val="010000"/>
        </w:rPr>
      </w:pPr>
    </w:p>
    <w:p>
      <w:pPr>
        <w:ind w:left="-240" w:right="20" w:firstLine="1952"/>
        <w:spacing w:after="0" w:line="255" w:lineRule="auto"/>
        <w:tabs>
          <w:tab w:leader="none" w:pos="2349"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spacing w:after="0" w:line="188" w:lineRule="exact"/>
        <w:rPr>
          <w:rFonts w:ascii="Times New Roman" w:cs="Times New Roman" w:eastAsia="Times New Roman" w:hAnsi="Times New Roman"/>
          <w:sz w:val="18"/>
          <w:szCs w:val="18"/>
          <w:color w:val="010000"/>
        </w:rPr>
      </w:pPr>
    </w:p>
    <w:p>
      <w:pPr>
        <w:ind w:left="-240" w:right="20" w:firstLine="1952"/>
        <w:spacing w:after="0" w:line="258" w:lineRule="auto"/>
        <w:tabs>
          <w:tab w:leader="none" w:pos="2346"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Subdivision or Combination</w:t>
      </w:r>
      <w:r>
        <w:rPr>
          <w:rFonts w:ascii="Times New Roman" w:cs="Times New Roman" w:eastAsia="Times New Roman" w:hAnsi="Times New Roman"/>
          <w:sz w:val="18"/>
          <w:szCs w:val="18"/>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83" w:lineRule="exact"/>
        <w:rPr>
          <w:rFonts w:ascii="Times New Roman" w:cs="Times New Roman" w:eastAsia="Times New Roman" w:hAnsi="Times New Roman"/>
          <w:sz w:val="18"/>
          <w:szCs w:val="18"/>
          <w:color w:val="010000"/>
        </w:rPr>
      </w:pPr>
    </w:p>
    <w:p>
      <w:pPr>
        <w:ind w:left="-240" w:right="20" w:firstLine="1952"/>
        <w:spacing w:after="0" w:line="256" w:lineRule="auto"/>
        <w:tabs>
          <w:tab w:leader="none" w:pos="2349"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Equal Treatment in a Change of Control or any Merger Transaction</w:t>
      </w:r>
      <w:r>
        <w:rPr>
          <w:rFonts w:ascii="Times New Roman" w:cs="Times New Roman" w:eastAsia="Times New Roman" w:hAnsi="Times New Roman"/>
          <w:sz w:val="18"/>
          <w:szCs w:val="18"/>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560" w:top="1417" w:right="379" w:bottom="1440" w:gutter="0" w:footer="0" w:header="0"/>
        </w:sectPr>
      </w:pPr>
    </w:p>
    <w:bookmarkStart w:id="33" w:name="page34"/>
    <w:bookmarkEnd w:id="33"/>
    <w:p>
      <w:pPr>
        <w:spacing w:after="0" w:line="258" w:lineRule="auto"/>
        <w:rPr>
          <w:sz w:val="20"/>
          <w:szCs w:val="20"/>
          <w:color w:val="auto"/>
        </w:rPr>
      </w:pPr>
      <w:r>
        <w:rPr>
          <w:rFonts w:ascii="Times New Roman" w:cs="Times New Roman" w:eastAsia="Times New Roman" w:hAnsi="Times New Roman"/>
          <w:sz w:val="18"/>
          <w:szCs w:val="18"/>
          <w:color w:val="auto"/>
        </w:rPr>
        <w:t>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83"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of 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right="100" w:firstLine="1952"/>
        <w:spacing w:after="0" w:line="282" w:lineRule="auto"/>
        <w:tabs>
          <w:tab w:leader="none" w:pos="2589" w:val="left"/>
        </w:tabs>
        <w:numPr>
          <w:ilvl w:val="1"/>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Each one (1) share of Class B Common Stock shall be convertible into one (1) share of Class A Common Stock at the option of the holder thereof at any time upon written notice to the transfer agent of the Corporation.</w:t>
      </w:r>
    </w:p>
    <w:p>
      <w:pPr>
        <w:spacing w:after="0" w:line="161" w:lineRule="exact"/>
        <w:rPr>
          <w:rFonts w:ascii="Times New Roman" w:cs="Times New Roman" w:eastAsia="Times New Roman" w:hAnsi="Times New Roman"/>
          <w:sz w:val="18"/>
          <w:szCs w:val="18"/>
          <w:color w:val="010000"/>
        </w:rPr>
      </w:pPr>
    </w:p>
    <w:p>
      <w:pPr>
        <w:ind w:right="160" w:firstLine="1952"/>
        <w:spacing w:after="0" w:line="282" w:lineRule="auto"/>
        <w:tabs>
          <w:tab w:leader="none" w:pos="2586" w:val="left"/>
        </w:tabs>
        <w:numPr>
          <w:ilvl w:val="1"/>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Shares of Class B Common Stock shall automatically, without any further action, convert into an equal number of shares of Class A Common Stock upon the earlier of:</w:t>
      </w:r>
    </w:p>
    <w:p>
      <w:pPr>
        <w:spacing w:after="0" w:line="159" w:lineRule="exact"/>
        <w:rPr>
          <w:rFonts w:ascii="Times New Roman" w:cs="Times New Roman" w:eastAsia="Times New Roman" w:hAnsi="Times New Roman"/>
          <w:sz w:val="18"/>
          <w:szCs w:val="18"/>
          <w:color w:val="010000"/>
        </w:rPr>
      </w:pPr>
    </w:p>
    <w:p>
      <w:pPr>
        <w:ind w:left="660" w:right="140" w:firstLine="1940"/>
        <w:spacing w:after="0" w:line="261" w:lineRule="auto"/>
        <w:tabs>
          <w:tab w:leader="none" w:pos="3246" w:val="left"/>
        </w:tabs>
        <w:numPr>
          <w:ilvl w:val="2"/>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Transfer of such share;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automatic conversion shall occur in the case of a Transfer by a Class B Stockholder to any of the persons or entities listed in clauses (A) through (G) below (each,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and from any such Permitted Transferee back to such Class B Stockholder and/or any other Permitted Transferee established by or for such Class B Stockholder:</w:t>
      </w:r>
    </w:p>
    <w:p>
      <w:pPr>
        <w:spacing w:after="0" w:line="181" w:lineRule="exact"/>
        <w:rPr>
          <w:rFonts w:ascii="Times New Roman" w:cs="Times New Roman" w:eastAsia="Times New Roman" w:hAnsi="Times New Roman"/>
          <w:sz w:val="18"/>
          <w:szCs w:val="18"/>
          <w:color w:val="010000"/>
        </w:rPr>
      </w:pPr>
    </w:p>
    <w:p>
      <w:pPr>
        <w:ind w:left="1300" w:right="80" w:firstLine="1948"/>
        <w:spacing w:after="0" w:line="261" w:lineRule="auto"/>
        <w:tabs>
          <w:tab w:leader="none" w:pos="3885" w:val="left"/>
        </w:tabs>
        <w:numPr>
          <w:ilvl w:val="3"/>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family member of such Class B Stockholder, which shall include with respect to any natural person who is a Class B Stockholder, the spouse, domestic partner, parents, grandparents, lineal descendants, stepchildren, siblings and lineal descendants and stepchildren of siblings of such Class B Stockholder;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lineal descendants and shall include adopted persons, but only so long as they are adopted while a minor;</w:t>
      </w:r>
    </w:p>
    <w:p>
      <w:pPr>
        <w:spacing w:after="0" w:line="179" w:lineRule="exact"/>
        <w:rPr>
          <w:rFonts w:ascii="Times New Roman" w:cs="Times New Roman" w:eastAsia="Times New Roman" w:hAnsi="Times New Roman"/>
          <w:sz w:val="18"/>
          <w:szCs w:val="18"/>
          <w:color w:val="010000"/>
        </w:rPr>
      </w:pPr>
    </w:p>
    <w:p>
      <w:pPr>
        <w:ind w:left="1300" w:right="80" w:firstLine="1948"/>
        <w:spacing w:after="0" w:line="254" w:lineRule="auto"/>
        <w:tabs>
          <w:tab w:leader="none" w:pos="3889" w:val="left"/>
        </w:tabs>
        <w:numPr>
          <w:ilvl w:val="3"/>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trust for the benefit of such Class B Stockholder or persons other than the Class B Stockholder so long as the Class B Stockholder and/or family members of such Class B Stockholder have sole dispositive power and exclusive Voting Control with respect to the shares of Class B Common Stock held by such trust;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Transfer does not involve any payment of cash, securities, property or other consideration to the Class B Stockholder (other than as a settlor or beneficiary of such trust)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such Class B Stockholder and/or family members of such Class B Stockholder no longer have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87" w:lineRule="exact"/>
        <w:rPr>
          <w:rFonts w:ascii="Times New Roman" w:cs="Times New Roman" w:eastAsia="Times New Roman" w:hAnsi="Times New Roman"/>
          <w:sz w:val="18"/>
          <w:szCs w:val="18"/>
          <w:color w:val="010000"/>
        </w:rPr>
      </w:pPr>
    </w:p>
    <w:p>
      <w:pPr>
        <w:ind w:left="1300" w:right="100" w:firstLine="1948"/>
        <w:spacing w:after="0" w:line="259" w:lineRule="auto"/>
        <w:tabs>
          <w:tab w:leader="none" w:pos="3889" w:val="left"/>
        </w:tabs>
        <w:numPr>
          <w:ilvl w:val="3"/>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beneficiaries or trustee of a trust; so long as the original grantor of the trust (the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xml:space="preserve">”) and/or family members of such Grantor have sole dispositive power and exclusive Voting Control with respect to the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such Grantor and/or family members of such Grantor no longer have sole dispositive power and exclusive Voting Control with respect to the shares of Class B Common Stock, each share of Class B Common Stock then held shall automatically convert into one (1) fully paid and nonassessable share of Class A Common Stock;</w:t>
      </w:r>
    </w:p>
    <w:p>
      <w:pPr>
        <w:spacing w:after="0" w:line="183" w:lineRule="exact"/>
        <w:rPr>
          <w:rFonts w:ascii="Times New Roman" w:cs="Times New Roman" w:eastAsia="Times New Roman" w:hAnsi="Times New Roman"/>
          <w:sz w:val="18"/>
          <w:szCs w:val="18"/>
          <w:color w:val="010000"/>
        </w:rPr>
      </w:pPr>
    </w:p>
    <w:p>
      <w:pPr>
        <w:jc w:val="both"/>
        <w:ind w:left="1300" w:right="160" w:firstLine="1948"/>
        <w:spacing w:after="0" w:line="258" w:lineRule="auto"/>
        <w:tabs>
          <w:tab w:leader="none" w:pos="3885" w:val="left"/>
        </w:tabs>
        <w:numPr>
          <w:ilvl w:val="3"/>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trust under the terms of which such Class B Stockholder has retained a “qualified interest” within the meaning of §2702(b)(1) of the Internal Revenue Code (or successor provision) and/or a reversionary interest so long as the Class B Stockholder and/or family members of such Class B Stockholder have sole dispositive power and exclusive Voting Control with respect to the shares of Class B Common Stock held by such trust;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such Class B Stockholder and/or family members of such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34" w:name="page35"/>
    <w:bookmarkEnd w:id="34"/>
    <w:p>
      <w:pPr>
        <w:jc w:val="both"/>
        <w:ind w:left="640" w:right="260"/>
        <w:spacing w:after="0" w:line="266" w:lineRule="auto"/>
        <w:rPr>
          <w:sz w:val="20"/>
          <w:szCs w:val="20"/>
          <w:color w:val="auto"/>
        </w:rPr>
      </w:pPr>
      <w:r>
        <w:rPr>
          <w:rFonts w:ascii="Times New Roman" w:cs="Times New Roman" w:eastAsia="Times New Roman" w:hAnsi="Times New Roman"/>
          <w:sz w:val="18"/>
          <w:szCs w:val="18"/>
          <w:color w:val="auto"/>
        </w:rPr>
        <w:t>Stockholder no longer have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76" w:lineRule="exact"/>
        <w:rPr>
          <w:sz w:val="20"/>
          <w:szCs w:val="20"/>
          <w:color w:val="auto"/>
        </w:rPr>
      </w:pPr>
    </w:p>
    <w:p>
      <w:pPr>
        <w:ind w:left="640" w:right="60" w:firstLine="1948"/>
        <w:spacing w:after="0" w:line="254" w:lineRule="auto"/>
        <w:tabs>
          <w:tab w:leader="none" w:pos="3219"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Individual Retirement Account, as defined in Section 408(a) of the Internal Revenue Code (or successor provision), or a pension, profit sharing, stock bonus or other type of plan or trust of which such Class B Stockholder is a participant or beneficiary and which satisfies the requirements for qualification under Section 401 of the Internal Revenue Code (or successor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Class B Stockholder has sole dispositive power and exclusive Voting Control with respect to the shares of Class B Common Stock held in such account, plan or trust,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the Class B Stockholder no longer has sole dispositive power and exclusive Voting Control with respect to the shares of Class B Common Stock held by such account, plan or trust, each share of Class B Common Stock then held by such account, plan or trust shall automatically convert into one (1) fully paid and nonassessable share of Class A Common Stock;</w:t>
      </w:r>
    </w:p>
    <w:p>
      <w:pPr>
        <w:spacing w:after="0" w:line="191" w:lineRule="exact"/>
        <w:rPr>
          <w:rFonts w:ascii="Times New Roman" w:cs="Times New Roman" w:eastAsia="Times New Roman" w:hAnsi="Times New Roman"/>
          <w:sz w:val="18"/>
          <w:szCs w:val="18"/>
          <w:color w:val="010000"/>
        </w:rPr>
      </w:pPr>
    </w:p>
    <w:p>
      <w:pPr>
        <w:ind w:left="640" w:right="20" w:firstLine="1948"/>
        <w:spacing w:after="0" w:line="253" w:lineRule="auto"/>
        <w:tabs>
          <w:tab w:leader="none" w:pos="3222"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corporation, partnership or limited liability company in which such Class B Stockholder and/or family members of such Class B Stockholder directly, or indirectly through one or more Permitted Transferees, own shares, partnership interests or membership interests, as applicable, with sufficient Voting Control in the corporation, partnership or limited liability company, as applicable, or otherwise have legally enforceable rights, such that the Class B Stockholder and/or family members of such Class B Stockholder retain sole dispositive power and exclusive Voting Control with respect to the shares of Class B Common Stock held by such corporation, partnership or limited liability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the Class B Stockholder and/or family members of such Class B Stockholder no longer own sufficient shares, partnership interests or membership interests, as applicable, or no longer has sufficient legally enforceable rights to ensure the Class B Stockholder and/or family members of such Class B Stockholder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 or</w:t>
      </w:r>
    </w:p>
    <w:p>
      <w:pPr>
        <w:spacing w:after="0" w:line="187" w:lineRule="exact"/>
        <w:rPr>
          <w:rFonts w:ascii="Times New Roman" w:cs="Times New Roman" w:eastAsia="Times New Roman" w:hAnsi="Times New Roman"/>
          <w:sz w:val="18"/>
          <w:szCs w:val="18"/>
          <w:color w:val="010000"/>
        </w:rPr>
      </w:pPr>
    </w:p>
    <w:p>
      <w:pPr>
        <w:ind w:left="640" w:firstLine="1948"/>
        <w:spacing w:after="0" w:line="256" w:lineRule="auto"/>
        <w:tabs>
          <w:tab w:leader="none" w:pos="3225"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Affiliate of a Class B Stockholder;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person or entity holding sole dispositive power and exclusive Voting Control with respect to the shares of Class B Common Stock being Transferred (the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retains, directly or indirectly, sole dispositive power and exclusive Voting Control with respect to the shares following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event the Controlling Person no longer has sole dispositive power and exclusive Voting Control with respect to the shares of Class B Common Stock Transferred to such Affiliate, each such share of Class B Common Stock Transferred to such Affiliate shall automatically convert into one (1) share of Class A Common Stock unless such transaction is otherwise approved by the Corporation.</w:t>
      </w:r>
    </w:p>
    <w:p>
      <w:pPr>
        <w:spacing w:after="0" w:line="184" w:lineRule="exact"/>
        <w:rPr>
          <w:rFonts w:ascii="Times New Roman" w:cs="Times New Roman" w:eastAsia="Times New Roman" w:hAnsi="Times New Roman"/>
          <w:sz w:val="18"/>
          <w:szCs w:val="18"/>
          <w:color w:val="010000"/>
        </w:rPr>
      </w:pPr>
    </w:p>
    <w:p>
      <w:pPr>
        <w:ind w:right="20" w:firstLine="1940"/>
        <w:spacing w:after="0" w:line="256" w:lineRule="auto"/>
        <w:tabs>
          <w:tab w:leader="none" w:pos="2582"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automatic conversion pursuant to this subsection (ii) shall occur in the case of a Class B Stockholder or its Permitted Transferees that furnishes a certification satisfactory to the Corporation prior to the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980" w:top="1417" w:right="339" w:bottom="1440" w:gutter="0" w:footer="0" w:header="0"/>
        </w:sectPr>
      </w:pPr>
    </w:p>
    <w:bookmarkStart w:id="35" w:name="page36"/>
    <w:bookmarkEnd w:id="35"/>
    <w:p>
      <w:pPr>
        <w:jc w:val="both"/>
        <w:ind w:right="140" w:firstLine="1952"/>
        <w:spacing w:after="0" w:line="266" w:lineRule="auto"/>
        <w:tabs>
          <w:tab w:leader="none" w:pos="2589"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Upon Death or Incapacity of a Class B Stockholder</w:t>
      </w:r>
      <w:r>
        <w:rPr>
          <w:rFonts w:ascii="Times New Roman" w:cs="Times New Roman" w:eastAsia="Times New Roman" w:hAnsi="Times New Roman"/>
          <w:sz w:val="18"/>
          <w:szCs w:val="18"/>
          <w:color w:val="auto"/>
        </w:rPr>
        <w:t>. Each share of Class B Common Stock held of record by a Class B Stockholder who is a natural person, or by such Class B Stockholder’s Permitted Transferees, shall automatically, without any further action, convert into one (1) share of Class A Common Stock upon the death or Incapacity of such Class B Stockholder.</w:t>
      </w:r>
    </w:p>
    <w:p>
      <w:pPr>
        <w:spacing w:after="0" w:line="17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Automatic Conversion of Founder Shares Upon Termination</w:t>
      </w:r>
      <w:r>
        <w:rPr>
          <w:rFonts w:ascii="Times New Roman" w:cs="Times New Roman" w:eastAsia="Times New Roman" w:hAnsi="Times New Roman"/>
          <w:sz w:val="18"/>
          <w:szCs w:val="18"/>
          <w:color w:val="auto"/>
        </w:rPr>
        <w:t>. In the event that co-founder James Reinhart (the</w:t>
      </w:r>
    </w:p>
    <w:p>
      <w:pPr>
        <w:spacing w:after="0" w:line="2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Founder</w:t>
      </w:r>
      <w:r>
        <w:rPr>
          <w:rFonts w:ascii="Times New Roman" w:cs="Times New Roman" w:eastAsia="Times New Roman" w:hAnsi="Times New Roman"/>
          <w:sz w:val="17"/>
          <w:szCs w:val="17"/>
          <w:color w:val="auto"/>
        </w:rPr>
        <w:t>”) is terminated or resigns from his position as Chief Executive Officer of the Corporation (the “</w:t>
      </w:r>
      <w:r>
        <w:rPr>
          <w:rFonts w:ascii="Times New Roman" w:cs="Times New Roman" w:eastAsia="Times New Roman" w:hAnsi="Times New Roman"/>
          <w:sz w:val="17"/>
          <w:szCs w:val="17"/>
          <w:b w:val="1"/>
          <w:bCs w:val="1"/>
          <w:color w:val="auto"/>
        </w:rPr>
        <w:t>Founder Departure</w:t>
      </w:r>
      <w:r>
        <w:rPr>
          <w:rFonts w:ascii="Times New Roman" w:cs="Times New Roman" w:eastAsia="Times New Roman" w:hAnsi="Times New Roman"/>
          <w:sz w:val="17"/>
          <w:szCs w:val="17"/>
          <w:color w:val="auto"/>
        </w:rPr>
        <w:t>”), each share of Class B Common Stock held of record by the Founder, or by the Founder’s Permitted Transferees, shall automatically, without any further action, convert into one</w:t>
      </w: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Class A Common Stock the day following the Founder Departure.</w:t>
      </w:r>
    </w:p>
    <w:p>
      <w:pPr>
        <w:spacing w:after="0" w:line="206"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589" w:val="left"/>
        </w:tabs>
        <w:numPr>
          <w:ilvl w:val="2"/>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Automatic Conversion of All Outstanding Class B Common Stock</w:t>
      </w:r>
      <w:r>
        <w:rPr>
          <w:rFonts w:ascii="Times New Roman" w:cs="Times New Roman" w:eastAsia="Times New Roman" w:hAnsi="Times New Roman"/>
          <w:sz w:val="18"/>
          <w:szCs w:val="18"/>
          <w:color w:val="auto"/>
        </w:rPr>
        <w:t>. Each one (1) share of Class B Common Stock shall automatically, without any further action, convert into one (1) share of Class A Common Stock upon the date specified by affirmative vote of the holders of at least sixty-six and two-thirds percent (66-2/3%) of the outstanding shares of Class B Common Stock, voting as a single class.</w:t>
      </w:r>
    </w:p>
    <w:p>
      <w:pPr>
        <w:spacing w:after="0" w:line="175" w:lineRule="exact"/>
        <w:rPr>
          <w:rFonts w:ascii="Times New Roman" w:cs="Times New Roman" w:eastAsia="Times New Roman" w:hAnsi="Times New Roman"/>
          <w:sz w:val="18"/>
          <w:szCs w:val="18"/>
          <w:color w:val="010000"/>
        </w:rPr>
      </w:pPr>
    </w:p>
    <w:p>
      <w:pPr>
        <w:ind w:right="100" w:firstLine="1952"/>
        <w:spacing w:after="0" w:line="258" w:lineRule="auto"/>
        <w:tabs>
          <w:tab w:leader="none" w:pos="2583" w:val="left"/>
        </w:tabs>
        <w:numPr>
          <w:ilvl w:val="2"/>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Final Conversion of Class B Common Stock</w:t>
      </w:r>
      <w:r>
        <w:rPr>
          <w:rFonts w:ascii="Times New Roman" w:cs="Times New Roman" w:eastAsia="Times New Roman" w:hAnsi="Times New Roman"/>
          <w:sz w:val="18"/>
          <w:szCs w:val="18"/>
          <w:color w:val="auto"/>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Section 243 of the DGCL and the filing by the Secretary of State of the State of Delaware required thereby, and upon such retirement and cancellation, all references to Class B Common Stock in this Amended and Restated Certificate of Incorporation shall be eliminated.</w:t>
      </w:r>
    </w:p>
    <w:p>
      <w:pPr>
        <w:spacing w:after="0" w:line="183" w:lineRule="exact"/>
        <w:rPr>
          <w:rFonts w:ascii="Times New Roman" w:cs="Times New Roman" w:eastAsia="Times New Roman" w:hAnsi="Times New Roman"/>
          <w:sz w:val="18"/>
          <w:szCs w:val="18"/>
          <w:color w:val="010000"/>
        </w:rPr>
      </w:pPr>
    </w:p>
    <w:p>
      <w:pPr>
        <w:ind w:firstLine="1952"/>
        <w:spacing w:after="0" w:line="256" w:lineRule="auto"/>
        <w:tabs>
          <w:tab w:leader="none" w:pos="2586" w:val="left"/>
        </w:tabs>
        <w:numPr>
          <w:ilvl w:val="2"/>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necessary or advisable, and may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spacing w:after="0" w:line="187" w:lineRule="exact"/>
        <w:rPr>
          <w:rFonts w:ascii="Times New Roman" w:cs="Times New Roman" w:eastAsia="Times New Roman" w:hAnsi="Times New Roman"/>
          <w:sz w:val="18"/>
          <w:szCs w:val="18"/>
          <w:color w:val="010000"/>
        </w:rPr>
      </w:pPr>
    </w:p>
    <w:p>
      <w:pPr>
        <w:ind w:right="20" w:firstLine="1952"/>
        <w:spacing w:after="0" w:line="254" w:lineRule="auto"/>
        <w:tabs>
          <w:tab w:leader="none" w:pos="2586" w:val="left"/>
        </w:tabs>
        <w:numPr>
          <w:ilvl w:val="2"/>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Immediate Effect of Conversion</w:t>
      </w:r>
      <w:r>
        <w:rPr>
          <w:rFonts w:ascii="Times New Roman" w:cs="Times New Roman" w:eastAsia="Times New Roman" w:hAnsi="Times New Roman"/>
          <w:sz w:val="18"/>
          <w:szCs w:val="18"/>
          <w:color w:val="auto"/>
        </w:rPr>
        <w:t>. In the event of a conversion of shares of Class B Common Stock to shares of Class A Common Stock pursuant to this Section D.3, such conversion(s) shall be deemed to have been made at the time that the Corporation’s transfer agent receives the written notice required, the time that the Transfer of such shares occurred, the death or Incapacity of the Class B Stockholder or immediately upon the Final Conversion Date, as applicable. Upon any conversion of Class B Common Stock to Class A Common Stock, all rights of the holder of such shares of Class B Common Stock shall cease and the person or persons in whose names or names the certificate or certificates (or book-entry position(s) representing the shares of Class B Common Stock) are to be issued shall be treated for all purposes as having become the record holder or holders of such number of shares of Class A Common Stock into which such shares of Class B Common Stock were convertible. Shares of Class B Common Stock that are converted into shares of Class A Common Stock as provided in this Section D.3 shall be retired and shall not be reissued.</w:t>
      </w:r>
    </w:p>
    <w:p>
      <w:pPr>
        <w:spacing w:after="0" w:line="191" w:lineRule="exact"/>
        <w:rPr>
          <w:rFonts w:ascii="Times New Roman" w:cs="Times New Roman" w:eastAsia="Times New Roman" w:hAnsi="Times New Roman"/>
          <w:sz w:val="18"/>
          <w:szCs w:val="18"/>
          <w:color w:val="010000"/>
        </w:rPr>
      </w:pPr>
    </w:p>
    <w:p>
      <w:pPr>
        <w:ind w:right="140" w:firstLine="1952"/>
        <w:spacing w:after="0" w:line="261" w:lineRule="auto"/>
        <w:tabs>
          <w:tab w:leader="none" w:pos="2586" w:val="left"/>
        </w:tabs>
        <w:numPr>
          <w:ilvl w:val="2"/>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79" w:lineRule="exact"/>
        <w:rPr>
          <w:rFonts w:ascii="Times New Roman" w:cs="Times New Roman" w:eastAsia="Times New Roman" w:hAnsi="Times New Roman"/>
          <w:sz w:val="18"/>
          <w:szCs w:val="18"/>
          <w:color w:val="010000"/>
        </w:rPr>
      </w:pPr>
    </w:p>
    <w:p>
      <w:pPr>
        <w:ind w:firstLine="1304"/>
        <w:spacing w:after="0" w:line="266" w:lineRule="auto"/>
        <w:tabs>
          <w:tab w:leader="none" w:pos="1937" w:val="left"/>
        </w:tabs>
        <w:numPr>
          <w:ilvl w:val="1"/>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Further Issuances</w:t>
      </w:r>
      <w:r>
        <w:rPr>
          <w:rFonts w:ascii="Times New Roman" w:cs="Times New Roman" w:eastAsia="Times New Roman" w:hAnsi="Times New Roman"/>
          <w:sz w:val="18"/>
          <w:szCs w:val="18"/>
          <w:color w:val="auto"/>
        </w:rPr>
        <w:t xml:space="preserve">. Except for the issuance of Class B Common Stock issuable upon exercise of Rights outstanding at the IPO Time or a dividend payable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D.2(a), the Corporation shall not at any time after the IPO Time issue any additional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36" w:name="page37"/>
    <w:bookmarkEnd w:id="36"/>
    <w:p>
      <w:pPr>
        <w:ind w:right="220"/>
        <w:spacing w:after="0" w:line="282" w:lineRule="auto"/>
        <w:rPr>
          <w:sz w:val="20"/>
          <w:szCs w:val="20"/>
          <w:color w:val="auto"/>
        </w:rPr>
      </w:pPr>
      <w:r>
        <w:rPr>
          <w:rFonts w:ascii="Times New Roman" w:cs="Times New Roman" w:eastAsia="Times New Roman" w:hAnsi="Times New Roman"/>
          <w:sz w:val="18"/>
          <w:szCs w:val="18"/>
          <w:color w:val="auto"/>
        </w:rPr>
        <w:t>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25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12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following terms, where capitalized in this Amended and Restated Certificate of Incorporation, shall have the meanings ascribed to them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Share Issuance</w:t>
      </w:r>
      <w:r>
        <w:rPr>
          <w:rFonts w:ascii="Times New Roman" w:cs="Times New Roman" w:eastAsia="Times New Roman" w:hAnsi="Times New Roman"/>
          <w:sz w:val="18"/>
          <w:szCs w:val="18"/>
          <w:color w:val="auto"/>
        </w:rPr>
        <w:t>” 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spacing w:after="0" w:line="183"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xml:space="preserve">” means (i) the sale, lease, exclusive license,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any sale, lease, exclusive license, exchange or other disposition of property or assets exclusively between or among the Corporation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or indirect subsidiary or subsidiaries of the Corporation shall not be deemed a “</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37" w:name="page38"/>
    <w:bookmarkEnd w:id="37"/>
    <w:p>
      <w:pPr>
        <w:ind w:right="460"/>
        <w:spacing w:after="0" w:line="266" w:lineRule="auto"/>
        <w:rPr>
          <w:sz w:val="20"/>
          <w:szCs w:val="20"/>
          <w:color w:val="auto"/>
        </w:rPr>
      </w:pPr>
      <w:r>
        <w:rPr>
          <w:rFonts w:ascii="Times New Roman" w:cs="Times New Roman" w:eastAsia="Times New Roman" w:hAnsi="Times New Roman"/>
          <w:sz w:val="18"/>
          <w:szCs w:val="18"/>
          <w:color w:val="auto"/>
        </w:rPr>
        <w:t>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and (iv) any Change of Control Share Issuance.</w:t>
      </w:r>
    </w:p>
    <w:p>
      <w:pPr>
        <w:spacing w:after="0" w:line="172"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Stockholder</w:t>
      </w:r>
      <w:r>
        <w:rPr>
          <w:rFonts w:ascii="Times New Roman" w:cs="Times New Roman" w:eastAsia="Times New Roman" w:hAnsi="Times New Roman"/>
          <w:sz w:val="18"/>
          <w:szCs w:val="18"/>
          <w:color w:val="auto"/>
        </w:rPr>
        <w:t>” means (i) the registered holder of a share of Class B Common Stock at the IPO Time and (ii) the registered holder of any shares of Class B Common Stock that are originally issued by the Corporation after the IPO Time.</w:t>
      </w:r>
    </w:p>
    <w:p>
      <w:pPr>
        <w:spacing w:after="0" w:line="15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(i) any dividend or distribution of cash, property or shares of the Corporation’s capital stock; and (ii) any distribution following or in connection with any liquidation, dissolution or winding up of the Corporation, either voluntary or involuntary.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Conversion Date</w:t>
      </w:r>
      <w:r>
        <w:rPr>
          <w:rFonts w:ascii="Times New Roman" w:cs="Times New Roman" w:eastAsia="Times New Roman" w:hAnsi="Times New Roman"/>
          <w:sz w:val="18"/>
          <w:szCs w:val="18"/>
          <w:color w:val="auto"/>
        </w:rPr>
        <w:t>” means 5:00 p.m. in New York City, New York on the first Trading Day falling on or after the seventh (7th) year anniversary of the IPO Time.</w:t>
      </w:r>
    </w:p>
    <w:p>
      <w:pPr>
        <w:spacing w:after="0" w:line="15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shall mean that such holder is incapable of managing such holder’s financial affairs under the criteria set forth in the applicable probate code that can be expected to result in death or which has lasted or can be expected to last for a continuous period of not less than six (6)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means the members of the Board of Directors designated as independent directors in accordance with the requirements of the Securities Exchange that are generally applicable to companies with common equity securities listed thereon (or if the Corporation’s equity securities are not listed for trading on a Securities Exchange, the requirements of a Securities Exchange generally applicable to companies with common equity securities listed thereon).</w:t>
      </w:r>
    </w:p>
    <w:p>
      <w:pPr>
        <w:spacing w:after="0" w:line="176"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Time</w:t>
      </w:r>
      <w:r>
        <w:rPr>
          <w:rFonts w:ascii="Times New Roman" w:cs="Times New Roman" w:eastAsia="Times New Roman" w:hAnsi="Times New Roman"/>
          <w:sz w:val="18"/>
          <w:szCs w:val="18"/>
          <w:color w:val="auto"/>
        </w:rPr>
        <w:t>” means the closing of the Corporation’s sale of a class of its capital stock to the public pursuant to a registration statement on Form S-1 under the Securities Act.</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means any option, warrant, restricted stock unit, conversion right or contractual right of any kind to acquire shares of the Corporation’s authorized but unissued capital stock.</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39"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Exchange</w:t>
      </w:r>
      <w:r>
        <w:rPr>
          <w:rFonts w:ascii="Times New Roman" w:cs="Times New Roman" w:eastAsia="Times New Roman" w:hAnsi="Times New Roman"/>
          <w:sz w:val="18"/>
          <w:szCs w:val="18"/>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or any successor exchange of either the New York Stock Exchange or Nasdaq.</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Securities Exchange is open for trading.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of a share of Class B Common Stock shall mean, directly or indirectly, any sale, assignment, transfer, conveyance, hypothecation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transfer or disposition of such share or any legal or beneficial interest in such share, whether or not for value and whether voluntary or involuntary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operation of law.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also include, without limitation, (i) a transfer of a share of Class B Common Stock to a broker or other nominee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whether or not there is a corresponding change in beneficial ownership) or (ii) the transfer of, or entering into a binding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Voting Control over a share of Class B Common Stock by proxy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following shall not be considered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(a) the grant of a proxy to officers or directors of the Corporation at the request of the Board of Directors of the Corporation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17" w:right="359" w:bottom="1440" w:gutter="0" w:footer="0" w:header="0"/>
        </w:sectPr>
      </w:pPr>
    </w:p>
    <w:bookmarkStart w:id="38" w:name="page39"/>
    <w:bookmarkEnd w:id="38"/>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actions to be taken at an annual or special meeting of stockholders; (b) the pledge of shares of Class B Common Stock by a Class B Stockholder that creates a mere security interest in such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loan or indebtedness transaction so long as the Class B Stockholder continues to exercise Voting Control over such pledged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foreclosure on such shares of Class B Common Stock or other similar action by the pledge shall constitute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(c) the fact that, as of the IPO Time or at any time after the IPO Time,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of such shares of Class B Common Stock; (d) entering into a trading plan pursuant to Rule 10b5-1 under the Exchange Act with a broker or other nominee;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of such shares of Class B Common Stock pursuant to such plan shall constitute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at the time of such sale; or (e) entering into a support, voting, tender or similar agreement, arrangement or understanding (with or without granting a proxy) in connection with a Change of Control Transaction;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such Change of Control Transaction was approved by a majority of the Independent Directors then in office.</w:t>
      </w:r>
    </w:p>
    <w:p>
      <w:pPr>
        <w:spacing w:after="0" w:line="190"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Control</w:t>
      </w:r>
      <w:r>
        <w:rPr>
          <w:rFonts w:ascii="Times New Roman" w:cs="Times New Roman" w:eastAsia="Times New Roman" w:hAnsi="Times New Roman"/>
          <w:sz w:val="18"/>
          <w:szCs w:val="18"/>
          <w:color w:val="auto"/>
        </w:rPr>
        <w:t>” with respect to a share of Class B Common Stock means the exclusive power (whether directly or indirectly) to vote or direct the voting of such share of Class B Common Stock by proxy, voting agreement, or otherwise.</w:t>
      </w:r>
    </w:p>
    <w:p>
      <w:pPr>
        <w:spacing w:after="0" w:line="24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121" w:lineRule="exact"/>
        <w:rPr>
          <w:sz w:val="20"/>
          <w:szCs w:val="20"/>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firstLine="1304"/>
        <w:spacing w:after="0" w:line="258" w:lineRule="auto"/>
        <w:tabs>
          <w:tab w:leader="none" w:pos="1933"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Number of Directors; Election</w:t>
      </w:r>
      <w:r>
        <w:rPr>
          <w:rFonts w:ascii="Times New Roman" w:cs="Times New Roman" w:eastAsia="Times New Roman" w:hAnsi="Times New Roman"/>
          <w:sz w:val="18"/>
          <w:szCs w:val="18"/>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such director’s successor has been duly elected and qualified or until such director’s earlier resignation, death or removal.</w:t>
      </w:r>
    </w:p>
    <w:p>
      <w:pPr>
        <w:spacing w:after="0" w:line="183" w:lineRule="exact"/>
        <w:rPr>
          <w:rFonts w:ascii="Times New Roman" w:cs="Times New Roman" w:eastAsia="Times New Roman" w:hAnsi="Times New Roman"/>
          <w:sz w:val="18"/>
          <w:szCs w:val="18"/>
          <w:color w:val="010000"/>
        </w:rPr>
      </w:pPr>
    </w:p>
    <w:p>
      <w:pPr>
        <w:ind w:right="100" w:firstLine="1304"/>
        <w:spacing w:after="0" w:line="254" w:lineRule="auto"/>
        <w:tabs>
          <w:tab w:leader="none" w:pos="1933"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Classified Board Structure</w:t>
      </w:r>
      <w:r>
        <w:rPr>
          <w:rFonts w:ascii="Times New Roman" w:cs="Times New Roman" w:eastAsia="Times New Roman" w:hAnsi="Times New Roman"/>
          <w:sz w:val="18"/>
          <w:szCs w:val="18"/>
          <w:color w:val="auto"/>
        </w:rPr>
        <w:t>. From and after the IPO Time, and subject to the rights of holders of any series of Preferred Stock with respect to the election of directors, the directors of the Corporation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IPO Time, the term of office of the initial Class II directors shall expire at the second annual meeting of stockholders following the IPO Time and the term of office of the initial Class III directors shall expire at the third annual meeting of stockholders following the IPO Time. At each annual meeting of stockholders, commencing with the first regularly-scheduled annual meeting of stockholders following the IPO Time, each of the successors elected to replace the directors of a Class whose term shall have expired at such annual meeting shall be elected to hold office until the third annual meeting next succeeding such director’s election and until such director’s respective successor shall have been duly elected and qualified.</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each director shall serve until such director’s successor is duly elected and qualified or until such director’s death, resignation, or removal. Subject to the rights of holders of any series of Preferred Stock with respect to the election of directors,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83" w:lineRule="exact"/>
        <w:rPr>
          <w:sz w:val="20"/>
          <w:szCs w:val="20"/>
          <w:color w:val="auto"/>
        </w:rPr>
      </w:pPr>
    </w:p>
    <w:p>
      <w:pPr>
        <w:ind w:right="60" w:firstLine="1304"/>
        <w:spacing w:after="0" w:line="282" w:lineRule="auto"/>
        <w:tabs>
          <w:tab w:leader="none" w:pos="1943"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xml:space="preserve">. Subject to the rights of holders of any series of Preferred Stock with respect to the election of directors, for so long as the Board of Directors is divided into classes pursuant to </w:t>
      </w:r>
      <w:r>
        <w:rPr>
          <w:rFonts w:ascii="Times New Roman" w:cs="Times New Roman" w:eastAsia="Times New Roman" w:hAnsi="Times New Roman"/>
          <w:sz w:val="18"/>
          <w:szCs w:val="18"/>
          <w:u w:val="single" w:color="auto"/>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such director’s successor shall be duly elected and qualified.</w:t>
      </w: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117" w:lineRule="exact"/>
        <w:rPr>
          <w:sz w:val="20"/>
          <w:szCs w:val="20"/>
          <w:color w:val="auto"/>
        </w:rPr>
      </w:pPr>
    </w:p>
    <w:p>
      <w:pPr>
        <w:ind w:left="1960" w:hanging="656"/>
        <w:spacing w:after="0"/>
        <w:tabs>
          <w:tab w:leader="none" w:pos="1960"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Written Ballot</w:t>
      </w:r>
      <w:r>
        <w:rPr>
          <w:rFonts w:ascii="Times New Roman" w:cs="Times New Roman" w:eastAsia="Times New Roman" w:hAnsi="Times New Roman"/>
          <w:sz w:val="18"/>
          <w:szCs w:val="18"/>
          <w:color w:val="auto"/>
        </w:rPr>
        <w:t>. Elections of directors need not be by written ballot unless the Bylaws of the Corporation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shall 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w:t>
      </w:r>
    </w:p>
    <w:p>
      <w:pPr>
        <w:spacing w:after="0" w:line="207" w:lineRule="exact"/>
        <w:rPr>
          <w:sz w:val="20"/>
          <w:szCs w:val="20"/>
          <w:color w:val="auto"/>
        </w:rPr>
      </w:pPr>
    </w:p>
    <w:p>
      <w:pPr>
        <w:ind w:right="600" w:firstLine="1304"/>
        <w:spacing w:after="0" w:line="282" w:lineRule="auto"/>
        <w:tabs>
          <w:tab w:leader="none" w:pos="1933"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statute, the Board of Directors is expressly authorized to adopt, amend or repeal the Bylaws of the Corporation.</w:t>
      </w:r>
    </w:p>
    <w:p>
      <w:pPr>
        <w:spacing w:after="0" w:line="161" w:lineRule="exact"/>
        <w:rPr>
          <w:rFonts w:ascii="Times New Roman" w:cs="Times New Roman" w:eastAsia="Times New Roman" w:hAnsi="Times New Roman"/>
          <w:sz w:val="18"/>
          <w:szCs w:val="18"/>
          <w:color w:val="010000"/>
        </w:rPr>
      </w:pPr>
    </w:p>
    <w:p>
      <w:pPr>
        <w:ind w:right="40" w:firstLine="1304"/>
        <w:spacing w:after="0" w:line="266" w:lineRule="auto"/>
        <w:tabs>
          <w:tab w:leader="none" w:pos="1933"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(i) the Board of Directors pursuant to a resolution adopted by a majority of the Board of Directors; (ii) the chairman of the Board of Directors; (iii) the chief executive officer of the Corporation; or (iv) the president of the Corporation.</w:t>
      </w:r>
    </w:p>
    <w:p>
      <w:pPr>
        <w:spacing w:after="0" w:line="175" w:lineRule="exact"/>
        <w:rPr>
          <w:rFonts w:ascii="Times New Roman" w:cs="Times New Roman" w:eastAsia="Times New Roman" w:hAnsi="Times New Roman"/>
          <w:sz w:val="18"/>
          <w:szCs w:val="18"/>
          <w:color w:val="010000"/>
        </w:rPr>
      </w:pPr>
    </w:p>
    <w:p>
      <w:pPr>
        <w:ind w:right="100" w:firstLine="1304"/>
        <w:spacing w:after="0" w:line="266" w:lineRule="auto"/>
        <w:tabs>
          <w:tab w:leader="none" w:pos="1943"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spacing w:after="0" w:line="175"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121"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any fiduciary duties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Neither any amendment nor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the Corporation’s Amended Certificate of Incorporation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eliminate or reduce the effect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respect of any matter occurring, or any cause of action, suit or proceeding accruing or arising or that, but for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would accrue or arise, prior to such amendment, repeal or adoption of an inconsistent provision.</w:t>
      </w:r>
    </w:p>
    <w:p>
      <w:pPr>
        <w:spacing w:after="0" w:line="2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12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417" w:right="379" w:bottom="1440" w:gutter="0" w:footer="0" w:header="0"/>
        </w:sectPr>
      </w:pPr>
    </w:p>
    <w:bookmarkStart w:id="40" w:name="page41"/>
    <w:bookmarkEnd w:id="40"/>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this Amended and Restated Certificate of Incorporation or the Bylaws of the Corporation shall not be deemed exclusive of any other rights to which those seeking indemnification or advancement of expenses may be entitled hereunder or thereunder or under any statute, bylaw, agreement, vote of stockholders or disinterested directors or otherwise, both as to action in such person’s official capacity and as to action in any 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27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87"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010000"/>
        </w:rPr>
        <w:t>ARTICLE XI</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an officer of the Corporation shall not be personally liable to the Corporation or its stockholders for monetary damages for breach of any fiduciary duties as an officer. If the DGCL is amended to authorize corporate action further eliminating or limiting the personal liability of officers, then the liability of an officer of the Corporation shall be eliminated or limited to the fullest extent permitted by the DGCL,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41" w:name="page42"/>
    <w:bookmarkEnd w:id="41"/>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Neither any amendment nor repeal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nor the adoption of any provision of the Corporation’s Amended and Restated Certificate of Incorporation inconsistent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eliminate or reduce the effect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 respect of any matter occurring, or any cause of action, suit or proceeding accruing or arising or that, but for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would accrue or arise, prior to such amendment, repeal or adoption of an inconsistent provision.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Restated Certificate of Incorporation has been signed on behalf of the Corporation by its duly authorized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this 23rd day of May, 2024.</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THREDUP INC.</w:t>
      </w:r>
    </w:p>
    <w:p>
      <w:pPr>
        <w:spacing w:after="0" w:line="22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color w:val="auto"/>
        </w:rPr>
        <w:t>By: /s/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-635</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9"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Name: James Reinhart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ectPr>
          <w:pgSz w:w="11900" w:h="16838" w:orient="portrait"/>
          <w:cols w:equalWidth="0" w:num="1">
            <w:col w:w="11240"/>
          </w:cols>
          <w:pgMar w:left="320" w:top="76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ectPr>
          <w:pgSz w:w="11900" w:h="16838" w:orient="portrait"/>
          <w:cols w:equalWidth="0" w:num="1">
            <w:col w:w="11240"/>
          </w:cols>
          <w:pgMar w:left="320" w:top="76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2024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ectPr>
          <w:pgSz w:w="11900" w:h="16838" w:orient="portrait"/>
          <w:cols w:equalWidth="0" w:num="1">
            <w:col w:w="11240"/>
          </w:cols>
          <w:pgMar w:left="320" w:top="76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2024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0"/>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upperLetter"/>
      <w:start w:val="1"/>
    </w:lvl>
  </w:abstractNum>
  <w:abstractNum w:abstractNumId="13">
    <w:nsid w:val="721DA317"/>
    <w:multiLevelType w:val="hybridMultilevel"/>
    <w:lvl w:ilvl="0">
      <w:lvlJc w:val="left"/>
      <w:lvlText w:val="%1."/>
      <w:numFmt w:val="upperLetter"/>
      <w:start w:val="1"/>
    </w:lvl>
  </w:abstractNum>
  <w:abstractNum w:abstractNumId="14">
    <w:nsid w:val="2443A858"/>
    <w:multiLevelType w:val="hybridMultilevel"/>
    <w:lvl w:ilvl="0">
      <w:lvlJc w:val="left"/>
      <w:lvlText w:val="%1"/>
      <w:numFmt w:val="decimal"/>
      <w:start w:val="1"/>
    </w:lvl>
    <w:lvl w:ilvl="1">
      <w:lvlJc w:val="left"/>
      <w:lvlText w:val="%2."/>
      <w:numFmt w:val="upperLetter"/>
      <w:start w:val="3"/>
    </w:lvl>
    <w:lvl w:ilvl="2">
      <w:lvlJc w:val="left"/>
      <w:lvlText w:val="%3"/>
      <w:numFmt w:val="lowerLetter"/>
      <w:start w:val="1"/>
    </w:lvl>
  </w:abstractNum>
  <w:abstractNum w:abstractNumId="15">
    <w:nsid w:val="2D1D5AE9"/>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6">
    <w:nsid w:val="676384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
    <w:nsid w:val="75A2A8D4"/>
    <w:multiLevelType w:val="hybridMultilevel"/>
    <w:lvl w:ilvl="0">
      <w:lvlJc w:val="left"/>
      <w:lvlText w:val="%1"/>
      <w:numFmt w:val="lowerRoman"/>
      <w:start w:val="1"/>
    </w:lvl>
    <w:lvl w:ilvl="1">
      <w:lvlJc w:val="left"/>
      <w:lvlText w:val="(%2)"/>
      <w:numFmt w:val="upperLetter"/>
      <w:start w:val="5"/>
    </w:lvl>
  </w:abstractNum>
  <w:abstractNum w:abstractNumId="18">
    <w:nsid w:val="8EDBDAB"/>
    <w:multiLevelType w:val="hybridMultilevel"/>
    <w:lvl w:ilvl="0">
      <w:lvlJc w:val="left"/>
      <w:lvlText w:val="(%1)"/>
      <w:numFmt w:val="lowerRoman"/>
      <w:start w:val="2"/>
    </w:lvl>
    <w:lvl w:ilvl="1">
      <w:lvlJc w:val="left"/>
      <w:lvlText w:val="%2"/>
      <w:numFmt w:val="upperLetter"/>
      <w:start w:val="1"/>
    </w:lvl>
  </w:abstractNum>
  <w:abstractNum w:abstractNumId="19">
    <w:nsid w:val="79838CB2"/>
    <w:multiLevelType w:val="hybridMultilevel"/>
    <w:lvl w:ilvl="0">
      <w:lvlJc w:val="left"/>
      <w:lvlText w:val="(%1)"/>
      <w:numFmt w:val="lowerLetter"/>
      <w:start w:val="3"/>
    </w:lvl>
  </w:abstractNum>
  <w:abstractNum w:abstractNumId="20">
    <w:nsid w:val="4353D0CD"/>
    <w:multiLevelType w:val="hybridMultilevel"/>
    <w:lvl w:ilvl="0">
      <w:lvlJc w:val="left"/>
      <w:lvlText w:val="(%1)"/>
      <w:numFmt w:val="decimal"/>
      <w:start w:val="1"/>
    </w:lvl>
    <w:lvl w:ilvl="1">
      <w:lvlJc w:val="left"/>
      <w:lvlText w:val="%2."/>
      <w:numFmt w:val="upperLetter"/>
      <w:start w:val="4"/>
    </w:lvl>
    <w:lvl w:ilvl="2">
      <w:lvlJc w:val="left"/>
      <w:lvlText w:val="(%3)"/>
      <w:numFmt w:val="lowerLetter"/>
      <w:start w:val="5"/>
    </w:lvl>
  </w:abstractNum>
  <w:abstractNum w:abstractNumId="21">
    <w:nsid w:val="B03E0C6"/>
    <w:multiLevelType w:val="hybridMultilevel"/>
    <w:lvl w:ilvl="0">
      <w:lvlJc w:val="left"/>
      <w:lvlText w:val="%1."/>
      <w:numFmt w:val="upperLetter"/>
      <w:start w:val="1"/>
    </w:lvl>
  </w:abstractNum>
  <w:abstractNum w:abstractNumId="22">
    <w:nsid w:val="189A769B"/>
    <w:multiLevelType w:val="hybridMultilevel"/>
    <w:lvl w:ilvl="0">
      <w:lvlJc w:val="left"/>
      <w:lvlText w:val="%1."/>
      <w:numFmt w:val="upperLetter"/>
      <w:start w:val="2"/>
    </w:lvl>
  </w:abstractNum>
  <w:abstractNum w:abstractNumId="23">
    <w:nsid w:val="54E49EB4"/>
    <w:multiLevelType w:val="hybridMultilevel"/>
    <w:lvl w:ilvl="0">
      <w:lvlJc w:val="left"/>
      <w:lvlText w:val="%1."/>
      <w:numFmt w:val="upperLetter"/>
      <w:start w:val="4"/>
    </w:lvl>
  </w:abstractNum>
  <w:abstractNum w:abstractNumId="24">
    <w:nsid w:val="71F32454"/>
    <w:multiLevelType w:val="hybridMultilevel"/>
    <w:lvl w:ilvl="0">
      <w:lvlJc w:val="left"/>
      <w:lvlText w:val="%1."/>
      <w:numFmt w:val="upperLetter"/>
      <w:start w:val="1"/>
    </w:lvl>
  </w:abstractNum>
  <w:abstractNum w:abstractNumId="25">
    <w:nsid w:val="2CA88611"/>
    <w:multiLevelType w:val="hybridMultilevel"/>
    <w:lvl w:ilvl="0">
      <w:lvlJc w:val="left"/>
      <w:lvlText w:val="%1."/>
      <w:numFmt w:val="upperLetter"/>
      <w:start w:val="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39" Type="http://schemas.openxmlformats.org/officeDocument/2006/relationships/hyperlink" Target="https://www.sec.gov/Archives/edgar/data/1484778/000148477823000037/thredup-arpubliccompanybyl.htm" TargetMode="External"/><Relationship Id="rId40" Type="http://schemas.openxmlformats.org/officeDocument/2006/relationships/hyperlink" Target="https://www.sec.gov/Archives/edgar/data/1484778/000162828021003857/exhibit41-sx1.htm" TargetMode="External"/><Relationship Id="rId41"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2024-08-05T15:26:20Z</dcterms:created>
  <dcterms:modified xsi:type="dcterms:W3CDTF">2024-08-05T15:26:20Z</dcterms:modified>
</cp:coreProperties>
</file>