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751363.xml.htm"/>
      <w:bookmarkStart w:id="1" w:name="kswkform4_178475136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Paransky Noam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THREDUP INC. 969 BROADWAY, SUITE 200</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OAKLAND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94607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ThredUp Inc.</w:t>
              </w:r>
            </w:hyperlink>
            <w:r>
              <w:rPr/>
              <w:t xml:space="preserve"> [ </w:t>
            </w:r>
            <w:r>
              <w:rPr>
                <w:rFonts w:ascii="Times;serif" w:hAnsi="Times;serif"/>
                <w:color w:val="0000FF"/>
                <w:sz w:val="24"/>
                <w:shd w:fill="FFFFFF" w:val="clear"/>
              </w:rPr>
              <w:t>TDUP</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07/20/2026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07/20/2026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2,265</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686,572</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Grant of fully vested restricted stock units ("RSUs") under the Issuer's 2021 Stock Option and Incentive Plan in a transaction exempt under Rule 16b-3. Each RSU represents a right to receive one share of the Issuer's Class A Common Stock. The Reporting Person elected to receive RSUs in lieu of his annual cash retainer, which retainer is paid in quarterly installments. The Reporting Person elected to defer distribution until the earliest of (a) 30 days after the Reporting Person's separation from service on the Board within the meaning of Section 409A of the Internal Revenue Code of 1986, as amended ("Section 409A"), (b) a Sale Event (as defined in the Issuer's 2021 Stock Option and Incentive Plan) that constitutes a change in control under Section 409A, or (c) 30 days after the Reporting Person's death.</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Alon Rotem,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22533" TargetMode="External"/><Relationship Id="rId5" Type="http://schemas.openxmlformats.org/officeDocument/2006/relationships/hyperlink" Target="http://www.sec.gov/cgi-bin/browse-edgar?action=getcompany&amp;CIK=000148477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700</Words>
  <Characters>3748</Characters>
  <CharactersWithSpaces>4381</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