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720" w:right="2000" w:hanging="3712"/>
        <w:spacing w:after="0" w:line="365" w:lineRule="auto"/>
        <w:tabs>
          <w:tab w:leader="none" w:pos="3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200" w:right="1640" w:hanging="2192"/>
        <w:spacing w:after="0" w:line="375" w:lineRule="auto"/>
        <w:tabs>
          <w:tab w:leader="none" w:pos="37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____________________ to 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88900</wp:posOffset>
            </wp:positionV>
            <wp:extent cx="154305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ThredUp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93" w:lineRule="exact"/>
        <w:rPr>
          <w:sz w:val="24"/>
          <w:szCs w:val="24"/>
          <w:color w:val="auto"/>
        </w:rPr>
      </w:pPr>
    </w:p>
    <w:tbl>
      <w:tblPr>
        <w:tblLayout w:type="fixed"/>
        <w:tblInd w:w="960" w:type="dxa"/>
        <w:tblCellMar>
          <w:top w:w="0" w:type="dxa"/>
          <w:left w:w="0" w:type="dxa"/>
          <w:bottom w:w="0" w:type="dxa"/>
          <w:right w:w="0" w:type="dxa"/>
        </w:tblCellMar>
      </w:tblPr>
      <w:tr>
        <w:trPr>
          <w:trHeight w:val="190"/>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Delaware</w:t>
            </w:r>
          </w:p>
        </w:tc>
        <w:tc>
          <w:tcPr>
            <w:tcW w:w="3540" w:type="dxa"/>
            <w:vAlign w:val="bottom"/>
          </w:tcPr>
          <w:p>
            <w:pPr>
              <w:jc w:val="right"/>
              <w:ind w:right="648"/>
              <w:spacing w:after="0"/>
              <w:rPr>
                <w:sz w:val="20"/>
                <w:szCs w:val="20"/>
                <w:color w:val="auto"/>
              </w:rPr>
            </w:pPr>
            <w:r>
              <w:rPr>
                <w:rFonts w:ascii="Arial" w:cs="Arial" w:eastAsia="Arial" w:hAnsi="Arial"/>
                <w:sz w:val="14"/>
                <w:szCs w:val="14"/>
                <w:b w:val="1"/>
                <w:bCs w:val="1"/>
                <w:color w:val="auto"/>
              </w:rPr>
              <w:t>26-4009181</w:t>
            </w:r>
          </w:p>
        </w:tc>
        <w:tc>
          <w:tcPr>
            <w:tcW w:w="0" w:type="dxa"/>
            <w:vAlign w:val="bottom"/>
          </w:tcPr>
          <w:p>
            <w:pPr>
              <w:spacing w:after="0"/>
              <w:rPr>
                <w:sz w:val="1"/>
                <w:szCs w:val="1"/>
                <w:color w:val="auto"/>
              </w:rPr>
            </w:pPr>
          </w:p>
        </w:tc>
      </w:tr>
      <w:tr>
        <w:trPr>
          <w:trHeight w:val="203"/>
        </w:trPr>
        <w:tc>
          <w:tcPr>
            <w:tcW w:w="5040" w:type="dxa"/>
            <w:vAlign w:val="bottom"/>
          </w:tcPr>
          <w:p>
            <w:pPr>
              <w:jc w:val="center"/>
              <w:ind w:right="124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377"/>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969 Broadway, Suite 200</w:t>
            </w:r>
          </w:p>
        </w:tc>
        <w:tc>
          <w:tcPr>
            <w:tcW w:w="3540" w:type="dxa"/>
            <w:vAlign w:val="bottom"/>
            <w:vMerge w:val="restart"/>
          </w:tcPr>
          <w:p>
            <w:pPr>
              <w:jc w:val="right"/>
              <w:ind w:right="828"/>
              <w:spacing w:after="0"/>
              <w:rPr>
                <w:sz w:val="20"/>
                <w:szCs w:val="20"/>
                <w:color w:val="auto"/>
              </w:rPr>
            </w:pPr>
            <w:r>
              <w:rPr>
                <w:rFonts w:ascii="Arial" w:cs="Arial" w:eastAsia="Arial" w:hAnsi="Arial"/>
                <w:sz w:val="14"/>
                <w:szCs w:val="14"/>
                <w:b w:val="1"/>
                <w:bCs w:val="1"/>
                <w:color w:val="auto"/>
              </w:rPr>
              <w:t>94607</w:t>
            </w:r>
          </w:p>
        </w:tc>
        <w:tc>
          <w:tcPr>
            <w:tcW w:w="0" w:type="dxa"/>
            <w:vAlign w:val="bottom"/>
          </w:tcPr>
          <w:p>
            <w:pPr>
              <w:spacing w:after="0"/>
              <w:rPr>
                <w:sz w:val="1"/>
                <w:szCs w:val="1"/>
                <w:color w:val="auto"/>
              </w:rPr>
            </w:pPr>
          </w:p>
        </w:tc>
      </w:tr>
      <w:tr>
        <w:trPr>
          <w:trHeight w:val="190"/>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Oakland, California</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jc w:val="center"/>
              <w:ind w:right="1268"/>
              <w:spacing w:after="0"/>
              <w:rPr>
                <w:sz w:val="20"/>
                <w:szCs w:val="20"/>
                <w:color w:val="auto"/>
              </w:rPr>
            </w:pPr>
            <w:r>
              <w:rPr>
                <w:rFonts w:ascii="Arial" w:cs="Arial" w:eastAsia="Arial" w:hAnsi="Arial"/>
                <w:sz w:val="14"/>
                <w:szCs w:val="14"/>
                <w:i w:val="1"/>
                <w:iCs w:val="1"/>
                <w:color w:val="auto"/>
              </w:rPr>
              <w:t>(Address of principal executive offices)</w:t>
            </w:r>
          </w:p>
        </w:tc>
        <w:tc>
          <w:tcPr>
            <w:tcW w:w="3540" w:type="dxa"/>
            <w:vAlign w:val="bottom"/>
          </w:tcPr>
          <w:p>
            <w:pPr>
              <w:jc w:val="center"/>
              <w:ind w:left="126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bl>
    <w:p>
      <w:pPr>
        <w:spacing w:after="0" w:line="3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(415) 402-5202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5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452"/>
        </w:trPr>
        <w:tc>
          <w:tcPr>
            <w:tcW w:w="36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708"/>
              <w:spacing w:after="0"/>
              <w:rPr>
                <w:sz w:val="20"/>
                <w:szCs w:val="20"/>
                <w:color w:val="auto"/>
              </w:rPr>
            </w:pPr>
            <w:r>
              <w:rPr>
                <w:rFonts w:ascii="Arial" w:cs="Arial" w:eastAsia="Arial" w:hAnsi="Arial"/>
                <w:sz w:val="14"/>
                <w:szCs w:val="14"/>
                <w:b w:val="1"/>
                <w:bCs w:val="1"/>
                <w:color w:val="auto"/>
              </w:rPr>
              <w:t>Trading Symbol(s)</w:t>
            </w:r>
          </w:p>
        </w:tc>
        <w:tc>
          <w:tcPr>
            <w:tcW w:w="80" w:type="dxa"/>
            <w:vAlign w:val="bottom"/>
          </w:tcPr>
          <w:p>
            <w:pPr>
              <w:spacing w:after="0"/>
              <w:rPr>
                <w:sz w:val="24"/>
                <w:szCs w:val="24"/>
                <w:color w:val="auto"/>
              </w:rPr>
            </w:pPr>
          </w:p>
        </w:tc>
        <w:tc>
          <w:tcPr>
            <w:tcW w:w="3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66"/>
        </w:trPr>
        <w:tc>
          <w:tcPr>
            <w:tcW w:w="4520" w:type="dxa"/>
            <w:vAlign w:val="bottom"/>
            <w:gridSpan w:val="3"/>
          </w:tcPr>
          <w:p>
            <w:pPr>
              <w:ind w:left="140"/>
              <w:spacing w:after="0"/>
              <w:rPr>
                <w:sz w:val="20"/>
                <w:szCs w:val="20"/>
                <w:color w:val="auto"/>
              </w:rPr>
            </w:pPr>
            <w:r>
              <w:rPr>
                <w:rFonts w:ascii="Arial" w:cs="Arial" w:eastAsia="Arial" w:hAnsi="Arial"/>
                <w:sz w:val="14"/>
                <w:szCs w:val="14"/>
                <w:color w:val="auto"/>
              </w:rPr>
              <w:t>Class A Common Stock, $0.0001 par value per share</w:t>
            </w:r>
          </w:p>
        </w:tc>
        <w:tc>
          <w:tcPr>
            <w:tcW w:w="3040" w:type="dxa"/>
            <w:vAlign w:val="bottom"/>
            <w:gridSpan w:val="2"/>
          </w:tcPr>
          <w:p>
            <w:pPr>
              <w:jc w:val="center"/>
              <w:ind w:right="840"/>
              <w:spacing w:after="0"/>
              <w:rPr>
                <w:sz w:val="20"/>
                <w:szCs w:val="20"/>
                <w:color w:val="auto"/>
              </w:rPr>
            </w:pPr>
            <w:r>
              <w:rPr>
                <w:rFonts w:ascii="Arial" w:cs="Arial" w:eastAsia="Arial" w:hAnsi="Arial"/>
                <w:sz w:val="14"/>
                <w:szCs w:val="14"/>
                <w:color w:val="auto"/>
              </w:rPr>
              <w:t>TDUP</w:t>
            </w:r>
          </w:p>
        </w:tc>
        <w:tc>
          <w:tcPr>
            <w:tcW w:w="600" w:type="dxa"/>
            <w:vAlign w:val="bottom"/>
          </w:tcPr>
          <w:p>
            <w:pPr>
              <w:spacing w:after="0"/>
              <w:rPr>
                <w:sz w:val="14"/>
                <w:szCs w:val="14"/>
                <w:color w:val="auto"/>
              </w:rPr>
            </w:pPr>
          </w:p>
        </w:tc>
        <w:tc>
          <w:tcPr>
            <w:tcW w:w="3080" w:type="dxa"/>
            <w:vAlign w:val="bottom"/>
          </w:tcPr>
          <w:p>
            <w:pPr>
              <w:jc w:val="center"/>
              <w:ind w:right="528"/>
              <w:spacing w:after="0"/>
              <w:rPr>
                <w:sz w:val="20"/>
                <w:szCs w:val="20"/>
                <w:color w:val="auto"/>
              </w:rPr>
            </w:pPr>
            <w:r>
              <w:rPr>
                <w:rFonts w:ascii="Arial" w:cs="Arial" w:eastAsia="Arial" w:hAnsi="Arial"/>
                <w:sz w:val="14"/>
                <w:szCs w:val="14"/>
                <w:color w:val="auto"/>
              </w:rPr>
              <w:t>The Nasdaq Stock Market LLC</w:t>
            </w:r>
          </w:p>
        </w:tc>
      </w:tr>
      <w:tr>
        <w:trPr>
          <w:trHeight w:val="172"/>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80" w:type="dxa"/>
            <w:vAlign w:val="bottom"/>
          </w:tcPr>
          <w:p>
            <w:pPr>
              <w:jc w:val="center"/>
              <w:ind w:right="528"/>
              <w:spacing w:after="0"/>
              <w:rPr>
                <w:sz w:val="20"/>
                <w:szCs w:val="20"/>
                <w:color w:val="auto"/>
              </w:rPr>
            </w:pPr>
            <w:r>
              <w:rPr>
                <w:rFonts w:ascii="Arial" w:cs="Arial" w:eastAsia="Arial" w:hAnsi="Arial"/>
                <w:sz w:val="14"/>
                <w:szCs w:val="14"/>
                <w:color w:val="auto"/>
              </w:rPr>
              <w:t>Long-Term Stock Exchange</w:t>
            </w:r>
          </w:p>
        </w:tc>
      </w:tr>
      <w:tr>
        <w:trPr>
          <w:trHeight w:val="513"/>
        </w:trPr>
        <w:tc>
          <w:tcPr>
            <w:tcW w:w="45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61"/>
        </w:trPr>
        <w:tc>
          <w:tcPr>
            <w:tcW w:w="756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0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08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92"/>
        </w:trPr>
        <w:tc>
          <w:tcPr>
            <w:tcW w:w="756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60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0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20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 the past</w:t>
      </w:r>
    </w:p>
    <w:p>
      <w:pPr>
        <w:spacing w:after="0" w:line="11" w:lineRule="exact"/>
        <w:rPr>
          <w:sz w:val="24"/>
          <w:szCs w:val="24"/>
          <w:color w:val="auto"/>
        </w:rPr>
      </w:pPr>
    </w:p>
    <w:p>
      <w:pPr>
        <w:spacing w:after="0" w:line="161" w:lineRule="exact"/>
        <w:tabs>
          <w:tab w:leader="none" w:pos="680" w:val="left"/>
          <w:tab w:leader="none" w:pos="130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20" w:lineRule="exact"/>
        <w:rPr>
          <w:sz w:val="24"/>
          <w:szCs w:val="24"/>
          <w:color w:val="auto"/>
        </w:rPr>
      </w:pPr>
    </w:p>
    <w:p>
      <w:pPr>
        <w:jc w:val="both"/>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3" w:lineRule="exact"/>
        <w:rPr>
          <w:sz w:val="24"/>
          <w:szCs w:val="24"/>
          <w:color w:val="auto"/>
        </w:rPr>
      </w:pPr>
    </w:p>
    <w:p>
      <w:pPr>
        <w:jc w:val="both"/>
        <w:ind w:right="20"/>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060" w:type="dxa"/>
            <w:vAlign w:val="bottom"/>
          </w:tcPr>
          <w:p>
            <w:pPr>
              <w:ind w:left="306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5"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3"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3"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3"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6"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68" w:lineRule="exact"/>
        <w:rPr>
          <w:sz w:val="24"/>
          <w:szCs w:val="24"/>
          <w:color w:val="auto"/>
        </w:rPr>
      </w:pPr>
    </w:p>
    <w:p>
      <w:pPr>
        <w:spacing w:after="0" w:line="278"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2022, the last business day of the registrant’s most recently completed second fiscal quarter, was $123.3 million based upon the last reported sales price for such date on the Nasdaq Global Select Market.</w:t>
      </w:r>
    </w:p>
    <w:p>
      <w:pPr>
        <w:sectPr>
          <w:pgSz w:w="11900" w:h="16838" w:orient="portrait"/>
          <w:cols w:equalWidth="0" w:num="1">
            <w:col w:w="11240"/>
          </w:cols>
          <w:pgMar w:left="320" w:top="865" w:right="339" w:bottom="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There were 70,827,625 shares of Class A common stock and 30,783,178 shares of Class B common stock outstanding as of February 27, 2023.</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DOCUMENTS INCORPORATED BY REFERENCE</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Portions of the registrant’s definitive Proxy Statement for the registrant’s 2023 Annual Meeting of Stockholders are incorporated by reference into Part III of this Annual Report on Form 10-K. Such Proxy Statement will be filed with the Securities and Exchange Commission within 120 days after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10"/>
          </w:tcPr>
          <w:p>
            <w:pPr>
              <w:jc w:val="center"/>
              <w:ind w:right="342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r>
      <w:tr>
        <w:trPr>
          <w:trHeight w:val="446"/>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239"/>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r>
      <w:tr>
        <w:trPr>
          <w:trHeight w:val="214"/>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gridSpan w:val="9"/>
          </w:tcPr>
          <w:p>
            <w:pPr>
              <w:jc w:val="center"/>
              <w:ind w:right="3740"/>
              <w:spacing w:after="0"/>
              <w:rPr>
                <w:sz w:val="20"/>
                <w:szCs w:val="20"/>
                <w:color w:val="auto"/>
              </w:rPr>
            </w:pPr>
            <w:r>
              <w:rPr>
                <w:rFonts w:ascii="Arial" w:cs="Arial" w:eastAsia="Arial" w:hAnsi="Arial"/>
                <w:sz w:val="18"/>
                <w:szCs w:val="18"/>
                <w:b w:val="1"/>
                <w:bCs w:val="1"/>
                <w:color w:val="auto"/>
                <w:w w:val="98"/>
              </w:rPr>
              <w:t>PART I</w:t>
            </w:r>
          </w:p>
        </w:tc>
        <w:tc>
          <w:tcPr>
            <w:tcW w:w="1140" w:type="dxa"/>
            <w:vAlign w:val="bottom"/>
          </w:tcPr>
          <w:p>
            <w:pPr>
              <w:spacing w:after="0"/>
              <w:rPr>
                <w:sz w:val="18"/>
                <w:szCs w:val="18"/>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Business</w:t>
            </w:r>
          </w:p>
        </w:tc>
        <w:tc>
          <w:tcPr>
            <w:tcW w:w="8220" w:type="dxa"/>
            <w:vAlign w:val="bottom"/>
            <w:tcBorders>
              <w:bottom w:val="single" w:sz="8" w:color="CCEEFF"/>
            </w:tcBorders>
            <w:gridSpan w:val="2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9160" w:type="dxa"/>
            <w:vAlign w:val="bottom"/>
            <w:gridSpan w:val="24"/>
          </w:tcPr>
          <w:p>
            <w:pPr>
              <w:ind w:left="200"/>
              <w:spacing w:after="0" w:line="189" w:lineRule="exact"/>
              <w:rPr>
                <w:sz w:val="20"/>
                <w:szCs w:val="20"/>
                <w:color w:val="auto"/>
              </w:rPr>
            </w:pPr>
            <w:r>
              <w:rPr>
                <w:rFonts w:ascii="Arial" w:cs="Arial" w:eastAsia="Arial" w:hAnsi="Arial"/>
                <w:sz w:val="18"/>
                <w:szCs w:val="18"/>
                <w:color w:val="0000FF"/>
              </w:rPr>
              <w:t>Risk Factors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8</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1B.</w:t>
            </w:r>
          </w:p>
        </w:tc>
        <w:tc>
          <w:tcPr>
            <w:tcW w:w="20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0000FF"/>
            </w:tcBorders>
            <w:gridSpan w:val="11"/>
            <w:shd w:val="clear" w:color="auto" w:fill="CCEEFF"/>
          </w:tcPr>
          <w:p>
            <w:pPr>
              <w:spacing w:after="0" w:line="189" w:lineRule="exact"/>
              <w:rPr>
                <w:sz w:val="20"/>
                <w:szCs w:val="20"/>
                <w:color w:val="auto"/>
              </w:rPr>
            </w:pPr>
            <w:r>
              <w:rPr>
                <w:rFonts w:ascii="Arial" w:cs="Arial" w:eastAsia="Arial" w:hAnsi="Arial"/>
                <w:sz w:val="18"/>
                <w:szCs w:val="18"/>
                <w:color w:val="0000FF"/>
                <w:w w:val="99"/>
              </w:rPr>
              <w:t>Unresolved Staff Comments</w:t>
            </w:r>
          </w:p>
        </w:tc>
        <w:tc>
          <w:tcPr>
            <w:tcW w:w="6700" w:type="dxa"/>
            <w:vAlign w:val="bottom"/>
            <w:tcBorders>
              <w:bottom w:val="single" w:sz="8" w:color="CCEEFF"/>
            </w:tcBorders>
            <w:gridSpan w:val="1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44</w:t>
            </w: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9160" w:type="dxa"/>
            <w:vAlign w:val="bottom"/>
            <w:gridSpan w:val="24"/>
          </w:tcPr>
          <w:p>
            <w:pPr>
              <w:ind w:left="200"/>
              <w:spacing w:after="0" w:line="189" w:lineRule="exact"/>
              <w:rPr>
                <w:sz w:val="20"/>
                <w:szCs w:val="20"/>
                <w:color w:val="auto"/>
              </w:rPr>
            </w:pPr>
            <w:r>
              <w:rPr>
                <w:rFonts w:ascii="Arial" w:cs="Arial" w:eastAsia="Arial" w:hAnsi="Arial"/>
                <w:sz w:val="18"/>
                <w:szCs w:val="18"/>
                <w:color w:val="0000FF"/>
              </w:rPr>
              <w:t>Properties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44</w:t>
            </w: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460" w:type="dxa"/>
            <w:vAlign w:val="bottom"/>
            <w:tcBorders>
              <w:bottom w:val="single" w:sz="8" w:color="CCEEFF"/>
            </w:tcBorders>
            <w:gridSpan w:val="16"/>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44</w:t>
            </w: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9160" w:type="dxa"/>
            <w:vAlign w:val="bottom"/>
            <w:gridSpan w:val="24"/>
          </w:tcPr>
          <w:p>
            <w:pPr>
              <w:ind w:left="200"/>
              <w:spacing w:after="0" w:line="189" w:lineRule="exact"/>
              <w:rPr>
                <w:sz w:val="20"/>
                <w:szCs w:val="20"/>
                <w:color w:val="auto"/>
              </w:rPr>
            </w:pPr>
            <w:r>
              <w:rPr>
                <w:rFonts w:ascii="Arial" w:cs="Arial" w:eastAsia="Arial" w:hAnsi="Arial"/>
                <w:sz w:val="18"/>
                <w:szCs w:val="18"/>
                <w:color w:val="0000FF"/>
              </w:rPr>
              <w:t>Mine Safety Disclosures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44</w:t>
            </w:r>
          </w:p>
        </w:tc>
      </w:tr>
      <w:tr>
        <w:trPr>
          <w:trHeight w:val="50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gridSpan w:val="9"/>
          </w:tcPr>
          <w:p>
            <w:pPr>
              <w:jc w:val="center"/>
              <w:ind w:right="3720"/>
              <w:spacing w:after="0"/>
              <w:rPr>
                <w:sz w:val="20"/>
                <w:szCs w:val="20"/>
                <w:color w:val="auto"/>
              </w:rPr>
            </w:pPr>
            <w:r>
              <w:rPr>
                <w:rFonts w:ascii="Arial" w:cs="Arial" w:eastAsia="Arial" w:hAnsi="Arial"/>
                <w:sz w:val="18"/>
                <w:szCs w:val="18"/>
                <w:b w:val="1"/>
                <w:bCs w:val="1"/>
                <w:color w:val="auto"/>
                <w:w w:val="99"/>
              </w:rPr>
              <w:t>PART II</w:t>
            </w:r>
          </w:p>
        </w:tc>
        <w:tc>
          <w:tcPr>
            <w:tcW w:w="1140" w:type="dxa"/>
            <w:vAlign w:val="bottom"/>
          </w:tcPr>
          <w:p>
            <w:pPr>
              <w:spacing w:after="0"/>
              <w:rPr>
                <w:sz w:val="24"/>
                <w:szCs w:val="24"/>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5.</w:t>
            </w:r>
          </w:p>
        </w:tc>
        <w:tc>
          <w:tcPr>
            <w:tcW w:w="200" w:type="dxa"/>
            <w:vAlign w:val="bottom"/>
            <w:shd w:val="clear" w:color="auto" w:fill="CCEEFF"/>
          </w:tcPr>
          <w:p>
            <w:pPr>
              <w:spacing w:after="0"/>
              <w:rPr>
                <w:sz w:val="18"/>
                <w:szCs w:val="18"/>
                <w:color w:val="auto"/>
              </w:rPr>
            </w:pPr>
          </w:p>
        </w:tc>
        <w:tc>
          <w:tcPr>
            <w:tcW w:w="89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45</w:t>
            </w:r>
          </w:p>
        </w:tc>
      </w:tr>
      <w:tr>
        <w:trPr>
          <w:trHeight w:val="189"/>
        </w:trPr>
        <w:tc>
          <w:tcPr>
            <w:tcW w:w="9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200" w:type="dxa"/>
            <w:vAlign w:val="bottom"/>
            <w:tcBorders>
              <w:top w:val="single" w:sz="8" w:color="CCEEFF"/>
            </w:tcBorders>
          </w:tcPr>
          <w:p>
            <w:pPr>
              <w:spacing w:after="0"/>
              <w:rPr>
                <w:sz w:val="16"/>
                <w:szCs w:val="16"/>
                <w:color w:val="auto"/>
              </w:rPr>
            </w:pPr>
          </w:p>
        </w:tc>
        <w:tc>
          <w:tcPr>
            <w:tcW w:w="8880" w:type="dxa"/>
            <w:vAlign w:val="bottom"/>
            <w:tcBorders>
              <w:top w:val="single" w:sz="8" w:color="0000FF"/>
            </w:tcBorders>
            <w:gridSpan w:val="22"/>
          </w:tcPr>
          <w:p>
            <w:pPr>
              <w:spacing w:after="0" w:line="189" w:lineRule="exact"/>
              <w:rPr>
                <w:sz w:val="20"/>
                <w:szCs w:val="20"/>
                <w:color w:val="auto"/>
              </w:rPr>
            </w:pPr>
            <w:r>
              <w:rPr>
                <w:rFonts w:ascii="Arial" w:cs="Arial" w:eastAsia="Arial" w:hAnsi="Arial"/>
                <w:sz w:val="18"/>
                <w:szCs w:val="18"/>
                <w:color w:val="0000FF"/>
              </w:rPr>
              <w:t>[Reserved]</w:t>
            </w:r>
          </w:p>
        </w:tc>
        <w:tc>
          <w:tcPr>
            <w:tcW w:w="8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9"/>
              </w:rPr>
              <w:t>47</w:t>
            </w: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7.</w:t>
            </w:r>
          </w:p>
        </w:tc>
        <w:tc>
          <w:tcPr>
            <w:tcW w:w="200" w:type="dxa"/>
            <w:vAlign w:val="bottom"/>
            <w:shd w:val="clear" w:color="auto" w:fill="CCEEFF"/>
          </w:tcPr>
          <w:p>
            <w:pPr>
              <w:spacing w:after="0"/>
              <w:rPr>
                <w:sz w:val="18"/>
                <w:szCs w:val="18"/>
                <w:color w:val="auto"/>
              </w:rPr>
            </w:pPr>
          </w:p>
        </w:tc>
        <w:tc>
          <w:tcPr>
            <w:tcW w:w="89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47</w:t>
            </w:r>
          </w:p>
        </w:tc>
      </w:tr>
      <w:tr>
        <w:trPr>
          <w:trHeight w:val="189"/>
        </w:trPr>
        <w:tc>
          <w:tcPr>
            <w:tcW w:w="9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b w:val="1"/>
                <w:bCs w:val="1"/>
                <w:color w:val="auto"/>
              </w:rPr>
              <w:t>Item 7A.</w:t>
            </w:r>
          </w:p>
        </w:tc>
        <w:tc>
          <w:tcPr>
            <w:tcW w:w="200" w:type="dxa"/>
            <w:vAlign w:val="bottom"/>
            <w:tcBorders>
              <w:top w:val="single" w:sz="8" w:color="CCEEFF"/>
            </w:tcBorders>
          </w:tcPr>
          <w:p>
            <w:pPr>
              <w:spacing w:after="0"/>
              <w:rPr>
                <w:sz w:val="16"/>
                <w:szCs w:val="16"/>
                <w:color w:val="auto"/>
              </w:rPr>
            </w:pPr>
          </w:p>
        </w:tc>
        <w:tc>
          <w:tcPr>
            <w:tcW w:w="7080" w:type="dxa"/>
            <w:vAlign w:val="bottom"/>
            <w:tcBorders>
              <w:top w:val="single" w:sz="8" w:color="0000FF"/>
            </w:tcBorders>
            <w:gridSpan w:val="19"/>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880" w:type="dxa"/>
            <w:vAlign w:val="bottom"/>
            <w:tcBorders>
              <w:top w:val="single" w:sz="8" w:color="CCEEFF"/>
            </w:tcBorders>
            <w:gridSpan w:val="4"/>
          </w:tcPr>
          <w:p>
            <w:pPr>
              <w:spacing w:after="0"/>
              <w:rPr>
                <w:sz w:val="16"/>
                <w:szCs w:val="16"/>
                <w:color w:val="auto"/>
              </w:rPr>
            </w:pPr>
          </w:p>
        </w:tc>
        <w:tc>
          <w:tcPr>
            <w:tcW w:w="11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9"/>
              </w:rPr>
              <w:t>57</w:t>
            </w: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8.</w:t>
            </w:r>
          </w:p>
        </w:tc>
        <w:tc>
          <w:tcPr>
            <w:tcW w:w="200" w:type="dxa"/>
            <w:vAlign w:val="bottom"/>
            <w:shd w:val="clear" w:color="auto" w:fill="CCEEFF"/>
          </w:tcPr>
          <w:p>
            <w:pPr>
              <w:spacing w:after="0"/>
              <w:rPr>
                <w:sz w:val="16"/>
                <w:szCs w:val="16"/>
                <w:color w:val="auto"/>
              </w:rPr>
            </w:pPr>
          </w:p>
        </w:tc>
        <w:tc>
          <w:tcPr>
            <w:tcW w:w="89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58</w:t>
            </w: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9.</w:t>
            </w:r>
          </w:p>
        </w:tc>
        <w:tc>
          <w:tcPr>
            <w:tcW w:w="200" w:type="dxa"/>
            <w:vAlign w:val="bottom"/>
          </w:tcPr>
          <w:p>
            <w:pPr>
              <w:spacing w:after="0"/>
              <w:rPr>
                <w:sz w:val="16"/>
                <w:szCs w:val="16"/>
                <w:color w:val="auto"/>
              </w:rPr>
            </w:pPr>
          </w:p>
        </w:tc>
        <w:tc>
          <w:tcPr>
            <w:tcW w:w="8960" w:type="dxa"/>
            <w:vAlign w:val="bottom"/>
            <w:gridSpan w:val="23"/>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89</w:t>
            </w: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9A.</w:t>
            </w:r>
          </w:p>
        </w:tc>
        <w:tc>
          <w:tcPr>
            <w:tcW w:w="2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6960" w:type="dxa"/>
            <w:vAlign w:val="bottom"/>
            <w:tcBorders>
              <w:bottom w:val="single" w:sz="8" w:color="CCEEFF"/>
            </w:tcBorders>
            <w:gridSpan w:val="13"/>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89</w:t>
            </w: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9B.</w:t>
            </w:r>
          </w:p>
        </w:tc>
        <w:tc>
          <w:tcPr>
            <w:tcW w:w="9160" w:type="dxa"/>
            <w:vAlign w:val="bottom"/>
            <w:gridSpan w:val="24"/>
          </w:tcPr>
          <w:p>
            <w:pPr>
              <w:ind w:left="200"/>
              <w:spacing w:after="0" w:line="189" w:lineRule="exact"/>
              <w:rPr>
                <w:sz w:val="20"/>
                <w:szCs w:val="20"/>
                <w:color w:val="auto"/>
              </w:rPr>
            </w:pPr>
            <w:r>
              <w:rPr>
                <w:rFonts w:ascii="Arial" w:cs="Arial" w:eastAsia="Arial" w:hAnsi="Arial"/>
                <w:sz w:val="18"/>
                <w:szCs w:val="18"/>
                <w:color w:val="0000FF"/>
              </w:rPr>
              <w:t>Other Information</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90</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9C.</w:t>
            </w:r>
          </w:p>
        </w:tc>
        <w:tc>
          <w:tcPr>
            <w:tcW w:w="200" w:type="dxa"/>
            <w:vAlign w:val="bottom"/>
            <w:shd w:val="clear" w:color="auto" w:fill="CCEEFF"/>
          </w:tcPr>
          <w:p>
            <w:pPr>
              <w:spacing w:after="0"/>
              <w:rPr>
                <w:sz w:val="18"/>
                <w:szCs w:val="18"/>
                <w:color w:val="auto"/>
              </w:rPr>
            </w:pPr>
          </w:p>
        </w:tc>
        <w:tc>
          <w:tcPr>
            <w:tcW w:w="89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90</w:t>
            </w:r>
          </w:p>
        </w:tc>
      </w:tr>
      <w:tr>
        <w:trPr>
          <w:trHeight w:val="486"/>
        </w:trPr>
        <w:tc>
          <w:tcPr>
            <w:tcW w:w="9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80" w:type="dxa"/>
            <w:vAlign w:val="bottom"/>
            <w:tcBorders>
              <w:top w:val="single" w:sz="8" w:color="0000FF"/>
            </w:tcBorders>
            <w:gridSpan w:val="3"/>
          </w:tcPr>
          <w:p>
            <w:pPr>
              <w:jc w:val="center"/>
              <w:ind w:right="160"/>
              <w:spacing w:after="0"/>
              <w:rPr>
                <w:sz w:val="20"/>
                <w:szCs w:val="20"/>
                <w:color w:val="auto"/>
              </w:rPr>
            </w:pPr>
            <w:r>
              <w:rPr>
                <w:rFonts w:ascii="Arial" w:cs="Arial" w:eastAsia="Arial" w:hAnsi="Arial"/>
                <w:sz w:val="18"/>
                <w:szCs w:val="18"/>
                <w:b w:val="1"/>
                <w:bCs w:val="1"/>
                <w:color w:val="auto"/>
                <w:w w:val="98"/>
              </w:rPr>
              <w:t>PART III</w:t>
            </w:r>
          </w:p>
        </w:tc>
        <w:tc>
          <w:tcPr>
            <w:tcW w:w="3560" w:type="dxa"/>
            <w:vAlign w:val="bottom"/>
            <w:tcBorders>
              <w:top w:val="single" w:sz="8" w:color="CCEEFF"/>
            </w:tcBorders>
            <w:gridSpan w:val="6"/>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10.</w:t>
            </w:r>
          </w:p>
        </w:tc>
        <w:tc>
          <w:tcPr>
            <w:tcW w:w="200" w:type="dxa"/>
            <w:vAlign w:val="bottom"/>
            <w:shd w:val="clear" w:color="auto" w:fill="CCEEFF"/>
          </w:tcPr>
          <w:p>
            <w:pPr>
              <w:spacing w:after="0"/>
              <w:rPr>
                <w:sz w:val="18"/>
                <w:szCs w:val="18"/>
                <w:color w:val="auto"/>
              </w:rPr>
            </w:pPr>
          </w:p>
        </w:tc>
        <w:tc>
          <w:tcPr>
            <w:tcW w:w="89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91</w:t>
            </w:r>
          </w:p>
        </w:tc>
      </w:tr>
      <w:tr>
        <w:trPr>
          <w:trHeight w:val="189"/>
        </w:trPr>
        <w:tc>
          <w:tcPr>
            <w:tcW w:w="9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b w:val="1"/>
                <w:bCs w:val="1"/>
                <w:color w:val="auto"/>
              </w:rPr>
              <w:t>Item 11.</w:t>
            </w:r>
          </w:p>
        </w:tc>
        <w:tc>
          <w:tcPr>
            <w:tcW w:w="200" w:type="dxa"/>
            <w:vAlign w:val="bottom"/>
            <w:tcBorders>
              <w:top w:val="single" w:sz="8" w:color="CCEEFF"/>
            </w:tcBorders>
          </w:tcPr>
          <w:p>
            <w:pPr>
              <w:spacing w:after="0"/>
              <w:rPr>
                <w:sz w:val="16"/>
                <w:szCs w:val="16"/>
                <w:color w:val="auto"/>
              </w:rPr>
            </w:pPr>
          </w:p>
        </w:tc>
        <w:tc>
          <w:tcPr>
            <w:tcW w:w="4500" w:type="dxa"/>
            <w:vAlign w:val="bottom"/>
            <w:tcBorders>
              <w:top w:val="single" w:sz="8" w:color="0000FF"/>
            </w:tcBorders>
            <w:gridSpan w:val="15"/>
          </w:tcPr>
          <w:p>
            <w:pPr>
              <w:spacing w:after="0" w:line="189" w:lineRule="exact"/>
              <w:rPr>
                <w:sz w:val="20"/>
                <w:szCs w:val="20"/>
                <w:color w:val="auto"/>
              </w:rPr>
            </w:pPr>
            <w:r>
              <w:rPr>
                <w:rFonts w:ascii="Arial" w:cs="Arial" w:eastAsia="Arial" w:hAnsi="Arial"/>
                <w:sz w:val="18"/>
                <w:szCs w:val="18"/>
                <w:color w:val="0000FF"/>
              </w:rPr>
              <w:t>Executive Compensation</w:t>
            </w:r>
          </w:p>
        </w:tc>
        <w:tc>
          <w:tcPr>
            <w:tcW w:w="4460" w:type="dxa"/>
            <w:vAlign w:val="bottom"/>
            <w:tcBorders>
              <w:top w:val="single" w:sz="8" w:color="CCEEFF"/>
            </w:tcBorders>
            <w:gridSpan w:val="8"/>
          </w:tcPr>
          <w:p>
            <w:pPr>
              <w:spacing w:after="0"/>
              <w:rPr>
                <w:sz w:val="16"/>
                <w:szCs w:val="16"/>
                <w:color w:val="auto"/>
              </w:rPr>
            </w:pPr>
          </w:p>
        </w:tc>
        <w:tc>
          <w:tcPr>
            <w:tcW w:w="11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9"/>
              </w:rPr>
              <w:t>91</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12.</w:t>
            </w:r>
          </w:p>
        </w:tc>
        <w:tc>
          <w:tcPr>
            <w:tcW w:w="200" w:type="dxa"/>
            <w:vAlign w:val="bottom"/>
            <w:tcBorders>
              <w:bottom w:val="single" w:sz="8" w:color="CCEEFF"/>
            </w:tcBorders>
            <w:shd w:val="clear" w:color="auto" w:fill="CCEEFF"/>
          </w:tcPr>
          <w:p>
            <w:pPr>
              <w:spacing w:after="0"/>
              <w:rPr>
                <w:sz w:val="18"/>
                <w:szCs w:val="18"/>
                <w:color w:val="auto"/>
              </w:rPr>
            </w:pPr>
          </w:p>
        </w:tc>
        <w:tc>
          <w:tcPr>
            <w:tcW w:w="8020" w:type="dxa"/>
            <w:vAlign w:val="bottom"/>
            <w:tcBorders>
              <w:bottom w:val="single" w:sz="8" w:color="0000FF"/>
            </w:tcBorders>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940" w:type="dxa"/>
            <w:vAlign w:val="bottom"/>
            <w:tcBorders>
              <w:bottom w:val="single" w:sz="8" w:color="CCEEFF"/>
            </w:tcBorders>
            <w:gridSpan w:val="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91</w:t>
            </w: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13.</w:t>
            </w:r>
          </w:p>
        </w:tc>
        <w:tc>
          <w:tcPr>
            <w:tcW w:w="9160" w:type="dxa"/>
            <w:vAlign w:val="bottom"/>
            <w:gridSpan w:val="24"/>
          </w:tcPr>
          <w:p>
            <w:pPr>
              <w:ind w:left="200"/>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91</w:t>
            </w: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14.</w:t>
            </w:r>
          </w:p>
        </w:tc>
        <w:tc>
          <w:tcPr>
            <w:tcW w:w="9160" w:type="dxa"/>
            <w:vAlign w:val="bottom"/>
            <w:gridSpan w:val="24"/>
            <w:shd w:val="clear" w:color="auto" w:fill="CCEEFF"/>
          </w:tcPr>
          <w:p>
            <w:pPr>
              <w:ind w:left="200"/>
              <w:spacing w:after="0" w:line="189" w:lineRule="exact"/>
              <w:rPr>
                <w:sz w:val="20"/>
                <w:szCs w:val="20"/>
                <w:color w:val="auto"/>
              </w:rPr>
            </w:pPr>
            <w:r>
              <w:rPr>
                <w:rFonts w:ascii="Arial" w:cs="Arial" w:eastAsia="Arial" w:hAnsi="Arial"/>
                <w:sz w:val="18"/>
                <w:szCs w:val="18"/>
                <w:color w:val="0000FF"/>
              </w:rPr>
              <w:t>Principal Accountant Fees and Services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91</w:t>
            </w:r>
          </w:p>
        </w:tc>
      </w:tr>
      <w:tr>
        <w:trPr>
          <w:trHeight w:val="486"/>
        </w:trPr>
        <w:tc>
          <w:tcPr>
            <w:tcW w:w="9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240" w:type="dxa"/>
            <w:vAlign w:val="bottom"/>
            <w:tcBorders>
              <w:top w:val="single" w:sz="8" w:color="CCEEFF"/>
            </w:tcBorders>
            <w:gridSpan w:val="9"/>
          </w:tcPr>
          <w:p>
            <w:pPr>
              <w:jc w:val="center"/>
              <w:ind w:right="3740"/>
              <w:spacing w:after="0"/>
              <w:rPr>
                <w:sz w:val="20"/>
                <w:szCs w:val="20"/>
                <w:color w:val="auto"/>
              </w:rPr>
            </w:pPr>
            <w:r>
              <w:rPr>
                <w:rFonts w:ascii="Arial" w:cs="Arial" w:eastAsia="Arial" w:hAnsi="Arial"/>
                <w:sz w:val="18"/>
                <w:szCs w:val="18"/>
                <w:b w:val="1"/>
                <w:bCs w:val="1"/>
                <w:color w:val="auto"/>
                <w:w w:val="98"/>
              </w:rPr>
              <w:t>PART IV</w:t>
            </w:r>
          </w:p>
        </w:tc>
        <w:tc>
          <w:tcPr>
            <w:tcW w:w="1140" w:type="dxa"/>
            <w:vAlign w:val="bottom"/>
            <w:tcBorders>
              <w:top w:val="single" w:sz="8" w:color="CCEEFF"/>
            </w:tcBorders>
          </w:tcPr>
          <w:p>
            <w:pPr>
              <w:spacing w:after="0"/>
              <w:rPr>
                <w:sz w:val="24"/>
                <w:szCs w:val="24"/>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15.</w:t>
            </w:r>
          </w:p>
        </w:tc>
        <w:tc>
          <w:tcPr>
            <w:tcW w:w="200" w:type="dxa"/>
            <w:vAlign w:val="bottom"/>
            <w:shd w:val="clear" w:color="auto" w:fill="CCEEFF"/>
          </w:tcPr>
          <w:p>
            <w:pPr>
              <w:spacing w:after="0"/>
              <w:rPr>
                <w:sz w:val="18"/>
                <w:szCs w:val="18"/>
                <w:color w:val="auto"/>
              </w:rPr>
            </w:pPr>
          </w:p>
        </w:tc>
        <w:tc>
          <w:tcPr>
            <w:tcW w:w="89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Exhibit and Financial Statement Schedules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92</w:t>
            </w:r>
          </w:p>
        </w:tc>
      </w:tr>
      <w:tr>
        <w:trPr>
          <w:trHeight w:val="189"/>
        </w:trPr>
        <w:tc>
          <w:tcPr>
            <w:tcW w:w="9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b w:val="1"/>
                <w:bCs w:val="1"/>
                <w:color w:val="auto"/>
              </w:rPr>
              <w:t>Item 16.</w:t>
            </w:r>
          </w:p>
        </w:tc>
        <w:tc>
          <w:tcPr>
            <w:tcW w:w="200" w:type="dxa"/>
            <w:vAlign w:val="bottom"/>
            <w:tcBorders>
              <w:top w:val="single" w:sz="8" w:color="CCEEFF"/>
            </w:tcBorders>
          </w:tcPr>
          <w:p>
            <w:pPr>
              <w:spacing w:after="0"/>
              <w:rPr>
                <w:sz w:val="16"/>
                <w:szCs w:val="16"/>
                <w:color w:val="auto"/>
              </w:rPr>
            </w:pPr>
          </w:p>
        </w:tc>
        <w:tc>
          <w:tcPr>
            <w:tcW w:w="3420" w:type="dxa"/>
            <w:vAlign w:val="bottom"/>
            <w:tcBorders>
              <w:top w:val="single" w:sz="8" w:color="0000FF"/>
            </w:tcBorders>
            <w:gridSpan w:val="13"/>
          </w:tcPr>
          <w:p>
            <w:pPr>
              <w:spacing w:after="0" w:line="189" w:lineRule="exact"/>
              <w:rPr>
                <w:sz w:val="20"/>
                <w:szCs w:val="20"/>
                <w:color w:val="auto"/>
              </w:rPr>
            </w:pPr>
            <w:r>
              <w:rPr>
                <w:rFonts w:ascii="Arial" w:cs="Arial" w:eastAsia="Arial" w:hAnsi="Arial"/>
                <w:sz w:val="18"/>
                <w:szCs w:val="18"/>
                <w:color w:val="0000FF"/>
              </w:rPr>
              <w:t>Form 10-K Summary</w:t>
            </w:r>
          </w:p>
        </w:tc>
        <w:tc>
          <w:tcPr>
            <w:tcW w:w="5540" w:type="dxa"/>
            <w:vAlign w:val="bottom"/>
            <w:tcBorders>
              <w:top w:val="single" w:sz="8" w:color="CCEEFF"/>
            </w:tcBorders>
            <w:gridSpan w:val="10"/>
          </w:tcPr>
          <w:p>
            <w:pPr>
              <w:spacing w:after="0"/>
              <w:rPr>
                <w:sz w:val="16"/>
                <w:szCs w:val="16"/>
                <w:color w:val="auto"/>
              </w:rPr>
            </w:pPr>
          </w:p>
        </w:tc>
        <w:tc>
          <w:tcPr>
            <w:tcW w:w="11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9"/>
              </w:rPr>
              <w:t>94</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9160" w:type="dxa"/>
            <w:vAlign w:val="bottom"/>
            <w:gridSpan w:val="24"/>
            <w:shd w:val="clear" w:color="auto" w:fill="CCEEFF"/>
          </w:tcPr>
          <w:p>
            <w:pPr>
              <w:ind w:left="200"/>
              <w:spacing w:after="0" w:line="189" w:lineRule="exact"/>
              <w:rPr>
                <w:sz w:val="20"/>
                <w:szCs w:val="20"/>
                <w:color w:val="auto"/>
              </w:rPr>
            </w:pPr>
            <w:r>
              <w:rPr>
                <w:rFonts w:ascii="Arial" w:cs="Arial" w:eastAsia="Arial" w:hAnsi="Arial"/>
                <w:sz w:val="18"/>
                <w:szCs w:val="18"/>
                <w:color w:val="0000FF"/>
              </w:rPr>
              <w:t>Signatures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95</w:t>
            </w: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77" w:lineRule="exact"/>
        <w:rPr>
          <w:sz w:val="20"/>
          <w:szCs w:val="20"/>
          <w:color w:val="auto"/>
        </w:rPr>
      </w:pPr>
    </w:p>
    <w:p>
      <w:pPr>
        <w:ind w:left="660" w:hanging="328"/>
        <w:spacing w:after="0" w:line="282"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revenue, cost of revenue and operating expenses and our ability to achieve and maintain future profitability;</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cash, cash equivalents and capital resources to meet our liquidity needs;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117" w:lineRule="exact"/>
        <w:rPr>
          <w:rFonts w:ascii="Arial" w:cs="Arial" w:eastAsia="Arial" w:hAnsi="Arial"/>
          <w:sz w:val="18"/>
          <w:szCs w:val="18"/>
          <w:i w:val="1"/>
          <w:iCs w:val="1"/>
          <w:color w:val="auto"/>
        </w:rPr>
      </w:pPr>
    </w:p>
    <w:p>
      <w:pPr>
        <w:ind w:left="660" w:hanging="328"/>
        <w:spacing w:after="0" w:line="282"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 including our expectations regarding future infrastructure investments as well as restructuring activities;</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the continued impact of network effects as we scale our platform;</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generate revenue from new Resale-as-a-Service (“RaaS”) offerings as sources of revenue;</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our key financial and operating metrics;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117" w:lineRule="exact"/>
        <w:rPr>
          <w:rFonts w:ascii="Arial" w:cs="Arial" w:eastAsia="Arial" w:hAnsi="Arial"/>
          <w:sz w:val="18"/>
          <w:szCs w:val="18"/>
          <w:i w:val="1"/>
          <w:iCs w:val="1"/>
          <w:color w:val="auto"/>
        </w:rPr>
      </w:pPr>
    </w:p>
    <w:p>
      <w:pPr>
        <w:ind w:left="660" w:hanging="328"/>
        <w:spacing w:after="0" w:line="282"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 including the effects of foreign currency exchange rate fluctuations, inflationary pressures, increased interest rates, changing consumer habits and general global economic uncertainty;</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applicable laws and regulations;</w:t>
      </w:r>
    </w:p>
    <w:p>
      <w:pPr>
        <w:spacing w:after="0" w:line="117" w:lineRule="exact"/>
        <w:rPr>
          <w:rFonts w:ascii="Arial" w:cs="Arial" w:eastAsia="Arial" w:hAnsi="Arial"/>
          <w:sz w:val="18"/>
          <w:szCs w:val="18"/>
          <w:i w:val="1"/>
          <w:iCs w:val="1"/>
          <w:color w:val="auto"/>
        </w:rPr>
      </w:pPr>
    </w:p>
    <w:p>
      <w:pPr>
        <w:jc w:val="both"/>
        <w:ind w:left="660" w:hanging="328"/>
        <w:spacing w:after="0" w:line="266"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uncertainties related to the ongoing global COVID-19 pandemic, including its varied social and macroeconomic consequences and recovery therefrom on United States and global economies, our business, results of operations, financial condition, demand for secondhand and resale items, sales cycles and buyer and seller retention;</w:t>
      </w:r>
    </w:p>
    <w:p>
      <w:pPr>
        <w:spacing w:after="0" w:line="6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remediate our material weakness in our internal control over financial reporting;</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and realize the benefits of our past or future strategic acquisitions or investments; and</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expenses associated with being a public company.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The outcome of the events described in these forward-looking statements is subject to risks, uncertainties and other factors described in the section titled “</w:t>
      </w:r>
      <w:r>
        <w:rPr>
          <w:rFonts w:ascii="Arial" w:cs="Arial" w:eastAsia="Arial" w:hAnsi="Arial"/>
          <w:sz w:val="18"/>
          <w:szCs w:val="18"/>
          <w:color w:val="auto"/>
        </w:rPr>
        <w:t>Risk Factors”</w:t>
      </w:r>
      <w:r>
        <w:rPr>
          <w:rFonts w:ascii="Arial" w:cs="Arial" w:eastAsia="Arial" w:hAnsi="Arial"/>
          <w:sz w:val="18"/>
          <w:szCs w:val="18"/>
          <w:i w:val="1"/>
          <w:iCs w:val="1"/>
          <w:color w:val="auto"/>
        </w:rPr>
        <w:t xml:space="preserve"> and elsewhere in this Annual Report on Form 10-K,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 and its consolidated subsidiaries.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based primarily on items processed, items sold and the capacity of our distribution centers.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thredUP operates one of the world’s largest online resale platforms for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February 2022.</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Our marketplaces enable buyers to browse and purchase resale items for primarily women’s and kids’ apparel, shoes and accessories across a wide range of price points. Buyers love shopping value, premium and luxury brands all in one place, at up to 90% off estimated retail prices.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accepted items available for resale.</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our core marketplace, some of the world’s leading brands and retailers are already taking advantage of our Resale-as-a-Service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2021, we acquired Remix Global AD (“Remix”), a fashion resale company headquartered in Sofia, Bulgaria, which further expands our reach to the European customer. With this acquisition, we added a complementary operational infrastructure and an experienced management team to enable our expansion into Europe. In addition, Remix’s product assortment extends our resale offering to include men’s items and items sourced from a variety of supply channels, such as wholesale supply.</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built a differentiated and defensible operating platform to enable resale at scale, combining:</w:t>
      </w:r>
    </w:p>
    <w:p>
      <w:pPr>
        <w:spacing w:after="0" w:line="95" w:lineRule="exact"/>
        <w:rPr>
          <w:sz w:val="20"/>
          <w:szCs w:val="20"/>
          <w:color w:val="auto"/>
        </w:rPr>
      </w:pPr>
    </w:p>
    <w:p>
      <w:pPr>
        <w:jc w:val="both"/>
        <w:ind w:left="66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Distributed Processing Infrastructure. </w:t>
      </w:r>
      <w:r>
        <w:rPr>
          <w:rFonts w:ascii="Arial" w:cs="Arial" w:eastAsia="Arial" w:hAnsi="Arial"/>
          <w:sz w:val="18"/>
          <w:szCs w:val="18"/>
          <w:color w:val="auto"/>
        </w:rPr>
        <w:t>Our infrastructure is purpose-built for “single SKU” logistics, meaning that virtually every</w:t>
      </w:r>
      <w:r>
        <w:rPr>
          <w:rFonts w:ascii="Arial" w:cs="Arial" w:eastAsia="Arial" w:hAnsi="Arial"/>
          <w:sz w:val="18"/>
          <w:szCs w:val="18"/>
          <w:b w:val="1"/>
          <w:bCs w:val="1"/>
          <w:color w:val="auto"/>
        </w:rPr>
        <w:t xml:space="preserve"> </w:t>
      </w:r>
      <w:r>
        <w:rPr>
          <w:rFonts w:ascii="Arial" w:cs="Arial" w:eastAsia="Arial" w:hAnsi="Arial"/>
          <w:sz w:val="18"/>
          <w:szCs w:val="18"/>
          <w:color w:val="auto"/>
        </w:rPr>
        <w:t>item processed is unique, came from or belongs to an individual seller and is individually tracked using its own stock keeping unit (“SKU”). As of December 31, 2022, we operated distribution centers that could collectively hold more than 7.3 million items in locations across the United States and Europe. Our operations are highly scalable, and we have the ability to process more than 100,000 unique SKUs per day across our existing distribution center footprint. We drive continuous operational efficiency through proprietary technology and ongoing automation of our infrastructure. Our existing United States-based distribution centers are located in Arizona, Georgia, Pennsylvania, and Texas. By locating our facilities in strategic locations across the country, we can be closer to our buyers and sellers, which allows us to reduce shipping times in transit, and lower our inbound and outbound shipping costs. Our European-based distribution center, which services nine countries in Central and Eastern Europe, is located in Sofia, Bulgaria.</w:t>
      </w:r>
    </w:p>
    <w:p>
      <w:pPr>
        <w:spacing w:after="0" w:line="7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Proprietary Software and Systems. </w:t>
      </w:r>
      <w:r>
        <w:rPr>
          <w:rFonts w:ascii="Arial" w:cs="Arial" w:eastAsia="Arial" w:hAnsi="Arial"/>
          <w:sz w:val="18"/>
          <w:szCs w:val="18"/>
          <w:color w:val="auto"/>
        </w:rPr>
        <w:t>Our facilities run on a suite of our custom-built applications designed for “single SKU”</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engineering team has implemented large-scale, innovative and patented automation for put-away, storage, picking and packing at scale. This automation results in reduced labor and fixed costs while increasing storage density and throughput capacity. Our proprietary software, systems and processes enable efficient quality assurance, item-attribution, sizing and photography.</w:t>
      </w:r>
    </w:p>
    <w:p>
      <w:pPr>
        <w:spacing w:after="0" w:line="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Expertise. </w:t>
      </w:r>
      <w:r>
        <w:rPr>
          <w:rFonts w:ascii="Arial" w:cs="Arial" w:eastAsia="Arial" w:hAnsi="Arial"/>
          <w:sz w:val="18"/>
          <w:szCs w:val="18"/>
          <w:color w:val="auto"/>
        </w:rPr>
        <w:t>We harness our robust, structured data set across our business to optimize economic decisions,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seller payouts, item acceptance, merchandising and sell-through. We also leverage data to power efficient customer acquisition and lifetime engagement, and to provide a personalized shopping experience.</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generate revenue primarily from items that are sold to buyers on our websites and mobile app and from integration and service fees charged in connection with our RaaS offerings.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revenue is comprised of consignment sales and direct product sales. With consignment sales, we recognize revenue net of seller payouts, and cost of revenue includes outbound shipping, outbound labor and packaging costs. With direct product sales, we recognize revenue on a gross basis, and cost of revenue mainly includes inventory cost, inbound shipping and inventory write-downs, as well as outbound shipping, outbound labor and packaging costs. Our buyers generally pay us upfront when they purchase an item.</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recognize revenue from our Remix platform primarily through direct product sales. We anticipate that over time revenue from the Remix platform will migrate to become primarily consignment sales as we introduce and expand the Clean Out Kit model that we pioneered in the United States market.</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mid-2021, we began structuring our RaaS offerings as sources of revenue. RaaS clients typically pay an upfront integration fee as well as ongoing service fees which are then recorded to consignment revenue. With RaaS, brands and retailers are leveraging our operating platform to deliver resale experiences to their customers across three main service modules: our Clean Out service, our cashout marketplace, and our full-service resale shops. This suite of offerings is called “Resale 360” and enables our RaaS clients to drive incremental revenue and access new customers while promoting a circular business model. As of December 31, 2022, we worked with 42 RaaS clients, including GAP, Hot Topic, Madewell, Reformation, Tommy Hilfiger, Torrid, and Walmart.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have methodically scaled operating capacity and revenue, while increasing gross profit and improving our operating performance.</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year ended December 31, 2022, our buyers placed 6.5 million Orders, up 22% as compared to the same period in 2021.</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have built a scaled and highly differentiated platform and managed marketplace, we face intense competition. Our competitors include other apparel retailers, particularly retailers at an off-price or fast-fashion price point,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these traditional retail competitors, resale players focused on niche or single categories, as well as technology-enabled marketplaces that may offer the same or similar goods and services that we offer. Competitors offering the same or similar goods or services include:</w:t>
      </w:r>
    </w:p>
    <w:p>
      <w:pPr>
        <w:spacing w:after="0" w:line="10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secondhand marketplaces, such as eBay Inc., Mercari, Inc., Poshmark, Inc., The RealReal, Inc., Vinted and Vestiaire Collective;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 online retailers, such as Amazon.com, Inc., Target Corporation, Kohl’s Corporation and Walmart Inc.;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off-price retailers, such as Burlington Stores, Inc., Ross Stores, Inc. and The TJX Companies, Inc.</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experience competition for consumer discretionary spending from other product and experiential categories. See the section titled “Risk Factors—Risks Relating To Our Business and Industry—The market in which we participate is competitive and rapidly changing, and if we do not compete effectively with established companies as well as new market entrants our business, results of operations and financial condition could be harmed.”</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compete primarily on the basis of buyer and seller experience, product quality and assortment, breadth of brand offering, convenience and price. We believe that we are able to compete effectively because we offer buyers a vast selection of high-quality, secondhand and resale items at compelling prices with a fun and easy to use interface. For sellers, we offer an easy, convenient, reliable and fast way to recycle and monetize or donate their secondhand items.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patents issued in the United States. These patents are intended to protect our proprietary inventions relevant to our business. We continually review our development efforts to assess the existence and patentability of new intellectual property. We intend to pursue additional patent protection to the extent we believe it would be beneficial and cost effective. In addition, our proprietary algorithm technologies, other than those incorporated into a patent application, are protected by trade secret laws.</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hold trademarks in the United States as well as in other jurisdictions. “THREDUP” and “Think Secondhand First” are our registered trademarks in the United States. We have additional registered trademarks in the United States and “THREDUP” is registered in certain other non-United States jurisdictions. We will pursue additional trademark registrations to the extent we believe they would be beneficial and cost-effective. Other trademarks and trade names referred to in this annual report are the property of their respective owners.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have registered domain names for websites that we use in our business, such as www.thredup.com and other variations.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a variety of United States federal and state laws as well as international laws that affect companies conducting business on the Internet and in the retail industry, many of which are still evolving and could be interpreted in ways that could harm our business. These laws and regulations include laws governing the processing of payments, consumer protection and other laws regarding unfair and deceptive trade practices. These laws and regulations could make internet advertising more expensive, require burdensome disclosure to consumers or visitors to our website and restrict our ability to use consumer information to improve targeted advertisements. Further, these laws and regulations are often complex, sometimes contradict other laws, and are frequently still evolving. Laws and regulations may be interpreted and enforced in different ways in various locations around the world, posing a significant challenge to our global business.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also subject to federal, state, and foreign laws and regulations regarding privacy and protection of consumer information. Our privacy policies describe our practices concerning the use, storage, transmission and disclosure of personal information, including buyer and seller data. Any failure by us to comply with our policies or privacy related laws and regulations could result in proceedings against us by governmental authorities or others, which could harm our business.</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jurisdictions in which we operate have enacted laws and regulations requiring notification to users when there is a security breach of personal data, or requiring the adoption of minimum information security standards that are often vaguely defined and difficult to practically implement. This growing focus on data privacy and regulation of e-commerce worldwide could impose additional compliance burdens and costs on us and could subject us to significant operational costs for internal compliance and risk to our business. Further, any failure by us to adequately protect the privacy and data of our sellers and buyers could result in a loss of confidence in our marketplaces, which could adversely affect our business.</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Apparel, shoes and accessories sold by us are also subject to regulation in the United States by governmental agencies, including the Federal Trade Commission and the Consumer Products Safety Commission. These regulations relate principally to product labeling, licensing requirements, flammability testing and product safety. We are also subject to environmental laws, rules and regulations. Similarly, apparel, shoes and accessories sold by us are also subject to import regulations in the United States concerning the use of wildlife products for commercial and non-commercial trade, including the United States Fish and Wildlife Service. We do not estimate any significant capital expenditures for environmental control matters either in the current fiscal year or in the near future.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2022, we had 2,416 employees and professional contractors, including 2,011 distribution center employees. To our knowledge, none of our employees is represented by a labor union or covered by a collective bargaining agreement. We have not experienced any work stoppages and we consider our relations with our employees to be good. We supplement our workforce with contractors and consultants in the United States and internationally, including Ukrainian information technology, or IT, specialists. These Ukrainian IT specialists, who provide services on our behalf, are registered as “private entrepreneurs” with the tax authorities of Ukraine and operate as independent contractors. While we do not anticipate a reduction in force due to conflict in Ukraine, we anticipate that at least some of our Ukrainian IT specialists may be unable to work while the conflict is unresolved.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human capital resources objective is to cultivate a high-performing team by recruiting, retaining, incentivizing and integrating our existing and new employees and professional contractors. Our culture is underpinned by our core values, including an unwavering commitment to learning, development, inclusion, diversity, equity and belonging. We believe our people are our greatest asset and are reimagining our employee experience to reflect that philosophy. We work diligently to attract the best talent from a diverse range of sources in order to meet the current and future demands of our business. The core objective of our compensation program is to provide a package that will attract, motivate and reward exceptional employees who must operate in a highly competitive and technologically challenging environment.</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a unique perspective is critical to solving complex problems and inspiring a new generation of consumers to think secondhand first. Overall, as of December 31, 2022, 66% of our workforce identifies as female and 72% of our workforce identifies as minority, including 58% as Black or Latinx. As of December 31, 2022, 60% of our senior leadership team, which includes executives, senior vice presidents, vice presidents, senior directors, directors and general managers of operations, identifies as female and 26% of our senior leadership team identifies as minority, including 3% as Black or Latinx.</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All full-time United States based employees are eligible to participate in our employee stock purchase plan, eight weeks paid sabbatical after three years and 401k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filings are available through our investor relations website after we file them with the Securities and Exchange Commission (the “SEC”): Annual Report on Form 10-K, Quarterly Reports on Form 10-Q and our Proxy Statement for our Annual Meeting of Stockholders. These filings are also available for download free of charge on our investor relations website. Our investor relations website is located at ir.thredup.com. The SEC also maintains an Internet website that contains reports, proxy statements and other information about issuers, like us, that file electronically with the SEC. The address of that website is www.sec.gov.</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our Twitter account (@thredup), our LinkedIn account (https://www.linkedin.com/company/thredup) and our Chief Executive Officer's LinkedIn account (https://www.linkedin.com/in/jamesgreinhart/), as means of disclosing material non-public information and for complying with our disclosure obligations under Regulation FD. Further corporate governance information, including our corporate governance guidelines, composition of our board and its committees, and Code of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were incorporated in 2009 under the name ThredUp Inc. as a Delaware corporation. Our principal executive offices are located at 969 Broadway, Suite 200, Oakland, CA 94607, and our telephone number is (415) 402-5202. Our website address is www.thredup.com. Information contained on, or that can be accessed through, our website does not constitute part of this Annual Report on Form 10-K.</w:t>
      </w:r>
    </w:p>
    <w:p>
      <w:pPr>
        <w:spacing w:after="0" w:line="2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w:t>
      </w:r>
      <w:r>
        <w:rPr>
          <w:rFonts w:ascii="Arial" w:cs="Arial" w:eastAsia="Arial" w:hAnsi="Arial"/>
          <w:sz w:val="18"/>
          <w:szCs w:val="18"/>
          <w:color w:val="auto"/>
        </w:rPr>
        <w:t>Management’s Discussion and Analysis of Financial Condition and Results of Operations</w:t>
      </w:r>
      <w:r>
        <w:rPr>
          <w:rFonts w:ascii="Arial" w:cs="Arial" w:eastAsia="Arial" w:hAnsi="Arial"/>
          <w:sz w:val="18"/>
          <w:szCs w:val="18"/>
          <w:i w:val="1"/>
          <w:iCs w:val="1"/>
          <w:color w:val="auto"/>
        </w:rPr>
        <w:t>” and our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Class A common stock could decline, and you could lose part or all of your investment.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titled “Risk Factors” and summarized below. We have various categories of risks, including risks relating to our business and industry, risks relating to information technology, intellectual property, data security and privacy, risks relating to legal, regulatory, accounting and tax matters, risks relating to our indebtedness and liquidity and risks relating to ownership of our Class A common stock,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as well as elsewhere in this Annual Report on Form 10-K. Additional risks, beyond those summarized below or discussed elsewhere in this Annual Report on Form 10-K, may apply to our business, activities or operations as currently conducted or as we may conduct them in the future or in the markets in which we operate or may in the future operate. These risks include, but are not limited to, the following:</w:t>
      </w:r>
    </w:p>
    <w:p>
      <w:pPr>
        <w:spacing w:after="0" w:line="10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continued growth depends on attracting new, and retaining existing, buyers.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generate a sufficient amount of high-quality and desirable secondhand items, our business, results of operations and financial condition could be harmed.</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including our costs and supply of secondhand items, is subject to risks associated with sourcing, itemizing, warehousing and shipping.</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losses and we anticipate increasing operating expenses in the future. We may not be able to achieve and maintain profitability.</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require additional capital to support business growth, and this capital might not be available or may be available only by diluting existing stockholders or on undesirable terms.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in an evolving industry, which makes it difficult to forecast our revenue, plan our expenses and evaluate our business and future prospects.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expand our distribution center operations, attract and retain personnel to efficiently and effectively manage the operations required to process, itemize, list, sell, pack and ship secondhand and resale items or identify and lease distribution centers in geographic regions that enable us to effectively scale our operations.</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global COVID-19 pandemic has had and may continue to have an adverse impact on our business, results of operations and financial condition.</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Compromises of our data security could cause us to incur unexpected expenses and may materially harm our reputation and results of operations.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advertising activity and strategic RaaS offerings may fail to efficiently drive growth in buyers and sellers, which could harm our business, results of operations and financial condition.</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volatile or may decline regardless of our operating performance, and you could lose all or part of your investment.</w:t>
      </w:r>
    </w:p>
    <w:p>
      <w:pPr>
        <w:spacing w:after="0" w:line="8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dual-class structure of our common stock has the effect of concentrating voting control with those stockholders who held our capital stock prior to our Initial Public Offering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right="3720" w:firstLine="3549"/>
        <w:spacing w:after="0" w:line="411" w:lineRule="auto"/>
        <w:rPr>
          <w:sz w:val="20"/>
          <w:szCs w:val="20"/>
          <w:color w:val="auto"/>
        </w:rPr>
      </w:pPr>
      <w:r>
        <w:rPr>
          <w:rFonts w:ascii="Arial" w:cs="Arial" w:eastAsia="Arial" w:hAnsi="Arial"/>
          <w:sz w:val="17"/>
          <w:szCs w:val="17"/>
          <w:b w:val="1"/>
          <w:bCs w:val="1"/>
          <w:color w:val="auto"/>
        </w:rPr>
        <w:t xml:space="preserve">Risks Relating to Our Business and Industry </w:t>
      </w:r>
      <w:r>
        <w:rPr>
          <w:rFonts w:ascii="Arial" w:cs="Arial" w:eastAsia="Arial" w:hAnsi="Arial"/>
          <w:sz w:val="17"/>
          <w:szCs w:val="17"/>
          <w:b w:val="1"/>
          <w:bCs w:val="1"/>
          <w:i w:val="1"/>
          <w:iCs w:val="1"/>
          <w:color w:val="auto"/>
        </w:rPr>
        <w:t>Our continued growth depends on attracting new, and retaining existing, buyers.</w:t>
      </w:r>
    </w:p>
    <w:p>
      <w:pPr>
        <w:spacing w:after="0" w:line="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7"/>
          <w:szCs w:val="17"/>
          <w:color w:val="auto"/>
        </w:rPr>
        <w:t>To expand our buyer base, we must appeal to and attract buyers who have historically purchased only new retail items or who used other means to purchase secondhand items, such as traditional brick-and-mortar thrift stores or the websites of other secondary marketplaces. We reach new buyers through paid search, social media, influencers, television and digital advertising, other paid marketing, press coverage, our RaaS offerings, referral programs, organic word of mouth and other methods of discovery, such as converting sellers to buyers. We expect to continue investing heavily in these and other marketing channels in the future and cannot be certain that these efforts will enable us to attract and retain more buyers, result in increased purchase frequency or order sizes from our buyers or be cost-effective. Our ability to attract and retain buyers also depends on our ability to offer a broad selection of desirable and high-quality secondhand and resale items on our marketplaces, the reliability of our shipping and delivery estimates, our ability to consistently provide high-quality customer experiences, our ability to promote and position our brand and marketplace and the success of our marketing efforts. Our investments in marketing may not effectively reach potential buyers and existing buyers, potential buyers or existing buyers may decide not to buy through us or the spend of buyers that purchase from us may not yield the intended return on investment, any of which could negatively affect our results of operations. Moreover, consumer preferences may change, and buyers may not purchase through our marketplaces as frequently or spend as much with us as historically has been the case. As a result, the revenue generated from buyer transactions in the future may not be as high as the revenue generated from transactions historically. Incidentally, an inability to attract and retain buyers could harm our ability to attract and retain sellers, who may decide to resell their items through alternative platforms or marketplaces. Consequently, failure to attract new buyers and to retain existing buyers could harm our business, results of operations and financial condition.</w:t>
      </w:r>
    </w:p>
    <w:p>
      <w:pPr>
        <w:spacing w:after="0" w:line="292"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If we fail to generate a sufficient amount of high-quality and desirable secondhand items, our business, results of operations and financial condition could be harmed.</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depends on our ability to cost-effectively attract high-quality secondhand items by attracting new sellers and retaining existing sellers, such that they choose thredUP to list their items. Numerous factors, however, may impede our ability to attract new sellers and retain existing sellers with high-quality secondhand items.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marketplaces, our RaaS offerings, referral programs, organic word-of-mouth and other methods of discovery, such as mentions in the press. We cannot be certain that these efforts will result in more supply of high-quality and desirable secondhand items or sellers or that these efforts will be cost-effective. Our ability to attract new and recurring high-quality and desirable secondhand items from new sellers and existing sellers depends on other factors, such as our ability to enhance and improve our marketplaces, our ability to process the items sent to us by sellers in a timely manner, sellers’ perceptions of whether payouts they are receiving are adequate and timely compensation for their items and the perceived quality of the items sold and purchased on our marketplaces. If we are unable to meet seller standards and drive repeat supply, our existing sellers may not choose to send us secondhand items for resale to the same extent, in terms of quality, value or volume, in the future. Further, failure to generate sufficient high-quality secondhand items and attract new sellers and retain existing sellers could harm our business, results of operations and financial condition. For instance, if our sellers send lower quality or less desirable secondhand items that we are unable to resell in our marketplaces, then we will incur expense to sort and process such lower quality secondhand items and detract resources from processing re-sellable secondhand items. Additionally, if sellers substantially increase the initial price of their items that we list on our marketplaces and subsequently reclaim these items if they do not sell within the listing window, our business could be harmed because these activities may negatively affect sell-through rates and gross margin.</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sourcing high-quality secondhand items by attracting new sellers and retaining existing sellers, our European operations acquire secondhand items from professional supplier companies as well as previously returned items from other retail apparel businesses. We are subject to the risks of the broader retail environment, such as fluctuations in price and availability in procuring secondhand and returned items through these supply channels. Further, the European suppliers we work with may increase their prices, which may negatively affect the cost efficiency for our European operations to source supply in this manner. Such potential risks and constraints on the supply of items to sell on our Remix platform could lead to our business, results of operations and financial condition being harmed.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Our business, including our costs and supply of secondhand items, is subject to risks associated with sourcing, itemizing, warehousing and shipping.</w:t>
      </w:r>
    </w:p>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Nearly all of the secondhand items we offer through our marketplaces are initially sourced from sellers who are individuals. As a result, we may be subject to periodic fluctuations in the number, brands and quality of secondhand items sold through our marketplaces. Our results of operations could be negatively impacted by these fluctuations. In addition, as we expand into new categories of secondhand items, our payments to our sellers may rise relative to our existing categories, which could adversely affect our results of operations.</w:t>
      </w:r>
    </w:p>
    <w:p>
      <w:pPr>
        <w:spacing w:after="0" w:line="2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can make no assurance that secondhand items we receive from sellers will be of sufficient quality or free from damage, or that such secondhand items will not be damaged during shipping, while in one of our distribution centers or when shipped to buyers. While we conduct inspections of secondhand items sent by sellers for resale and inspect secondhand items returned by buyers, we cannot control items while they are out of our possession or prevent all damage while in our distribution centers. For example, we have in the past and may in the future experience contamination, such as mold, bacteria, insects and other pests, in the secondhand items shipped to us by our sellers, which may cause contamination of the secondhand items in our distribution centers or while shipping to buyers. If we are unable to detect and quarantine such contaminants at the time such secondhand items are initially received in our distribution centers, some or all of the secondhand items in such facilities could be contaminated. We may incur additional expenses and our reputation could be harmed if the secondhand items we offer are damaged or contain contaminants.</w:t>
      </w:r>
    </w:p>
    <w:p>
      <w:pPr>
        <w:spacing w:after="0" w:line="298" w:lineRule="exact"/>
        <w:rPr>
          <w:sz w:val="20"/>
          <w:szCs w:val="20"/>
          <w:color w:val="auto"/>
        </w:rPr>
      </w:pPr>
    </w:p>
    <w:p>
      <w:pPr>
        <w:ind w:left="180" w:firstLine="324"/>
        <w:spacing w:after="0" w:line="287"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continue to be adversely affected by economic downturns and other macroeconomic conditions or trends.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and results of operations are subject to global economic conditions and their impact on consumer discretionary spending, particularly in the retail market. Some of the factors that may negatively influence consumer spending on retail items include economic downturns, high levels of unemployment, high consumer debt levels, reductions in net worth, declines in asset values, home foreclosures and reductions in home values, fluctuating interest rates and credit availability, inflation, fluctuating fuel and other energy costs, fluctuating commodity prices and general uncertainty regarding the overall future political and economic environment. Economic conditions in particular regions may also be affected by natural disasters, such as earthquakes, hurricanes and wildfires; unforeseen public health crises, such as pandemics and epidemics, including the COVID-19 pandemic, political crises, such as Russia’s invasion of Ukraine, terrorist attacks, war and other incidents of political instability or other catastrophic events, whether occurring in the United States or internationally.</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Traditionally, consumer purchases of new retail items have declined during periods of economic uncertainty, when disposable income is reduced or when there is a reduction in consumer confidence. This has also resulted in increases in inventory levels which can lead to increased price competition and depressed margins. Such economic uncertainty and decrease in the rate of retail purchases in the primary market may slow the rate at which individuals choose to supply their secondhand items to us, which could result in a decrease of items available in our marketplaces, and may also slow the rate at which individuals choose to buy secondhand items and their value on our marketplaces, including through a relative increase in purchases in the primary market compared with the resale market. For instance, from the beginning of the COVID-19 pandemic and throughout 2022, we experienced an increase in the supply of Clean Out Kits with secondhand items from sellers. Additionally, at the onset of the COVID-19 pandemic, we experienced a reduction in operations productivity at our distribution centers as we were unable to process Clean Out Kits at our normal rate. The presence or absence of government stimulus funding programs has had and may continue to have an impact on consumer discretionary spending and, consequently, purchases through our marketplaces. Further, we cannot guarantee that buyers will continue to buy at current rates if the economy worsens. Adverse economic changes could reduce consumer confidence, and thereby negatively affect our results of operations.</w:t>
      </w:r>
    </w:p>
    <w:p>
      <w:pPr>
        <w:spacing w:after="0" w:line="296" w:lineRule="exact"/>
        <w:rPr>
          <w:sz w:val="20"/>
          <w:szCs w:val="20"/>
          <w:color w:val="auto"/>
        </w:rPr>
      </w:pPr>
    </w:p>
    <w:p>
      <w:pPr>
        <w:jc w:val="both"/>
        <w:ind w:left="180" w:firstLine="324"/>
        <w:spacing w:after="0" w:line="268" w:lineRule="auto"/>
        <w:rPr>
          <w:sz w:val="20"/>
          <w:szCs w:val="20"/>
          <w:color w:val="auto"/>
        </w:rPr>
      </w:pPr>
      <w:r>
        <w:rPr>
          <w:rFonts w:ascii="Arial" w:cs="Arial" w:eastAsia="Arial" w:hAnsi="Arial"/>
          <w:sz w:val="18"/>
          <w:szCs w:val="18"/>
          <w:b w:val="1"/>
          <w:bCs w:val="1"/>
          <w:i w:val="1"/>
          <w:iCs w:val="1"/>
          <w:color w:val="auto"/>
        </w:rPr>
        <w:t>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markets for secondhand and resale items are highly competitive. We compete with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traditional retail competitors, resale players focused on niche or single categories, as well as technology-enabled marketplaces that may offer the same or similar goods and services that we offer. We believe our ability to compete depends on many factors, many of which are beyond our control, including:</w:t>
      </w:r>
    </w:p>
    <w:p>
      <w:pPr>
        <w:spacing w:after="0" w:line="97" w:lineRule="exact"/>
        <w:rPr>
          <w:sz w:val="20"/>
          <w:szCs w:val="20"/>
          <w:color w:val="auto"/>
        </w:rPr>
      </w:pPr>
    </w:p>
    <w:p>
      <w:pPr>
        <w:ind w:left="5520" w:right="1940" w:hanging="5188"/>
        <w:spacing w:after="0" w:line="762" w:lineRule="auto"/>
        <w:tabs>
          <w:tab w:leader="none" w:pos="6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and retaining buyers and sellers and increasing the volume of secondhand items they buy and sell;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developing our data science and automation capabilities;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favorable brand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delivering our marketplaces to buyers and sellers;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identifying and delivering authentic, high-quality secondhand items;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and increasing the amount, diversity and quality of brands and secondhand items that we offer;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the means through which we acquire and offer secondhand items for resale;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at which secondhand items accepted onto our marketplaces are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inventories held by primary sellers and related fluctuations in promotional activities and merchandise discounting;</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speed and cost at which we can process and make available secondhand items and deliver purchased secondhand items to our buyers;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ease with which our buyers and sellers can supply, purchase and return secondhand items.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our market evolves and we begin to compete with new market entrants, we expect competition to intensify in the future. Established companies may not only develop their own platforms and competing lines of business, but also acquire or establish cooperative relationships with our current competitors or provide meaningful incentives to third parties to favor their offerings over our marketplaces.</w:t>
      </w:r>
    </w:p>
    <w:p>
      <w:pPr>
        <w:spacing w:after="0" w:line="2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Many of our existing competitors have, and some of our potential competitors or potential alliances among competitors could have, substantial competitive advantages such as greater brand name recognition and longer operating histories, larger fulfillment infrastructures, greater technical capabilities, faster shipping times, lower-cost shipping, broader supply, established relationships with a larger existing buyer and/or seller base, superior or more desirable secondhand items for sale or resale, greater customer service resources, greater financial, marketing, institutional and other resources than we do, greater resources to make acquisitions, lower labor and development costs, larger and more mature intellectual property portfolios, and substantially greater financial, technical and other resources than we do. Such competitors with greater financial and operating resources may be able to respond more quickly and effectively than we can to new or changing opportunities, technologies, standards or customer requirements and derive greater revenue and profits from their existing buyer bases, adopt more aggressive pricing policies to build larger buyer or seller bases, or respond more quickly than we can to new or emerging technologies and changes in consumer shopping behavior.</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Potential buyers may also prefer to purchase retail items from larger online or brick-and-mortar competitors that they currently shop from, rather than a newer marketplace, regardless of offerings. These larger competitors often have broader supply and market focus and will therefore not be as susceptible to downturns in a particular market. If such competitors have excess inventory and choose to discount their merchandise or increase promotional activities, potential buyers could increase their relative purchases from such competitors.</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we are unsuccessful in establishing or maintaining our relationships with third parties, or if they partner with our competitors and devote greater resources to implement and support the platforms or retail items of our competitors, our ability to compete in the marketplace, or to grow our revenue, could be impaired, and our results of operations may suffer. Even if these partnerships and any future partnerships we undertake are successful, we cannot assure you that these relationships will result in increased buying and selling through our marketplaces or increased revenue.</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Conditions in our market could also change rapidly and significantly as a result of technological advancements, partnering by our competitors or continuing market consolidation or strategic changes we or our competitors make in response to the COVID-19 pandemic, and it is uncertain how our market will evolve. These competitive pressures in our market or our failure to compete effectively may result in price reductions, fewer buyers and sellers, reduced revenue, gross profit, and gross margins, increased net losses and loss of market share. Any failure to meet and address these factors could harm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experienced, and may continue to experience, rapid growth in certain recent periods, which has placed, and may continue to place, significant demands on our management and our operational and financial resources. Additionally, our organizational structure is becoming more complex as we scale our operational, financial and management controls as well as our reporting systems and procedures.</w:t>
      </w:r>
    </w:p>
    <w:p>
      <w:pPr>
        <w:spacing w:after="0" w:line="2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manage growth in our operations and the growth in the number of buyers and sellers on our platform, we will need to continue to grow and improve our operational, financial and management controls and our reporting systems and procedures. We will need to maintain or increase the automation of our distribution centers and continue to improve how we apply data science to our operations. Our expansion has placed, and our expected future growth will continue to place, a significant strain on our management, marketing, operations, administrative, financial, customer support, engineering and other resources. If we fail to manage our anticipated growth and change in a manner that preserves the key aspects of our corporate culture, our employee morale, productivity and retention could suffer, which could negatively affect our brand and reputation and harm our ability to attract new buyers and sellers and to grow our business. In addition, future growth, such as the potential expansion of our operations internationally or expansion into new categories of offerings, either organically or through acquisitions, would require significant capital expenditures, which could adversely affect our results of operations, and the allocation of valuable management resources to grow and change in these areas.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revenue was $288.4 million, $251.8 million and $186.0 million for the years ended December 31, 2022, 2021, and 2020, respectively, representing annual growth of 15% and 35%, respectively. In future periods, we may not be able to sustain or increase revenue growth rates consistent with recent history, or at all. Our revenue growth has been and may continue to be affected by the COVID-19 pandemic. We believe our success and revenue growth depends on a number of factors, including, but not limited to, our ability to:</w:t>
      </w:r>
    </w:p>
    <w:p>
      <w:pPr>
        <w:spacing w:after="0" w:line="96" w:lineRule="exact"/>
        <w:rPr>
          <w:sz w:val="20"/>
          <w:szCs w:val="20"/>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new and existing buyers and sellers and grow our supply of high-quality secondhand items for resale through our marketplaces;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scale our revenue and achieve the operating efficiencies necessary to achieve and maintain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buyer and seller awareness of our 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 and respond to changing buyer and seller preferences;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and improve our business processes in response to changing business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process Clean Out Kits from sellers on a timely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expand and further automate our distribution center operations and information systems;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 and respond to macroeconomic changes generally, including changes in the markets for both new and secondhand retail items;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national retailers and brands and traditional brick-and-mortar thrift stores;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high-quality service and buyer and seller satisfaction;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retain talented employees and professional contractors at all levels of our business;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breaches and other factors that could affect our physical and digital infrastructure;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fulfill and deliver Orders in a timely manner and in accordance with customer expectations, which may change over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 high level of customer service and satisfaction;</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 to changing conditions in our industry and related to the COVID-19 pandemic and measures implemented to manage its spread;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 with regulations applicable to our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288"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We have a history of losses and we anticipate increasing operating expenses in the future. We may not be able to achieve and maintain profitability.</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experienced net losses of $92.3 million, $63.2 million, and $47.9 million in the years ended December 31, 2022, 2021, and 2020, respectively. We expect to continue to incur net losses and we may not achieve or maintain profitability in the future. We believe there is a significant market opportunity for our business, and we intend to invest aggressively to capitalize on this opportunity. Because the market for secondhand items is evolving, particularly the online resale of secondhand items, it is difficult for us to predict our future results of operations or the limits of our market opportunity. We expect our operating expenses to significantly increase as we expand our operations and infrastructure, make significant investments in our marketing initiatives, develop and introduce new technologies and automation and hire additional personnel. Additionally, during periods of increased investment in growth, we expect our operating expenses related to inbound processing, operations and technology could increase as a percentage of revenue. These efforts may be more costly than we expect and may not result in revenue growth or increased efficiency. In addition, as we grow and comply with rules and regulations of being a public company, we will incur significant legal, accounting and other expenses. If our revenue does not increase to offset these expected increases in our operating expenses, we will not be profitable in future periods.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market price of our Class A common stock to decline.</w:t>
      </w:r>
    </w:p>
    <w:p>
      <w:pPr>
        <w:spacing w:after="0" w:line="294"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We have a limited operating history in an evolving industry, which makes it difficult to forecast our revenue, plan our expenses and evaluate our business and future prospects.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limited operating history in a rapidly evolving industry that may not develop in a manner favorable to our business. Our marketplaces represent a substantial departure from the traditional thrift store market for secondhand items. While our business has grown rapidly, and much of that growth has occurred in recent periods, the resale market for secondhand items may not continue to develop in a manner that we expect or that otherwise would be favorable to our business. As a result of our limited operating history, ongoing changes in our new and evolving industry,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Class A common stock price to decline.</w:t>
      </w:r>
    </w:p>
    <w:p>
      <w:pPr>
        <w:spacing w:after="0" w:line="297"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6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quarterly results of operations have in the past and may in the future fluctuate from quarter to quarter as a result of a number of factors, many of which are outside of our control and may be difficult to predict, including, but not limited to:</w:t>
      </w:r>
    </w:p>
    <w:p>
      <w:pPr>
        <w:spacing w:after="0" w:line="9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supply and demand for secondhand items;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levels or quality of secondhand items on our marketplaces;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capacity as we expand our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engaging existing buyers and sellers and attracting new buyers and sellers;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the expectations of sellers that we will process their Clean Out Kits in a timely manner;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our operating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partnerships, RaaS relationships, retail offerings and referral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reported disruptions or defects in our online marketplace, such as actual or perceived privacy or data security breaches;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and market conditions, particularly those affecting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inventories held by primary sellers and related fluctuations in promotional activities and merchandise discounting;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effectively manage our international operations;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market volatility and economic downturns, including those caused by outbreaks of disease, such as the COVID-19 pandemic, on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and regulatory compliance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new employees and professional contractors added;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contractors or consultants;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pressure as a result of competition, economic conditions, shipment delays or otherwise, including as a result of the effects of the COVID-19 pandemic;</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talent, technologies, intellectual property or businesses, including potentially significant amortization costs and possible write-downs;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health crises, including the COVID-19 pandemic; and</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throughout the world, including the inflation and interest rate environment, military conflicts, including Russia’s invasion of Ukraine, and geopolitical uncertainty and instability.</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expectations or those of analysts that cover us or investors with respect to revenue or other key metrics for a particular period. If we fail to meet or exceed such expectations for these or any other reasons, the market price of our Class A common stock could decline, and we could face costly lawsuits, including securities class action suits.</w:t>
      </w:r>
    </w:p>
    <w:p>
      <w:pPr>
        <w:spacing w:after="0" w:line="18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We may not be able to continue to improve our distribution center operations, attract and retain personnel to efficiently and effectively manage the operations required to process, itemize, list, sell, pack and ship secondhand and resale items or identify and lease distribution centers in geographic regions that enable us to effectively scale our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lease facilities to store and accommodate the logistics infrastructure required to process, itemize, list, sell, pack and ship the secondhand and resale items we sell through our marketplaces and related channels of distribution, including our RaaS offerings. To grow our business, we must continue to improve our distribution center operations, proprietary software and systems, and personnel in the geographic regions that have the resources necessary to effectively operate our business. The operation of our business is complex and requires the coordination of multiple functions that are highly dependent on numerous employees and personnel. Each item that we offer through our marketplaces is unique and requires multiple touch points, including inspection, evaluation, photography, pricing, application of a unique SKU, and fulfillment. This process is complex and we have in the past, and may continue to have more Clean Out Kits from sellers than we can timely process. Further, the market for employees is competitive and is highly dependent on geographic location. We have and could in the future be required to raise wages or introduce other compensation incentives to remain competitive, possibly without increasing productivity or sales, for example due to inflation, any of which could increase our costs and harm our results of operations. If we fail to effectively locate, hire and retain such personnel, our operations could be negatively impacted, which could harm our business, results of operations and financial condition.</w:t>
      </w:r>
    </w:p>
    <w:p>
      <w:pPr>
        <w:spacing w:after="0" w:line="21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the success of our business depends on our ability to maintain our current distribution centers and, in the future, secure additional distribution centers that meet our business needs and are also in geographic locations with access to a large, qualified talent pool. We have distribution centers across four strategic U.S. locations: Arizona, Georgia, Pennsylvania and Texas. Space in well-positioned geographic locations is becoming increasingly scarce, and where it is available, the lease terms offered by landlords are increasingly competitive, particularly in geographic locations with access to the large, qualified talent pools required for us to run our logistics infrastructure. Incentives currently offered by local, state and federal entities to offset operating expenses may be reduced or become unavailable. Companies who have more financial resources and negotiating leverage than us may be more attractive tenants and, as a result, may outbid us for the facilities we seek. Due to the competitive nature of the real estate market in the locations where we currently operate, we may be unable to renew our existing leases or renew them on satisfactory terms. Failure to identify and secure adequate new distribution centers in optimal geographic locations in the future or maintain our current distribution centers could harm our business, results of operations and financial condition.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realize expected savings or benefits from restructuring activities.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entered into restructuring activities and may enter into additional restructuring initiatives in the future to improve our operations, respond to changes in business conditions and markets and to streamline certain key functions to reduce costs. We may not realize expected savings or benefits from restructuring activities, incur additional restructuring charges and experience loss of key personnel, disruptions in our operations, and difficulties in the timely delivery of products. These factors could negatively impact our business, results of operations and financial condition.</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If we are unable to successfully leverage technology to automate and drive efficiencies in our operations, our business, results of operations and financial condition could be harmed.</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continuing to build automation, machine learning and other capabilities to drive efficiencies in our distribution center operations. As we continue to enhance automation and add capabilities, our operations may become increasingly complex. While we expect these technologies to improve productivity in many of our merchandising operations, including processing, itemizing, listing and selling, any flaws, bugs or failures of such technologies could cause interruptions in and delays to our operations, which may harm our business. We are increasing our investment in technology, software and systems to support these efforts, but such investments may not increase productivity, maintain or improve the experience for buyers and sellers or result in more efficient operations. While we have created our own proprietary technology to operate our business, we also rely on technology from third parties. For example, to run our inbound operations, we leverage third-party machine learning software that analyzes data that we use in our proprietary algorithms for determining the optimal list price. We have also integrated third-party software to help operate our automated carousels and conveyors in our distribution centers. If these technologies do not increase our operational efficiency in accordance with our expectations, third parties change the terms and conditions that govern their relationships with us, or if competition increases for the technology and services provided by third parties, our business may be harmed. If we are no longer able to rely on such third parties, we would be required to either seek licenses to technologies or services from other third parties and redesign aspects of business and operations to function with such technologies or services or develop such technologies ourselves, either of which would result in increased costs and could result in operational delays until equivalent technologies can be licensed or developed and integrated into our business and operations. In addition, if we are unable to enhance automation to our operations, we may be unable to reduce the costs of processing supply and fulfilling orders, which could cause delays in buyers receiving their purchases and sellers receiving their payouts. As a result, our reputation and our relationships with our buyers and sellers could be harmed, which could harm our business, results of operations and financial condition.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National retailers and brands set their own retail prices and promotional discounts on new items, which could adversely affect our value proposition to buyers and harm our business, results of operations and financial condition.</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National retailers and brands set pricing for their own new retail items, which can include promotional discounts. Promotional pricing by these parties may adversely affect the relative value of secondhand items offered for resale with us, and, in turn, our revenue, results of operations and financial condition. In order to attract buyers to our marketplaces, the prices for the secondhand and resale items sold through our marketplaces may need to be lowered in order to compete with pricing strategies employed by national retailers and brands for their own new retail items, which could negatively affect revenue growth, results of operations and financial condition. We have experienced a reduction in our revenue in the past due to reductions and fluctuations in the price of new retail items sold by national retailers and brands, and we anticipate similar reductions and fluctuations could occur in the future, such as due to a decrease in the price of new retail items in light of economic downturns, including in response to pandemics, such as the COVID-19 pandemic, macroeconomic uncertainty, inflation or other geopolitical instability. These pricing changes and promotional discounts could, as a result, adversely affect our business, results of operations and financial condition.</w:t>
      </w:r>
    </w:p>
    <w:p>
      <w:pPr>
        <w:spacing w:after="0" w:line="297"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The global COVID-19 pandemic has had and may continue to have an adverse impact on our business, results of operations and financial condition.</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the World Health Organization declared COVID-19 a global pandemic and this contagious disease outbreak has continued to spread. The related public health measures, including orders to shelter-in-place, travel restrictions, mandated business closures and vaccination mandates, have adversely affected work forces, organizations, customers, economies and financial markets globally, leading to increased market volatility. The fear associated with pandemics such as COVID-19 and the reactions of governments around the world in response to such pandemics, which include regulating the flow of labor and products and impeding the travel of individuals, have and may continue to impact our ability to conduct normal business operations, which could adversely affect our results of operations and liquidity. For example, in 2021, due to shelter-in-place orders and mandatory business closures, for a period of time, we were required to limit operations at our distribution centers, resulting in a delay in our ability to process our Clean Out Kits. Additionally, we were required to implement enhanced safety and cleaning measures, resulting in increased costs and reduced profitability.</w:t>
      </w:r>
    </w:p>
    <w:p>
      <w:pPr>
        <w:spacing w:after="0" w:line="2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Federal, state and local COVID-19 regulations may continue to evolve and we cannot predict what policies we may determine to, or be required to, implement in the future, or the effect thereof on our business, including whether the imposition of certain policies could cause us to result in attrition and impede our ability to recruit and retain our workforce.</w:t>
      </w:r>
    </w:p>
    <w:p>
      <w:pPr>
        <w:spacing w:after="0" w:line="2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Disruptions to our business operations have included and could include personnel absences, temporary closures of our distribution centers, further or ongoing reduced capacity at our distribution centers, delays in processing Clean Out Kits shipped by sellers to us, delays in our shipment of items purchased by our buyers, a slow-down in our ability to hire if we are unable to interview candidates in person, decreased foot traffic at and/or closure of our and our RaaS clients’ physical retail locations, disruptions in internet connections and a decrease or volatile patterns in spending on retail in general. For instance, decreased processing capacity at our distribution centers during the onset of the COVID-19 pandemic resulted in fewer items being listed as available for sale, which adversely impacted our revenue growth. If a critical number of our employees become too ill to work or are unable to work due to personal reasons related to the effects of COVID-19, our ability to process merchandise through our distribution centers could be significantly slowed or halted. Our third-party vendors and partners have also experienced and may continue to experience disruptions to their business operations, which in turn affects us. Further, developing various responses to the challenges caused by COVID-19 and its effects has and may continue to divert the attention of our management team.</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continued scope and duration of the COVID-19 pandemic (including any new strains or variants of the virus), whether additional actions may be taken to contain the virus, the impact on our buyers, sellers and RaaS clients, the speed and extent to which markets fully recover from the disruptions caused by the COVID-19 pandemic, and the impact of these factors on our business, will depend on future developments that are highly uncertain and cannot be predicted with precision. In addition, to the extent COVID-19 adversely affects our operations and global economic conditions more generally, it may heighten other risks disclosed in this report.</w:t>
      </w:r>
    </w:p>
    <w:p>
      <w:pPr>
        <w:spacing w:after="0" w:line="20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Public health concerns, such as COVID-19, have resulted and could continue to result in social, economic and labor instability in the localities in which we or our vendors, buyers and sellers reside. Any of these uncertainties and actions we take to mitigate the effects of COVID-19 and uncertainties related to COVID-19 could harm our business, results of operations and financial condition.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We use data science to predict buyer and seller preferences, and if we do not accurately predict evolving preferences of our buyers and sellers it could harm our business, results of operations and financial condition.</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is in large part dependent upon our ability to anticipate and identify trends in the market for secondhand items in a timely manner and to obtain a supply of secondhand items that addresses those trends by attracting and retaining sellers who send in high-quality secondhand items. We use data science to predict buyer and seller preferences, which we in turn use to ensure our buyers are looking at secondhand items that they are interested in purchasing on our marketplaces. There can be no assurance that our data science will accurately anticipate buyer or seller preferences and, if our predictions are inaccurate, we will not be able to optimize our buyers’ and sellers’ experience on our marketplaces. Lead times relating to these changing preferences may make it difficult for us to respond rapidly to new or changing trends. We have begun to expand our offerings beyond our core marketplace and to expand our RaaS offerings and the impact on our business from these new offerings and RaaS offerings is not clear as it is difficult to accurately predict buyer and seller preferences. To the extent we do not accurately predict the evolving preferences of our buyers and sellers, it could harm our business, results of operations and financial condition.</w:t>
      </w:r>
    </w:p>
    <w:p>
      <w:pPr>
        <w:spacing w:after="0" w:line="297"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We may experience damage or destruction to our distribution centers in which we store all of the secondhand and resale items we offer through our marketplaces, which may harm our business, results of operations and financial condition.</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store the majority of the secondhand items we offer through our marketplaces in our current distribution centers in Arizona, Georgia, Pennsylvania and Texas. Our distribution centers, as well as our headquarters, are located in areas that have a history of natural disasters, including severe weather events, rendering our distribution centers vulnerable to damage. Any large-scale damage to or catastrophic loss of secondhand and resale items stored in one of our distribution centers, due to natural disasters or man-made disasters such as arson, theft or otherwise would result in liability to our sellers for the expected payout commission liability for the lost items, reduction in the value of our inventory and a significant disruption to our business.</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given the nature of the unique selection of secondhand and resale items we offer on our marketplaces, our ability to restore such secondhand items on our marketplaces would take time and would result in a limitation and delay of available supply for buyers, which would negatively impact our revenue and results of operations. Further, natural disasters, such as earthquakes, hurricanes, tornadoes, fires, floods and other adverse weather and climate conditions; unforeseen public health crises, such as pandemics and epidemics; political crises, such as Russia’s invasion of Ukraine, terrorist attacks, war and other political instability; or other catastrophic events, whether occurring in the United States or internationally, could disrupt our operations in any of our offices and distribution centers or the operations of one or more of our third-party providers or vendors.</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while we carry insurance for the secondhand and resale items in our distribution centers, the number of carriers which provide for such insurance has declined, which has resulted in increased premiums and deductibles. The insurance we do carry may not continue to be available on commercially reasonable terms and, in any event, may not be adequate to cover all possible losses that our business could suffer. In the event that we suffer a catastrophic loss of any or all of our distribution centers and the secondhand items in such facilities, our liabilities may exceed the maximum insurance coverage amount, which would harm our business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any interruptions in shipping could harm our business, results of operations and financial condition.</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rely on both national and regional vendors for our shipping of purchases to buyers and the shipping of supplied secondhand items by sellers. If we are not able to negotiate acceptable pricing and other terms with these vendors or they experience performance problems or other difficulties, it could negatively impact our business and results of operations and negatively affect the experiences of our buyers and sellers, which could affect the degree to which they continue to buy and supply secondhand items on our marketplaces. For instance, our current shipping arrangement with FedEx Corporation (“FedEx”) includes volume based pricing incentives and discounts. If we fall below the volume threshold under our arrangement with FedEx, either due to a decrease in outbound shipments from our distribution centers, or because we meet our shipping needs with other carriers aside from FedEx, then we would no longer benefit from the FedEx discount, thereby leading to an increase in our shipping costs. In addition, our ability to receive inbound secondhand items efficiently and ship secondhand items to buyers may be negatively affected by inclement weather, fire, flood, power loss, earthquakes, labor disputes, or acts of war or terrorism. Disruption to delivery services due to inclement weather could result in delays that could adversely affect our reputation, business and results of operations. If our secondhand items are not delivered in a timely fashion or are damaged or lost during the supply or the delivery process, our buyers or sellers could become dissatisfied and cease using our marketplaces, which could adversely affect our business and results of operations. Furthermore, the current volatility in the global oil markets has resulted in higher fuel prices, which many shipping companies have passed on to their customers by way of increased fuel surcharges. We have recently experienced increased shipping costs as a result, and these costs may continue to increase in the future. In May 2022, partly as a result of rising costs, we announced a price increase in standard shipping fees for our customers. In the future, however, we may not be able to pass such increases on to our customers.</w:t>
      </w:r>
    </w:p>
    <w:p>
      <w:pPr>
        <w:spacing w:after="0" w:line="294"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Our advertising activity and strategic RaaS offerings may fail to efficiently drive growth in buyers and sellers, which could harm our business, results of operations and financial condition.</w:t>
      </w:r>
    </w:p>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growth and potential profitability will depend in large part upon the effectiveness and efficiency of our advertising, promotion, public relations and marketing programs as well as our strategic RaaS offerings, and we are investing heavily in these activities. Our advertising activities may not yield increased revenue and the efficacy of these activities will depend on a number of factors, including our ability to:</w:t>
      </w:r>
    </w:p>
    <w:p>
      <w:pPr>
        <w:spacing w:after="0" w:line="9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effective creative message and media mix for advertising, marketing and promotional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 the right markets, media and specific media vehicles in which to advertise;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spending in each market, media and specific media vehicle;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manage marketing costs, including creative and media expenses, to maintain acceptable buyer and seller acquisition costs.</w:t>
      </w:r>
    </w:p>
    <w:p>
      <w:pPr>
        <w:spacing w:after="0" w:line="1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closely monitor the effectiveness of our advertising campaigns and changes in the advertising market, and adjust or re-allocate our advertising spend across channels, customer segments and geographic markets in real-time to optimize the effectiveness of these activities. For instance, we have previously experienced, and may experience in the future, variability in the number of customers we are able to reach in our email marketing campaigns. We expect to increase advertising spend in future periods to continue driving our growth. We have previously experienced, and may experience in the future, increases in the pricing of one or more of our marketing and advertising channels. These pricing increases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results of operations.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or result in increased revenue. Even if our marketing and advertising expenses result in increased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buyer and seller base could be adversely affected, our brand could suffer and our business, results of operations and financial condition could be harmed.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invested and expect to continue to invest significant time and resources into our RaaS offerings and our RaaS clients include national retail stores, premium fashion brands, fashion-focused e-commerce sites and marketplaces for the buying and selling of secondhand items. We maintain a robust and varied set of RaaS offerings including provision of our Clean Out Kits at our RaaS clients’ retail stores, our cash out marketplace offering, white-label resale shops, the resale of worn retail items provided to us by our RaaS clients and cross-listing our products on our RaaS clients’ websites. To grow our business and build out our marketplaces, we anticipate that we will continue to depend on relationships with third parties. Identifying RaaS clients, and negotiating, documenting and maintaining relationships with them, requires significant time and resources. Further, our competitors may be effective in providing incentives to third parties to favor their offerings over our marketplaces, mobile application or in-store offerings.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There is significant uncertainty around the future profitability of our RaaS offerings and whether they will result in an increased number of new and repeat buyers, an increased number of new and repeat sellers selling high-quality secondhand items, increased awareness of our brand and an additional source of revenue. Further, if the retail industry suffers in general, there may be fewer customers visiting our RaaS clients’ retail stores, our RaaS clients may discontinue their white-label resale shops in an effort to cut back newer partnerships, and therefore our kit distribution offering for gift cards to our clients’ stores could be less desirable. Additionally, our RaaS clients could go out of business or declare bankruptcy. If our RaaS offerings are not profitable and do not result in us acquiring a high-quality supply of secondhand items from our RaaS clients and/or their customers, who become our sellers, and reaching additional buyers, our business, results of operations and financial condition could be harmed.</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results of operations.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customers. The revenue growth and potential profitability of our business depend on demand for our platform and our ability to hire and retain personnel, including employees and international contractors. Current or future economic uncertainties or downturns could adversely affect our business and results of operations. Weak or volatile economic conditions in the global economy or individual markets, including due to the COVID-19 pandemic, changes in gross domestic product growth, financial and credit market fluctuations, inflation, labor shortages, political turmoil, natural catastrophes, warfare and terrorist attacks on the United States and in the European region or elsewhere, and other events outside of our control could cause customers and prospective customers to reduce spending, and demand for our offerings may decline. Additionally, economic downturns could result in our RaaS relationships terminating or limiting their arrangements with us as retailers focus on general cost reductions in the face of macroeconomic uncertainty. Furthermore, weak economic conditions may make it more difficult to collect on outstanding accounts receivable and may increase our expenses. If our customers reduce their spending on our products, or prospective customers delay spending on our products, as a result of a weak economy, this could adversely affect our business and financial results.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particular, given our investment in our software development capabilities in Ukraine, political turmoil, warfare, or terrorist attacks in Ukraine could negatively affect our business. Political and military events in Ukraine, including the 2022 Russian invasion of Ukraine, as well as ongoing tensions and intermittent warfare between Ukraine and Russia since the 2014 Russian annexation of Crimea, challenging relations between the United States and its allies, and Russia, and sanctions by the United States and the EU against Russia may also have an adverse impact on our ability to grow our business and negatively affect our results of operations. We cannot predict the timing, strength, or duration of any economic slowdown, instability or recovery, generally or within any particular industry. If the conflict in the Ukraine persists and our Ukrainian personnel are unable to work as a result, our results of our operations and our financial condition could be adversely affected.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We rely on third parties to drive traffic to our website and mobile application, and these providers may change their algorithms or pricing in ways that could negatively impact our business, results of operations, financial condition and prospects.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in part on digital advertising, including search engine marketing and social media advertising, to promote awareness of our marketplaces, grow our business, attract new buyers and sellers and retain existing buyers and sellers. In particular, we rely on search engines, such as Google, the major mobile application stores and social media platforms such as Facebook and Instagram as important marketing channels. In addition to purchasing traditional advertising space on search engines and social media platforms, we also partner with influencers who promote their buying and selling of secondhand and resale items through our marketplaces to their followers. Search engine companies, social media platforms or mobile application stores that we advertise our marketplaces through may determine that we are not in compliance with their guidelines and penalize us as a result. If search engines or social media platforms change their algorithms, terms of service, display or the featuring of search results, determine we are out of compliance with their terms of service or if competition increases for advertisements, we may be unable to cost-effectively add buyers and sellers to our website and mobile application.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influencer partners will be interested in buying and selling through our marketplaces, or if our influencer partners will maintain their follower numbers throughout the time of our partnerships. Our relationships with our marketing vendors are not long-term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succeed in promoting and maintaining our brand and reputation, which could harm our business and future growth.</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maintaining our brand and reputation is critical to driving buyer and seller engagement. An important goal of our brand promotion strategy is establishing trust with our buyers and sellers.</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buyers, maintaining our brand and reputation requires that we foster trust through timely and reliable fulfillment of orders, responsive and effective customer service, a broad supply of desirable brands and secondhand items and an exciting and user-friendly interface on our marketplaces and through our RaaS relationships. For sellers, maintaining our brand and reputation requires that we balance desirable supply for our buyers with a convenient seller service that is consistent and timely. It also requires that we foster trust through consistent and transparent acceptance, payout and return processes and policies for secondhand items supplied to us, payouts that our sellers perceive to be adequate compensation for their items and responsive and effective customer service. For example, in 2022, we implemented a fee for sellers to order a Clean Out Kit and made changes to our return policy, which have led and could potentially in the future lead to an increase in customer service requests from both our buyers and our sellers. If we fail to provide buyers or sellers with the service and experience they expect, or we experience buyer or seller dissatisfaction or negative publicity about our marketplace services, merchandise, delivery times or customer support, whether justified or not, the value of our brand and reputation could be harmed, which could harm our business and future growth. Further, any unanticipated increase in customer service inquiries from our customers has in the past, and may in the future, result in a slower response time from our customer service team and lead to an increase in customer complaints. For example, disruption to processing of Clean Out Kits and distribution caused by a backlog of Clean Out Kits has led and could potentially lead to additional delays in our ability to process secondhand items sellers send in for resale, resulting in delays in sellers receiving payouts and less refreshing of our supply on our marketplaces, and could harm our brand and reputation.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harm our results of operations and financial condition.</w:t>
      </w:r>
    </w:p>
    <w:p>
      <w:pPr>
        <w:spacing w:after="0" w:line="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in the past and may in the future seek to acquire businesses, products or technologies that we believe could complement our business,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Any acquisition, investment or business relationship may result in unforeseen operating difficulties and expenditures. In addition, we have limited experience in acquiring other businesses. In addition, our due diligence could fail to identify all of the problems, liabilities or other shortcomings or challenges of an acquired business, product or technology, including issues related to intellectual property, regulatory compliance practices, revenue recognition or other accounting practices or issues with employees, partners or customers. If we acquire additional businesses, we may not be able to integrate successfully the acquired personnel, operations, systems and technologies, or effectively manage the combined business following the acquisition. Specifically, we may not successfully evaluate or utilize the acquired business, operations, systems, technology or personnel, or accurately forecast the financial impact of an acquisition transaction, including accounting charges.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Moreover, the anticipated benefits of any acquisition, investment or business relationship may not be realized or we may be exposed to unknown risks or liabilities.</w:t>
      </w:r>
    </w:p>
    <w:p>
      <w:pPr>
        <w:spacing w:after="0" w:line="20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not be able to find and identify desirable acquisition targets or we may not be successful in entering into an agreement with any one target. Acquisitions could also result in significant payments of cash by us, dilutive issuances of equity or equity-linked securities or the incurrence of debt, each of which could adversely affect our financial condition and the market price of our Class A common stock. In addition, the incurrence of debt would result in increased fixed obligations and could also include covenants or other restrictions that would impede our ability to manage our operations. In addition, if an acquired business fails to meet our expectations, our business, results of operations and financial condition may suffer.</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previously sought, and may in the future seek, to make strategic investments in companies developing products or technologies that we believe could complement our business, enhance our technical capabilities, or otherwise offer growth opportunities. These investments may be in early stage private companies for restricted stock. Such investments are generally illiquid and may never generate value. Further, the companies in which we invest may not succeed, and our investments could lose all of their value.</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failure to address these risks or other issues encountered in connection with acquisitions and investments could cause us to fail to realize the anticipated benefits of these acquisitions or investments, cause us to incur unanticipated liabilities and harm our business generally.</w:t>
      </w:r>
    </w:p>
    <w:p>
      <w:pPr>
        <w:spacing w:after="0" w:line="288"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Certain estimates of our buyer metrics included in this Annual Report on Form 10-K may prove to be inaccurate, and any real or perceived inaccuracies may harm our reputation and negatively affect our business.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Certain metrics presented in this Annual Report on Form 10-K, including the numbers of Active Buyers, are based on internal company data, assumptions and estimates and we use these numbers in managing our business. We believe that these figures are reasonable estimates, and we take measures to improve their accuracy, such as eliminating known fictitious or duplicate accounts. There are, however, inherent challenges in gathering accurate data across large online and mobile populations. For example, there may be individuals who have multiple email accounts in violation of our terms of service, despite our efforts to detect and enforce our terms of service. If individuals have multiple unique email addresses that are undetected, then we could be overestimating the number of Active Buyers. We regularly review and may adjust our processes for calculating these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Greater than expected item return rates have, and in the future could have, a negative impact on our revenue.</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allow buyers to return certain purchases from our website and mobile application under our return policy. We record a reserve for returns against proceeds to us from the resale of items on our marketplaces in calculating revenue. We estimate this reserve based on historical return trends. The introduction of new products in the retail market, changes in consumer confidence or other competitive and general economic conditions have caused, and may in the future cause, actual returns to exceed our reserve for return rates. Further, we believe that on a macro level across e-commerce platforms, without the ability to try on items such as clothing and shoes, customers are increasingly accustomed to over-purchasing with the intent to return items, which has caused an increase in returns and may in the future continue to increase our amount of return rates. In addition, from time to time, the secondhand items sold through our marketplaces are damaged in transit which can increase return rates, increase our costs and harm our brand. Returned items may also be damaged in transit as part of the return process, which can significantly impact the price we are able to charge for such items on our marketplaces. Any significant increase in returns that exceeds our reserves could adversely affect our revenue and results of operations.</w:t>
      </w:r>
    </w:p>
    <w:p>
      <w:pPr>
        <w:spacing w:after="0" w:line="297"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As an online secondhand marketplace, our success depends on the accuracy of our item acceptance process. Failure by us to identify counterfeit or stolen retail items could adversely affect our reputation and expose us to liability for the resale of counterfeit or stolen items.</w:t>
      </w:r>
    </w:p>
    <w:p>
      <w:pPr>
        <w:spacing w:after="0" w:line="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may depend on our ability to accurately and cost-effectively determine whether a secondhand item offered for resale is an authentic product. From time to time we receive secondhand items through our sellers which may be counterfeit or which we are otherwise unable to authenticate. While we have invested in our authentication processes and we reject any items we cannot authenticate, we cannot be certain that we will identify every counterfeit item that is supplied to us. As the sophistication of counterfeiters increases, it may be increasingly difficult to authenticate products and/or identify counterfeit products. While we refund the cost of an item to a buyer if the buyer questions its authenticity and returns the item, the resale of any counterfeit items may nonetheless damage our reputation as a trusted marketplace for secondhand items, which may impact our ability to attract and maintain repeat buyers and sellers. We may also be subject to allegations that an item we sold is not authentic despite our efforts to inspect such item and/or our general authentication practices. Such controversy could negatively impact our reputation and brand and harm our business and results of operations.</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we may fail to prevent sellers from supplying stolen items. Government regulators and law enforcement officials may allege that our services violate, or aid and abet violations of certain laws, including laws restricting or prohibiting the transferability and, by extension, the resale, of stolen items. Our terms include a representation that the seller has the necessary right and title to the secondhand items they may resell, and otherwise prohibit the listing of stolen or otherwise illegal products. If these terms prove inadequate to comply with applicable laws, we may be required to spend substantial resources to take additional protective measures which could negatively impact our operations. Any costs incurred as a result of potential liability relating to the alleged or actual resale of stolen items could harm our business. In addition, negative publicity relating to the actual or perceived listing or resale of stolen items using our services could damage our reputation and make our buyers and sellers reluctant to use our services. To the extent any of this occurs, it could harm our business or damage our reputation and we could face liability for such unlawful activities. Despite measures taken by us to detect stolen items, to cooperate fully with law enforcement, and to respond to inquiries regarding potentially stolen items, any resulting claims or liabilities could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Intellectual Property, Data Security and Privacy</w:t>
      </w:r>
    </w:p>
    <w:p>
      <w:pPr>
        <w:spacing w:after="0" w:line="117"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Compromises of our data security could cause us to incur unexpected expenses and may materially harm our reputation and results of operations.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ordinary course of our business, we collect, process and store certain personal information and other data relating to individuals, such as our buyers, sellers and employees. We also maintain other information, such as our trade secrets and confidential business information and certain confidential information of third parties, that is sensitive and that we seek to protect. We rely substantially on commercially available systems, software, tools and monitoring to provide security for our processing, transmission and storage of personal information and other confidential information. We or our vendors have been in the past and could be in the future the subject of hacking, social engineering, phishing, ransomware or other attacks. Due to these or other causes, we or our vendors have in the past and may in the future suffer a data breach or other security incident. These incidents have allowed, and may in the future continue to allow, hackers or other unauthorized parties to gain access to personal information or other data, source code,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and increasing costs associated with the detection and prevention of security breaches and other security-related incidents. We may incur additional costs in the event of a security breach or other security-related incident.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harm the perception of our security measures, damage our reputation, cause some participants to decrease or stop their use of our marketplaces and subject us to litigation, government action, increased transaction fees, regulatory fines or penalties or other additional costs and liabilities that could adversely affect our business, results of operations and financial condition.</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With many of our employees and contractors now working remotely, and as our vendors and other business partners have also moved to permanent or hybrid remote work, we and our vendors may be more vulnerable to cyberattacks. We are taking steps to monitor and enhance the security of our systems, information technology infrastructure, networks, and data, including with respect to remote access to systems and data. However, the increased scale of remote work may require additional personnel and resources, which nevertheless cannot be guaranteed to fully safeguard all systems, information technology infrastructure, networks and data upon which we rely.</w:t>
      </w:r>
    </w:p>
    <w:p>
      <w:pPr>
        <w:spacing w:after="0" w:line="3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Further, due to political uncertainty and military actions associated with Russia’s invasion of Ukraine, we and our vendors and service providers are vulnerable to heightened risks of cybersecurity incidents and security and privacy breaches from or affiliated with nation-state actors.</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harm our business, results of operations, financial condition and reputation.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80" w:firstLine="324"/>
        <w:spacing w:after="0" w:line="262" w:lineRule="auto"/>
        <w:rPr>
          <w:sz w:val="20"/>
          <w:szCs w:val="20"/>
          <w:color w:val="auto"/>
        </w:rPr>
      </w:pPr>
      <w:r>
        <w:rPr>
          <w:rFonts w:ascii="Arial" w:cs="Arial" w:eastAsia="Arial" w:hAnsi="Arial"/>
          <w:sz w:val="18"/>
          <w:szCs w:val="18"/>
          <w:b w:val="1"/>
          <w:bCs w:val="1"/>
          <w:i w:val="1"/>
          <w:iCs w:val="1"/>
          <w:color w:val="auto"/>
        </w:rPr>
        <w:t>Our use and other processing of personal information and other data is subject to laws and regulations relating to privacy, data protection and information security. Changes in such laws or regulations, or any actual or perceived failure by us to comply with such laws and regulations, our privacy policies and/or contractual obligations, could adversely affect our business, results of operations and financial condition.</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collect, maintain and otherwise process significant amounts of personal information and other data relating to our buyers, sellers, clients and employees. Numerous state, federal and international laws, rules and regulations govern the collection, use and protection of personal information and other types of data we collect, use, disclose and otherwise process. Such requirements are constantly evolving, and we expect that there will continue to be new proposed requirements relating to privacy, data protection and information security in the United States and other jurisdictions, or changes in the interpretation of existing privacy requirements. For example, the California Consumer Privacy Act (the “CCPA”) took effect on January 1, 2020 and broadly defines personal information, imposes stringent consumer data protection requirements, gives California residents expanded privacy rights, provides for civil penalties for violations and introduces a private right of action for data breaches. Additionally, on November 3, 2020, Proposition 24 was approved in California which creates a new privacy law, the California Privacy Rights Act (the “CPRA”). The CPRA creates additional obligations relating to processing and safeguarding personal information that took effect on January 1, 2023 (with certain provisions having retroactive effect to January 1, 2022). The CPRA’s implementing regulations have not yet been finalized, but enforcement is scheduled to begin July 1, 2023. The California Attorney General may independently bring administrative actions for civil penalties of $2,500 per violation, or up to $7,500 per violation if intentional. We will continue to monitor developments related to the CPRA and anticipate additional costs and expenses associated with CPRA compliance. Additionally, the CCPA has prompted other states, including Virginia, Colorado, Connecticut and Utah to propose and enact similar laws and regulations relating to privacy. For example, in March 2021, Virginia enacted the Virginia Consumer Data Protection Act (the “CDPA”), which became effective January 1, 2023, and on June 8, 2021, Colorado enacted the Colorado Privacy Act (the “CPA”), which takes effect on July 1, 2023. The CDPA and CPA share similarities with the CCPA, the CPRA, and legislation proposed and enacted in other states. Aspects of these state privacy laws, and their interpretation, remain unclear, and we cannot yet fully predict the impact of these laws or regulations on our business or operations.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as our operations expand internationally, including in connection with the Remix Acquisition, we may become subject to additional laws and regulations relating to privacy and data protection. Regulatory authorities in the European Economic Area, United Kingdom and Switzerland, for example, traditionally have imposed stricter obligations under laws and regulations relating to privacy and data protection. For example, in May 2018, the European Union’s regulation governing data practices and privacy in these jurisdictions called the General Data Protection Regulation (“GDPR”), became effective. The GDPR requires companies to meet stringent requirements regarding the handling of personal data of individuals in the relevant jurisdictions. The GDPR provides for substantial penalties for non-compliance, which may result in monetary penalties of up to 20 million Euros or 4% of a company’s worldwide turnover, whichever is greater. Aspects of data protection laws and regulations in Europe, including those relating to cross-border data transfer and the use of cookies, are evolving rapidly and remain subject to substantial uncertainty. Additionally, many other international jurisdictions have laws, regulations, or other requirements relating to privacy, data protection, information security, and localized storage of data, and new countries and territories are adopting such legislation or other obligations with increasing frequency. There is no harmonized approach to these laws and regulations globally. Consequently, international expansion, including in connection with the Remix Acquisition, increases our risk of non-compliance with applicable foreign data protection laws and regulations.</w:t>
      </w:r>
    </w:p>
    <w:p>
      <w:pPr>
        <w:spacing w:after="0" w:line="21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Future requirements, or changes in the interpretation of existing requirements, relating to privacy, data protection and information security may require us to implement, enhance or modify privacy and security policies, provide certain types of notices, grant certain rights to individuals, inform individuals of security breaches, and, in some cases, obtain individuals’ consent to use personal data for certain purposes. These requirements may be inconsistent from one jurisdiction to another, subject to differing interpretations and may be interpreted to conflict with our practices. We cannot yet fully determine the impact that such future requirements may have on our business or operations. Additionally, we are subject to the terms of our privacy policies and notices and may be bound by contractual requirements applicable to our collection, use, processing, security and disclosure of personal information, and may be bound by or alleged to be subject to, or voluntarily comply with, self-regulatory or other industry standards relating to these matters.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privacy requirements, with our posted privacy policies or with other obligations to which we or such third parties are or may become subject relating to privacy, data protection or information security,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statutory damages between $100 and $750 per consumer. Any such action would be expensive to defend, likely would damage our reputation and market position, could result in substantial liability and could adversely affect our business and results of operations.</w:t>
      </w:r>
    </w:p>
    <w:p>
      <w:pPr>
        <w:spacing w:after="0" w:line="20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in view of new or modified requirements relating to privacy, data protection or information security,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 or at all, and our ability to develop new features could be limited. Privacy, data protection and information security concerns, whether valid or not valid, may inhibit the use and growth of our RaaS product offerings and marketplace, particularly in certain foreign countries. Additionally, public scrutiny of or complaints about technology companies or their data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98"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Interruptions or delays in the services provided by third-party data centers, Internet service providers, our managed infrastructure or our payment processors could prevent existing and potential buyers and sellers from accessing our marketplaces, and our business could suffer.</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reputation and ability to attract and retain buyers and sellers depends in part on the reliable performance of our network infrastructure and content delivery process.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marketplaces and prevent or inhibit the ability of buyers to access our marketplaces or complete purchases on our marketplaces through our website or mobile application.</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host our domestic core marketplace and support our operations using Amazon Web Services (“AWS”) data centers, a provider of cloud infrastructure services. In addition, we currently host our RaaS websites using the Shopify Inc. e-commerce platform (“Shopify”) and our Remix platform through a separately managed infrastructure vendor, with a data center located in the European Union (together with AWS and Shopify, our “third-party infrastructure services”). Our operations depend on protecting the virtual cloud infrastructures hosted in AWS and Shopify by maintaining their configuration, architecture and interconnection specifications, as well as the information stored in these virtual data centers and which third-party Internet service providers transmit. Furthermore, we have no physical access or control over the third-party infrastructure services we engage. Although we have disaster recovery plans that utilize multiple third-party infrastructure service locations, the data centers that we use, including the Remix data center in the European Union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user content, or prevent us from being able to continuously back up or record changes in our users’ content. In the event of significant physical damage to one of these data centers, it may take a significant period of time to achieve full resumption of our marketplaces, and our disaster recovery planning may not account for all eventualities. Further, a prolonged third-party infrastructure service disruption affecting our core marketplace, RaaS websites or our Remix platform could damage our reputation with current buyers, sellers and RaaS clients, expose us to liability, make it difficult to attract and retain new and existing buyers, sellers and RaaS clients, or otherwise harm our business. In particular, volume of traffic and activity on our marketplace spikes on certain days and during certain periods of the year, such as during a holiday promotion. Any interruption to the availability of our marketplaces would be particularly problematic if it were to occur at such a high-volume time. In addition, we use multiple third-party payment processors to process payments made by buyers or to sellers on our marketplaces. Any disruption or failure in the services we receive from our third-party payment processors could prevent us from being able to effectively operate our marketplaces and likewise could harm our business, results of operations and financial condition.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our third-party infrastructure services or our third-party payment processors terminate their relationships with us or refuse to renew their agreements with us on commercially reasonable terms, we would need to find alternative data centers, Internet service providers and third-party payment processors and may not be able to secure similar terms or replace such payment processors in an acceptable timeframe. Further, the services provided by such alternate providers may not meet our expectations, contain errors or vulnerabilities, be compromised or experience outages. In particular, should we or our third-party infrastructure services decide to terminate our contract for infrastructure services for any reason, transitioning our infrastructure to an alternative provider could potentially be disruptive, and we may incur significant costs for a short period of time. Any of these risks could cause us to lose our ability to accept online payments, make payments to sellers or conduct other payment transactions, any of which could make our marketplaces less convenient and attractive and adversely affect our ability to attract and retain buyers and sellers, which could harm our business, results of operations and financial condition.</w:t>
      </w:r>
    </w:p>
    <w:p>
      <w:pPr>
        <w:spacing w:after="0" w:line="298"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Activity on mobile devices by buyers and sellers depends upon effective use of mobile operating systems, networks and standards that we do not control.</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Purchases using mobile devices by buyers and sellers generally, and by our buyers and sellers specifically, have increased significantly, and we expect this trend to continue. To optimize the mobile shopping experience, we are dependent on our buyers and sellers downloading our specific mobile applications for their particular device or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creation, support and maintenance of such applications. In addition, our future growth and our results of operations could suffer if we experience difficulties in the future in integrating our mobile applications into mobile devices, if problems arise with our relationships with providers of mobile operating systems or mobile application download stores, such as those of Apple or Google, if our applications receive unfavorable treatment compared to competing applications, such as the order of our mobile application in the Apple App Store or Google Play, if we face increased costs to distribute or have buyers and sellers use our mobile applications or if our mobile application is no longer available with certain providers of mobile operating systems or mobile application download stores. We are further dependent on the interoperability of our sites with popular mobile operating systems that we do not control, such as iOS and Android, and any changes in such systems that degrade the functionality of our sites or give preferential treatment to competitors could adversely affect the usage of our sites on mobile devices. In the event that it is more difficult for our buyers and sellers to access and use our sites on mobile devices, or if our buyers and sellers choose not to access or to use our sites on their mobile devices or to use mobile products that do not offer access to our sites, this could harm our business, results of operations and financial condition.</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accused of infringing intellectual property or other proprietary rights of third parties.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been in the past and may be accused in the future of infringing intellectual property or other proprietary rights of third parties, including but not limited to third party claims alleging that we have infringed their copyrights, trademarks or patents, or improperly used or disclosed their trade secrets, or otherwise infringed or violated their proprietary rights, such as the right of publicity. For example, although we require our employees to not use the proprietary information or know-how of others in their work for us, we may become subject to claims that these employees have divulged, or we have used, proprietary information of these employees’ former employers. In addition, we may become subject to claims by third parties who assert that we are infringing on their intellectual property rights by listing items bearing their trademark, trade dress and/or copyrighted works. The costs of supporting any litigation or disputes related to these claims can be considerable, and we cannot assure you that we will achieve a favorable outcome of any such claim. If any such claim is valid or otherwise successful, we may be compelled to cease our use of such intellectual property or other proprietary rights and pay damages, which could adversely affect our business. In addition, if such claims are valid or otherwise successful, we may lose valuable intellectual property rights or personnel, which could harm our business. Even if such claims were not valid, defending them could be expensive and distracting, adversely affecting our business and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cannot successfully protect our intellectual property, our business could suffer.</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a combination of intellectual property rights, contractual protections and other practices to protect our brand, proprietary information, technologies and processes. We primarily rely on patent, copyright and trade secret laws to protect our proprietary technologies and processes, including the automated operations systems and machine learning technology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Further, to the extent we pursue patent protection for our innovations, patents we may apply for may not issue, and patents that do issue or that we acquire may not provide us with any competitive advantages or may be challenged by third parties. There can be no assurance that any patents we obtain will adequately protect our inventions or survive a legal challenge, as the legal standards relating to the validity, enforceability and scope of protection of patent and other intellectual property rights are uncertain.</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rely on trademark and trade dress to protect our brand. Our principal trademark assets include the registered trademarks “THREDUP” and “Think Secondhand First” and our logos and taglines. Our trademarks are valuable assets that support our brand and buyers’ perception of our services and merchandise. We have registered trademarks in Australia, Canada, the European Union, Japan, South Korea, Mexico, the United Kingdom and the United States. We also hold the rights to the “thredup.com” Internet domain name and various related domain names, which are subject to Internet regulatory bodies and trademark and other related laws of each applicable jurisdiction. If we are unable to protect our trademarks or domain names, our brand recognition and reputation would suffer, we would incur significant expense establishing new brands and our results of operations would be adversely impacted.</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rely in part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relationships, partnerships and business alliances,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automation technologies or technologies related to our marketplaces.</w:t>
      </w:r>
    </w:p>
    <w:p>
      <w:pPr>
        <w:spacing w:after="0" w:line="2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and protect our intellectual property and proprietary rights. The efforts we take may not be sufficient and/or we may or may not be able to detect all infringement of violation of our intellectual property rights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business,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harm our ability to compete, business and results of operations.</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use open source software in our marketplaces, which could negatively affect our ability to operate our business and subject us to litigation or other actions.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use open source software to facilitate the development and operation of our marketplaces, including our website and mobile application, and may use more open source software in the future. From time to time, there have been claims challenging both the use of open source software against companies that incorporate open source software into their products and whether such use is permissible under various open source licenses. The terms of many open source licenses have not been interpreted by United States courts, and there is a risk that these licenses could be construed in a way that could impose unanticipated conditions or restrictions on our ability to operate our marketplaces. As a result, we could be subject to lawsuits by parties claiming ownership of what we believe to be open source software, or breach of open source licenses. Litigation could be costly for us to defend, have a negative effect on our results of operations and financial condition, or require us to devote additional research and development resources to change our marketplaces. In addition, if we were to combine our proprietary source code or software with open source software in a certain manner, we could, under certain of the open source licenses, be required to release the source code of our proprietary software to the public. This would allow our competitors to create similar offerings with less development effort and time. If we inappropriately use open source software, or if the license terms for open source software that we use change, we may be required to re-engineer our marketplaces, or certain aspects of our marketplaces, incur additional costs, or take other remedial actions.</w:t>
      </w:r>
    </w:p>
    <w:p>
      <w:pPr>
        <w:spacing w:after="0" w:line="21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We have established processes to help alleviate these risks, but we cannot be sure that all of our use of open source software is in a manner that is consistent with our current policies and procedures or will not subject us to liability. These risks associated with usage of open source software, such as the lack of warranties or assurances of title, cannot be eliminated, and could, if not properly addressed, negatively affect our business and results of operations.</w:t>
      </w:r>
    </w:p>
    <w:p>
      <w:pPr>
        <w:spacing w:after="0" w:line="294"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We rely on software, services and technology from other parties. Defects in or the loss of access to software, services or technology from third parties could increase our costs and adversely affect the quality of our products.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technologies from third parties to operate critical functions of our business, including cloud infrastructure services, payment processing services, certain aspects of distribution center automation and customer relationship management services. We also use Google services for our business emails, file storage and communications. Our business would be disrupted if any of the third-party software, services or other technology we utilize, or functional equivalents thereof, were unavailable due to extended outages or interruptions or because they are no longer available on commercially reasonable terms or prices. In each case, we would be required to either seek licenses or other rights to different software, services or technology from third parties and redesign our business and marketplace to function with such other software, services or technology or develop these components ourselves, which would result in increased costs and could result in delays in the launch of new offerings on our marketplaces until equivalent software, services and/or technology can be identified, licensed or developed, and integrated into our business and marketplace. Furthermore, we might be forced to limit the features available in our current or future products. These delays and feature limitations, if they occur, could harm our business, results of operations and financial condition.</w:t>
      </w:r>
    </w:p>
    <w:p>
      <w:pPr>
        <w:spacing w:after="0" w:line="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Our success depends, in part, on the integrity and scalability of our systems and infrastructures as well as our ability to integrate with our partners. System interruption and the lack of integration, redundancy and scalability in these systems and infrastructures may harm our business, results of operations and financial condition.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success depends, in part, on our ability to maintain the integrity of our systems and infrastructure, including our website and mobile app, information and related systems. Further, to maintain our strategic relationships with our partners, our systems and infrastructure must be seamlessly integrated and interoperable with our partners’ systems, including those of our RaaS clients, which may cause us to incur significant upfront and maintenance costs as some of our RaaS offerings may involve development of a variety of technologies, data formats, applications, systems and infrastructure. System interruption and a lack of integration and redundancy in our information systems and infrastructure may adversely affect our ability to operate our website or mobile app, process and fulfill transactions, maintain coordination between our website and those of certain of our RaaS clients, respond to customer inquiries and generally maintain cost-efficient operations. As our business has grown in size and complexity, the growth has placed, and will continue to place, significant demands on our information systems and infrastructure. To effectively manage this growth, we expect to commit significant financial resources and personnel to maintain and enhance existing systems and develop or acquire new systems to keep pace with continuing changes in our business and information processing technology as well as evolving industry, regulatory and accounting standards. If the information we rely upon to run our businesses is determined to be inaccurate or unreliable, or if we fail to properly maintain or enhance our internal information systems and infrastructure, we could experience operational disruptions, customer disputes, significant deficiencies or material weaknesses in our internal controls, incur increased operating and administrative expenses, lose our ability to produce timely and accurate financial reports or suffer other adverse consequences which could harm our results of operations. We also rely on third-party computer systems, broadband and other communications systems and service providers in connection with providing access to our marketplaces generally. Any interruptions, outages or delays in our systems and infrastructure, our business and/or third parties or deterioration in the performance of these systems and infrastructure, could impair our ability to provide access to our marketplaces. Fire, flood, power loss, telecommunications failure, hurricanes, tornadoes, earthquakes, other natural disasters, acts of war or terrorism, including ransomware attacks and similar events or disruptions may damage or interrupt computer, broadband or other communications systems and infrastructure at any time. Any of these events could cause system interruption, delays and loss of critical data, and could prevent us from providing access to our marketplaces. While we have backup systems for certain aspects of our operations, disaster recovery planning by its nature cannot be sufficient for all eventualities. In addition, we may not have adequate insurance coverage to compensate for losses from a major interruption. If any of these events were to occur, it could harm our business, results of operations and financial condition.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Legal, Regulatory, Accounting and Tax Matters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connection with the audit of our 2022 consolidated financial statements, and as previously described in our Annual Report on Form 10-K for the year ended December 31, 2021 in connection with the audits of our consolidated financial statements in certain prior years, we and our independent registered public accounting firms identified control deficiencies in the design and operation of our internal control over financial reporting that constituted a material weakness, as further described in “Item 9A. Controls and Procedures” in this Annual Report on Form 10-K.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Our material weakness related to the following control deficiency:</w:t>
      </w:r>
    </w:p>
    <w:p>
      <w:pPr>
        <w:spacing w:after="0" w:line="99" w:lineRule="exact"/>
        <w:rPr>
          <w:sz w:val="20"/>
          <w:szCs w:val="20"/>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account reconciliations were prepared and reviewed at the appropriate level of precision on a consistent and timely basis.</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deficiency described above, if not remediated, could result in a misstatement of one or more account balances or disclosures in our annual or interim consolidated financial statements that would not be prevented or detected, and, accordingly, we determined that this control deficiency constitute a material weakness.</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address our material weakness, we have added accounting and finance personnel and implemented new financial accounting processes. We intend to continue to take steps to remediate the material weakness described above through hiring additional qualified accounting and finance resources and further evolving our accounting and quarterly and annual close processes. We will not be able to fully remediate these control deficiencies until these steps have been completed and have been operating effectively for a sufficient period of time.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we fail to remediate our material weakness, identify future material weaknesses in our internal control over financial reporting or fail to meet the demands that have been placed upon us as a public company, including the requirements of the Sarbanes-Oxley Act of 2002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w:t>
      </w:r>
    </w:p>
    <w:p>
      <w:pPr>
        <w:spacing w:after="0" w:line="18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Failure to comply with applicable laws or regulations, including those relating to the resale of secondhand items, or changes to such laws, rules or regulations may subject us to fines, penalties, registration and approval or other governmental enforcement action.</w:t>
      </w:r>
    </w:p>
    <w:p>
      <w:pPr>
        <w:spacing w:after="0" w:line="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business and financial condition could be adversely affected by unfavorable changes in or interpretations of existing laws, rules and regulations or the promulgation of new laws, rules and regulations applicable to us and our business, including those relating to the internet and e-commerce, such as geo-blocking and other geographically based restrictions, internet advertising and price display, consumer protection, anti-corruption, antitrust and competition, economic and trade sanctions, tax, banking, data security, network and information systems security, data protection, privacy and escheatment. As a result, regulatory authorities could prevent or temporarily suspend us from conducting some or all of our activities or otherwise penalize us if our practices were found not to comply with applicable regulatory or licensing requirements or any binding interpretation of such requirements. Unfavorable changes or interpretations could decrease demand for our marketplaces, limit marketing methods and capabilities, affect our growth, increase costs or subject us to additional liabilities. In addition, if we were to continue to expand internationally, we would be subject to additional regulation.</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example, there are, and will likely continue to be, an increasing number of laws and regulations pertaining to the internet and e-commerce. Regulations and laws specifically governing the internet and e-commerce may involve taxes, privacy, data protection and data security, consumer protection, the ability to collect and/or share necessary information that allows us to conduct business on the internet, marketing communications and advertising, content protection, electronic contracts or gift cards. Such regulations and laws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resale of secondhand items through our marketplaces is subject to regulation, including by regulatory bodies such as the United States Consumer Product Safety Commission, the Federal Trade Commission, the United States Fish and Wildlife Service and other international, federal, state and local governments and regulatory authorities. These laws and regulations are complex, vary from state to state and change often. We monitor these laws and regulations and adjust our business practices as warranted to comply. We receive our supply of secondhand items from numerous sellers located in all 50 states of the United States, and the items we receive from our sellers may contain materials such as fur, snakeskin and other exotic animal product components, that are subject to regulation. Our standard seller terms and conditions require sellers to comply with applicable laws when sending us their secondhand items. Failure of our sellers to comply with applicable laws, regulations and contractual requirements could lead to litigation or other claims against us, resulting in increased legal expenses and costs. In addition, while our vendor agreements generally contain a standard indemnification provision, certain vendors may not have sufficient resources or insurance to satisfy their indemnity and defense obligations which may harm our business. Moreover, failure by us to effectively monitor the application of these laws and regulations to our business, and to comply with such laws and regulations, may negatively affect our brand and subject us to penalties and fines.</w:t>
      </w:r>
    </w:p>
    <w:p>
      <w:pPr>
        <w:spacing w:after="0" w:line="2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Numerous states within the United States and municipalities, including the States of California and New York, have regulations regarding the handling of secondhand items and licensing requirements of secondhand dealers. Such government regulations could require us to change the way we conduct business, such as prohibiting or otherwise restricting the sale or shipment of certain items in some locations. These regulations could result in increased costs or reduced revenue. We could also be subject to fines or other penalties that could harm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supplied secondhand items could be subject to recalls and other remedial actions and product safety, labeling and licensing concerns may require us to voluntarily remove selected secondhand items from our marketplaces. Such recalls or voluntary removal of items can result in, among other things, lost sales, diverted resources, potential harm to our reputation and increased customer service costs and legal expenses, which could have an adverse effect on our results of operations. Some of the secondhand items sold through our marketplaces may expose us to product liability claims and litigation or regulatory action relating to personal injury, environmental or property damage. We cannot be certain that our insurance coverage will be adequate for liabilities actually incurred or that insurance will continue to be available to us on economically reasonable terms or at all.</w:t>
      </w:r>
    </w:p>
    <w:p>
      <w:pPr>
        <w:spacing w:after="0" w:line="293"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buyers’ and sellers’ credit and debit card information is transmitted to our third-party payment processors, and we may in the future become subject to lawsuits or other proceedings for purportedly fraudulent transactions arising out of the actual or alleged theft of our buyers’ and sellers’ credit or debit card information if the security of our third-party credit card payment processors are breached.</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2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297"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antitrust, alleged securities law violations or other investor claims, claims that our employees have wrongfully disclosed or we have wrongfully used proprietary information of our employees’ former employers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21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litigation is inherently unpredictable, we cannot assure you that any potential claims or disputes will not harm our business, results of operations and financial condition.</w:t>
      </w:r>
    </w:p>
    <w:p>
      <w:pPr>
        <w:spacing w:after="0" w:line="284"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anti-corruption and anti-bribery and similar laws, such as the United States Foreign Corrupt Practices Act of 1977, as amended (the “FCPA”), the United States domestic bribery statute contained in 18 U.S.C. § 201, the United States. Travel Act, the USA PATRIOT Act, and are subject to similar anti-corruption and anti-bribery laws to the extent of the international expansion of our operations. Anti-corruption and anti-bribery laws have been enforced aggressively in recent years and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Further expansion of our business internationally, including as a result of acquisitions, increases our risks under these laws.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the future we may use third parties to operate our marketplaces or otherwise conduct business on our behalf, abroad. We or such future third parties may have direct or indirect interactions with officials and employees of government agencies or state-owned or affiliated entities, and we can be held liable for the corrupt or other illegal activities of such future third parties, and our employees, business partners, representatives, and agents, even if we do not explicitly authorize such activities. We cannot assure you that all our employees, business partners, representatives, and agents, as well as those companies to which we outsource certain of our business operations, will not take actions in violation of our policies and applicable law, for which we may be ultimately held responsible.</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violation of the FCPA or other applicable anti-corruption laws and anti-bribery laws could result in whistleblower complaints, adverse media coverage, investigations, loss of export privileges, severe criminal or civil sanctions, suspension or disbarment from United States government contracts, substantial diversion of management’s attention, significant legal fees and fines, severe criminal or civil sanctions against us, our officers or our employees, disgorgement of profits, and other sanctions and remedial measures, and prohibitions on the conduct of our business, any of which could harm our reputation, business, results of operations, financial condition and prospects and the price of our Class A common stock.</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Labor-related matters, including labor disputes, may adversely affect our operations.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harm our business, results of operations and financial condition. In addition, increased inflation rates could adversely affect us by increasing costs, including labor and employee benefit costs without any increase in productivity or sales.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 against us or regulatory proceedings being brought against us by various federal and state agencies that regulate our business, including the United States Equal Employment Opportunity Commission. Often these cases raise complex factual and legal issues and create risks and uncertainties.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January 2021, we filed an Illinois Worker Adjustment and Retraining Notification Act notice related to our plan to close our Illinois distribution center (DC03) and reduce our workforce. The closure of DC03 could give rise to additional employment law-related claims and litigation, which could harm our business, results of operations and financial condition. In addition, in 2022 we took certain restructuring actions to reduce our workforce and we may become subject to employment claims in connection with such actions.</w:t>
      </w:r>
    </w:p>
    <w:p>
      <w:pPr>
        <w:spacing w:after="0" w:line="290"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and provide an annual management report on the effectiveness of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also continuing to improve our internal control over financial reporting and remediate a material weakness in our internal control over financial reporting. For example, we have worked to improve the controls around our key accounting processes and our quarterly and annual close processes and we have hired additional accounting and finance personnel to help us implement these processes and controls. In order 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in “—Material weaknesses in our internal control over financial reporting may cause us to fail to timely and accurately report our financial results or result in a material misstatement of our consolidated financial statements.”</w:t>
      </w:r>
    </w:p>
    <w:p>
      <w:pPr>
        <w:spacing w:after="0" w:line="1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additional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common stock. In addition, if we are unable to continue to meet these requirements, we may not be able to remain listed on Nasdaq and we may potentially be subject to sanctions or investigations by the SEC or other regulatory authorities.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General accepted accounting principles (“GAAP”) is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This could adversely affect our business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we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and local taxing authorities of sales tax collection obligations on out-of-state e-commerce businesses could also create additional administrative burdens for us, put us at a competitive disadvantage if they do not impose similar obligations on our competitors and decrease our future sales, which could have an adverse impact on our business and results of operations.</w:t>
      </w:r>
    </w:p>
    <w:p>
      <w:pPr>
        <w:spacing w:after="0" w:line="293"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or adverse application of existing tax laws could increase our costs and harm our business.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Those enactments could harm our business operations, and our business, results of operations and financial condition. Further, application of income and tax laws is subject to interpretation and existing tax laws, statutes, rules, regulations or ordinances could be interpreted, changed, modified or applied adversely to us.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These events could require us to pay additional tax amounts on a prospective or retroactive basis, as well as require us to pay fines and/or penalties and interest for past amounts deemed to be due. If we raise our prices to offset the costs of these changes, existing and potential buyers and sellers may elect not to use our marketplaces in the future. Additionally, new, changed, modified or newly interpreted or applied tax laws could increase our compliance, operating and other costs. Further, these events could decrease the capital we have available to operate our business. Any or all of these events could harm our business, results of operations and financial condition.</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amount of taxes we pay could increase substantially as a result of changes in the applicable tax principles, including increased tax rates, new tax laws or revised interpretations of existing tax laws and precedents, which could harm our liquidity and results of operations. In addition, tax authorities could review our tax returns and impose additional tax, interest and penalties and could claim that various withholding requirements apply to us or our subsidiaries or assert that benefits of tax treaties are not available to us or our subsidiaries. Taxing authorities have become more aggressive in their interpretation and enforcement of such laws, rules and regulations over time, as governments are increasingly focused on ways to increase revenue, which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incurred substantial net operating losses (“NOLs”) and generated certain tax credits since inception, which may be used in the future to offset future tax liabilities. The utilization of NOLs and tax credits may be subject to limitations or expire if not utilized before their expiration period. Under the rules of Section 382 and Section 383 of the Internal Revenue Code of 1986, if a corporation undergoes an “ownership change,” generally defined as a greater than 50% change (by value) in its equity ownership over a three-year period, the corporation’s ability to use its NOLs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a company. While the Company has experienced an ownership change since its inception, an immaterial amount of NOLs has been limited as of December 31, 2022. Under the Tax Cuts and Jobs Act, the amount of post 2017 NOLs that we are permitted to utilize in any future taxable year is limited to 80% of our taxable income in such year for taxable years beginning after December 31, 2020 and such NOLs may be carried forward indefinitely. Our NOLs may also be subject to limitations under state law.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could make our Class A common stock less attractive to investors.</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an emerging growth company and a smaller reporting company, and, for as long as we continue to be an emerging growth company, we may choose to take advantage of exemptions from various reporting requirements applicable to other public companies but not to “emerging growth companies,” including:</w:t>
      </w:r>
    </w:p>
    <w:p>
      <w:pPr>
        <w:spacing w:after="0" w:line="94" w:lineRule="exact"/>
        <w:rPr>
          <w:sz w:val="20"/>
          <w:szCs w:val="20"/>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9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could be an emerging growth company for up to five years following the completion of the IPO. Our status as an emerging growth company will end as soon as any of the following takes place:</w:t>
      </w:r>
    </w:p>
    <w:p>
      <w:pPr>
        <w:spacing w:after="0" w:line="9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$1.235 billion in annual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the IPO.</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Indebtedness and Liquidity</w:t>
      </w:r>
    </w:p>
    <w:p>
      <w:pPr>
        <w:spacing w:after="0" w:line="117"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debt and cash generated from our operations. Although we currently anticipate that our existing cash and cash equivalents, cash flow from operations, and amounts available under our loan and security agreement with Western Alliance Bank will be sufficient to meet our cash needs for the foreseeable future, we may require additional financing, and we may not be able to obtain debt or equity financing on favorable terms, if at all. If we raise equity or equity-linked financing to fund operations or on an opportunistic basis, our stockholders may experience significant dilution of their ownership interests. Our loan and security agreement restricts our ability to incur additional indebtedness, requires us to maintain certain financial covenants and restricts our ability to pay dividends. If we conduct additional debt financing, the terms of such debt financing may be similar or more restrictive. Additionally, there has recently been volatility in and disruptions to the global economy, including the equity and debt financial markets. Such volatility and economic downturns in general could limit our access to capital markets and increase our borrowing costs. If we need additional capital and cannot raise it on acceptable terms, or at all, we may not be able to, among other things:</w:t>
      </w:r>
    </w:p>
    <w:p>
      <w:pPr>
        <w:spacing w:after="0" w:line="10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our marketplace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categories of secondhand and resale goods;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our operating infrastructure;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the markets in which we operate and potentially acquire complementary businesses and technologies.</w:t>
      </w:r>
    </w:p>
    <w:p>
      <w:pPr>
        <w:spacing w:after="0" w:line="311"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first-priority lien against substantially all of our assets and contains financial covenants and other restrictions on our actions that may limit our operational flexibility or otherwise adversely affect our results of operations.</w:t>
      </w:r>
    </w:p>
    <w:p>
      <w:pPr>
        <w:spacing w:after="0" w:line="8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party to an amended and restated loan and security agreement with Western Alliance Bank, which contains a number of covenants that restrict our and our subsidiaries’ ability to, among other things, incur additional indebtedness, materially change our business, convey, sell, lease, transfer or dispose of the business or our property, except under certain circumstances, merge or consolidate with other companies or acquire other companies, create or incur liens, pay any dividends on our Class A common stock, make certain investments and engage in certain other activities. We are also required to maintain financial covenants, including minimum cash and liquidity requirements, a debt service requirement and quarterly and annual minimum net revenue and revenue growth thresholds. The terms of our loan and security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While we were in compliance with our debt covenants as of December 31, 2022, we may not be able to maintain compliance with the covenants in the future. A failure by us to comply with the covenants or payment requirements specified in the loan and security agreement could result in an event of default under the agreement, which would give the lender the right to terminate its commitments to provide loans under our loan and security agreement and to declare any and all borrowings outstanding, together with accrued and unpaid interest and fees, to be immediately due and payable. In addition, the lender would have the right to proceed against the collateral in which we granted a security interest to them, which consists of substantially all our assets. If the debt under our loan and security agreement were to be accelerated, we may not have sufficient cash or be able to borrow sufficient funds to refinance the debt or sell sufficient assets to repay the debt, which could adversely affect our cash flows, business, results of operations and financial condition. Further, the terms of any new or additional financing may be on terms that are more restrictive or on terms that are less desirable to us.</w:t>
      </w:r>
    </w:p>
    <w:p>
      <w:pPr>
        <w:spacing w:after="0" w:line="298"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Recent increases in interest rates and volatility in the capital markets may increase our borrowing costs and affect our ability to raise additional funds.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relied in part on borrowed funds to meet our liquidity needs and fund our operations and may continue to do so in the future. In July 2022, we entered into a Second Amended and Restated Loan and Security Agreement to, among other things, increase our aggregate borrowing ability to $70.0 million, reduce the applicable margin for borrowings under the Term Loan to the prime rate published in The Wall Street Journal plus a margin of 1.25% with a floor of 6.00% and extend the maturity date of our outstanding term loan to July 14, 2027. Continued increases in interest rates will increase the cost of servicing our outstanding indebtedness as well as the cost of any new indebtedness we may incur, including as a result of any future refinancings, and could negatively impact our business, results of operations and financial condition. In addition, uncertainty and volatility in the capital markets and other factors may negatively impact our access to debt and equity financing and such financing may not be available on terms favorable to us or at all. If we are unable to obtain adequate financing or financing on terms satisfactory to us, we could face significant limitations on our ability to invest in our operations and otherwise suffer harm to our business.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117"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You may lose all or part of your investment.</w:t>
      </w:r>
    </w:p>
    <w:p>
      <w:pPr>
        <w:spacing w:after="0" w:line="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Prior to our IPO, there was no public market for shares of our Class A common stock. The market prices of our Class A common stock and the securities of other newly public companies have been highly volatile. The market price of our Class A common stock has, and may in the future, fluctuate significantly in response to numerous factors, many of which are beyond our control, including:</w:t>
      </w:r>
    </w:p>
    <w:p>
      <w:pPr>
        <w:spacing w:after="0" w:line="9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retail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those projections;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international economy as a whole and market conditions in our industry;</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economic and market conditions, including declines in consumer discretionary spending, currency fluctuations, inflation and geopolitical instability;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services, features or capabilities, acquisitions, strategic partnerships or investments, joint ventures or capital commitments;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perceived data privacy and cybersecurity incidents impacting us or others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(including Russia’s invasion of Ukraine), incidents of terrorism, pandemics (including the COVID-19 pandemic), elections or responses to these events;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significant voting control of our executive officers, directors and their affiliates;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stock markets have experienced price and volume fluctuations that have affected and continue to affect the market prices of equity securities of many companies. Often, stock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market price of our Class A common stock could decline. Such a stock price decline could occur even when we have met any previously publicly stated revenue or earnings forecasts that we may provide.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b w:val="1"/>
          <w:bCs w:val="1"/>
          <w:i w:val="1"/>
          <w:iCs w:val="1"/>
          <w:color w:val="auto"/>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the ability of holders of our Class A common stock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market price of our Class A common stock.</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As of December 31, 2022, the holders of shares of our Class B common stock collectively owned shares representing approximately 81.3% of the voting power of our outstanding capital stock, and our directors, executive officers and their affiliates beneficially owned in the aggregate 83.1% of the voting power of our capital stock. Because of the ten-to-one voting ratio between our Class B and Class A common stock, the holders of our Class B common stock collectively could continue to control a majority of the combined voting power of our common stock and therefore be able to control certain matters submitted to our stockholders for approval until March 30, 2028, when all outstanding shares of Class A common stock and Class B common stock will convert automatically into shares of a single class of common stock pursuant to a sunset provision in our certificate of incorporation. This concentrated control may limit or preclude the ability of holders of our Class A common stock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w:t>
      </w:r>
    </w:p>
    <w:p>
      <w:pPr>
        <w:spacing w:after="0" w:line="21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if our co-founder and Chief Executive Officer James Reinhart is terminated or resigns from his position as our Chief Executive Officer, then his shares of Class B common stock will automatically convert into shares of Class A common stock.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cannot predict the effect our dual-class structure may have on the market price of our Class A common stock.</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cannot determine whether our dual-class structure has resulted in or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publish inaccurate or unfavorable research, about our business, the market price of our Class A common stock and trading volume could be adversely affected.</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If few securities analysts provide coverage of us, or if industry analysts cease coverage of us, the market price for our Class A common stock would be negatively affected. If one or more of the analysts who cover us downgrade our Class A common stock or publish inaccurate or unfavorable research about our business or our market, our Class A common stock price would likely decline. If one or more of these analysts cease coverage of us or fail to publish reports on us on a regular basis, demand for our Class A common stock could decrease, which might cause the market price and trading volume of our Class A common stock to decline.</w:t>
      </w:r>
    </w:p>
    <w:p>
      <w:pPr>
        <w:spacing w:after="0" w:line="294"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sales might occur, could cause the market price of our Class A common stock to decline.</w:t>
      </w:r>
    </w:p>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As of December 31, 2022, we had outstanding a total of 70,722,701 shares of Class A common stock and 30,809,696 shares of Class B common stock.</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Sales of a substantial number of shares or the perception that such sales may occur could cause our market price to fall or make it more difficult for you to sell your Class A common stock at a time and price that you deem appropriate. Shares held by directors, executive officers and other affiliates will also be subject to volume limitations under Rule 144 under the Securities Act and various vesting agreements.</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2022, we had 17,871,709 options outstanding that, if fully exercised, would result in the issuance of shares of Class B common stock, as well as 7,854,822 shares of Class A common stock subject to RSU awards. All of the shares of common stock issuable upon the exercise of stock options, settlement of RSU awards and the shares reserved for future issuance under our equity incentive plans have been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290"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auto"/>
        </w:rPr>
        <w:t>Our issuance of additional capital stock or equity-linked securities in connection with financings, acquisitions, investments, our stock incentive plans or otherwise will dilute all other stockholders.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contractors and consultants under our stock incentive plans. We may also raise capital through equity financings or equity-linked financings in the future, such as through convertible debt.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market price of our Class A common stock to decline.</w:t>
      </w:r>
    </w:p>
    <w:p>
      <w:pPr>
        <w:spacing w:after="0" w:line="294"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price of our Class A common stock.</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 foreseeable future. Further, our ability to pay dividends on our capital stock is subject to restrictions under the terms of our loan and security agreement with Western Alliance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our company more difficult, limit attempts by our stockholders to replace or remove our current board of directors and depress the market price of our Class A common stock.</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could depress the market price of our Class A common stock by acting to discourage, delay or prevent a change of control or changes in our management that the stockholders of our company may deem advantageous. Our amended and restated certificate of incorporation and amended and restated bylaws include provisions that:</w:t>
      </w:r>
    </w:p>
    <w:p>
      <w:pPr>
        <w:spacing w:after="0" w:line="9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or a majority of our board of directors is authorized to call a special meeting of stockholders;</w:t>
      </w:r>
    </w:p>
    <w:p>
      <w:pPr>
        <w:spacing w:after="0" w:line="8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for a dual-class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approve, alter or repeal our bylaws;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88"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b w:val="1"/>
          <w:bCs w:val="1"/>
          <w:i w:val="1"/>
          <w:iCs w:val="1"/>
          <w:color w:val="auto"/>
        </w:rPr>
        <w:t>Our amended and restated bylaws designate specific state or federal courts located as the exclusive forum for certain litigation that may be initiated by our stockholders, which could limit stockholders’ ability to obtain a favorable judicial forum for disputes with us.</w:t>
      </w:r>
    </w:p>
    <w:p>
      <w:pPr>
        <w:spacing w:after="0" w:line="8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claims for:</w:t>
      </w:r>
    </w:p>
    <w:p>
      <w:pPr>
        <w:spacing w:after="0" w:line="9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our stockholders;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(the “Delaware Forum Provision”).</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Delaware Forum Provision does not apply to any causes of action arising under the Securities Act or the Exchange Act. Further,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United States federal securities laws and the rules and regulations thereunder.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Risks</w:t>
      </w:r>
    </w:p>
    <w:p>
      <w:pPr>
        <w:spacing w:after="0" w:line="117"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We depend on our executive officers and other key personnel, and if we are unable to recruit and retain highly skilled employees or contractors our business could be harmed.</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including highly skilled employees and contractors.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founder and Chief Executive Officer, or other executive officers or key personnel could harm our business. In addition, our future success will depend upon our ability to hire for key functions, such as engineering, data science and marketing, as well as distribution center employees. Such efforts will require significant time, expense and attention. Furthermore, oftentimes newly hired employees require significant training and time before they achieve full productivity. We have experienced and could continue to experience higher compensation costs to retain senior management and experienced personnel, including employees and contractors, that may not be offset by improved productivity or increased sales, especially if we experience inflation. A hybrid work environment may also present operational, cybersecurity and workplace culture challenges. If we are unable to continue to successfully attract and retain highly skilled personnel and maintain our corporate culture in a hybrid work environment, our business may be harmed.</w:t>
      </w: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Volatility or lack of appreciation in the stock price of our Class A common stock may also affect our ability to attract and retain our executive officers and key personnel. Many of our senior personnel and other key personnel have become, or will soon become, vested in a substantial amount of stock, stock options or restricted stock units (RSUs). Employees and contractors may be more likely to leave us if the shares they own or the shares underlying their RSUs or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or the value of the shares they hold or that underlie their RSUs has declined. Further, we expect to continue to grant equity awards to employees, directors, contractors and consultants under our stock incentive plans to retain senior management and experienced personnel. Any such issuances of additional capital stock may cause stockholders to experience additional dilution of their ownership interests.</w:t>
      </w: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a critical contributor to our success has been our corporate culture. If we do not maintain and continue to develop our corporate culture as we grow and evolve, including from the integration of employees and businesses acquired in connection with previous or future acquisitions, it could harm our ability to foster the innovation, craftsmanship, teamwork, curiosity and diversity that we believe we need to support our continued growth, which could negatively affect our ability to retain and recruit personnel who are essential to our future success.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as a part of restructuring actions, we implemented a variety of cost cutting initiatives and may need to implement additional cost cutting initiatives that may adversely affect our executive team, employees, contractors and business. Such restructuring measures may negatively impact morale and lead to voluntary attrition, and as a result may make it more difficult to attract and retain employees for key roles. These measures may cause or result in disruption of our business, challenges in hiring critical employees and contractors and retaining key technical, operational and sales employees and contractors. Further, as some of our contractors are information technology specialists in Ukraine, political turmoil, warfare, or terrorist attacks in Ukraine could negatively affect our contractors and our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international operations may subject us to exchange rate fluctuations and other currency risks.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Assets, liabilities, revenues and related expenses of our international operations are denominated in foreign currencies. Exchange rate fluctuations between a local currency and the U.S. dollar may negatively impact the financial conditions and operating results of our international operations when converted into U.S. dollars. In addition, the relative change in currency values creates fluctuations in product pricing for foreign end-customers, which may result in lost orders and reduce the competitiveness of our products in certain foreign markets. The reduction of our revenue as a result of exchange rate fluctuations could negatively impact our future growth prospects, results of operations and financial condition.</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or subject us to fines or other penalties.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use social media, emails, push notifications and, in the future, will use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buyers or others. Information concerning us, our buyers, our sellers and the brands available on our marketplaces, whether accurate or not, may be posted on social media platforms at any time and may have an adverse impact on our brand, reputation or business. Any such harm may be immediate without affording us an opportunity for redress or correction and could have an adverse effect on our reputation, business, results of operations, financial condition and prospects.</w:t>
      </w:r>
    </w:p>
    <w:p>
      <w:pPr>
        <w:spacing w:after="0" w:line="298"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of disclosure of information required of a public company in filings, our business and financial condition are more visible, which may result in an increased risk of threatened or actual litigation, including by competitors and other third parties. If such claims are successful, our business, results of operations and financial condition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8"/>
          <w:szCs w:val="18"/>
          <w:b w:val="1"/>
          <w:bCs w:val="1"/>
          <w:i w:val="1"/>
          <w:iCs w:val="1"/>
          <w:color w:val="auto"/>
        </w:rPr>
        <w:t>Unresolved Staff Comments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corporate headquarters is located in Oakland, California, where we currently lease approximately 24,000 square feet pursuant to a lease agreement that expires in September 2024. We also lease additional corporate facilities in Scottsdale, Arizona and Sofia, Bulgaria.</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lease and operate five distribution centers, in Arizona, Georgia, Pennsylvania, Texas, and Sofia, Bulgaria, at which we receive and process primarily secondhand and resale items from sellers, ship purchases to buyers and receive and process any returns from buyers.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Class A common stock, is listed on the Nasdaq Global Select Market under the symbol “TDUP” and began trading on March 26, 2021. Prior to that date, there was no public trading market for our Class A common stock. There is no public trading market for our Class B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the close of business on February 27, 2023, there were 63 holders of record of our Class A common stock and 26 holders of record of our Class B common stock. The actual number of stockholders is greater than this number of record holders and includes stockholders who are beneficial owners but whose shares are held in street name by brokers or other nominees. This number of holders of record also does not include stockholders whose shares may be held in trust by other entities.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cash dividends, if any, will be made at the discretion of our board of directors, subject to applicable laws, and will depend on then-existing conditions, including our financial condition, results of operations, contractual restrictions, capital requirements, business prospects and other factors our board of directors may deem relevant. In addition, our ability to pay cash dividends on our capital stock is limited by the terms of our existing term loans and may be limited by any future debt instruments or preferred securities.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presented below the cumulative total return to our stockholders in comparison to the Nasdaq Composite Index (Nasdaq Composite) and the Standard and Poor’s Retail Select Index (S&amp;P Retail Select Industry). All values assume a $ 100 initial investment on March 26, 2021, the date our Class A common stock began trading on the Nasdaq Global Select Market, through December 31, 2022 and data for the Nasdaq Composite and S&amp;P Retail Select Industry over the same period assume reinvestment of dividends. The graph uses the closing market price on March 26, 2021 of $20.00 per share as the initial value of our Class A common stock. The comparisons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132715</wp:posOffset>
            </wp:positionV>
            <wp:extent cx="6172200" cy="3574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30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26,</w:t>
            </w:r>
          </w:p>
        </w:tc>
        <w:tc>
          <w:tcPr>
            <w:tcW w:w="10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97"/>
        </w:trPr>
        <w:tc>
          <w:tcPr>
            <w:tcW w:w="37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22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ThredUp Inc.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Nasdaq Composite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119.08</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79.66</w:t>
            </w: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S&amp;P Retail Select Industry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There has been no material change in the planned use of proceeds from the IPO as disclosed in the final prospectus filed with the SEC pursuant to Rule 424(b)(4) under the Securities Act on March 26,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2, 2021, the Company issued and sold 2,000,000 shares of Class A common stock at a price of $24.25 per share in a registered public offering. The aggregate net proceeds were $45.5 million, after deducting $3.3 million of underwriting discounts and commissions and offering costs. There has been no material change in the planned use of proceeds from the registered public offering completed in August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[Reserved]</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thereto included elsewhere in this Annual Report on Form 10-K. The following discussion contains forward-looking statements that reflect our plans, estimates and beliefs. Our actual results could differ materially from those discussed in the forward-looking statements. You should review the section titled “</w:t>
      </w:r>
      <w:r>
        <w:rPr>
          <w:rFonts w:ascii="Arial" w:cs="Arial" w:eastAsia="Arial" w:hAnsi="Arial"/>
          <w:sz w:val="18"/>
          <w:szCs w:val="18"/>
          <w:color w:val="auto"/>
        </w:rPr>
        <w:t>Special Note Regarding Forward-Looking Statements</w:t>
      </w:r>
      <w:r>
        <w:rPr>
          <w:rFonts w:ascii="Arial" w:cs="Arial" w:eastAsia="Arial" w:hAnsi="Arial"/>
          <w:sz w:val="18"/>
          <w:szCs w:val="18"/>
          <w:i w:val="1"/>
          <w:iCs w:val="1"/>
          <w:color w:val="auto"/>
        </w:rPr>
        <w:t>” for a discussion of forward-looking statements and the section titled “</w:t>
      </w:r>
      <w:r>
        <w:rPr>
          <w:rFonts w:ascii="Arial" w:cs="Arial" w:eastAsia="Arial" w:hAnsi="Arial"/>
          <w:sz w:val="18"/>
          <w:szCs w:val="18"/>
          <w:color w:val="auto"/>
        </w:rPr>
        <w:t>Risk Factors</w:t>
      </w:r>
      <w:r>
        <w:rPr>
          <w:rFonts w:ascii="Arial" w:cs="Arial" w:eastAsia="Arial" w:hAnsi="Arial"/>
          <w:sz w:val="18"/>
          <w:szCs w:val="18"/>
          <w:i w:val="1"/>
          <w:iCs w:val="1"/>
          <w:color w:val="auto"/>
        </w:rPr>
        <w:t>”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This section of this Annual Report on Form 10-K generally discusses 2022 and 2021 items and year-over-year comparisons between 2022 and 2021. Discussions of 2020 items and year-over-year comparisons between 2021 and 2020 that are not included in this Annual Report on Form 10-K can be found in Part II, Item 7, </w:t>
      </w:r>
      <w:r>
        <w:rPr>
          <w:rFonts w:ascii="Arial" w:cs="Arial" w:eastAsia="Arial" w:hAnsi="Arial"/>
          <w:sz w:val="18"/>
          <w:szCs w:val="18"/>
          <w:color w:val="auto"/>
        </w:rPr>
        <w:t>Management’s Discussion and Analysis of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r>
        <w:rPr>
          <w:rFonts w:ascii="Arial" w:cs="Arial" w:eastAsia="Arial" w:hAnsi="Arial"/>
          <w:sz w:val="18"/>
          <w:szCs w:val="18"/>
          <w:i w:val="1"/>
          <w:iCs w:val="1"/>
          <w:color w:val="auto"/>
        </w:rPr>
        <w:t>, of our Annual Report on Form 10-K for the year ended December 31, 2021 (the “2021 10-K”).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thredUP operates one of the world’s largest online resale platforms for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February 2022.</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core marketplace we have built in the U.S. enables buyers to browse and purchase resale items for primarily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our core marketplace, some of the world’s leading brands and retailers are already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2021, we acquired Remix Global EAD (“Remix”), a fashion resale company based in Sofia, Bulgaria. With this acquisition, we further expanded our reach to European customers, added a complementary operational infrastructure and added an experienced management team to enable our expansion into Europe. In addition, Remix’s product assortment extended our resale offering to include men’s items and items sourced from a variety of supply channels, such as wholesale supply.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Macroeconomic Factors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Macroeconomic factors, including inflation, increased interest rates, significant capital market volatility, the prolonged COVID-19 pandemic, global supply chain constraints, and global economic and geopolitical developments have direct and indirect impacts on our results of operations that are difficult to isolate and quantify. These factors contributed to increases in our operating costs during 2022 primarily due to increased transportation costs and wage rates. In addition, rising fuel, utility, and food costs, rising interest rates, and recessionary fears may impact customer demand and our ability to forecast consumer spending patterns. We expect some or all of these factors to continue to impact our operations into 2023.</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During 2022, the U.S. dollar appreciated against major European currencies, including the Bulgarian lev. We believe the strengthening U.S. dollar had a negative impact on our European sales. We are managing the currency risk related to earnings through natural hedges and have offsetting costs relating to operating our business and a regional source of supply. Therefore, changes to exchange rates have not had a significant impact to our consolidated financial results. We continue to monitor our foreign exchange exposure as we grow our business globally. We have not engaged in hedging of foreign currency transactions to date, although we may choose to do so in the future. For further details, please refer to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of this Annual Report on Form 10-K.</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second and third quarters of 2022, we restructured certain corporate and managerial functions to improve efficiencies and to reduce overhead costs. In addition, we closed our processing centers in Tennessee and Texas and consolidated their operations into our distribution center in Texas. These activities have, and are expected to, provide future efficiency benefits; however, the actual results may differ.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2022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$288.4 million, an increase of 14.5% year-over-year.</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$192.3 million, representing an increase of 8.0% year-over-year. Gross margin decreased</w:t>
      </w:r>
      <w:r>
        <w:rPr>
          <w:rFonts w:ascii="Arial" w:cs="Arial" w:eastAsia="Arial" w:hAnsi="Arial"/>
          <w:sz w:val="18"/>
          <w:szCs w:val="18"/>
          <w:b w:val="1"/>
          <w:bCs w:val="1"/>
          <w:color w:val="auto"/>
        </w:rPr>
        <w:t xml:space="preserve"> </w:t>
      </w:r>
      <w:r>
        <w:rPr>
          <w:rFonts w:ascii="Arial" w:cs="Arial" w:eastAsia="Arial" w:hAnsi="Arial"/>
          <w:sz w:val="18"/>
          <w:szCs w:val="18"/>
          <w:color w:val="auto"/>
        </w:rPr>
        <w:t>by 405 basis points to 66.7% from 70.7% year-over-year.</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Net Loss Attributable to Common Stockholders: </w:t>
      </w:r>
      <w:r>
        <w:rPr>
          <w:rFonts w:ascii="Arial" w:cs="Arial" w:eastAsia="Arial" w:hAnsi="Arial"/>
          <w:sz w:val="18"/>
          <w:szCs w:val="18"/>
          <w:color w:val="auto"/>
        </w:rPr>
        <w:t>Net loss attributable to common stockholders was $92.3 million, or a negative 32.0%</w:t>
      </w:r>
      <w:r>
        <w:rPr>
          <w:rFonts w:ascii="Arial" w:cs="Arial" w:eastAsia="Arial" w:hAnsi="Arial"/>
          <w:sz w:val="18"/>
          <w:szCs w:val="18"/>
          <w:b w:val="1"/>
          <w:bCs w:val="1"/>
          <w:color w:val="auto"/>
        </w:rPr>
        <w:t xml:space="preserve"> </w:t>
      </w:r>
      <w:r>
        <w:rPr>
          <w:rFonts w:ascii="Arial" w:cs="Arial" w:eastAsia="Arial" w:hAnsi="Arial"/>
          <w:sz w:val="18"/>
          <w:szCs w:val="18"/>
          <w:color w:val="auto"/>
        </w:rPr>
        <w:t>of revenue, for the year ended December 31, 2022 as compared to a net loss attributable to common stockholders of $63.2 million, or a negative 25.1% of revenue, for the same period in 2021.</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Non-GAAP Adjusted EBITDA: </w:t>
      </w:r>
      <w:r>
        <w:rPr>
          <w:rFonts w:ascii="Arial" w:cs="Arial" w:eastAsia="Arial" w:hAnsi="Arial"/>
          <w:sz w:val="18"/>
          <w:szCs w:val="18"/>
          <w:color w:val="auto"/>
        </w:rPr>
        <w:t>Non-GAAP Adjusted EBITDA loss was $43.4 million, or a negative 15.0% of revenue,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2022 as compared to a non-GAAP Adjusted EBITDA loss of $36.5 million, or a negative 14.5% of revenue, for the same period in 2021.</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Active Buyers totaled 1.65 million and Orders totaled 6.51 million in 2022, representing a decline of 2.4%</w:t>
      </w:r>
      <w:r>
        <w:rPr>
          <w:rFonts w:ascii="Arial" w:cs="Arial" w:eastAsia="Arial" w:hAnsi="Arial"/>
          <w:sz w:val="18"/>
          <w:szCs w:val="18"/>
          <w:b w:val="1"/>
          <w:bCs w:val="1"/>
          <w:color w:val="auto"/>
        </w:rPr>
        <w:t xml:space="preserve"> </w:t>
      </w:r>
      <w:r>
        <w:rPr>
          <w:rFonts w:ascii="Arial" w:cs="Arial" w:eastAsia="Arial" w:hAnsi="Arial"/>
          <w:sz w:val="18"/>
          <w:szCs w:val="18"/>
          <w:color w:val="auto"/>
        </w:rPr>
        <w:t>and growth of 22.1%, respectively, compared to the prior year.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2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196"/>
        </w:trPr>
        <w:tc>
          <w:tcPr>
            <w:tcW w:w="2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80" w:type="dxa"/>
            <w:vAlign w:val="bottom"/>
            <w:gridSpan w:val="3"/>
          </w:tcPr>
          <w:p>
            <w:pPr>
              <w:jc w:val="right"/>
              <w:ind w:right="212"/>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1,651</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1,691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1,691</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1,240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Orders</w:t>
            </w:r>
          </w:p>
        </w:tc>
        <w:tc>
          <w:tcPr>
            <w:tcW w:w="280" w:type="dxa"/>
            <w:vAlign w:val="bottom"/>
          </w:tcPr>
          <w:p>
            <w:pPr>
              <w:spacing w:after="0"/>
              <w:rPr>
                <w:sz w:val="19"/>
                <w:szCs w:val="19"/>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6,507</w:t>
            </w:r>
          </w:p>
        </w:tc>
        <w:tc>
          <w:tcPr>
            <w:tcW w:w="320" w:type="dxa"/>
            <w:vAlign w:val="bottom"/>
          </w:tcPr>
          <w:p>
            <w:pPr>
              <w:spacing w:after="0"/>
              <w:rPr>
                <w:sz w:val="19"/>
                <w:szCs w:val="19"/>
                <w:color w:val="auto"/>
              </w:rPr>
            </w:pP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5,328</w:t>
            </w:r>
          </w:p>
        </w:tc>
        <w:tc>
          <w:tcPr>
            <w:tcW w:w="1240" w:type="dxa"/>
            <w:vAlign w:val="bottom"/>
          </w:tcPr>
          <w:p>
            <w:pPr>
              <w:jc w:val="right"/>
              <w:spacing w:after="0"/>
              <w:rPr>
                <w:sz w:val="20"/>
                <w:szCs w:val="20"/>
                <w:color w:val="auto"/>
              </w:rPr>
            </w:pPr>
            <w:r>
              <w:rPr>
                <w:rFonts w:ascii="Arial" w:cs="Arial" w:eastAsia="Arial" w:hAnsi="Arial"/>
                <w:sz w:val="18"/>
                <w:szCs w:val="18"/>
                <w:color w:val="auto"/>
              </w:rPr>
              <w:t>22.1 %</w:t>
            </w:r>
          </w:p>
        </w:tc>
        <w:tc>
          <w:tcPr>
            <w:tcW w:w="340" w:type="dxa"/>
            <w:vAlign w:val="bottom"/>
          </w:tcPr>
          <w:p>
            <w:pPr>
              <w:spacing w:after="0"/>
              <w:rPr>
                <w:sz w:val="19"/>
                <w:szCs w:val="19"/>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5,328</w:t>
            </w:r>
          </w:p>
        </w:tc>
        <w:tc>
          <w:tcPr>
            <w:tcW w:w="320" w:type="dxa"/>
            <w:vAlign w:val="bottom"/>
          </w:tcPr>
          <w:p>
            <w:pPr>
              <w:spacing w:after="0"/>
              <w:rPr>
                <w:sz w:val="19"/>
                <w:szCs w:val="19"/>
                <w:color w:val="auto"/>
              </w:rPr>
            </w:pP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3,965</w:t>
            </w:r>
          </w:p>
        </w:tc>
        <w:tc>
          <w:tcPr>
            <w:tcW w:w="1100" w:type="dxa"/>
            <w:vAlign w:val="bottom"/>
          </w:tcPr>
          <w:p>
            <w:pPr>
              <w:jc w:val="right"/>
              <w:spacing w:after="0"/>
              <w:rPr>
                <w:sz w:val="20"/>
                <w:szCs w:val="20"/>
                <w:color w:val="auto"/>
              </w:rPr>
            </w:pPr>
            <w:r>
              <w:rPr>
                <w:rFonts w:ascii="Arial" w:cs="Arial" w:eastAsia="Arial" w:hAnsi="Arial"/>
                <w:sz w:val="18"/>
                <w:szCs w:val="18"/>
                <w:color w:val="auto"/>
              </w:rPr>
              <w:t>34.4 %</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288,379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251,792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251,792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186,015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192,338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178,132</w:t>
            </w:r>
          </w:p>
        </w:tc>
        <w:tc>
          <w:tcPr>
            <w:tcW w:w="1240" w:type="dxa"/>
            <w:vAlign w:val="bottom"/>
          </w:tcPr>
          <w:p>
            <w:pPr>
              <w:jc w:val="right"/>
              <w:spacing w:after="0"/>
              <w:rPr>
                <w:sz w:val="20"/>
                <w:szCs w:val="20"/>
                <w:color w:val="auto"/>
              </w:rPr>
            </w:pPr>
            <w:r>
              <w:rPr>
                <w:rFonts w:ascii="Arial" w:cs="Arial" w:eastAsia="Arial" w:hAnsi="Arial"/>
                <w:sz w:val="18"/>
                <w:szCs w:val="18"/>
                <w:color w:val="auto"/>
              </w:rPr>
              <w:t>8.0 %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178,132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128,148</w:t>
            </w:r>
          </w:p>
        </w:tc>
        <w:tc>
          <w:tcPr>
            <w:tcW w:w="1100" w:type="dxa"/>
            <w:vAlign w:val="bottom"/>
          </w:tcPr>
          <w:p>
            <w:pPr>
              <w:jc w:val="right"/>
              <w:spacing w:after="0"/>
              <w:rPr>
                <w:sz w:val="20"/>
                <w:szCs w:val="20"/>
                <w:color w:val="auto"/>
              </w:rPr>
            </w:pPr>
            <w:r>
              <w:rPr>
                <w:rFonts w:ascii="Arial" w:cs="Arial" w:eastAsia="Arial" w:hAnsi="Arial"/>
                <w:sz w:val="18"/>
                <w:szCs w:val="18"/>
                <w:color w:val="auto"/>
              </w:rPr>
              <w:t>39.0 %</w:t>
            </w: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70.7 %</w:t>
            </w: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70.7 %</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68.9 %</w:t>
            </w:r>
          </w:p>
        </w:tc>
        <w:tc>
          <w:tcPr>
            <w:tcW w:w="1100" w:type="dxa"/>
            <w:vAlign w:val="bottom"/>
            <w:shd w:val="clear" w:color="auto" w:fill="CCEEFF"/>
          </w:tcPr>
          <w:p>
            <w:pPr>
              <w:spacing w:after="0"/>
              <w:rPr>
                <w:sz w:val="19"/>
                <w:szCs w:val="19"/>
                <w:color w:val="auto"/>
              </w:rPr>
            </w:pPr>
          </w:p>
        </w:tc>
      </w:tr>
      <w:tr>
        <w:trPr>
          <w:trHeight w:val="188"/>
        </w:trPr>
        <w:tc>
          <w:tcPr>
            <w:tcW w:w="2940" w:type="dxa"/>
            <w:vAlign w:val="bottom"/>
          </w:tcPr>
          <w:p>
            <w:pPr>
              <w:ind w:left="20"/>
              <w:spacing w:after="0" w:line="189" w:lineRule="exact"/>
              <w:rPr>
                <w:sz w:val="20"/>
                <w:szCs w:val="20"/>
                <w:color w:val="auto"/>
              </w:rPr>
            </w:pPr>
            <w:r>
              <w:rPr>
                <w:rFonts w:ascii="Arial" w:cs="Arial" w:eastAsia="Arial" w:hAnsi="Arial"/>
                <w:sz w:val="18"/>
                <w:szCs w:val="18"/>
                <w:color w:val="auto"/>
              </w:rPr>
              <w:t>Net loss attributable to common</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(92,284)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(63,176)</w:t>
            </w:r>
          </w:p>
        </w:tc>
        <w:tc>
          <w:tcPr>
            <w:tcW w:w="1240" w:type="dxa"/>
            <w:vAlign w:val="bottom"/>
          </w:tcPr>
          <w:p>
            <w:pPr>
              <w:jc w:val="right"/>
              <w:spacing w:after="0"/>
              <w:rPr>
                <w:sz w:val="20"/>
                <w:szCs w:val="20"/>
                <w:color w:val="auto"/>
              </w:rPr>
            </w:pPr>
            <w:r>
              <w:rPr>
                <w:rFonts w:ascii="Arial" w:cs="Arial" w:eastAsia="Arial" w:hAnsi="Arial"/>
                <w:sz w:val="18"/>
                <w:szCs w:val="18"/>
                <w:color w:val="auto"/>
              </w:rPr>
              <w:t>46.1 %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(63,176)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(47,877)</w:t>
            </w:r>
          </w:p>
        </w:tc>
        <w:tc>
          <w:tcPr>
            <w:tcW w:w="1100" w:type="dxa"/>
            <w:vAlign w:val="bottom"/>
          </w:tcPr>
          <w:p>
            <w:pPr>
              <w:jc w:val="right"/>
              <w:spacing w:after="0"/>
              <w:rPr>
                <w:sz w:val="20"/>
                <w:szCs w:val="20"/>
                <w:color w:val="auto"/>
              </w:rPr>
            </w:pPr>
            <w:r>
              <w:rPr>
                <w:rFonts w:ascii="Arial" w:cs="Arial" w:eastAsia="Arial" w:hAnsi="Arial"/>
                <w:sz w:val="18"/>
                <w:szCs w:val="18"/>
                <w:color w:val="auto"/>
              </w:rPr>
              <w:t>32.0 %</w:t>
            </w:r>
          </w:p>
        </w:tc>
      </w:tr>
      <w:tr>
        <w:trPr>
          <w:trHeight w:val="188"/>
        </w:trPr>
        <w:tc>
          <w:tcPr>
            <w:tcW w:w="2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loss attributable to common</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margin</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(25.1)%</w:t>
            </w: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(25.7)%</w:t>
            </w:r>
          </w:p>
        </w:tc>
        <w:tc>
          <w:tcPr>
            <w:tcW w:w="1100" w:type="dxa"/>
            <w:vAlign w:val="bottom"/>
            <w:shd w:val="clear" w:color="auto" w:fill="CCEEFF"/>
          </w:tcPr>
          <w:p>
            <w:pPr>
              <w:spacing w:after="0"/>
              <w:rPr>
                <w:sz w:val="20"/>
                <w:szCs w:val="20"/>
                <w:color w:val="auto"/>
              </w:rPr>
            </w:pPr>
          </w:p>
        </w:tc>
      </w:tr>
      <w:tr>
        <w:trPr>
          <w:trHeight w:val="188"/>
        </w:trPr>
        <w:tc>
          <w:tcPr>
            <w:tcW w:w="2940" w:type="dxa"/>
            <w:vAlign w:val="bottom"/>
          </w:tcPr>
          <w:p>
            <w:pPr>
              <w:ind w:left="20"/>
              <w:spacing w:after="0" w:line="189" w:lineRule="exact"/>
              <w:rPr>
                <w:sz w:val="20"/>
                <w:szCs w:val="20"/>
                <w:color w:val="auto"/>
              </w:rPr>
            </w:pPr>
            <w:r>
              <w:rPr>
                <w:rFonts w:ascii="Arial" w:cs="Arial" w:eastAsia="Arial" w:hAnsi="Arial"/>
                <w:sz w:val="18"/>
                <w:szCs w:val="18"/>
                <w:color w:val="auto"/>
              </w:rPr>
              <w:t>Non-GAAP Adjusted EBITDA</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loss(1)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(43,388)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(36,506)</w:t>
            </w:r>
          </w:p>
        </w:tc>
        <w:tc>
          <w:tcPr>
            <w:tcW w:w="1240" w:type="dxa"/>
            <w:vAlign w:val="bottom"/>
          </w:tcPr>
          <w:p>
            <w:pPr>
              <w:jc w:val="right"/>
              <w:spacing w:after="0"/>
              <w:rPr>
                <w:sz w:val="20"/>
                <w:szCs w:val="20"/>
                <w:color w:val="auto"/>
              </w:rPr>
            </w:pPr>
            <w:r>
              <w:rPr>
                <w:rFonts w:ascii="Arial" w:cs="Arial" w:eastAsia="Arial" w:hAnsi="Arial"/>
                <w:sz w:val="18"/>
                <w:szCs w:val="18"/>
                <w:color w:val="auto"/>
              </w:rPr>
              <w:t>18.9 %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(36,506)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(33,398)</w:t>
            </w:r>
          </w:p>
        </w:tc>
        <w:tc>
          <w:tcPr>
            <w:tcW w:w="110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188"/>
        </w:trPr>
        <w:tc>
          <w:tcPr>
            <w:tcW w:w="2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Non-GAAP Adjusted EBITDA loss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(14.5)%</w:t>
            </w: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(18.0)%</w:t>
            </w:r>
          </w:p>
        </w:tc>
        <w:tc>
          <w:tcPr>
            <w:tcW w:w="1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23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0"/>
          <w:szCs w:val="20"/>
          <w:color w:val="auto"/>
        </w:rPr>
      </w:pPr>
    </w:p>
    <w:p>
      <w:pPr>
        <w:ind w:left="340" w:hanging="332"/>
        <w:spacing w:after="0" w:line="261" w:lineRule="auto"/>
        <w:tabs>
          <w:tab w:leader="none" w:pos="3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is a non-GAAP measure which may not be comparable to similarly-titled measures used by other companies. See below for a reconciliation of Adjusted EBITDA loss to net loss attributable to common stockholders.</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Active Buyers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or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Orders</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Orders means the total number of orders placed by buyers across our marketplaces, including through our RaaS clients, in a given period, net of cancellations. We expect Orders to increase over time.</w:t>
      </w:r>
    </w:p>
    <w:p>
      <w:pPr>
        <w:spacing w:after="0" w:line="284" w:lineRule="exact"/>
        <w:rPr>
          <w:sz w:val="20"/>
          <w:szCs w:val="20"/>
          <w:color w:val="auto"/>
        </w:rPr>
      </w:pPr>
    </w:p>
    <w:p>
      <w:pPr>
        <w:jc w:val="right"/>
        <w:ind w:right="8800"/>
        <w:spacing w:after="0"/>
        <w:rPr>
          <w:sz w:val="20"/>
          <w:szCs w:val="20"/>
          <w:color w:val="auto"/>
        </w:rPr>
      </w:pPr>
      <w:r>
        <w:rPr>
          <w:rFonts w:ascii="Arial" w:cs="Arial" w:eastAsia="Arial" w:hAnsi="Arial"/>
          <w:sz w:val="17"/>
          <w:szCs w:val="17"/>
          <w:b w:val="1"/>
          <w:bCs w:val="1"/>
          <w:i w:val="1"/>
          <w:iCs w:val="1"/>
          <w:color w:val="auto"/>
        </w:rPr>
        <w:t>Non-GAAP Financial Metrics</w:t>
      </w:r>
    </w:p>
    <w:p>
      <w:pPr>
        <w:spacing w:after="0" w:line="133" w:lineRule="exact"/>
        <w:rPr>
          <w:sz w:val="20"/>
          <w:szCs w:val="20"/>
          <w:color w:val="auto"/>
        </w:rPr>
      </w:pPr>
    </w:p>
    <w:p>
      <w:pPr>
        <w:jc w:val="right"/>
        <w:ind w:right="8720"/>
        <w:spacing w:after="0"/>
        <w:rPr>
          <w:sz w:val="20"/>
          <w:szCs w:val="20"/>
          <w:color w:val="auto"/>
        </w:rPr>
      </w:pPr>
      <w:r>
        <w:rPr>
          <w:rFonts w:ascii="Arial" w:cs="Arial" w:eastAsia="Arial" w:hAnsi="Arial"/>
          <w:sz w:val="18"/>
          <w:szCs w:val="18"/>
          <w:i w:val="1"/>
          <w:iCs w:val="1"/>
          <w:color w:val="auto"/>
        </w:rPr>
        <w:t>Non-GAAP Adjusted EBITDA</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Non-GAAP Adjusted EBITDA loss means net loss attributable to common stockholders adjusted to exclude, where applicable in a given period, stock-based compensation expense, depreciation and amortization, impairment of non-marketable equity investment, restructuring charges, interest expense, acquisition-related expenses, provision for income taxes, change in fair value of convertible preferred stock warrant liability. We use Adjusted EBITDA loss, a non -GAAP metric, to evaluate and assess our operating performance and the operating leverage in our business, and for internal planning and forecasting purposes. We believe that non-GAAP Adjusted EBITDA loss,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GAAP net loss attributable to common stockholders to non-GAAP Adjusted EBITDA loss: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196"/>
        </w:trPr>
        <w:tc>
          <w:tcPr>
            <w:tcW w:w="6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 attributable to common stockholders, as reported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(47,877)</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7,336</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Impairment of non-marketable equity investment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offering-related expenses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Non-GAAP Adjusted EBITDA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(43,388)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(36,506)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(33,398)</w:t>
            </w:r>
          </w:p>
        </w:tc>
      </w:tr>
      <w:tr>
        <w:trPr>
          <w:trHeight w:val="20"/>
        </w:trPr>
        <w:tc>
          <w:tcPr>
            <w:tcW w:w="6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is comprised of consignment revenue and product revenue.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Consignment revenue</w:t>
      </w:r>
    </w:p>
    <w:p>
      <w:pPr>
        <w:spacing w:after="0" w:line="117" w:lineRule="exact"/>
        <w:rPr>
          <w:sz w:val="20"/>
          <w:szCs w:val="20"/>
          <w:color w:val="auto"/>
        </w:rPr>
      </w:pPr>
    </w:p>
    <w:p>
      <w:pPr>
        <w:jc w:val="both"/>
        <w:ind w:left="180" w:firstLine="324"/>
        <w:spacing w:after="0" w:line="256" w:lineRule="auto"/>
        <w:rPr>
          <w:sz w:val="20"/>
          <w:szCs w:val="20"/>
          <w:color w:val="auto"/>
        </w:rPr>
      </w:pPr>
      <w:r>
        <w:rPr>
          <w:rFonts w:ascii="Arial" w:cs="Arial" w:eastAsia="Arial" w:hAnsi="Arial"/>
          <w:sz w:val="18"/>
          <w:szCs w:val="18"/>
          <w:color w:val="auto"/>
        </w:rPr>
        <w:t>We generate consignment revenue from the sale of secondhand women’s and kids’ apparel, shoes and accessories on behalf of sellers. We recognize consignment revenue, net of seller payouts, discounts, incentives and returns. We expect consignment revenue to continue to increase as we increase our Active Buyers and Orders and grow our business.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Product revenue</w:t>
      </w:r>
    </w:p>
    <w:p>
      <w:pPr>
        <w:spacing w:after="0" w:line="117" w:lineRule="exact"/>
        <w:rPr>
          <w:sz w:val="20"/>
          <w:szCs w:val="20"/>
          <w:color w:val="auto"/>
        </w:rPr>
      </w:pPr>
    </w:p>
    <w:p>
      <w:pPr>
        <w:jc w:val="both"/>
        <w:ind w:left="180" w:firstLine="324"/>
        <w:spacing w:after="0" w:line="252" w:lineRule="auto"/>
        <w:rPr>
          <w:sz w:val="20"/>
          <w:szCs w:val="20"/>
          <w:color w:val="auto"/>
        </w:rPr>
      </w:pPr>
      <w:r>
        <w:rPr>
          <w:rFonts w:ascii="Arial" w:cs="Arial" w:eastAsia="Arial" w:hAnsi="Arial"/>
          <w:sz w:val="18"/>
          <w:szCs w:val="18"/>
          <w:color w:val="auto"/>
        </w:rPr>
        <w:t>We also generate product revenue from the sale of items that we own, which we refer to as our inventory. While we shifted our business to primarily consignment sales in mid-2019, historically, we purchased most of our inventory from our sellers prior to inclusion on our online marketplace. The sales from our newly acquired European operations are primarily from sale of owned items. We recognize product revenue, net of discounts, incentives and returns. We expect product revenue to increase in absolute dollars and as a percentage of total revenue in the near term as we continue to grow our international business. We expect the percentage share of product revenue to decrease in the long term as we introduce the consignment model to our European operations.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Revenue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Cost of consignment revenue</w:t>
      </w:r>
    </w:p>
    <w:p>
      <w:pPr>
        <w:spacing w:after="0" w:line="117" w:lineRule="exact"/>
        <w:rPr>
          <w:sz w:val="20"/>
          <w:szCs w:val="20"/>
          <w:color w:val="auto"/>
        </w:rPr>
      </w:pPr>
    </w:p>
    <w:p>
      <w:pPr>
        <w:jc w:val="both"/>
        <w:ind w:left="180" w:firstLine="324"/>
        <w:spacing w:after="0" w:line="256" w:lineRule="auto"/>
        <w:rPr>
          <w:sz w:val="20"/>
          <w:szCs w:val="20"/>
          <w:color w:val="auto"/>
        </w:rPr>
      </w:pPr>
      <w:r>
        <w:rPr>
          <w:rFonts w:ascii="Arial" w:cs="Arial" w:eastAsia="Arial" w:hAnsi="Arial"/>
          <w:sz w:val="18"/>
          <w:szCs w:val="18"/>
          <w:color w:val="auto"/>
        </w:rPr>
        <w:t>Cost of consignment revenue consists of outbound shipping, outbound labor and packaging costs. We expect cost of consignment revenue to decrease and gross margin to increase as a percentage of total consignment revenue as we continue to scale our business due to our ability to drive leverage in shipping, labor and packaging.</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Cost of product revenue</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Cost of product revenue mainly consists of inventory cost, inbound shipping related to the sold merchandise, outbound shipping, outbound labor, packaging costs and inventory write-downs. We expect cost of product revenue to increase in absolute dollars and decrease as a percentage of total revenue, leading to an increase in gross margin. We expect further gross margin to increase as we continue to scale our business due to our ability to drive leverage in shipping, labor and packaging.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Operations, Product and Technology</w:t>
      </w:r>
    </w:p>
    <w:p>
      <w:pPr>
        <w:spacing w:after="0" w:line="117" w:lineRule="exact"/>
        <w:rPr>
          <w:sz w:val="20"/>
          <w:szCs w:val="20"/>
          <w:color w:val="auto"/>
        </w:rPr>
      </w:pPr>
    </w:p>
    <w:p>
      <w:pPr>
        <w:jc w:val="both"/>
        <w:ind w:left="180" w:firstLine="324"/>
        <w:spacing w:after="0" w:line="251" w:lineRule="auto"/>
        <w:rPr>
          <w:sz w:val="20"/>
          <w:szCs w:val="20"/>
          <w:color w:val="auto"/>
        </w:rPr>
      </w:pPr>
      <w:r>
        <w:rPr>
          <w:rFonts w:ascii="Arial" w:cs="Arial" w:eastAsia="Arial" w:hAnsi="Arial"/>
          <w:sz w:val="18"/>
          <w:szCs w:val="18"/>
          <w:color w:val="auto"/>
        </w:rPr>
        <w:t>Operations, product and technology expenses consist primarily of distribution center operating costs and product and technology expenses. Distribution center operating costs mainly include inbound shipping costs, other than those capitalized in inventory, as well as personnel costs, distribution center rent, maintenance and depreciation of equipment and leasehold improvements. Product and technology costs include personnel costs for the design and development of product and the related technology that is used to operate our distribution centers, merchandise science, website development and related expenses for these departments. Operations, product and technology expenses also include an allocation of corporate facilities and information technology costs such as equipment, depreciation and rent. We expect operations, product and technology expenses to increase in absolute dollars in future periods to support our growth, especially as costs to increase our supply (inbound costs) are generally incurred prior to the expected revenue growth. Additionally, we expect to bring on additional distribution centers and continue investing in automation and other technology improvements to support and drive efficiency in our operations. These expenses may vary from period to period as a percentage of revenue, depending primarily upon when we choose to make more significant investments, including business acquisitions. We expect these expenses to increase in absolute dollars and decrease as a percentage of revenue over the longer term due to better leverage in our operations.</w:t>
      </w: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Marketing</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Marketing expense consists primarily of advertising, public relations expenditures and personnel costs for employees engaged in marketing. Marketing costs also include an allocation of corporate facilities and information technology costs such as equipment, depreciation and rent. We expect our marketing expenses to fluctuate as a percentage of revenue as we intend to increase marketing spend to drive the growth of our business.</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Sales, General and Administrative</w:t>
      </w:r>
    </w:p>
    <w:p>
      <w:pPr>
        <w:spacing w:after="0" w:line="117" w:lineRule="exact"/>
        <w:rPr>
          <w:sz w:val="20"/>
          <w:szCs w:val="20"/>
          <w:color w:val="auto"/>
        </w:rPr>
      </w:pPr>
    </w:p>
    <w:p>
      <w:pPr>
        <w:jc w:val="both"/>
        <w:ind w:left="180" w:firstLine="324"/>
        <w:spacing w:after="0" w:line="252" w:lineRule="auto"/>
        <w:rPr>
          <w:sz w:val="20"/>
          <w:szCs w:val="20"/>
          <w:color w:val="auto"/>
        </w:rPr>
      </w:pPr>
      <w:r>
        <w:rPr>
          <w:rFonts w:ascii="Arial" w:cs="Arial" w:eastAsia="Arial" w:hAnsi="Arial"/>
          <w:sz w:val="18"/>
          <w:szCs w:val="18"/>
          <w:color w:val="auto"/>
        </w:rPr>
        <w:t>Sales, general and administrative expense consists of personnel costs for employees involved in general corporate functions, including accounting, finance, tax, legal and people services, and customer service. Sales, general and administrative also includes payment processing fees, professional fees and allocation of corporate facilities and information technology costs such as equipment, depreciation and rent. We expect to increase sales, general and administrative expense as we grow our infrastructure to support operating as a public company and the overall growth in our business. While these expenses may vary from period to period as a percentage of revenue, we expect them to increase in absolute dollars and decrease as a percentage of revenue over the longer term.</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Expense (Income), Net</w:t>
      </w:r>
    </w:p>
    <w:p>
      <w:pPr>
        <w:spacing w:after="0" w:line="13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Other expense (income), net consists of non-operating income and expenses such as impairments of non-marketable equity investments, claim proceeds for lost shipments, and changes in the fair value of convertible preferred stock warrants.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2022 Compared to the Year Ended December 31, 2021</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900" w:type="dxa"/>
            <w:vAlign w:val="bottom"/>
            <w:gridSpan w:val="2"/>
          </w:tcPr>
          <w:p>
            <w:pPr>
              <w:ind w:left="112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w:t>
            </w:r>
          </w:p>
        </w:tc>
      </w:tr>
      <w:tr>
        <w:trPr>
          <w:trHeight w:val="196"/>
        </w:trPr>
        <w:tc>
          <w:tcPr>
            <w:tcW w:w="4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gridSpan w:val="5"/>
          </w:tcPr>
          <w:p>
            <w:pPr>
              <w:ind w:left="240"/>
              <w:spacing w:after="0"/>
              <w:rPr>
                <w:sz w:val="20"/>
                <w:szCs w:val="20"/>
                <w:color w:val="auto"/>
              </w:rPr>
            </w:pPr>
            <w:r>
              <w:rPr>
                <w:rFonts w:ascii="Arial" w:cs="Arial" w:eastAsia="Arial" w:hAnsi="Arial"/>
                <w:sz w:val="14"/>
                <w:szCs w:val="14"/>
                <w:i w:val="1"/>
                <w:iCs w:val="1"/>
                <w:color w:val="auto"/>
              </w:rPr>
              <w:t>(in thousands, except percentages)</w:t>
            </w:r>
          </w:p>
        </w:tc>
        <w:tc>
          <w:tcPr>
            <w:tcW w:w="118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174,994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186,114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rPr>
              <w:t>(11,120)</w:t>
            </w: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revenue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113,385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65,678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97"/>
              <w:spacing w:after="0"/>
              <w:rPr>
                <w:sz w:val="20"/>
                <w:szCs w:val="20"/>
                <w:color w:val="auto"/>
              </w:rPr>
            </w:pPr>
            <w:r>
              <w:rPr>
                <w:rFonts w:ascii="Arial" w:cs="Arial" w:eastAsia="Arial" w:hAnsi="Arial"/>
                <w:sz w:val="18"/>
                <w:szCs w:val="18"/>
                <w:color w:val="auto"/>
                <w:w w:val="98"/>
              </w:rPr>
              <w:t>47,707</w:t>
            </w:r>
          </w:p>
        </w:tc>
        <w:tc>
          <w:tcPr>
            <w:tcW w:w="6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72.6 %</w:t>
            </w: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288,379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251,792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497"/>
              <w:spacing w:after="0"/>
              <w:rPr>
                <w:sz w:val="20"/>
                <w:szCs w:val="20"/>
                <w:color w:val="auto"/>
              </w:rPr>
            </w:pPr>
            <w:r>
              <w:rPr>
                <w:rFonts w:ascii="Arial" w:cs="Arial" w:eastAsia="Arial" w:hAnsi="Arial"/>
                <w:sz w:val="18"/>
                <w:szCs w:val="18"/>
                <w:color w:val="auto"/>
                <w:w w:val="98"/>
              </w:rPr>
              <w:t>36,587</w:t>
            </w:r>
          </w:p>
        </w:tc>
        <w:tc>
          <w:tcPr>
            <w:tcW w:w="6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080" w:type="dxa"/>
            <w:vAlign w:val="bottom"/>
          </w:tcPr>
          <w:p>
            <w:pPr>
              <w:ind w:left="20"/>
              <w:spacing w:after="0" w:line="168" w:lineRule="exact"/>
              <w:rPr>
                <w:sz w:val="20"/>
                <w:szCs w:val="20"/>
                <w:color w:val="auto"/>
              </w:rPr>
            </w:pPr>
            <w:r>
              <w:rPr>
                <w:rFonts w:ascii="Arial" w:cs="Arial" w:eastAsia="Arial" w:hAnsi="Arial"/>
                <w:sz w:val="18"/>
                <w:szCs w:val="18"/>
                <w:color w:val="auto"/>
              </w:rPr>
              <w:t>Consignment revenue as a percentage of total</w:t>
            </w:r>
          </w:p>
        </w:tc>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800" w:type="dxa"/>
            <w:vAlign w:val="bottom"/>
          </w:tcPr>
          <w:p>
            <w:pPr>
              <w:spacing w:after="0"/>
              <w:rPr>
                <w:sz w:val="14"/>
                <w:szCs w:val="14"/>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revenue</w:t>
            </w:r>
          </w:p>
        </w:tc>
        <w:tc>
          <w:tcPr>
            <w:tcW w:w="1760" w:type="dxa"/>
            <w:vAlign w:val="bottom"/>
          </w:tcPr>
          <w:p>
            <w:pPr>
              <w:jc w:val="right"/>
              <w:spacing w:after="0"/>
              <w:rPr>
                <w:sz w:val="20"/>
                <w:szCs w:val="20"/>
                <w:color w:val="auto"/>
              </w:rPr>
            </w:pPr>
            <w:r>
              <w:rPr>
                <w:rFonts w:ascii="Arial" w:cs="Arial" w:eastAsia="Arial" w:hAnsi="Arial"/>
                <w:sz w:val="18"/>
                <w:szCs w:val="18"/>
                <w:color w:val="auto"/>
              </w:rPr>
              <w:t>60.7 %</w:t>
            </w:r>
          </w:p>
        </w:tc>
        <w:tc>
          <w:tcPr>
            <w:tcW w:w="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73.9 %</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as a percentage of total revenue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Total revenue increased $ 36.6 million, or 14.5%, for the year ended December 31, 2022 as compared to the same period in 2021. The increase was attributable to a 22.1% increase in total Orders mainly due to the inclusion of our European operations beginning October 2021, which increased product revenue by $47.4 million. This was partially offset by a $11.1 million decrease in consignment revenue primarily in our core marketplace.</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experienced slowing revenue and Order growth beginning in June 2022 and continuing into the second half of the year that was attributable to various factors including, but not limited to, general global economic uncertainty, rising interest rates, increased inflation, and weakening consumer discretionary spending, as well as excess inventory at retailers and brands leading to a highly promotional and competitive environment.</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Revenue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920" w:type="dxa"/>
            <w:vAlign w:val="bottom"/>
            <w:gridSpan w:val="2"/>
          </w:tcPr>
          <w:p>
            <w:pPr>
              <w:ind w:left="112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w:t>
            </w:r>
          </w:p>
        </w:tc>
      </w:tr>
      <w:tr>
        <w:trPr>
          <w:trHeight w:val="196"/>
        </w:trPr>
        <w:tc>
          <w:tcPr>
            <w:tcW w:w="4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gridSpan w:val="5"/>
          </w:tcPr>
          <w:p>
            <w:pPr>
              <w:ind w:left="240"/>
              <w:spacing w:after="0"/>
              <w:rPr>
                <w:sz w:val="20"/>
                <w:szCs w:val="20"/>
                <w:color w:val="auto"/>
              </w:rPr>
            </w:pPr>
            <w:r>
              <w:rPr>
                <w:rFonts w:ascii="Arial" w:cs="Arial" w:eastAsia="Arial" w:hAnsi="Arial"/>
                <w:sz w:val="14"/>
                <w:szCs w:val="14"/>
                <w:i w:val="1"/>
                <w:iCs w:val="1"/>
                <w:color w:val="auto"/>
              </w:rPr>
              <w:t>(in thousands, except percentages)</w:t>
            </w:r>
          </w:p>
        </w:tc>
        <w:tc>
          <w:tcPr>
            <w:tcW w:w="1180" w:type="dxa"/>
            <w:vAlign w:val="bottom"/>
          </w:tcPr>
          <w:p>
            <w:pPr>
              <w:spacing w:after="0"/>
              <w:rPr>
                <w:sz w:val="17"/>
                <w:szCs w:val="17"/>
                <w:color w:val="auto"/>
              </w:rPr>
            </w:pPr>
          </w:p>
        </w:tc>
      </w:tr>
      <w:tr>
        <w:trPr>
          <w:trHeight w:val="23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37,015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41,856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 revenue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59,026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31,804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27,222</w:t>
            </w:r>
          </w:p>
        </w:tc>
        <w:tc>
          <w:tcPr>
            <w:tcW w:w="6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85.6 %</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96,041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73,660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22,381</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04"/>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Gross profit</w:t>
            </w:r>
          </w:p>
        </w:tc>
        <w:tc>
          <w:tcPr>
            <w:tcW w:w="42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192,338</w:t>
            </w:r>
          </w:p>
        </w:tc>
        <w:tc>
          <w:tcPr>
            <w:tcW w:w="8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178,132</w:t>
            </w:r>
          </w:p>
        </w:tc>
        <w:tc>
          <w:tcPr>
            <w:tcW w:w="8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14,206</w:t>
            </w:r>
          </w:p>
        </w:tc>
        <w:tc>
          <w:tcPr>
            <w:tcW w:w="6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8.0 %</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Gross margin was 66.7% and 70.7% for the years ended December 31, 2022 and 2021, respectively, or an unfavorable change of 400 basis points.</w:t>
      </w:r>
    </w:p>
    <w:p>
      <w:pPr>
        <w:spacing w:after="0" w:line="1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decrease in gross margin for the year ended December 31, 2022 as compared to the same period in 2021 was due to the inclusion of operating results of our European operations from October 2021 onward. Revenue from our European operations is derived from product sales with a lower gross margin. Consignment sales have a higher gross margin than product sales but made up a smaller percentage of total revenue for the year ended December 31, 2022 as compared to the same period in 2021. Revenue for consignment sales is recognized net of seller payouts and cost of items sold, whereas for product sales, seller payouts and cost of items sold are included as a component of cost of revenue.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Consignment Revenue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4"/>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92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w:t>
            </w:r>
          </w:p>
        </w:tc>
      </w:tr>
      <w:tr>
        <w:trPr>
          <w:trHeight w:val="196"/>
        </w:trPr>
        <w:tc>
          <w:tcPr>
            <w:tcW w:w="4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40" w:type="dxa"/>
            <w:vAlign w:val="bottom"/>
            <w:gridSpan w:val="4"/>
          </w:tcPr>
          <w:p>
            <w:pPr>
              <w:jc w:val="right"/>
              <w:ind w:right="1182"/>
              <w:spacing w:after="0"/>
              <w:rPr>
                <w:sz w:val="20"/>
                <w:szCs w:val="20"/>
                <w:color w:val="auto"/>
              </w:rPr>
            </w:pPr>
            <w:r>
              <w:rPr>
                <w:rFonts w:ascii="Arial" w:cs="Arial" w:eastAsia="Arial" w:hAnsi="Arial"/>
                <w:sz w:val="14"/>
                <w:szCs w:val="14"/>
                <w:i w:val="1"/>
                <w:iCs w:val="1"/>
                <w:color w:val="auto"/>
              </w:rPr>
              <w:t>(in thousands, except percentages)</w:t>
            </w:r>
          </w:p>
        </w:tc>
        <w:tc>
          <w:tcPr>
            <w:tcW w:w="1180" w:type="dxa"/>
            <w:vAlign w:val="bottom"/>
          </w:tcPr>
          <w:p>
            <w:pPr>
              <w:spacing w:after="0"/>
              <w:rPr>
                <w:sz w:val="17"/>
                <w:szCs w:val="17"/>
                <w:color w:val="auto"/>
              </w:rPr>
            </w:pPr>
          </w:p>
        </w:tc>
      </w:tr>
      <w:tr>
        <w:trPr>
          <w:trHeight w:val="23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37,015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41,856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(4,841)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Consignment gross margin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78.8 %</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77.5 %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31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Consignment gross margin was 78.8% and 77.5% for the years ended December 31, 2022 and 2021, respectively, or a favorable change of 130 basis points.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increase in consignment gross margin for the year ended December 31, 2022 as compared to the same period in 2021 was primarily due to a favorable impact of outbound shipping as a result of order consolidation of 240 basis points, partially offset by an unfavorable impact of direct labor of 60 basis points and an unfavorable impact of packaging and other costs of 50 basis points.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Product Revenue</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60" w:type="dxa"/>
            <w:vAlign w:val="bottom"/>
            <w:gridSpan w:val="4"/>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90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w:t>
            </w:r>
          </w:p>
        </w:tc>
      </w:tr>
      <w:tr>
        <w:trPr>
          <w:trHeight w:val="196"/>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00" w:type="dxa"/>
            <w:vAlign w:val="bottom"/>
            <w:gridSpan w:val="4"/>
          </w:tcPr>
          <w:p>
            <w:pPr>
              <w:jc w:val="right"/>
              <w:ind w:right="1142"/>
              <w:spacing w:after="0"/>
              <w:rPr>
                <w:sz w:val="20"/>
                <w:szCs w:val="20"/>
                <w:color w:val="auto"/>
              </w:rPr>
            </w:pPr>
            <w:r>
              <w:rPr>
                <w:rFonts w:ascii="Arial" w:cs="Arial" w:eastAsia="Arial" w:hAnsi="Arial"/>
                <w:sz w:val="14"/>
                <w:szCs w:val="14"/>
                <w:i w:val="1"/>
                <w:iCs w:val="1"/>
                <w:color w:val="auto"/>
              </w:rPr>
              <w:t>(in thousands, except percentages)</w:t>
            </w:r>
          </w:p>
        </w:tc>
        <w:tc>
          <w:tcPr>
            <w:tcW w:w="1200" w:type="dxa"/>
            <w:vAlign w:val="bottom"/>
          </w:tcPr>
          <w:p>
            <w:pPr>
              <w:spacing w:after="0"/>
              <w:rPr>
                <w:sz w:val="17"/>
                <w:szCs w:val="17"/>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59,026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31,804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27,222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85.6 %</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Product gross margin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47.9 %</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31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Product gross margin was 47.9% and 51.6% for the years ended December 31, 2022 and 2021, or an unfavorable change of 370 basis points.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decrease in product gross margin for the year ended December 31, 2022 as compared to the same period in 2021 was primarily due to a net unfavorable impact of 800 basis points from including our European operations from October 2021 onward, which have a lower product gross margin, and an unfavorable impact of direct labor and packaging of 80 basis points, partially offset by a favorable impact of inventory costs of 280 basis points and a favorable impact of outbound shipping of 230 basis points.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Operations, Product and Technology</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92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7"/>
                <w:szCs w:val="17"/>
                <w:color w:val="auto"/>
              </w:rPr>
            </w:pPr>
          </w:p>
        </w:tc>
      </w:tr>
      <w:tr>
        <w:trPr>
          <w:trHeight w:val="196"/>
        </w:trPr>
        <w:tc>
          <w:tcPr>
            <w:tcW w:w="406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w:t>
            </w:r>
          </w:p>
        </w:tc>
      </w:tr>
      <w:tr>
        <w:trPr>
          <w:trHeight w:val="196"/>
        </w:trPr>
        <w:tc>
          <w:tcPr>
            <w:tcW w:w="4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40" w:type="dxa"/>
            <w:vAlign w:val="bottom"/>
            <w:gridSpan w:val="4"/>
          </w:tcPr>
          <w:p>
            <w:pPr>
              <w:jc w:val="right"/>
              <w:ind w:right="1182"/>
              <w:spacing w:after="0"/>
              <w:rPr>
                <w:sz w:val="20"/>
                <w:szCs w:val="20"/>
                <w:color w:val="auto"/>
              </w:rPr>
            </w:pPr>
            <w:r>
              <w:rPr>
                <w:rFonts w:ascii="Arial" w:cs="Arial" w:eastAsia="Arial" w:hAnsi="Arial"/>
                <w:sz w:val="14"/>
                <w:szCs w:val="14"/>
                <w:i w:val="1"/>
                <w:iCs w:val="1"/>
                <w:color w:val="auto"/>
              </w:rPr>
              <w:t>(in thousands, except percentages)</w:t>
            </w:r>
          </w:p>
        </w:tc>
        <w:tc>
          <w:tcPr>
            <w:tcW w:w="1180" w:type="dxa"/>
            <w:vAlign w:val="bottom"/>
          </w:tcPr>
          <w:p>
            <w:pPr>
              <w:spacing w:after="0"/>
              <w:rPr>
                <w:sz w:val="17"/>
                <w:szCs w:val="17"/>
                <w:color w:val="auto"/>
              </w:rPr>
            </w:pPr>
          </w:p>
        </w:tc>
      </w:tr>
      <w:tr>
        <w:trPr>
          <w:trHeight w:val="235"/>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155,642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128,079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27,563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188"/>
        </w:trPr>
        <w:tc>
          <w:tcPr>
            <w:tcW w:w="4060" w:type="dxa"/>
            <w:vAlign w:val="bottom"/>
          </w:tcPr>
          <w:p>
            <w:pPr>
              <w:ind w:left="20"/>
              <w:spacing w:after="0" w:line="189" w:lineRule="exact"/>
              <w:rPr>
                <w:sz w:val="20"/>
                <w:szCs w:val="20"/>
                <w:color w:val="auto"/>
              </w:rPr>
            </w:pPr>
            <w:r>
              <w:rPr>
                <w:rFonts w:ascii="Arial" w:cs="Arial" w:eastAsia="Arial" w:hAnsi="Arial"/>
                <w:sz w:val="18"/>
                <w:szCs w:val="18"/>
                <w:color w:val="auto"/>
              </w:rPr>
              <w:t>Operations, product and technology as a</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percentage of total revenue</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54.0 %</w:t>
            </w: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50.9 %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$27.6 million increase in operations, product and technology expenses for the year ended December 31, 2022 as compared to the same period in 2021 was primarily due to a $14.3 million increase in personnel-related costs resulting from the inclusion of our European operations from October 2021 onward, increases in employee salaries, wages and stock-based compensation, expenses associated with our distribution network, and restructuring charges; an $8.6 million increase in facilities, technology and other allocated costs resulting from the expansion of our distribution network, the inclusion of our European operations and higher technology and other costs; a $3.5 million increase in inbound shipping; and $1.1 million in amortization of acquired developed technology.</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4"/>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17"/>
                <w:szCs w:val="17"/>
                <w:color w:val="auto"/>
              </w:rPr>
            </w:pPr>
          </w:p>
        </w:tc>
        <w:tc>
          <w:tcPr>
            <w:tcW w:w="108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7"/>
                <w:szCs w:val="17"/>
                <w:color w:val="auto"/>
              </w:rPr>
            </w:pPr>
          </w:p>
        </w:tc>
      </w:tr>
      <w:tr>
        <w:trPr>
          <w:trHeight w:val="229"/>
        </w:trPr>
        <w:tc>
          <w:tcPr>
            <w:tcW w:w="40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r>
      <w:tr>
        <w:trPr>
          <w:trHeight w:val="190"/>
        </w:trPr>
        <w:tc>
          <w:tcPr>
            <w:tcW w:w="4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40" w:type="dxa"/>
            <w:vAlign w:val="bottom"/>
            <w:gridSpan w:val="3"/>
          </w:tcPr>
          <w:p>
            <w:pPr>
              <w:jc w:val="right"/>
              <w:ind w:right="79"/>
              <w:spacing w:after="0"/>
              <w:rPr>
                <w:sz w:val="20"/>
                <w:szCs w:val="20"/>
                <w:color w:val="auto"/>
              </w:rPr>
            </w:pPr>
            <w:r>
              <w:rPr>
                <w:rFonts w:ascii="Arial" w:cs="Arial" w:eastAsia="Arial" w:hAnsi="Arial"/>
                <w:sz w:val="14"/>
                <w:szCs w:val="14"/>
                <w:i w:val="1"/>
                <w:iCs w:val="1"/>
                <w:color w:val="auto"/>
              </w:rPr>
              <w:t>(in thousands, except percentages)</w:t>
            </w: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64,369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63,625</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744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Marketing as a percentage of total revenue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22.3 %</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25.3 %</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3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$0.7 million increase in marketing expenses for the year ended December 31, 2022 as compared to the same period in 2021 was primarily due to a $4.0 million increase in personnel-related costs related to salaries, stock-based compensation and other expenses resulting from the inclusion of our European operations from October 2021 onward; a $1.3 million increase in facilities, technology and allocated costs; and a $0.3 million increase in professional services; partially offset by a $4.8 million decrease in costs of lead generation, affiliates and partnerships, and advertising.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Sales, General and Administrative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4"/>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92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w:t>
            </w:r>
          </w:p>
        </w:tc>
      </w:tr>
      <w:tr>
        <w:trPr>
          <w:trHeight w:val="196"/>
        </w:trPr>
        <w:tc>
          <w:tcPr>
            <w:tcW w:w="4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40" w:type="dxa"/>
            <w:vAlign w:val="bottom"/>
            <w:gridSpan w:val="4"/>
          </w:tcPr>
          <w:p>
            <w:pPr>
              <w:jc w:val="right"/>
              <w:ind w:right="1182"/>
              <w:spacing w:after="0"/>
              <w:rPr>
                <w:sz w:val="20"/>
                <w:szCs w:val="20"/>
                <w:color w:val="auto"/>
              </w:rPr>
            </w:pPr>
            <w:r>
              <w:rPr>
                <w:rFonts w:ascii="Arial" w:cs="Arial" w:eastAsia="Arial" w:hAnsi="Arial"/>
                <w:sz w:val="14"/>
                <w:szCs w:val="14"/>
                <w:i w:val="1"/>
                <w:iCs w:val="1"/>
                <w:color w:val="auto"/>
              </w:rPr>
              <w:t>(in thousands, except percentages)</w:t>
            </w:r>
          </w:p>
        </w:tc>
        <w:tc>
          <w:tcPr>
            <w:tcW w:w="118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61,814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48,814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13,000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26.6 %</w:t>
            </w:r>
          </w:p>
        </w:tc>
      </w:tr>
      <w:tr>
        <w:trPr>
          <w:trHeight w:val="188"/>
        </w:trPr>
        <w:tc>
          <w:tcPr>
            <w:tcW w:w="4080" w:type="dxa"/>
            <w:vAlign w:val="bottom"/>
          </w:tcPr>
          <w:p>
            <w:pPr>
              <w:ind w:left="20"/>
              <w:spacing w:after="0" w:line="189" w:lineRule="exact"/>
              <w:rPr>
                <w:sz w:val="20"/>
                <w:szCs w:val="20"/>
                <w:color w:val="auto"/>
              </w:rPr>
            </w:pPr>
            <w:r>
              <w:rPr>
                <w:rFonts w:ascii="Arial" w:cs="Arial" w:eastAsia="Arial" w:hAnsi="Arial"/>
                <w:sz w:val="18"/>
                <w:szCs w:val="18"/>
                <w:color w:val="auto"/>
              </w:rPr>
              <w:t>Sales, general and administrative as a</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percentage of total revenue</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21.4 %</w:t>
            </w: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3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$13.0 million increase in sales, general, and administrative expenses for the year ended December 31, 2022 as compared to the same period in 2021 was primarily due to a $13.8 million increase in personnel-related costs related to salaries, stock-based compensation, restructuring, our European operations and other personnel costs; and a $1.0 million increase in facilities, technology and allocated costs; partially offset by a $1.1 million decrease in professional services and $0.7 million of other corporate expenses.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$1.5 million decrease in interest expense for the year ended December 31, 2022 as compared to the same period in 2021 was primarily due to an increase in amounts capitalized as part of an asset and reclassified from interest expense.</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Expense (Income), Net</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$1.9 million of other expense, net for the year ended December 31, 2022 was primarily due to an impairment charge related to our non-marketable equity investment, partially offset by claim proceeds for lost shipments.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$1.6 million of other income, net for the year ended December 31, 2021 was primarily comprised of claim proceeds for lost shipments, offset by change in preferred stock warrants.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have historically generated negative cash flows from operations and have primarily financed our operations through private and public sales of equity securities and debt. As of December 31, 2022, we had cash, cash equivalents and short-term marketable securities of $104.9 million. Additionally, we have a term loan facility (“Term Loan”) under which $ 38.0 million remained available to be drawn as of December 31, 2022, and we were in full compliance with our debt covenants under the Term Loan as of that date. See Note 9,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Consolidated Financial Statements included in Part II, Item 8,</w:t>
      </w:r>
      <w:r>
        <w:rPr>
          <w:rFonts w:ascii="Arial" w:cs="Arial" w:eastAsia="Arial" w:hAnsi="Arial"/>
          <w:sz w:val="18"/>
          <w:szCs w:val="18"/>
          <w:i w:val="1"/>
          <w:iCs w:val="1"/>
          <w:color w:val="auto"/>
        </w:rPr>
        <w:t xml:space="preserve"> Financial Statements and Supplementary Data</w:t>
      </w:r>
      <w:r>
        <w:rPr>
          <w:rFonts w:ascii="Arial" w:cs="Arial" w:eastAsia="Arial" w:hAnsi="Arial"/>
          <w:sz w:val="18"/>
          <w:szCs w:val="18"/>
          <w:color w:val="auto"/>
        </w:rPr>
        <w:t>, of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for a further discussion on our Term Loan.</w:t>
      </w:r>
    </w:p>
    <w:p>
      <w:pPr>
        <w:spacing w:after="0" w:line="2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expect operating losses and negative cash flows from operations to continue in the near term as we continue to invest in growing our business and expanding our infrastructure. Our primary use of cash includes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and may be accelerated or delayed based on our operating position and business needs. Based upon our current operating plans, we believe that our existing cash, cash equivalents and short-term marketable securities will be sufficient to meet our short- and long-term capital requirements and we do not anticipate expanding our distribution network to include additional locations in the near term. Our forecast of the period of time through which our financial resources will be adequate to support our operations is a forward-looking statement that involves risks and uncertainties, and actual results could vary materially.</w:t>
      </w:r>
    </w:p>
    <w:p>
      <w:pPr>
        <w:spacing w:after="0" w:line="2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decline significantly in 2023 as we completed the first phase of our new distribution center in Texas. We may seek additional equity or debt financing. See the section titled “Risk Factors—Risks Relating to Our Indebtedness and Liquidity—We may require additional capital to support business growth, and this capital might not be available or may be available only by diluting existing stockholders.”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55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196"/>
        </w:trPr>
        <w:tc>
          <w:tcPr>
            <w:tcW w:w="5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(52,105)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(35,019)</w:t>
            </w: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(169,576)</w:t>
            </w: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228,960</w:t>
            </w:r>
          </w:p>
        </w:tc>
      </w:tr>
      <w:tr>
        <w:trPr>
          <w:trHeight w:val="188"/>
        </w:trPr>
        <w:tc>
          <w:tcPr>
            <w:tcW w:w="5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Effect of exchange rate changes on cash, cash equivalents and</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24,301</w:t>
            </w: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Operating Activities</w:t>
      </w:r>
    </w:p>
    <w:p>
      <w:pPr>
        <w:spacing w:after="0" w:line="117" w:lineRule="exact"/>
        <w:rPr>
          <w:sz w:val="20"/>
          <w:szCs w:val="20"/>
          <w:color w:val="auto"/>
        </w:rPr>
      </w:pPr>
    </w:p>
    <w:p>
      <w:pPr>
        <w:jc w:val="both"/>
        <w:ind w:left="180" w:firstLine="324"/>
        <w:spacing w:after="0" w:line="252" w:lineRule="auto"/>
        <w:rPr>
          <w:sz w:val="20"/>
          <w:szCs w:val="20"/>
          <w:color w:val="auto"/>
        </w:rPr>
      </w:pPr>
      <w:r>
        <w:rPr>
          <w:rFonts w:ascii="Arial" w:cs="Arial" w:eastAsia="Arial" w:hAnsi="Arial"/>
          <w:sz w:val="18"/>
          <w:szCs w:val="18"/>
          <w:color w:val="auto"/>
        </w:rPr>
        <w:t>Net cash used in operating activities increased $17.1 million, or 48.8%, for the year ended December 31, 2022 as compared to the same period in 2021. The increase in net cash used in operating activities for the year ended December 31, 2022 was due to $12.5 million of unfavorable changes in operating assets and liabilities and a $4.6 million increase in net loss attributable to common stockholders excluding non-cash and reconciling items disclosed within our consolidated statement of cash flows. The $12.5 million change in operating assets and liabilities was primarily the result of unfavorable changes in seller payable, inventory, accrued and other current liabilities, and accounts payable, partially offset by favorable changes in other current and non-current assets and operating lease liabilities. The $4.6 million increase in net loss attributable to common stockholders excluding non-cash and reconciling items was primarily driven by lower gross margin and higher operating expenses.</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Investing Activities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Net cash provided by investing activities was $8.9 million for the year ended December 31, 2022 compared to net cash used in investing activities of $169.6 million for the same period in 2021. The decrease in net cash used in investing activities for the year ended December 31, 2022 was primarily due a $174.6 million decrease in net cash used to purchase marketable securities and a $23.6 million decrease in acquisitions, partially offset by a $23.4 million net increase in purchases of property and equipment.</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Financing Activities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Net cash used in financing activities increased $232.9 million, or 101.7%, for the year ended December 31, 2022 as compared to the same period in 2021. The increase in net cash used in financing activities for the year ended December 31, 2022 was primarily due to a $222.2 million decrease in net proceeds from the IPO and secondary offerings in 2021, a $6.6 million increase in net repayments of debt, and a $4.2 million decrease in net proceeds from the exercise of employee stock awards.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w:t>
      </w:r>
    </w:p>
    <w:p>
      <w:pPr>
        <w:spacing w:after="0" w:line="13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 xml:space="preserve">Our purchase obligations consist of agreements to purchase goods and services entered into in the ordinary course of business. As of December 31, 2022, the value of our non-cancellable unconditional purchase obligations was $5.7 million. See Note 12,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Consolidated Financial Statements included in Part I, Item 8,</w:t>
      </w:r>
      <w:r>
        <w:rPr>
          <w:rFonts w:ascii="Arial" w:cs="Arial" w:eastAsia="Arial" w:hAnsi="Arial"/>
          <w:sz w:val="18"/>
          <w:szCs w:val="18"/>
          <w:i w:val="1"/>
          <w:iCs w:val="1"/>
          <w:color w:val="auto"/>
        </w:rPr>
        <w:t xml:space="preserve"> Financial Statements and Supplementary Data</w:t>
      </w:r>
      <w:r>
        <w:rPr>
          <w:rFonts w:ascii="Arial" w:cs="Arial" w:eastAsia="Arial" w:hAnsi="Arial"/>
          <w:sz w:val="18"/>
          <w:szCs w:val="18"/>
          <w:color w:val="auto"/>
        </w:rPr>
        <w: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for additional information regarding our purchase obligations.</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For a further discussion on our operating lease commitments and long-term debt as of December 31, 2022, see the sections above as well as Note 8,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Part I,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of this Annual Report on Form 10-K.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 Agreements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business, we enter into agreements of varying scope and terms pursuant to which we agree to indemnify vendors, lessors, business partners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and comprehensive loss or consolidated statements of cash flows.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materially from those estimates.</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more significant areas involving management’s judgments and estimates.</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Recognition</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generate revenue primarily from the sale of secondhand women’s and kids’ apparel, shoes and accessories on behalf of sellers. We retain a percentage of the proceeds received as payment for our consignment service. We report consignment revenue on a net basis as an agent and not the gross amount collected from the buyer. We recognize consignment revenue upon purchase of the seller’s secondhand item by the buyer.</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generate revenue from the sale of our purchased inventory which we refer to as product revenue. We sell our purchased inventory mainly through our online marketplace. We recognize product revenue on a gross basis. Online sales and sales to our retail partners are recognized upon shipment of the purchased secondhand items to the buyer. Sales at retail stores are recognized upon checkout and sales of accepted items from goody boxes are recognized upon acceptance, which generally occurs at the same time as payment.</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Both consignment and product revenue are recognized net of discounts, incentives and returns. Sales tax assessed by governmental authorities is excluded from revenue.</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Loyalty points and rewards are accounted for as separate performance obligations and accrued as deferred revenue in the amount of the transaction price allocated to the points and rewards. The allocated transaction price is based on the estimated fair value per point, net of breakage. Breakage is estimated based on our historical redemption rates. Revenue is recognized when the loyalty rewards are redeemed or expire.</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gift cards and site credits, we recognize breakage revenue when we determine that the redemption of gift cards and site credits is remote.</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estimate the fair value of stock options and the ESPP at the grant date using the Black-Scholes option-pricing model (the “Black-Scholes Model”). The fair values of Restricted Stock Units (“RSU”) are determined based on our stock price on the date of grant. The fair values of equity awards are recognized as compensation expense over the requisite service period or over the period in which the related services are received (generally the vesting period), using the straight-line method. The estimated fair value of equity awards that contain performance conditions is expensed over the term of the award once we have determined that it is probable that performance conditions will be satisfied. We account for forfeitures as they occur.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 per share fair value of the underlying common stock, expected term, risk-free interest rate, expected annual dividend yield and expected stock price volatility over the expected term. For all stock options granted to date, we calculated the expected term using the simplified method (based on the mid-point between the vesting date and the end of the contractual term). We determine volatility using the historical volatility of the stock price of similar publicly traded peer companies. The risk-free interest rate is based on the yield available on United States Treasury zero-coupon issues similar in duration to the expected term of the equity-settled award.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Combinations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significant estimates and assumptions, especially with respect to intangible assets. Our estimates of fair value are based upon assumptions believed to be reasonable, but which are inherently uncertain and unpredictable and, as a result, actual results may differ from estimates. Once the purchase accounting is finalized, any subsequent adjustments are reflected in the consolidated statements of operations. Acquisition costs, such as legal and consulting fees, are expensed as incurred.</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Acquired Intangible Assets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we acquire a business, a portion of the purchase price is typically allocated to identifiable intangible assets, such as trademarks, acquired technology and customer relationships. Fair value of these assets is determined primarily using the income approach, which requires us to project future cash flows and apply an appropriate discount rate. We amortize intangible assets with finite lives over their expected useful lives. Our estimates are based upon assumptions believed to be reasonable but which are inherently uncertain and unpredictable. Assumptions may be incomplete or inaccurate, and unanticipated events and circumstances may occur. Incorrect estimates could result in future impairment charges, and those charges could be material to our results of operations.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Goodwill is not subject to amortization but will be reviewed for impairment on an annual basis or more frequently if events or changes in circumstances indicate that the carrying value of goodwill may not be recoverable.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JOBS Act Accounting Election</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color w:val="auto"/>
        </w:rPr>
        <w:t xml:space="preserve">See discussion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Consolidated Financial Statements included in Part 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for information on new accounting pronouncements.</w:t>
      </w:r>
    </w:p>
    <w:p>
      <w:pPr>
        <w:spacing w:after="0" w:line="2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2022, we had cash and cash equivalents of $38.0 million and marketable securities of $66.9 million, consisting primarily of money market funds, commercial paper, corporate debt securities, U.S. treasury securities and U.S. government agency bonds,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Loan bears variable interest rates tied to the prime rate, with a floor of 6.00%, and therefore carries interest rate risk. If interest rates were to increase or decrease by 1% for the year and our borrowing amounts on the Term Loan remained constant, our annual interest expense could increase or decrease by approximately $0.3 million, respectively.</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 Risk</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recent months, inflation has increased significantly in the U.S. and overseas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transact business in Europe through Remix in multiple currencies. As a result, our operating results, cash flows and net investment in Remix are subject to fluctuations due to changes in foreign currency exchange rates. As of December 31, 2022, our most significant currency exposure was the Bulgarian lev.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Assets and liabilities of our foreign operations are translated into dollars at period-end rates, while income and expenses are translated using the average exchange rate during the period in which the transactions occurred. The related translation adjustments were reflected as an unfavorable foreign currency translation adjustment of $2.4 million during the year ended December 31, 2022, which was recognized in accumulated other comprehensive loss within our consolidated balance sheet.</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hypothetical 10% change in foreign currency exchange rates would not have had a material impact on our financial condition or results of operations during any of the periods presented.</w:t>
      </w: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 Number</w:t>
            </w:r>
          </w:p>
        </w:tc>
      </w:tr>
      <w:tr>
        <w:trPr>
          <w:trHeight w:val="216"/>
        </w:trPr>
        <w:tc>
          <w:tcPr>
            <w:tcW w:w="20" w:type="dxa"/>
            <w:vAlign w:val="bottom"/>
          </w:tcPr>
          <w:p>
            <w:pPr>
              <w:spacing w:after="0"/>
              <w:rPr>
                <w:sz w:val="18"/>
                <w:szCs w:val="18"/>
                <w:color w:val="auto"/>
              </w:rPr>
            </w:pPr>
          </w:p>
        </w:tc>
        <w:tc>
          <w:tcPr>
            <w:tcW w:w="10080" w:type="dxa"/>
            <w:vAlign w:val="bottom"/>
            <w:gridSpan w:val="9"/>
          </w:tcPr>
          <w:p>
            <w:pPr>
              <w:spacing w:after="0"/>
              <w:rPr>
                <w:sz w:val="20"/>
                <w:szCs w:val="20"/>
                <w:color w:val="auto"/>
              </w:rPr>
            </w:pPr>
            <w:r>
              <w:rPr>
                <w:rFonts w:ascii="Arial" w:cs="Arial" w:eastAsia="Arial" w:hAnsi="Arial"/>
                <w:sz w:val="18"/>
                <w:szCs w:val="18"/>
                <w:b w:val="1"/>
                <w:bCs w:val="1"/>
                <w:color w:val="auto"/>
              </w:rPr>
              <w:t>THREDUP INC.</w:t>
            </w:r>
          </w:p>
        </w:tc>
        <w:tc>
          <w:tcPr>
            <w:tcW w:w="114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1008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 xml:space="preserve">Report of Independent Registered Public Accounting Firm – Deloitte &amp; Touche LLP </w:t>
            </w:r>
            <w:r>
              <w:rPr>
                <w:rFonts w:ascii="Arial" w:cs="Arial" w:eastAsia="Arial" w:hAnsi="Arial"/>
                <w:sz w:val="18"/>
                <w:szCs w:val="18"/>
                <w:color w:val="000000"/>
              </w:rPr>
              <w:t>(PCAOB ID: 34)</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80" w:type="dxa"/>
            <w:vAlign w:val="bottom"/>
            <w:gridSpan w:val="9"/>
          </w:tcPr>
          <w:p>
            <w:pPr>
              <w:spacing w:after="0" w:line="189" w:lineRule="exact"/>
              <w:rPr>
                <w:sz w:val="20"/>
                <w:szCs w:val="20"/>
                <w:color w:val="auto"/>
              </w:rPr>
            </w:pPr>
            <w:r>
              <w:rPr>
                <w:rFonts w:ascii="Arial" w:cs="Arial" w:eastAsia="Arial" w:hAnsi="Arial"/>
                <w:sz w:val="18"/>
                <w:szCs w:val="18"/>
                <w:color w:val="0000FF"/>
              </w:rPr>
              <w:t xml:space="preserve">Report of Independent Registered Public Accounting Firm – KPMG LLP </w:t>
            </w:r>
            <w:r>
              <w:rPr>
                <w:rFonts w:ascii="Arial" w:cs="Arial" w:eastAsia="Arial" w:hAnsi="Arial"/>
                <w:sz w:val="18"/>
                <w:szCs w:val="18"/>
                <w:color w:val="000000"/>
              </w:rPr>
              <w:t>(PCAOB ID: 185)</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60</w:t>
            </w: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8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8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Statements of Operations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62</w:t>
            </w: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Consolidated Statements of Comprehensive Loss</w:t>
            </w:r>
          </w:p>
        </w:tc>
        <w:tc>
          <w:tcPr>
            <w:tcW w:w="6120" w:type="dxa"/>
            <w:vAlign w:val="bottom"/>
            <w:tcBorders>
              <w:bottom w:val="single" w:sz="8" w:color="CCEEFF"/>
            </w:tcBorders>
            <w:gridSpan w:val="4"/>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63</w:t>
            </w:r>
          </w:p>
        </w:tc>
      </w:tr>
      <w:tr>
        <w:trPr>
          <w:trHeight w:val="189"/>
        </w:trPr>
        <w:tc>
          <w:tcPr>
            <w:tcW w:w="20" w:type="dxa"/>
            <w:vAlign w:val="bottom"/>
          </w:tcPr>
          <w:p>
            <w:pPr>
              <w:spacing w:after="0"/>
              <w:rPr>
                <w:sz w:val="16"/>
                <w:szCs w:val="16"/>
                <w:color w:val="auto"/>
              </w:rPr>
            </w:pPr>
          </w:p>
        </w:tc>
        <w:tc>
          <w:tcPr>
            <w:tcW w:w="1008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Statements of Preferred Convertible Stock and Stockholders’ Equity (Deficit)</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64</w:t>
            </w: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8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80" w:type="dxa"/>
            <w:vAlign w:val="bottom"/>
            <w:gridSpan w:val="9"/>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66</w:t>
            </w:r>
          </w:p>
        </w:tc>
      </w:tr>
      <w:tr>
        <w:trPr>
          <w:trHeight w:val="763"/>
        </w:trPr>
        <w:tc>
          <w:tcPr>
            <w:tcW w:w="20" w:type="dxa"/>
            <w:vAlign w:val="bottom"/>
          </w:tcPr>
          <w:p>
            <w:pPr>
              <w:spacing w:after="0"/>
              <w:rPr>
                <w:sz w:val="24"/>
                <w:szCs w:val="24"/>
                <w:color w:val="auto"/>
              </w:rPr>
            </w:pPr>
          </w:p>
        </w:tc>
        <w:tc>
          <w:tcPr>
            <w:tcW w:w="3500" w:type="dxa"/>
            <w:vAlign w:val="bottom"/>
            <w:tcBorders>
              <w:top w:val="single" w:sz="8" w:color="0000FF"/>
            </w:tcBorders>
            <w:gridSpan w:val="4"/>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right="2580" w:firstLine="2572"/>
        <w:spacing w:after="0" w:line="41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ThredUp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 of ThredUp Inc. and subsidiaries (the “Company”) as of December 31, 2022, the related consolidated statements of operations, comprehensive loss, convertible preferred stock and stockholders’ equity (deficit), and cash flows, for the year ended December 31, 2022, and the related notes (collectively referred to as the “financial statements”). In our opinion, the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ThredUp Inc.:</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 of ThredUp Inc. and subsidiaries (the Company) as of December 31, 2021, the related consolidated statements of operations, comprehensive loss, convertible preferred stock and stockholders’ equity, and cash flows for each of the years in the two-year period ended December 31, 2021, and the related notes (collectively, the consolidated financial statements). In our opinion, the consolidated financial statements present fairly, in all material respects, the financial position of the Company as of December 31, 2021, and the results of its operations and its cash flows for each of the years in the two-year period ended December 31, 2021, in conformity with U.S. generally accepted accounting principles.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2017 to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0" w:type="dxa"/>
            <w:vAlign w:val="bottom"/>
            <w:gridSpan w:val="4"/>
          </w:tcPr>
          <w:p>
            <w:pPr>
              <w:jc w:val="right"/>
              <w:ind w:right="311"/>
              <w:spacing w:after="0"/>
              <w:rPr>
                <w:sz w:val="20"/>
                <w:szCs w:val="20"/>
                <w:color w:val="auto"/>
              </w:rPr>
            </w:pPr>
            <w:r>
              <w:rPr>
                <w:rFonts w:ascii="Arial" w:cs="Arial" w:eastAsia="Arial" w:hAnsi="Arial"/>
                <w:sz w:val="14"/>
                <w:szCs w:val="14"/>
                <w:i w:val="1"/>
                <w:iCs w:val="1"/>
                <w:color w:val="auto"/>
              </w:rPr>
              <w:t>(in thousands, except par value amounts)</w:t>
            </w:r>
          </w:p>
        </w:tc>
      </w:tr>
      <w:tr>
        <w:trPr>
          <w:trHeight w:val="236"/>
        </w:trPr>
        <w:tc>
          <w:tcPr>
            <w:tcW w:w="778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84,550</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66,902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121,277</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17,519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9,825</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134,195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228,413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92,482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55,466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10,499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13,854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301,948</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360,826</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50,155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45,253</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Seller payable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6,413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84,413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89,413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25,788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27,559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161,947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155,092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88"/>
        </w:trPr>
        <w:tc>
          <w:tcPr>
            <w:tcW w:w="77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Class A and B common stock, $0.0001 par value; 1,120,000 shares authorized as of</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77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December 31, 2022 and 2021; 101,532 and 98,435 shares issued and outstanding as of</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2022 and 2021, respectively</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551,852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522,161</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(407,627)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(315,343)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205,734</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301,948</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360,826</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196"/>
        </w:trPr>
        <w:tc>
          <w:tcPr>
            <w:tcW w:w="6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60" w:type="dxa"/>
            <w:vAlign w:val="bottom"/>
            <w:gridSpan w:val="6"/>
          </w:tcPr>
          <w:p>
            <w:pPr>
              <w:jc w:val="center"/>
              <w:ind w:left="632"/>
              <w:spacing w:after="0"/>
              <w:rPr>
                <w:sz w:val="20"/>
                <w:szCs w:val="20"/>
                <w:color w:val="auto"/>
              </w:rPr>
            </w:pPr>
            <w:r>
              <w:rPr>
                <w:rFonts w:ascii="Arial" w:cs="Arial" w:eastAsia="Arial" w:hAnsi="Arial"/>
                <w:sz w:val="14"/>
                <w:szCs w:val="14"/>
                <w:i w:val="1"/>
                <w:iCs w:val="1"/>
                <w:color w:val="auto"/>
              </w:rPr>
              <w:t>(in thousands, except per share amounts)</w:t>
            </w:r>
          </w:p>
        </w:tc>
        <w:tc>
          <w:tcPr>
            <w:tcW w:w="1120" w:type="dxa"/>
            <w:vAlign w:val="bottom"/>
          </w:tcPr>
          <w:p>
            <w:pPr>
              <w:spacing w:after="0"/>
              <w:rPr>
                <w:sz w:val="17"/>
                <w:szCs w:val="17"/>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174,994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186,114</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138,096</w:t>
            </w:r>
          </w:p>
        </w:tc>
      </w:tr>
      <w:tr>
        <w:trPr>
          <w:trHeight w:val="229"/>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47,919</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288,379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251,792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186,015</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41,856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34,184</w:t>
            </w:r>
          </w:p>
        </w:tc>
      </w:tr>
      <w:tr>
        <w:trPr>
          <w:trHeight w:val="229"/>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23,683</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73,660</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57,867</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178,132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128,148</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101,408</w:t>
            </w: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44,765</w:t>
            </w: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28,564</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281,825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240,518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174,737</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(92,249)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(63,096)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(47,821)</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(92,284)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(63,176)</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(47,877)</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 attributable to common stockholders, basic and diluted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188"/>
        </w:trPr>
        <w:tc>
          <w:tcPr>
            <w:tcW w:w="602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in computing loss per share attributable to</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common stockholders, basic and diluted</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99,817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77,092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11,565</w:t>
            </w: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196"/>
        </w:trPr>
        <w:tc>
          <w:tcPr>
            <w:tcW w:w="6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(47,877)</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loss on available-for-sale securities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comprehensive loss attributable to common stockholders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(95,424)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(64,270)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(47,877)</w:t>
            </w:r>
          </w:p>
        </w:tc>
      </w:tr>
      <w:tr>
        <w:trPr>
          <w:trHeight w:val="21"/>
        </w:trPr>
        <w:tc>
          <w:tcPr>
            <w:tcW w:w="6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222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rPr>
              <w:t>Convertible Preferred Stock</w:t>
            </w:r>
          </w:p>
        </w:tc>
        <w:tc>
          <w:tcPr>
            <w:tcW w:w="60" w:type="dxa"/>
            <w:vAlign w:val="bottom"/>
          </w:tcPr>
          <w:p>
            <w:pPr>
              <w:spacing w:after="0"/>
              <w:rPr>
                <w:sz w:val="17"/>
                <w:szCs w:val="17"/>
                <w:color w:val="auto"/>
              </w:rPr>
            </w:pPr>
          </w:p>
        </w:tc>
        <w:tc>
          <w:tcPr>
            <w:tcW w:w="18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22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1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65,928</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246,905</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10,647</w:t>
            </w:r>
          </w:p>
        </w:tc>
        <w:tc>
          <w:tcPr>
            <w:tcW w:w="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20,483</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(203,725)</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(183,241)</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2019</w:t>
            </w: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Issuance of common stock from</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2,243</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2,170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2,170</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7,336</w:t>
            </w: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Series C preferred stock warrant</w:t>
            </w: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4"/>
                <w:szCs w:val="14"/>
                <w:color w:val="auto"/>
              </w:rPr>
              <w:t>exercise</w:t>
            </w: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(47,877)</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Cumulative effect of accounting</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(565)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change</w:t>
            </w: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2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Balance as of December 31,</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65,971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247,041</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12,890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29,989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(252,167)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(222,177)</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2020</w:t>
            </w: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Issuance of common stock from</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80"/>
              <w:spacing w:after="0" w:line="135" w:lineRule="exact"/>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 units, and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3,646</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6,249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6,249</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13,290</w:t>
            </w: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Shares withheld related to net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4"/>
                <w:szCs w:val="14"/>
                <w:color w:val="auto"/>
              </w:rPr>
              <w:t>share settlement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preferred stock</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warrants to Class B common</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1,827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warrants</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Preferred stock conversion to</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(65,971)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(247,041)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65,971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247,034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247,041</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4"/>
                <w:szCs w:val="14"/>
                <w:color w:val="auto"/>
              </w:rPr>
              <w:t>Class B common stock</w:t>
            </w: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Class A common stock</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upon initial public offering, net</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13,800</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175,533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175,534</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issuance costs</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Cashless exercise of common</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4"/>
                <w:szCs w:val="14"/>
                <w:color w:val="auto"/>
              </w:rPr>
              <w:t>stock warrant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Class A common</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stock upon closing of follow-on</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45,524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45,525</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offering</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Acquisition delayed share</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2,744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4"/>
                <w:szCs w:val="14"/>
                <w:color w:val="auto"/>
              </w:rPr>
              <w:t>issuance</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(63,176)</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Balance as of December 31,</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98,435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522,161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(315,343)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205,734</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2021</w:t>
            </w:r>
          </w:p>
        </w:tc>
        <w:tc>
          <w:tcPr>
            <w:tcW w:w="11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Issuance of common stock from</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80"/>
              <w:spacing w:after="0" w:line="135" w:lineRule="exact"/>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 units, and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3,180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208"/>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27,747</w:t>
            </w:r>
          </w:p>
        </w:tc>
        <w:tc>
          <w:tcPr>
            <w:tcW w:w="0" w:type="dxa"/>
            <w:vAlign w:val="bottom"/>
          </w:tcPr>
          <w:p>
            <w:pPr>
              <w:spacing w:after="0"/>
              <w:rPr>
                <w:sz w:val="1"/>
                <w:szCs w:val="1"/>
                <w:color w:val="auto"/>
              </w:rPr>
            </w:pPr>
          </w:p>
        </w:tc>
      </w:tr>
      <w:tr>
        <w:trPr>
          <w:trHeight w:val="167"/>
        </w:trPr>
        <w:tc>
          <w:tcPr>
            <w:tcW w:w="2260" w:type="dxa"/>
            <w:vAlign w:val="bottom"/>
          </w:tcPr>
          <w:p>
            <w:pPr>
              <w:ind w:left="20"/>
              <w:spacing w:after="0"/>
              <w:rPr>
                <w:sz w:val="20"/>
                <w:szCs w:val="20"/>
                <w:color w:val="auto"/>
              </w:rPr>
            </w:pPr>
            <w:r>
              <w:rPr>
                <w:rFonts w:ascii="Arial" w:cs="Arial" w:eastAsia="Arial" w:hAnsi="Arial"/>
                <w:sz w:val="14"/>
                <w:szCs w:val="14"/>
                <w:color w:val="auto"/>
              </w:rPr>
              <w:t>Shares withheld related to net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4"/>
                <w:szCs w:val="14"/>
                <w:color w:val="auto"/>
              </w:rPr>
              <w:t>share settlement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(92,284)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(92,284)</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(3,140)</w:t>
            </w: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Balance as of December 31,</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101,532</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551,852</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(407,627)</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140,001</w:t>
            </w:r>
          </w:p>
        </w:tc>
        <w:tc>
          <w:tcPr>
            <w:tcW w:w="0" w:type="dxa"/>
            <w:vAlign w:val="bottom"/>
          </w:tcPr>
          <w:p>
            <w:pPr>
              <w:spacing w:after="0"/>
              <w:rPr>
                <w:sz w:val="1"/>
                <w:szCs w:val="1"/>
                <w:color w:val="auto"/>
              </w:rPr>
            </w:pPr>
          </w:p>
        </w:tc>
      </w:tr>
      <w:tr>
        <w:trPr>
          <w:trHeight w:val="164"/>
        </w:trPr>
        <w:tc>
          <w:tcPr>
            <w:tcW w:w="2260" w:type="dxa"/>
            <w:vAlign w:val="bottom"/>
            <w:shd w:val="clear" w:color="auto" w:fill="CCEEFF"/>
          </w:tcPr>
          <w:p>
            <w:pPr>
              <w:ind w:left="180"/>
              <w:spacing w:after="0" w:line="144" w:lineRule="exact"/>
              <w:rPr>
                <w:sz w:val="20"/>
                <w:szCs w:val="20"/>
                <w:color w:val="auto"/>
              </w:rPr>
            </w:pPr>
            <w:r>
              <w:rPr>
                <w:rFonts w:ascii="Arial" w:cs="Arial" w:eastAsia="Arial" w:hAnsi="Arial"/>
                <w:sz w:val="14"/>
                <w:szCs w:val="14"/>
                <w:color w:val="auto"/>
              </w:rPr>
              <w:t>2022</w:t>
            </w:r>
          </w:p>
        </w:tc>
        <w:tc>
          <w:tcPr>
            <w:tcW w:w="11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(92,284)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(63,176)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(47,877)</w:t>
            </w:r>
          </w:p>
        </w:tc>
        <w:tc>
          <w:tcPr>
            <w:tcW w:w="0" w:type="dxa"/>
            <w:vAlign w:val="bottom"/>
          </w:tcPr>
          <w:p>
            <w:pPr>
              <w:spacing w:after="0"/>
              <w:rPr>
                <w:sz w:val="1"/>
                <w:szCs w:val="1"/>
                <w:color w:val="auto"/>
              </w:rPr>
            </w:pPr>
          </w:p>
        </w:tc>
      </w:tr>
      <w:tr>
        <w:trPr>
          <w:trHeight w:val="188"/>
        </w:trPr>
        <w:tc>
          <w:tcPr>
            <w:tcW w:w="60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Adjustments to reconcile net loss attributable to common stockholders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 net cash used in operating activities:</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29"/>
        </w:trPr>
        <w:tc>
          <w:tcPr>
            <w:tcW w:w="6020" w:type="dxa"/>
            <w:vAlign w:val="bottom"/>
          </w:tcPr>
          <w:p>
            <w:pPr>
              <w:ind w:left="340"/>
              <w:spacing w:after="0"/>
              <w:rPr>
                <w:sz w:val="20"/>
                <w:szCs w:val="20"/>
                <w:color w:val="auto"/>
              </w:rPr>
            </w:pPr>
            <w:r>
              <w:rPr>
                <w:rFonts w:ascii="Arial" w:cs="Arial" w:eastAsia="Arial" w:hAnsi="Arial"/>
                <w:sz w:val="18"/>
                <w:szCs w:val="18"/>
                <w:color w:val="auto"/>
              </w:rPr>
              <w:t>Reduction in carrying amount of right-of-use assets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60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602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and non-current assets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and other current liabilities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30"/>
        </w:trPr>
        <w:tc>
          <w:tcPr>
            <w:tcW w:w="6020" w:type="dxa"/>
            <w:vAlign w:val="bottom"/>
          </w:tcPr>
          <w:p>
            <w:pPr>
              <w:ind w:left="500"/>
              <w:spacing w:after="0"/>
              <w:rPr>
                <w:sz w:val="20"/>
                <w:szCs w:val="20"/>
                <w:color w:val="auto"/>
              </w:rPr>
            </w:pPr>
            <w:r>
              <w:rPr>
                <w:rFonts w:ascii="Arial" w:cs="Arial" w:eastAsia="Arial" w:hAnsi="Arial"/>
                <w:sz w:val="18"/>
                <w:szCs w:val="18"/>
                <w:color w:val="auto"/>
              </w:rPr>
              <w:t>Seller payable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0" w:type="dxa"/>
            <w:vAlign w:val="bottom"/>
          </w:tcPr>
          <w:p>
            <w:pPr>
              <w:spacing w:after="0"/>
              <w:rPr>
                <w:sz w:val="1"/>
                <w:szCs w:val="1"/>
                <w:color w:val="auto"/>
              </w:rPr>
            </w:pPr>
          </w:p>
        </w:tc>
      </w:tr>
      <w:tr>
        <w:trPr>
          <w:trHeight w:val="209"/>
        </w:trPr>
        <w:tc>
          <w:tcPr>
            <w:tcW w:w="60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Maturities of marketable securities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non-marketable equity investment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rPr>
              <w:t>Acquisition of business, net of cash acquired</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(19,424)</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(169,576)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Proceeds from debt, net of discount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18,352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188"/>
        </w:trPr>
        <w:tc>
          <w:tcPr>
            <w:tcW w:w="6020" w:type="dxa"/>
            <w:vAlign w:val="bottom"/>
          </w:tcPr>
          <w:p>
            <w:pPr>
              <w:ind w:left="180"/>
              <w:spacing w:after="0" w:line="189" w:lineRule="exact"/>
              <w:rPr>
                <w:sz w:val="20"/>
                <w:szCs w:val="20"/>
                <w:color w:val="auto"/>
              </w:rPr>
            </w:pPr>
            <w:r>
              <w:rPr>
                <w:rFonts w:ascii="Arial" w:cs="Arial" w:eastAsia="Arial" w:hAnsi="Arial"/>
                <w:sz w:val="18"/>
                <w:szCs w:val="18"/>
                <w:color w:val="auto"/>
              </w:rPr>
              <w:t>Proceeds from issuance of Class A common stock, net of underwriting</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discounts and commissions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226,905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costs for the initial public offering and the follow-on offering</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188"/>
        </w:trPr>
        <w:tc>
          <w:tcPr>
            <w:tcW w:w="6020" w:type="dxa"/>
            <w:vAlign w:val="bottom"/>
          </w:tcPr>
          <w:p>
            <w:pPr>
              <w:ind w:left="180"/>
              <w:spacing w:after="0" w:line="189" w:lineRule="exact"/>
              <w:rPr>
                <w:sz w:val="20"/>
                <w:szCs w:val="20"/>
                <w:color w:val="auto"/>
              </w:rPr>
            </w:pPr>
            <w:r>
              <w:rPr>
                <w:rFonts w:ascii="Arial" w:cs="Arial" w:eastAsia="Arial" w:hAnsi="Arial"/>
                <w:sz w:val="18"/>
                <w:szCs w:val="18"/>
                <w:color w:val="auto"/>
              </w:rPr>
              <w:t>Proceeds from exercise of stock options and employee stock purchase</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plan</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6,506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 related to vesting of restricted stock units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228,960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18,215</w:t>
            </w:r>
          </w:p>
        </w:tc>
        <w:tc>
          <w:tcPr>
            <w:tcW w:w="0" w:type="dxa"/>
            <w:vAlign w:val="bottom"/>
          </w:tcPr>
          <w:p>
            <w:pPr>
              <w:spacing w:after="0"/>
              <w:rPr>
                <w:sz w:val="1"/>
                <w:szCs w:val="1"/>
                <w:color w:val="auto"/>
              </w:rPr>
            </w:pPr>
          </w:p>
        </w:tc>
      </w:tr>
      <w:tr>
        <w:trPr>
          <w:trHeight w:val="168"/>
        </w:trPr>
        <w:tc>
          <w:tcPr>
            <w:tcW w:w="60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Effect of exchange rate changes on cash, cash equivalents and restricted</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87,853</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44,051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91,840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67,539</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2,058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disclosures of noncash investing and financing activities: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20" w:type="dxa"/>
            <w:vAlign w:val="bottom"/>
          </w:tcPr>
          <w:p>
            <w:pPr>
              <w:ind w:left="180"/>
              <w:spacing w:after="0" w:line="189" w:lineRule="exact"/>
              <w:rPr>
                <w:sz w:val="20"/>
                <w:szCs w:val="20"/>
                <w:color w:val="auto"/>
              </w:rPr>
            </w:pPr>
            <w:r>
              <w:rPr>
                <w:rFonts w:ascii="Arial" w:cs="Arial" w:eastAsia="Arial" w:hAnsi="Arial"/>
                <w:sz w:val="18"/>
                <w:szCs w:val="18"/>
                <w:color w:val="auto"/>
              </w:rPr>
              <w:t>Purchases of property and equipment included in accounts payable and</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5,677</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3,739</w:t>
            </w:r>
          </w:p>
        </w:tc>
        <w:tc>
          <w:tcPr>
            <w:tcW w:w="8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03"/>
        </w:trPr>
        <w:tc>
          <w:tcPr>
            <w:tcW w:w="6020" w:type="dxa"/>
            <w:vAlign w:val="bottom"/>
          </w:tcPr>
          <w:p>
            <w:pPr>
              <w:ind w:left="340"/>
              <w:spacing w:after="0" w:line="203" w:lineRule="exact"/>
              <w:rPr>
                <w:sz w:val="20"/>
                <w:szCs w:val="20"/>
                <w:color w:val="auto"/>
              </w:rPr>
            </w:pPr>
            <w:r>
              <w:rPr>
                <w:rFonts w:ascii="Arial" w:cs="Arial" w:eastAsia="Arial" w:hAnsi="Arial"/>
                <w:sz w:val="18"/>
                <w:szCs w:val="18"/>
                <w:color w:val="auto"/>
              </w:rPr>
              <w:t>accrued liabilities</w:t>
            </w:r>
          </w:p>
        </w:tc>
        <w:tc>
          <w:tcPr>
            <w:tcW w:w="4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 obtained in exchange for new lease liabilities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ind w:right="3280" w:firstLine="3289"/>
        <w:spacing w:after="0" w:line="375" w:lineRule="auto"/>
        <w:rPr>
          <w:sz w:val="20"/>
          <w:szCs w:val="20"/>
          <w:color w:val="auto"/>
        </w:rPr>
      </w:pPr>
      <w:r>
        <w:rPr>
          <w:rFonts w:ascii="Arial" w:cs="Arial" w:eastAsia="Arial" w:hAnsi="Arial"/>
          <w:sz w:val="18"/>
          <w:szCs w:val="18"/>
          <w:b w:val="1"/>
          <w:bCs w:val="1"/>
          <w:color w:val="auto"/>
        </w:rPr>
        <w:t>NOTES TO CONSOLIDATED FINANCIAL STATEMENTS 1. Organization and Description of Business</w:t>
      </w:r>
    </w:p>
    <w:p>
      <w:pPr>
        <w:spacing w:after="0" w:line="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operates a large resale platform that enables consumers to buy and sell primarily secondhand apparel, shoes, and accessories.</w:t>
      </w:r>
    </w:p>
    <w:p>
      <w:pPr>
        <w:spacing w:after="0" w:line="284" w:lineRule="exact"/>
        <w:rPr>
          <w:sz w:val="20"/>
          <w:szCs w:val="20"/>
          <w:color w:val="auto"/>
        </w:rPr>
      </w:pPr>
    </w:p>
    <w:p>
      <w:pPr>
        <w:ind w:left="180" w:right="8340" w:hanging="172"/>
        <w:spacing w:after="0" w:line="388" w:lineRule="auto"/>
        <w:tabs>
          <w:tab w:leader="none" w:pos="21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balances and transactions have been eliminated upon consolidation.</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Reclassifications</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Certain reclassifications were made to the prior period consolidated statements of cash flows to conform to the current period presentation.</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accordance with accounting principles generally accepted in the United States of America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breakage on loyalty points and rewards and gift cards, valuation of inventory, stock-based compensation, right-of-use assets, goodwill and acquired intangibles, and income taxes. Estimates and assumptions about future events and their effects cannot be determined with certainty and therefore require the exercise of significant judgment.</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 Measurement of Credit Losses on Financial Instruments</w:t>
      </w:r>
      <w:r>
        <w:rPr>
          <w:rFonts w:ascii="Arial" w:cs="Arial" w:eastAsia="Arial" w:hAnsi="Arial"/>
          <w:sz w:val="18"/>
          <w:szCs w:val="18"/>
          <w:color w:val="auto"/>
        </w:rPr>
        <w:t>. This ASU changes the impairment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for most financial assets, requiring the use of an expected loss model which requires entities to estimate the lifetime expected credit loss on financial assets measured at amortized cost. Such credit losses will be recorded as an allowance to offset the amortized cost of the financial asset, resulting in a net presentation of the amount expected to be collected on the financial asset. In addition, credit losses relating to available-for-sale debt securities will now be recorded through an allowance for credit losses rather than as a direct write-down to the security. This standard is effective for fiscal years beginning after December 15, 2022, including interim periods within those fiscal years. The adoption of this guidance will not have a material impact on the Company’s consolidated financial statements.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Generally, the functional currency of the Company’s subsidiaries is the local currency. In accordance with authoritative guidance, assets and liabilities of the Company’s foreign operations are translated from the respective functional currencies into U.S. dollars at period-end rates, while income and expenses are translated using the average exchange rate during the period in which the transactions occurred. The related translation adjustments are reflected as a foreign currency translation adjustment in accumulated other comprehensive loss within the Company’s consolidated balance sheets.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Revenue is recognized in accordance with FASB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Under ASC 606, revenue is recognized upon transfer of control of promised goods and services to customers in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that reflects the consideration the Company expects to receive for those goods and services. The Company generates the majority of its revenue from its marketplace, which allows its buyers to browse and purchase resale items for women’s and kids’ apparel, shoes and accessories on behalf of sellers. The Company recognizes revenue through the following steps: (1) identification of the contract, or contracts, with the customer; (2) identification of the performance obligations in the contract; (3) determination of the transaction price; (4) allocation of the transaction price to the performance obligations in the contract; and (5) recognition of revenue when, or as, it satisfies a performance obligation.</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Both buyers and sellers may be customers in the Company’s revenue arrangements. Sellers are the primary customer in a consignment arrangement while the buyer is the primary customer in sale of Company-owned inventory, referred to as product sales. A contract with a customer exists in both cases when the end-customer purchases the goods obligating the Company to deliver the identified performance obligation(s). Generally, the Company requires authorization from a credit card or other payment method (such as PayPal), or verification of receipt of payment, before the products are shipped to buyers. The Company generally receives payments from buyers before payments to the sellers are due.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Consignment Revenue</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generates consignment revenue from the sale of secondhand women’s and kids’ apparel, shoes and accessories on behalf of sellers. The Company retains a percentage of the proceeds received as payment for its consignment service. The Company reports consignment revenue on a net basis as an agent and not the gross amount collected from the buyer. Title to the consigned goods remain with the seller until transferred to the buyer, which occurs subsequent to purchase of the consigned goods and upon expiration of the allotted return period. The Company does not take title of consigned goods at any time except in certain cases where the consignment window expires or returned goods become Company-owned inventory.</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Consignment revenue is generally recognized upon purchase of the consigned good by the buyer as its performance obligation of providing consignment services to the consignor is satisfied at that point. Consignment revenue is also recognized upon purchase of the consigned good for which the consignment window has already expired and the Company has taken title to the consigned good. Consignment revenue is recognized net of seller payouts, discounts, incentives and returns. Sales tax assessed by governmental authorities is excluded from revenue.</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Revenue</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recognizes product revenue on a gross basis as the Company acts as the principal in the transaction. Online sales and sales to third-party retail partners are generally recognized upon shipment of the purchased good to the buyer. Product revenue is recognized net of discounts, incentives and returns. Sales tax assessed by governmental authorities is excluded from revenue.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Shipping Fees</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charges shipping fees to buyers, which are included in revenue. All outbound shipping costs are accounted for in cost of revenue at the time revenue is recognized.</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Returns</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generally has a 14-day return period which may change from time to time and recognizes a returns reserve, based on historical experience, which is recorded in accrued and other current liabilities within the Company’s consolidated balance sheets.</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Incentives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Incentives include website discounts, customer credits and loyalty program rewards issued to sellers and buyers. Incentives are treated as a reduction of product revenue and consignment revenue. Revenue treatment for our loyalty program is discussed further below under Deferred Revenue.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Revenue</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Deferred revenue consists primarily of cash collections for product items purchased, but not shipped, and revenue allocated to unredeemed loyalty points. Cash collections for items purchased, but not shipped, are generally recognized as revenue upon shipment. As of December 31, 2022 and 2021, the Company had $4.3 million and $1.7 million, respectively, in deferred revenue for such items, which were recognized shortly after the period end, and are included in accrued and other current liabilities within the Company’s consolidated balance sheets.</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 has a customer loyalty program that provides customers with rewards that can be applied to future purchases or other incentives. Loyalty points and rewards are accounted for as separate performance obligations and accrued as deferred revenue in the amount of the transaction price allocated to the points and rewards. The allocated transaction price is based on the estimated fair value per point, net of breakage. Breakage is estimated based on the Company’s historical redemption rates. Revenue is recognized when the loyalty rewards are redeemed or expire. As of December 31, 2022 and 2021, the Company had a liability of $3.3 million and $4.0 million, respectively, related to the loyalty program which is included in accrued and other current liabilities within the Company’s consolidated balance sheets. The Company recognized $9.4 million, $13.8 million, and $6.6 million of revenue related to loyalty points during the years ended December 31, 2022, 2021, and 2020, respectively. Revenue allocated to loyalty points is expected to be recognized within one year as loyalty points expire 12 months after issuance.</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by Geographic Area</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Revenue is attributed to a geographic area based on the shipped-from location. The following summarizes the Company’s revenue by geographic area:</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196"/>
        </w:trPr>
        <w:tc>
          <w:tcPr>
            <w:tcW w:w="4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186,015</w:t>
            </w:r>
          </w:p>
        </w:tc>
      </w:tr>
      <w:tr>
        <w:trPr>
          <w:trHeight w:val="23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288,379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186,015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Segment Reporting</w:t>
      </w:r>
    </w:p>
    <w:p>
      <w:pPr>
        <w:spacing w:after="0" w:line="13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Company operates under one operating segment and one reportable segment as its chief operating decision maker, who is its Chief Executive Officer, reviews financial information presented on a consolidated basis for purposes of making operating decisions, allocating resources and evaluating financial performance.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Combinations</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intangible assets. Significant estimates in valuing intangible assets include, but are not limited to, expected future cash flows, which includes consideration of future growth and margins, future changes in technology, brand awareness and discount rates. Fair value estimates are based on the assumptions that management believes to be reasonable, but which are inherently uncertain and unpredictable and, as a result, actual results may differ from estimates. After the purchase accounting is finalized, any subsequent adjustments are reflected in the consolidated statements of operations. Acquisition costs, such as legal and consulting fees, are expensed as incurred.</w:t>
      </w:r>
    </w:p>
    <w:p>
      <w:pPr>
        <w:spacing w:after="0" w:line="30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 Per Share Attributable to Common Stockholders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follows the two-class method when computing loss per common share when shares issued meet the definition of participating securities. The two-class method determines loss per share for each class of common stock and participating securities according to dividends declared or accumulated and participation rights in undistributed earnings. The two-class method requires income available to stockholders for the period to be allocated between common stock and participating securities based upon their respective rights to receive dividends as if all income for the period had been distributed.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rights of the Class A common stock and Class B common stock are identical, other than voting rights. The undistributed earnings are allocated on a proportionate basis and the resulting loss per share attributed to common stockholders will, therefore, be the same for both Class A and Class B common stock on an individual or combined basis.</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periods in which the Company reports net losses, diluted loss per share attributable to common stockholders is the same as basic loss per share attributable to common stockholders, because potentially dilutive common shares are not assumed to have been issued if their effect is anti-dilutive.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Comprehensive Loss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Comprehensive loss is comprised of net loss attributable to common stockholders, foreign currency translation adjustments, and unrealized gains and losses on available-for-sale securities. See Note 10, </w:t>
      </w:r>
      <w:r>
        <w:rPr>
          <w:rFonts w:ascii="Arial" w:cs="Arial" w:eastAsia="Arial" w:hAnsi="Arial"/>
          <w:sz w:val="18"/>
          <w:szCs w:val="18"/>
          <w:i w:val="1"/>
          <w:iCs w:val="1"/>
          <w:color w:val="auto"/>
        </w:rPr>
        <w:t>Common Stock and Stockholders’ Equity (Deficit)</w:t>
      </w:r>
      <w:r>
        <w:rPr>
          <w:rFonts w:ascii="Arial" w:cs="Arial" w:eastAsia="Arial" w:hAnsi="Arial"/>
          <w:sz w:val="18"/>
          <w:szCs w:val="18"/>
          <w:color w:val="auto"/>
        </w:rPr>
        <w:t>, for the description and detail of the components of accumulated other comprehensive loss.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to be cash equivalents. Cash and cash equivalents are comprised primarily of domestic and foreign bank accounts, commercial paper, and money market funds.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Restricted cash primarily represents letters of credit with financial institutions held as collateral for its facility leases. Restricted cash is classified non-current if the Company expects that the cash will remain restricted for a period greater than one year.</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consolidated balance sheets that sum to the total of the same such amounts shown in the Company’s consolidated statements of cash flows:</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84,550</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168"/>
        </w:trPr>
        <w:tc>
          <w:tcPr>
            <w:tcW w:w="5500" w:type="dxa"/>
            <w:vAlign w:val="bottom"/>
          </w:tcPr>
          <w:p>
            <w:pPr>
              <w:ind w:left="20"/>
              <w:spacing w:after="0" w:line="168" w:lineRule="exact"/>
              <w:rPr>
                <w:sz w:val="20"/>
                <w:szCs w:val="20"/>
                <w:color w:val="auto"/>
              </w:rPr>
            </w:pPr>
            <w:r>
              <w:rPr>
                <w:rFonts w:ascii="Arial" w:cs="Arial" w:eastAsia="Arial" w:hAnsi="Arial"/>
                <w:sz w:val="18"/>
                <w:szCs w:val="18"/>
                <w:color w:val="auto"/>
              </w:rPr>
              <w:t>Total cash, cash equivalents, and restricted cash shown in the</w:t>
            </w:r>
          </w:p>
        </w:tc>
        <w:tc>
          <w:tcPr>
            <w:tcW w:w="1040" w:type="dxa"/>
            <w:vAlign w:val="bottom"/>
            <w:vMerge w:val="restart"/>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44,051</w:t>
            </w:r>
          </w:p>
        </w:tc>
        <w:tc>
          <w:tcPr>
            <w:tcW w:w="100" w:type="dxa"/>
            <w:vAlign w:val="bottom"/>
          </w:tcPr>
          <w:p>
            <w:pPr>
              <w:spacing w:after="0"/>
              <w:rPr>
                <w:sz w:val="14"/>
                <w:szCs w:val="14"/>
                <w:color w:val="auto"/>
              </w:rPr>
            </w:pP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91,840</w:t>
            </w:r>
          </w:p>
        </w:tc>
        <w:tc>
          <w:tcPr>
            <w:tcW w:w="0" w:type="dxa"/>
            <w:vAlign w:val="bottom"/>
          </w:tcPr>
          <w:p>
            <w:pPr>
              <w:spacing w:after="0"/>
              <w:rPr>
                <w:sz w:val="1"/>
                <w:szCs w:val="1"/>
                <w:color w:val="auto"/>
              </w:rPr>
            </w:pPr>
          </w:p>
        </w:tc>
      </w:tr>
      <w:tr>
        <w:trPr>
          <w:trHeight w:val="208"/>
        </w:trPr>
        <w:tc>
          <w:tcPr>
            <w:tcW w:w="5500" w:type="dxa"/>
            <w:vAlign w:val="bottom"/>
          </w:tcPr>
          <w:p>
            <w:pPr>
              <w:ind w:left="180"/>
              <w:spacing w:after="0" w:line="203" w:lineRule="exact"/>
              <w:rPr>
                <w:sz w:val="20"/>
                <w:szCs w:val="20"/>
                <w:color w:val="auto"/>
              </w:rPr>
            </w:pPr>
            <w:r>
              <w:rPr>
                <w:rFonts w:ascii="Arial" w:cs="Arial" w:eastAsia="Arial" w:hAnsi="Arial"/>
                <w:sz w:val="18"/>
                <w:szCs w:val="18"/>
                <w:color w:val="auto"/>
              </w:rPr>
              <w:t>statement of cash flows</w:t>
            </w:r>
          </w:p>
        </w:tc>
        <w:tc>
          <w:tcPr>
            <w:tcW w:w="10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Marketable Securities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invests its excess cash in investment grade, short to intermediate-term, fixed income securities and recognizes the transaction on the trade date. The Company’s marketable securities are classified as available-for-sale in current assets because they represent investments of cash available for current operations. Marketable securities are reported at fair value with unrealized gains and losses reported, net of tax, as a separate component of accumulated other comprehensive gain (loss) until realized. The marketable securities are reviewed periodically to identify possible other-than-temporary impairments. Realized gains or losses and other-than-temporary impairments, if any, on available-for sale securities are reported in other income, net as incurred.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Concentrations of Credit Risk</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marketable securities and accounts receivable. The Company deposits cash at major financial institutions, and at times, such cash may exceed federally insured limits. The credit risk is believed to be minimal due to the financial position of the depository institutions in which those deposits are held. The Company has not experienced any losses on deposits since inception. The Company’s investment policy restricts cash investments to highly liquid, short to intermediate-term, high grade fixed income securities, and as a result, the Company believes its cash equivalents and marketable securities represent minimal credit risk.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2022 and 2021, there were no customers that represented 10% or more of the Company’s accounts receivable balance. There were no customers that individually exceeded 10% of the Company’s revenue for the years ended December 31, 2022, 2021, and 2020.</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Accounts receivable consists of amounts due from payment processors and trade customers that do not bear interest. The Company records an allowance for doubtful accounts for estimated losses inherent in its trade accounts receivable portfolio. In establishing the required allowance, management considers historical losses adjusted for current market conditions, the financial condition of the customer, the amount of receivables in dispute, and the current receivables aging and payment patterns. The Company does not have any off-balance sheet credit exposure related to its customers. The allowance for doubtful accounts was immaterial as of December 31, 2022 and 2021.</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Inventory</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Inventories, consisting of merchandise that the Company has purchased and holds title, are accounted for using the specific identification method, and are valued at the lower of cost and net realizable value. The cost of inventory is equal to the cost of the merchandise paid to the seller and related inbound shipping costs. Inventory valuation requires the Company to make judgments based on currently available information about the likely method of disposition, such as through sales to individual customers or liquidations, and expected recoverable values of each disposition category. The Company records an inventory write-down based on the age of the inventory and historical experience of expected sell-through.</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and Equipment, Net</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Property and equipment are stated at cost less accumulated depreciation. Depreciation of furniture, fixtures, and equipment (including computer hardware and software) is computed on a straight-line basis over the estimated useful lives of the related assets, which range from one to ten years. Leasehold improvements are amortized on a straight-line basis over the life of the related asset or the term of the lease, whichever is shorter.</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Maintenance and repairs are charged to expense as incurred, and improvements are capitalized.</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When assets are retired or otherwise disposed of, the cost and accumulated depreciation and amortization are removed from the Company’s consolidated balance sheet and any resulting gain or loss is reflected in the consolidated statement of operations in the period realized.</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Internal-Use Software</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capitalizes qualifying proprietary software development costs that are incurred during the application development stage. Capitalization of costs begins when two criteria are met: (i) the preliminary project stage is completed, and (ii) it is probable that the software will be completed and placed in service for its intended use.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of Long-Lived Assets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the carrying amount of an asset group may not be recoverable. Recoverability of assets held and used is measured by comparison of the carrying amount of an asset to the future undiscounted cash flows expected to be generated from the use of the asset and its eventual disposition. If such assets are considered to be impaired, the impairment to be recognized is equal to the excess of the fair value over the carrying amount of the impaired assets. There were no impairments of long-lived assets for the years ended December 31, 2022, 2021, and 2020.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Goodwill is not subject to amortization, but is reviewed for impairment on an annual basis or more frequently if events or changes in circumstances indicate that the carrying value of goodwill may not be recoverable. The Company performed a qualitative assessment during the fourth quarter of 2022 and determined that the fair value of its single reporting unit is greater than its carrying value. If it is determined that it is more likely than not that the fair value of the reporting unit is less than its carrying amount or if a qualitative assessment is not performed, then the Company would perform the quantitative goodwill impairment test as required, in which it would use a discounted cash flow approach to estimate the fair value of the reporting unit. If the fair value of the reporting unit is less than the carrying value, then a goodwill impairment amount is recorded for the difference. During the years ended December 31, 2022, 2021, and 2020, there were no additions to or impairment of goodwill.</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Acquired Intangible Assets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a business is acquired, a portion of the purchase price is typically allocated to identifiable intangible assets, such as trademark, acquired technology and customer relationships. Fair value of these assets is determined primarily using the income approach, which requires management to project future cash flows and apply an appropriate discount rate. Intangible assets with finite lives are amortized on a straight-line basis over their economic lives ranging from 3 years to 9 years. Estimates are based upon assumptions believed to be reasonable but which are inherently uncertain and unpredictable. Assumptions may be incomplete or inaccurate, and unanticipated events and circumstances may occur. Incorrect estimates could result in future impairment charges, and those charges could be material to the Company’s results of operations.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Investment</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In October 2021, the Company made a strategic investment in preferred shares of a privately held online retail company. The Company accounts for its investment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(“ASC 321”). Upon acquisition, the investment was measured at cost, which represented the then fair value of $3.8 million and was included in other assets within the Company’s consolidated balance sheet as of December 31, 2021. Under ASC 321, the Company can elect to subsequently measure the investments at initial cost, minus impairment and any changes, plus or minus, resulting from observable price in orderly transactions for the identical or a similar investment of the same issuer. This election must be made for each investment separately. Changes in the carrying value of other investment are recognized within the Company’s consolidated statements of operations. Each reporting period, the Company performs a qualitative assessment to evaluate whether the investment is impaired. The Company’s assessment includes a review of recent operating results and trends, recent sales and acquisitions of the investee securities and other factors that raise concerns about the investee’s ability to continue as a going concern. If the investment is impaired, an impairment charge is recognized in the amount by which the carrying amount of the investment exceeds the estimated fair value of the investment, with the impairment charge recognized within the Company’s consolidated statements of operations. During the year ended December 31, 2022, the Company recorded an impairment loss of $3.8 million related to its non-marketable equity investment in other expense, net within its consolidated statement of operations.</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 Retirement Obligations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records asset retirement obligations (“AROs”) for the estimated cost of restoring its automated warehouse facilities to the specific condition required per the terms of its lease agreement, upon termination of the lease. AROs represent the present value of the expected costs and timing of the related obligations incurred. The ARO assets and liabilities are recorded in property and equipment, net within the machinery and equipment line item and other non-current liabilities, respectively, within the Company’s consolidated balance sheets. The Company records accretion expense, which represents the increase in the ARO, over the remaining estimated duration of the lease including renewal periods that are included in the lease term. Accretion expense is recorded in operations, product and technology expense in the consolidated statements of operations using accretion rates based on credit adjusted risk-free interest rates.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ASC 842, the Company determines if an arrangement is or contains a lease at inception by assessing whether the arrangement contains an identified asset and whether it has the right to control the identified asset. Lessees are required to classify leases as either finance or operating leases and to record a right-of-use (“ROU”) asset and a lease liability for all leases with a term greater than 12 months regardless of the lease classification. The lease classification will determine whether the lease expense is recognized based on an effective interest rate method or on a straight-line basis over the term of the lease. The Company determines the initial classification and measurement of its ROU assets and lease liabilities at the lease commencement date and thereafter if modified. ROU assets represent the Company's right to use an underlying asset for the lease term and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the implicit rate in the Company's leases is generally unknown, the Company uses its incremental borrowing rate based on the information available at the lease commencement date in determining the present value of future lease payments. The Company gives consideration to its existing credit arrangements, term of the lease, total lease payments and adjust for the impacts of collateral, as necessary, when calculating its incremental borrowing rates. The lease terms may include options to extend or terminate the lease when it is reasonably certain the Company will exercise any such options. Lease costs for the Company's operating leases are recognized on a straight-line basis within operating expenses over the lease term.</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elected to not separate lease and non-lease components for real estate leases and, as a result, accounts for lease and non-lease components as one component. The Company has also elected to not apply the recognition requirement to any leases within its existing classes of assets with a term of 12 months or less. For these leases, lease payments are recognized on a straight-line basis over the lease term and variable payments in the period in which the obligation is incurred.</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Seller Payable</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Seller payable includes amounts owed to sellers upon the purchase of sellers’ goods by the Company or by buyers. Amounts are initially provided as a credit to sellers. These credits may be applied towards purchases from the Company, converted to third-party retailer or thredUP gift cards or redeemed for cash. As of December 31, 2022 and 2021, there was $16.2 million and $19.1 million, respectively, of seller payable within the Company’s consolidated balance sheets.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Gift Cards and Site Credits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sells thredUP gift cards on its e-commerce website. thredUP gift cards do not expire or lose value over periods of inactivity. The Company accounts for gift cards by recognizing a gift card liability at the time a gift card is delivered to the customer. As of December 31, 2022 and 2021, $10.9 million and $7.3 million of gift card liability, respectively, was included in accrued and other current liabilities within the Company’s consolidated balance sheets. Revenue from gift cards is generally recognized when the gift cards are redeemed by the customer and amounted to $1.0 million, $0.9 million and $0.6 million during the years ended December 31, 2022, 2021, and 2020, respectively.</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issues site credits for order refunds. Site credits can be applied towards future charges but may not be converted into cash. Site credits may also be converted to thredUP gift cards after one year at the discretion of the Company. These credits are recognized as revenue when used. As of December 31, 2022 and 2021, $7.2 million and $5.9 million, respectively, of such customer site credits were included in accrued and other current liabilities within the Company’s consolidated balance sheets. Revenue recognized from the redemption of site credits was $48.4 million, $33.2 million, and $21.1 million for the years ended December 31, 2022, 2021, and 2020, respectively.</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recognize breakage revenue when we determine that the redemption of gift cards and site credits is remote. Breakage on gift cards and site credits was $2.2 million for the year ended December 31, 2022 and was not material for the years ended December 31, 2021 and 2020.</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on the years in which those temporary differences are expected to be recovered and settled.</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Revenue</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Cost of consignment revenue consists of outbound shipping, outbound labor and packaging costs. Cost of product revenue mainly consists of the inventory cost, inbound shipping related to the sold merchandise, outbound shipping, outbound labor, packaging costs and inventory write-downs. The classification of expenses varies across the retail industry. Accordingly, our cost of revenue may not be comparable to those of other companies in the retail industry.</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Operations, Product and Technology</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product and technology expenses consist primarily of distribution center operating costs and product and technology expenses. Distribution center operating costs include personnel costs, distribution center rent, maintenance and equipment depreciation as well as inbound shipping costs, other than those capitalized in inventory. Product and technology costs include personnel costs for the design and development of product and the related technology that is used to operate the distribution centers, merchandise science, website development and related expenses for these departments. Operations, product and technology expenses also include an allocation of corporate facilities and information technology costs including equipment, depreciation and rent. Research and development costs related to our technology were approximately $37.6 million, $28.7 million and $20.7 million, during the years ended December 31, 2022, 2021, and 2020, respectively.</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Marketing costs consist primarily of advertising, public relations expenditures and personnel costs for employees engaged in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Marketing costs also include an allocation of corporate facilities and information technology costs including equipment, depreciation and rent.</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Advertising and other promotional costs included in marketing within the Company’s consolidated statements of operations are expensed as incurred and were approximately $49.2 million, $54.1 million and $38.4 million for the years ended December 31, 2022, 2021, and 2020, respectively.</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Sales, General and Administrative</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Sales, general and administrative expenses consist of personnel costs for employees involved in general corporate functions, including accounting, finance, tax, legal and people services; and customer service. Sales, general and administrative also includes payment processing fees, professional fees and allocation of corporate facilities and information technology costs such as equipment, depreciation and rent.</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13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Stock-based compensation costs are based on the fair values on the date of grant for stock unit awards and stock options and on the date of enrollment for the employee stock purchase plan (“ESPP”). The fair values of stock unit awards are based on thredUP’s stock price on the date of grant. The fair values of stock options and ESPP are estimated using the Black-Scholes option-pricing model.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fair values of equity awards are recognized as compensation expense over the requisite service period or over the period in which the related services are received (generally the vesting period), using the straight-line method. The estimated fair value of equity awards that contain performance conditions is recognized on a graded-vesting basis once the Company has determined that it is probable that performance conditions will be satisfied. The determination of fair value for share-based awards on the date of grant using an option pricing model requires management to make certain assumptions regarding subjective variables.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forfeitures as they occur.</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Fair value accounting is applied for all financial assets and liabilities that are recognized or disclosed at fair value in the consolidated financial statements on a recurring basis (at least annually). As of December 31, 2022 and 2021, the carrying amount of accounts receivable, other current assets, other assets, accounts payable, seller payable and accrued and other current liabilities approximated their estimated fair value due to their relatively short maturities. Management believes the terms of its long-term variable-rate debt reflect current market conditions for an instrument with similar terms and maturity, therefore the carrying value of the Company’s debt approximated its fair value.</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2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Level 1 — Observable inputs such as unadjusted, quoted prices in active markets for identical assets or liabilities at the measurement date.</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Level 2 — Inputs (other than quoted prices in active markets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tables provide information about the Company’s financial instruments that are measured at fair value on a recurring basis and indicate the fair value hierarchy of the valuation techniques utilized to determine such values as of December 31, 2022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gridSpan w:val="3"/>
          </w:tcPr>
          <w:p>
            <w:pPr>
              <w:jc w:val="right"/>
              <w:ind w:right="756"/>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14,460</w:t>
            </w:r>
          </w:p>
        </w:tc>
      </w:tr>
      <w:tr>
        <w:trPr>
          <w:trHeight w:val="223"/>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w:t>
            </w:r>
          </w:p>
        </w:tc>
      </w:tr>
      <w:tr>
        <w:trPr>
          <w:trHeight w:val="210"/>
        </w:trPr>
        <w:tc>
          <w:tcPr>
            <w:tcW w:w="43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w:t>
            </w: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19,176</w:t>
            </w: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22,238</w:t>
            </w:r>
          </w:p>
        </w:tc>
      </w:tr>
      <w:tr>
        <w:trPr>
          <w:trHeight w:val="223"/>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66,902</w:t>
            </w: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716"/>
        </w:trPr>
        <w:tc>
          <w:tcPr>
            <w:tcW w:w="4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gridSpan w:val="3"/>
          </w:tcPr>
          <w:p>
            <w:pPr>
              <w:jc w:val="right"/>
              <w:ind w:right="756"/>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41,376</w:t>
            </w:r>
          </w:p>
        </w:tc>
      </w:tr>
      <w:tr>
        <w:trPr>
          <w:trHeight w:val="229"/>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w:t>
            </w:r>
          </w:p>
        </w:tc>
      </w:tr>
      <w:tr>
        <w:trPr>
          <w:trHeight w:val="223"/>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53,474</w:t>
            </w:r>
          </w:p>
        </w:tc>
      </w:tr>
      <w:tr>
        <w:trPr>
          <w:trHeight w:val="209"/>
        </w:trPr>
        <w:tc>
          <w:tcPr>
            <w:tcW w:w="43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55,921</w:t>
            </w: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37,190</w:t>
            </w: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r>
      <w:tr>
        <w:trPr>
          <w:trHeight w:val="223"/>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121,277</w:t>
            </w: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174,751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cost, gross unrealized gains, gross unrealized losses and fair value of the marketable securities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center"/>
              <w:ind w:right="1140"/>
              <w:spacing w:after="0"/>
              <w:rPr>
                <w:sz w:val="20"/>
                <w:szCs w:val="20"/>
                <w:color w:val="auto"/>
              </w:rPr>
            </w:pPr>
            <w:r>
              <w:rPr>
                <w:rFonts w:ascii="Arial" w:cs="Arial" w:eastAsia="Arial" w:hAnsi="Arial"/>
                <w:sz w:val="14"/>
                <w:szCs w:val="14"/>
                <w:b w:val="1"/>
                <w:bCs w:val="1"/>
                <w:color w:val="auto"/>
              </w:rPr>
              <w:t>December 31, 2022</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left="18"/>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Cost or Amortized Cost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gridSpan w:val="3"/>
          </w:tcPr>
          <w:p>
            <w:pPr>
              <w:jc w:val="center"/>
              <w:ind w:left="1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19,531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19,176</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bonds</w:t>
            </w: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22,238</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67,984</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66,902</w:t>
            </w:r>
          </w:p>
        </w:tc>
      </w:tr>
      <w:tr>
        <w:trPr>
          <w:trHeight w:val="20"/>
        </w:trPr>
        <w:tc>
          <w:tcPr>
            <w:tcW w:w="4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14"/>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114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95"/>
        </w:trPr>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left="38"/>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7"/>
        </w:trPr>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Cost or Amortized Cost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gridSpan w:val="3"/>
          </w:tcPr>
          <w:p>
            <w:pPr>
              <w:jc w:val="center"/>
              <w:ind w:left="3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55,921</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37,286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37,190</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bonds</w:t>
            </w: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28,258</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121,642</w:t>
            </w:r>
          </w:p>
        </w:tc>
        <w:tc>
          <w:tcPr>
            <w:tcW w:w="8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121,277</w:t>
            </w: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2022 and 2021, the Company’s cash equivalents approximated their estimated fair value. As such, there are no unrealized gains or losses related to the Company’s cash equivalents.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money market funds, U.S. treasury securities, corporate debt securities and U.S. government agency bonds were valued using Level 1 inputs because they are valued using quoted prices in active markets.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commercial paper is valued using Level 2 inputs because it is valued using quoted prices for similar assets or liabilities in active markets and quoted prices for identical or similar assets or liabilities in markets that are not active.</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were no transfers between levels during the year ended December 31, 2022. As of December 31, 2022, of the $66.9 million carrying amount of marketable securities, all had a contractual maturity date of less than one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253"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r>
      <w:tr>
        <w:trPr>
          <w:trHeight w:val="196"/>
        </w:trPr>
        <w:tc>
          <w:tcPr>
            <w:tcW w:w="5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55,292</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48,874</w:t>
            </w: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Internal-use software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color w:val="auto"/>
              </w:rPr>
              <w:t>Computers and software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5,336</w:t>
            </w:r>
          </w:p>
        </w:tc>
      </w:tr>
      <w:tr>
        <w:trPr>
          <w:trHeight w:val="22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29"/>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 property and equipment, at cost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76,028</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(20,562)</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92,482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55,466</w:t>
            </w: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Depreciation and amortization expense of property and equipment was $11.5 million, $8.5 million, and $5.6 million for the years ended December 31, 2022, 2021, and 2020, respectively.</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years ended December 31, 2022, 2021, and 2020, the Company capitalized costs associated with internal-use software of $1.7 million, $2.1 million, and $1.4 million,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24, 2021, the Company entered into Share Purchase Agreements with the shareholders of Remix, a fashion resale company headquartered in Sofia, Bulgaria, to purchase 100% of the outstanding equity interests of Remix and its subsidiary. The acquisition of Remix closed on October 7, 2021. With this acquisition, the Company added a complementary operational infrastructure and an experienced management team to enable its expansion into Europe.</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acquired the business for total cash consideration of $25.6 million and future issuance of 130,597 Class A common shares in 2023 with a fair value of $2.7 million as of the closing date. Revenue of $11.1 million and net loss attributable to common stockholders of $1.2 million from this acquisition have been included in the consolidated statements of operations from the acquisition date through December 31, 2021. The Company incurred $1.1 million in transaction-related costs during the year ended December 31, 2021, which are included within sales, general and administrative expenses.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assets acquired and liabilities assumed were recognized at fair value as of the date of the acquisition. During 2022, the Company finalized the analysis of the purchase price and no adjustments were made to the assessed fair values. The following table summarizes the final fair values assigned to the assets acquired and liabilities assumed:</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73"/>
              <w:spacing w:after="0"/>
              <w:rPr>
                <w:sz w:val="20"/>
                <w:szCs w:val="20"/>
                <w:color w:val="auto"/>
              </w:rPr>
            </w:pPr>
            <w:r>
              <w:rPr>
                <w:rFonts w:ascii="Arial" w:cs="Arial" w:eastAsia="Arial" w:hAnsi="Arial"/>
                <w:sz w:val="14"/>
                <w:szCs w:val="14"/>
                <w:b w:val="1"/>
                <w:bCs w:val="1"/>
                <w:color w:val="auto"/>
              </w:rPr>
              <w:t>October 7,</w:t>
            </w:r>
          </w:p>
        </w:tc>
      </w:tr>
      <w:tr>
        <w:trPr>
          <w:trHeight w:val="189"/>
        </w:trPr>
        <w:tc>
          <w:tcPr>
            <w:tcW w:w="6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2021</w:t>
            </w:r>
          </w:p>
        </w:tc>
      </w:tr>
      <w:tr>
        <w:trPr>
          <w:trHeight w:val="190"/>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ind w:right="173"/>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6140" w:type="dxa"/>
            <w:vAlign w:val="bottom"/>
          </w:tcPr>
          <w:p>
            <w:pPr>
              <w:ind w:left="180"/>
              <w:spacing w:after="0"/>
              <w:rPr>
                <w:sz w:val="20"/>
                <w:szCs w:val="20"/>
                <w:color w:val="auto"/>
              </w:rPr>
            </w:pPr>
            <w:r>
              <w:rPr>
                <w:rFonts w:ascii="Arial" w:cs="Arial" w:eastAsia="Arial" w:hAnsi="Arial"/>
                <w:sz w:val="18"/>
                <w:szCs w:val="18"/>
                <w:color w:val="auto"/>
              </w:rPr>
              <w:t>Cash consideration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25,550</w:t>
            </w: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Delayed share issuance</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28,294</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6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29"/>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r>
      <w:tr>
        <w:trPr>
          <w:trHeight w:val="229"/>
        </w:trPr>
        <w:tc>
          <w:tcPr>
            <w:tcW w:w="61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14,800</w:t>
            </w:r>
          </w:p>
        </w:tc>
      </w:tr>
      <w:tr>
        <w:trPr>
          <w:trHeight w:val="230"/>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22,253</w:t>
            </w:r>
          </w:p>
        </w:tc>
      </w:tr>
      <w:tr>
        <w:trPr>
          <w:trHeight w:val="21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6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(3,102)</w:t>
            </w:r>
          </w:p>
        </w:tc>
      </w:tr>
      <w:tr>
        <w:trPr>
          <w:trHeight w:val="229"/>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r>
      <w:tr>
        <w:trPr>
          <w:trHeight w:val="22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w:t>
            </w: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12,499</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Goodwill was calculated as the excess of the consideration transferred over the net assets acquired and represents the estimated future economic benefits arising from other assets acquired, the assembled workforce and planned growth in strategic markets that could not be individually identified and separately recognized. Goodwill recognized as a result of this acquisition is not deductible for tax purposes.</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Customer relationships represent the fair value of future projected revenue that will be derived from sales of products to existing customers of Remix business. Customer relationships were valued using the multi-period excess earning method of the income approach. Developed technology primarily consists of a client facing platform (i.e., website and mobile app) and supporting functions, all of which were internally developed. Trademarks relates to the “Remix” trade name. Developed technology and trademarks were valued using the relief-from-royalty method under the income approach. This method involves forecasting avoided royalties, reducing them by taxes and discounting the resulting net cash flows to a present value using an appropriate discount rate that requires judgement by management.</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78"/>
              <w:spacing w:after="0"/>
              <w:rPr>
                <w:sz w:val="20"/>
                <w:szCs w:val="20"/>
                <w:color w:val="auto"/>
              </w:rPr>
            </w:pPr>
            <w:r>
              <w:rPr>
                <w:rFonts w:ascii="Arial" w:cs="Arial" w:eastAsia="Arial" w:hAnsi="Arial"/>
                <w:sz w:val="14"/>
                <w:szCs w:val="14"/>
                <w:b w:val="1"/>
                <w:bCs w:val="1"/>
                <w:color w:val="auto"/>
              </w:rPr>
              <w:t>October 7,</w:t>
            </w:r>
          </w:p>
        </w:tc>
      </w:tr>
      <w:tr>
        <w:trPr>
          <w:trHeight w:val="189"/>
        </w:trPr>
        <w:tc>
          <w:tcPr>
            <w:tcW w:w="6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2021</w:t>
            </w:r>
          </w:p>
        </w:tc>
      </w:tr>
      <w:tr>
        <w:trPr>
          <w:trHeight w:val="190"/>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ind w:right="178"/>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 acquired:</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5,200</w:t>
            </w:r>
          </w:p>
        </w:tc>
      </w:tr>
      <w:tr>
        <w:trPr>
          <w:trHeight w:val="229"/>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r>
      <w:tr>
        <w:trPr>
          <w:trHeight w:val="230"/>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Company did not present pro forma and other financial information for the acquisition of Remix, as this was not considered to be a material business combination.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Goodwill is primarily attributable to the planned growth in the combined business after the acquisition of Remix Global EAD (“Remix”). Goodwill was $11.6 million and $12.2 million as of December 31, 2022 and 2021, respectively. The decrease in goodwill during the year ended December 31, 2022 was due to foreign currency translation adjustments.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of the Company’s intangible assets with determinable lives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2022</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2021</w:t>
            </w: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gross carrying amounts were due to foreign currency translation adjustments.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Amortization expense related to developed technology, customer relationships, and trademarks is recorded within operations, product and technology; sales, general and administrative; and marketing expense, respectively, within the Company’s consolidated statements of operations. Amortization expense of intangible assets with determinable lives was $2.6 million, $0.6 million, and zero for the years ended December 31, 2022, 2021, and 2020, respectively.</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the estimated future amortization expense of intangible assets with determinable lives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Amount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2"/>
          </w:tcPr>
          <w:p>
            <w:pPr>
              <w:jc w:val="center"/>
              <w:ind w:right="194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720"/>
              <w:spacing w:after="0"/>
              <w:rPr>
                <w:sz w:val="20"/>
                <w:szCs w:val="20"/>
                <w:color w:val="auto"/>
              </w:rPr>
            </w:pPr>
            <w:r>
              <w:rPr>
                <w:rFonts w:ascii="Arial" w:cs="Arial" w:eastAsia="Arial" w:hAnsi="Arial"/>
                <w:sz w:val="18"/>
                <w:szCs w:val="18"/>
                <w:color w:val="auto"/>
              </w:rPr>
              <w:t>2024</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2,245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720"/>
              <w:spacing w:after="0"/>
              <w:rPr>
                <w:sz w:val="20"/>
                <w:szCs w:val="20"/>
                <w:color w:val="auto"/>
              </w:rPr>
            </w:pPr>
            <w:r>
              <w:rPr>
                <w:rFonts w:ascii="Arial" w:cs="Arial" w:eastAsia="Arial" w:hAnsi="Arial"/>
                <w:sz w:val="18"/>
                <w:szCs w:val="18"/>
                <w:color w:val="auto"/>
              </w:rPr>
              <w:t>2026</w:t>
            </w:r>
          </w:p>
        </w:tc>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Arial" w:cs="Arial" w:eastAsia="Arial" w:hAnsi="Arial"/>
                <w:sz w:val="18"/>
                <w:szCs w:val="18"/>
                <w:color w:val="auto"/>
              </w:rPr>
              <w:t>78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right="2580" w:hanging="332"/>
        <w:spacing w:after="0" w:line="451" w:lineRule="auto"/>
        <w:tabs>
          <w:tab w:leader="none" w:pos="216"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Work in process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Finished goods</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190"/>
        </w:trPr>
        <w:tc>
          <w:tcPr>
            <w:tcW w:w="400" w:type="dxa"/>
            <w:vAlign w:val="bottom"/>
          </w:tcPr>
          <w:p>
            <w:pPr>
              <w:spacing w:after="0"/>
              <w:rPr>
                <w:sz w:val="16"/>
                <w:szCs w:val="16"/>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r>
      <w:tr>
        <w:trPr>
          <w:trHeight w:val="242"/>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29"/>
        </w:trPr>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8,247</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-479425</wp:posOffset>
            </wp:positionV>
            <wp:extent cx="570928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9285" cy="1454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-187960</wp:posOffset>
            </wp:positionV>
            <wp:extent cx="570928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09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620"/>
          </w:cols>
          <w:pgMar w:left="320" w:top="140" w:right="339" w:bottom="1440" w:gutter="0" w:footer="0" w:header="0"/>
        </w:sectPr>
      </w:pP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Work in process inventory relates to items that are currently undergoing preparation for sale, including itemization, cleaning, and repair.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53"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r>
      <w:tr>
        <w:trPr>
          <w:trHeight w:val="196"/>
        </w:trPr>
        <w:tc>
          <w:tcPr>
            <w:tcW w:w="5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r>
      <w:tr>
        <w:trPr>
          <w:trHeight w:val="235"/>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6,031</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6,438</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returns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5,728</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45,253</w:t>
            </w:r>
          </w:p>
        </w:tc>
      </w:tr>
      <w:tr>
        <w:trPr>
          <w:trHeight w:val="20"/>
        </w:trPr>
        <w:tc>
          <w:tcPr>
            <w:tcW w:w="5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leases certain office space and distribution centers with lease terms ranging from one to ten years. These leases require monthly lease payments that may be subject to annual increases throughout the lease term. Certain of these leases also include renewal options at the election of the Company to renew or extend the lease for an additional one to ten years. For certain leases, these optional periods have been considered in the determination of the right-of-use assets and lease liabilities associated with these leases as the Company has determined it is reasonably certain it will exercise the renewal options. The Company’s lease agreements do not contain any material residual value guarantees or material restrictive covenants.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maturities of operating lease liabilities were as follows:</w:t>
      </w:r>
    </w:p>
    <w:p>
      <w:pPr>
        <w:spacing w:after="0" w:line="253" w:lineRule="exact"/>
        <w:rPr>
          <w:sz w:val="20"/>
          <w:szCs w:val="20"/>
          <w:color w:val="auto"/>
        </w:rPr>
      </w:pPr>
    </w:p>
    <w:tbl>
      <w:tblPr>
        <w:tblLayout w:type="fixed"/>
        <w:tblInd w:w="1700" w:type="dxa"/>
        <w:tblCellMar>
          <w:top w:w="0" w:type="dxa"/>
          <w:left w:w="0" w:type="dxa"/>
          <w:bottom w:w="0" w:type="dxa"/>
          <w:right w:w="0" w:type="dxa"/>
        </w:tblCellMar>
      </w:tblPr>
      <w:tr>
        <w:trPr>
          <w:trHeight w:val="196"/>
        </w:trPr>
        <w:tc>
          <w:tcPr>
            <w:tcW w:w="6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Amount(1)</w:t>
            </w:r>
          </w:p>
        </w:tc>
      </w:tr>
      <w:tr>
        <w:trPr>
          <w:trHeight w:val="196"/>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313"/>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9,103</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7,506</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30,810</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71,582</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(16,404)</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tenant improvement allowance yet to be received</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55,140</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Non-current lease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48,727</w:t>
            </w:r>
          </w:p>
        </w:tc>
      </w:tr>
      <w:tr>
        <w:trPr>
          <w:trHeight w:val="21"/>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1423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 Excludes $4.3 million of legally binding minimum lease payments for leases signed but not yet commenced.</w:t>
      </w:r>
    </w:p>
    <w:p>
      <w:pPr>
        <w:spacing w:after="0" w:line="22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Security deposits and letters of credits used to secure the leases were $1.0 million and $6.0 million, respectively, as of December 31, 2022 and $0.8 million and $6.3 million, respectively, as of December 31, 2021.</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196"/>
        </w:trPr>
        <w:tc>
          <w:tcPr>
            <w:tcW w:w="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5"/>
        </w:trPr>
        <w:tc>
          <w:tcPr>
            <w:tcW w:w="620" w:type="dxa"/>
            <w:vAlign w:val="bottom"/>
          </w:tcPr>
          <w:p>
            <w:pPr>
              <w:spacing w:after="0"/>
              <w:rPr>
                <w:sz w:val="20"/>
                <w:szCs w:val="20"/>
                <w:color w:val="auto"/>
              </w:rPr>
            </w:pP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20" w:type="dxa"/>
            <w:vAlign w:val="bottom"/>
          </w:tcPr>
          <w:p>
            <w:pPr>
              <w:spacing w:after="0"/>
              <w:rPr>
                <w:sz w:val="19"/>
                <w:szCs w:val="19"/>
                <w:color w:val="auto"/>
              </w:rPr>
            </w:pP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Fixed operating lease cost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8,905</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5,591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5,568</w:t>
            </w:r>
          </w:p>
        </w:tc>
      </w:tr>
      <w:tr>
        <w:trPr>
          <w:trHeight w:val="229"/>
        </w:trPr>
        <w:tc>
          <w:tcPr>
            <w:tcW w:w="620" w:type="dxa"/>
            <w:vAlign w:val="bottom"/>
          </w:tcPr>
          <w:p>
            <w:pPr>
              <w:spacing w:after="0"/>
              <w:rPr>
                <w:sz w:val="19"/>
                <w:szCs w:val="19"/>
                <w:color w:val="auto"/>
              </w:rPr>
            </w:pPr>
          </w:p>
        </w:tc>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lease cost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30"/>
        </w:trPr>
        <w:tc>
          <w:tcPr>
            <w:tcW w:w="620" w:type="dxa"/>
            <w:vAlign w:val="bottom"/>
          </w:tcPr>
          <w:p>
            <w:pPr>
              <w:spacing w:after="0"/>
              <w:rPr>
                <w:sz w:val="19"/>
                <w:szCs w:val="19"/>
                <w:color w:val="auto"/>
              </w:rPr>
            </w:pPr>
          </w:p>
        </w:tc>
        <w:tc>
          <w:tcPr>
            <w:tcW w:w="490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Variable cost</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1,381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1,197</w:t>
            </w:r>
          </w:p>
        </w:tc>
      </w:tr>
      <w:tr>
        <w:trPr>
          <w:trHeight w:val="243"/>
        </w:trPr>
        <w:tc>
          <w:tcPr>
            <w:tcW w:w="620" w:type="dxa"/>
            <w:vAlign w:val="bottom"/>
          </w:tcPr>
          <w:p>
            <w:pPr>
              <w:spacing w:after="0"/>
              <w:rPr>
                <w:sz w:val="21"/>
                <w:szCs w:val="21"/>
                <w:color w:val="auto"/>
              </w:rPr>
            </w:pP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11,727</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6,979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6,823</w:t>
            </w:r>
          </w:p>
        </w:tc>
      </w:tr>
      <w:tr>
        <w:trPr>
          <w:trHeight w:val="20"/>
        </w:trPr>
        <w:tc>
          <w:tcPr>
            <w:tcW w:w="62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6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3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94" w:lineRule="exact"/>
        <w:rPr>
          <w:sz w:val="20"/>
          <w:szCs w:val="20"/>
          <w:color w:val="auto"/>
        </w:rPr>
      </w:pPr>
    </w:p>
    <w:p>
      <w:pPr>
        <w:ind w:left="340" w:hanging="332"/>
        <w:spacing w:after="0" w:line="261" w:lineRule="auto"/>
        <w:tabs>
          <w:tab w:leader="none" w:pos="3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Variable lease costs, which include items such as real estate taxes, common area maintenance, and changes based on an index or rate, are not included in the calculation of the right-of-use assets and are recognized as incurred.</w:t>
      </w:r>
    </w:p>
    <w:p>
      <w:pPr>
        <w:spacing w:after="0" w:line="19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weighted-average remaining lease term and weighted-average discount rate used to calculate the present value of lease liabilities are as follows: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7"/>
                <w:szCs w:val="17"/>
                <w:color w:val="auto"/>
              </w:rPr>
            </w:pPr>
          </w:p>
        </w:tc>
      </w:tr>
      <w:tr>
        <w:trPr>
          <w:trHeight w:val="229"/>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8.5 years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years</w:t>
            </w:r>
          </w:p>
        </w:tc>
        <w:tc>
          <w:tcPr>
            <w:tcW w:w="52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5.9 %</w:t>
            </w:r>
          </w:p>
        </w:tc>
        <w:tc>
          <w:tcPr>
            <w:tcW w:w="520" w:type="dxa"/>
            <w:vAlign w:val="bottom"/>
          </w:tcPr>
          <w:p>
            <w:pPr>
              <w:spacing w:after="0"/>
              <w:rPr>
                <w:sz w:val="19"/>
                <w:szCs w:val="19"/>
                <w:color w:val="auto"/>
              </w:rPr>
            </w:pPr>
          </w:p>
        </w:tc>
      </w:tr>
      <w:tr>
        <w:trPr>
          <w:trHeight w:val="513"/>
        </w:trPr>
        <w:tc>
          <w:tcPr>
            <w:tcW w:w="6260" w:type="dxa"/>
            <w:vAlign w:val="bottom"/>
            <w:gridSpan w:val="5"/>
          </w:tcPr>
          <w:p>
            <w:pPr>
              <w:jc w:val="right"/>
              <w:ind w:right="980"/>
              <w:spacing w:after="0"/>
              <w:rPr>
                <w:sz w:val="20"/>
                <w:szCs w:val="20"/>
                <w:color w:val="auto"/>
              </w:rPr>
            </w:pPr>
            <w:r>
              <w:rPr>
                <w:rFonts w:ascii="Arial" w:cs="Arial" w:eastAsia="Arial" w:hAnsi="Arial"/>
                <w:sz w:val="18"/>
                <w:szCs w:val="18"/>
                <w:color w:val="auto"/>
                <w:w w:val="99"/>
              </w:rPr>
              <w:t>Supplemental cash flow information related to leases is as follows: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9"/>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8"/>
        </w:trPr>
        <w:tc>
          <w:tcPr>
            <w:tcW w:w="280" w:type="dxa"/>
            <w:vAlign w:val="bottom"/>
          </w:tcPr>
          <w:p>
            <w:pPr>
              <w:spacing w:after="0"/>
              <w:rPr>
                <w:sz w:val="18"/>
                <w:szCs w:val="18"/>
                <w:color w:val="auto"/>
              </w:rPr>
            </w:pP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7"/>
        </w:trPr>
        <w:tc>
          <w:tcPr>
            <w:tcW w:w="280" w:type="dxa"/>
            <w:vAlign w:val="bottom"/>
          </w:tcPr>
          <w:p>
            <w:pPr>
              <w:spacing w:after="0"/>
              <w:rPr>
                <w:sz w:val="18"/>
                <w:szCs w:val="18"/>
                <w:color w:val="auto"/>
              </w:rPr>
            </w:pPr>
          </w:p>
        </w:tc>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280" w:type="dxa"/>
            <w:vAlign w:val="bottom"/>
          </w:tcPr>
          <w:p>
            <w:pPr>
              <w:spacing w:after="0"/>
              <w:rPr>
                <w:sz w:val="19"/>
                <w:szCs w:val="19"/>
                <w:color w:val="auto"/>
              </w:rPr>
            </w:pP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Operating cash flows for operating leases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5,401</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5,365</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for an aggregate amount of up to $40.0 million to refinance its prior loan and security agreement with Silicon Valley Bank. The Company incurred an immaterial amount of debt issuance costs in connection with the Term Loan. The debt issuance costs are recorded on the Company’s consolidated balance sheets and are being amortized over the life of the Term Loan using the effective-interest method.</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Term Loan was subsequently amended several times, with the most recent amendment taking place in July 2022. As amended, the Term Loan matures on July 14, 2027 and provides for an aggregate borrowing amount of up to $70.0 million, which bears interest at the prime rate published in the Wall Street Journal plus a margin of 1.25%, with a floor of 6.00%. The Company incurred an immaterial amount of debt issuance costs in connection with the amendment. For accounting purposes, pursuant to FASB ASC Topic 470, </w:t>
      </w:r>
      <w:r>
        <w:rPr>
          <w:rFonts w:ascii="Arial" w:cs="Arial" w:eastAsia="Arial" w:hAnsi="Arial"/>
          <w:sz w:val="18"/>
          <w:szCs w:val="18"/>
          <w:i w:val="1"/>
          <w:iCs w:val="1"/>
          <w:color w:val="auto"/>
        </w:rPr>
        <w:t>Debt</w:t>
      </w:r>
      <w:r>
        <w:rPr>
          <w:rFonts w:ascii="Arial" w:cs="Arial" w:eastAsia="Arial" w:hAnsi="Arial"/>
          <w:sz w:val="18"/>
          <w:szCs w:val="18"/>
          <w:color w:val="auto"/>
        </w:rPr>
        <w:t>, this transaction was accounted for as a modification of the Term Loan. The debt issuance costs were recognized in interest expense within the Company’s consolidated statement of operations during the third quarter of 2022.</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Term Loan requires the Company to comply with certain financial covenants, including, among other things, liquidity requirements,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December 31, 2022 and 2021, the Company was in compliance with its debt covenants under the Term Loan.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Loan is payable in consecutive monthly installments. Interest is due monthly on amounts outstanding under the Term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permitted to make voluntary prepayments without penalty or premium at any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and 2021, the effective interest rate for borrowings under the Term Loan was 9.70% and 6.65%, respectively.</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During the year ended December 31, 2022, the Company borrowed an aggregate amount of $0.7 million under the Term Loan and repaid a total of $6.3 million on amounts outstanding under the Term Loan. During the year ended December 31, 2021, the Company borrowed an aggregate amount of $5.0 million under the Term Loan and repaid a total of $ 4.0 million on amounts outstanding under the Term Loan. During the year ended December 31, 2020, the Company borrowed an aggregate amount of $18.6 million under the Term Loan and repaid a total of $1.2 million on amounts outstanding under the Term Loan. As of December 31, 2022 and 2021, the amount outstanding under the Term Loan was $30.3 million and $36.0 million, respectively.</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years ended December 31, 2022, 2021, and 2020, the Company incurred $2.4 million, $2.5 million, and $1.7 million, respectively, of interest cost relating to the Term Loan, of which $1.6 million, $0.3 million, and $0.4 million, respectively, was capitalized as part of an asset.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annual scheduled principal payments of the Term Loan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Amount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2"/>
          </w:tcPr>
          <w:p>
            <w:pPr>
              <w:jc w:val="center"/>
              <w:ind w:right="194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720"/>
              <w:spacing w:after="0"/>
              <w:rPr>
                <w:sz w:val="20"/>
                <w:szCs w:val="20"/>
                <w:color w:val="auto"/>
              </w:rPr>
            </w:pPr>
            <w:r>
              <w:rPr>
                <w:rFonts w:ascii="Arial" w:cs="Arial" w:eastAsia="Arial" w:hAnsi="Arial"/>
                <w:sz w:val="18"/>
                <w:szCs w:val="18"/>
                <w:color w:val="auto"/>
              </w:rPr>
              <w:t>2024</w:t>
            </w: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1720"/>
              <w:spacing w:after="0"/>
              <w:rPr>
                <w:sz w:val="20"/>
                <w:szCs w:val="20"/>
                <w:color w:val="auto"/>
              </w:rPr>
            </w:pPr>
            <w:r>
              <w:rPr>
                <w:rFonts w:ascii="Arial" w:cs="Arial" w:eastAsia="Arial" w:hAnsi="Arial"/>
                <w:sz w:val="18"/>
                <w:szCs w:val="18"/>
                <w:color w:val="auto"/>
              </w:rPr>
              <w:t>2026</w:t>
            </w: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7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Total principal payments</w:t>
            </w: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30,333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w:t>
            </w:r>
          </w:p>
        </w:tc>
        <w:tc>
          <w:tcPr>
            <w:tcW w:w="2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7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2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Arial" w:cs="Arial" w:eastAsia="Arial" w:hAnsi="Arial"/>
                <w:sz w:val="18"/>
                <w:szCs w:val="18"/>
                <w:color w:val="auto"/>
              </w:rPr>
              <w:t>81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and Stockholders’ Equity (Deficit)</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Immediately prior to the completion of the IPO, 65,970,938 shares of the convertible preferred stock converted to an equivalent number of shares of Class B common stock and 164,973 shares of the convertible preferred stock warrants were converted to an equivalent number of Class B common stock warrants.</w:t>
      </w:r>
    </w:p>
    <w:p>
      <w:pPr>
        <w:spacing w:after="0" w:line="202"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On August 2, 2021, the Company completed a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of Class A common stock at a price of $24.25 per share. The Company issued and sold 2,000,000 shares of Class A common stock. The aggregate net proceeds were $45.5 million after deducting $3.3 million of underwriting discounts and commissions and offering costs. The selling stockholders sold 5,388,024 shares of Class A common stock (including 963,655 shares that were offered and sold pursuant to the full exercise of the underwriters’ option to purchase additional shares), which were converted from Class B common stock. The Company did not receive any of the proceeds from the sale of the Class A common stock by the selling stockholders.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Class A common stock and Class B common stock authorized, issued and outstanding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2380" w:type="dxa"/>
            <w:vAlign w:val="bottom"/>
            <w:gridSpan w:val="2"/>
          </w:tcPr>
          <w:p>
            <w:pPr>
              <w:jc w:val="center"/>
              <w:ind w:right="1540"/>
              <w:spacing w:after="0" w:line="149"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180" w:type="dxa"/>
            <w:vAlign w:val="bottom"/>
            <w:gridSpan w:val="3"/>
            <w:vMerge w:val="continue"/>
          </w:tcPr>
          <w:p>
            <w:pPr>
              <w:spacing w:after="0"/>
              <w:rPr>
                <w:sz w:val="16"/>
                <w:szCs w:val="16"/>
                <w:color w:val="auto"/>
              </w:rPr>
            </w:pPr>
          </w:p>
        </w:tc>
        <w:tc>
          <w:tcPr>
            <w:tcW w:w="238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180" w:type="dxa"/>
            <w:vAlign w:val="bottom"/>
            <w:tcBorders>
              <w:top w:val="single" w:sz="8" w:color="auto"/>
            </w:tcBorders>
            <w:gridSpan w:val="3"/>
          </w:tcPr>
          <w:p>
            <w:pPr>
              <w:jc w:val="center"/>
              <w:ind w:left="1182"/>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4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24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1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2380" w:type="dxa"/>
            <w:vAlign w:val="bottom"/>
            <w:gridSpan w:val="2"/>
          </w:tcPr>
          <w:p>
            <w:pPr>
              <w:jc w:val="center"/>
              <w:ind w:right="1540"/>
              <w:spacing w:after="0" w:line="148"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180" w:type="dxa"/>
            <w:vAlign w:val="bottom"/>
            <w:gridSpan w:val="3"/>
            <w:vMerge w:val="continue"/>
          </w:tcPr>
          <w:p>
            <w:pPr>
              <w:spacing w:after="0"/>
              <w:rPr>
                <w:sz w:val="16"/>
                <w:szCs w:val="16"/>
                <w:color w:val="auto"/>
              </w:rPr>
            </w:pPr>
          </w:p>
        </w:tc>
        <w:tc>
          <w:tcPr>
            <w:tcW w:w="238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180" w:type="dxa"/>
            <w:vAlign w:val="bottom"/>
            <w:tcBorders>
              <w:top w:val="single" w:sz="8" w:color="auto"/>
            </w:tcBorders>
            <w:gridSpan w:val="3"/>
          </w:tcPr>
          <w:p>
            <w:pPr>
              <w:jc w:val="center"/>
              <w:ind w:left="1182"/>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4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24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1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1,120,000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82</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1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accumulated other comprehensive loss by component during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and 2021:</w:t>
      </w:r>
    </w:p>
    <w:p>
      <w:pPr>
        <w:spacing w:after="0" w:line="253"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7"/>
          </w:tcPr>
          <w:p>
            <w:pPr>
              <w:jc w:val="center"/>
              <w:ind w:right="72"/>
              <w:spacing w:after="0"/>
              <w:rPr>
                <w:sz w:val="20"/>
                <w:szCs w:val="20"/>
                <w:color w:val="auto"/>
              </w:rPr>
            </w:pPr>
            <w:r>
              <w:rPr>
                <w:rFonts w:ascii="Arial" w:cs="Arial" w:eastAsia="Arial" w:hAnsi="Arial"/>
                <w:sz w:val="14"/>
                <w:szCs w:val="14"/>
                <w:b w:val="1"/>
                <w:bCs w:val="1"/>
                <w:color w:val="auto"/>
              </w:rPr>
              <w:t>Change in Accumulated Other Comprehensive Loss by Component</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Unrealized Loss on</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Available-For-Sale</w:t>
            </w:r>
          </w:p>
        </w:tc>
        <w:tc>
          <w:tcPr>
            <w:tcW w:w="380" w:type="dxa"/>
            <w:vAlign w:val="bottom"/>
          </w:tcPr>
          <w:p>
            <w:pPr>
              <w:spacing w:after="0"/>
              <w:rPr>
                <w:sz w:val="12"/>
                <w:szCs w:val="12"/>
                <w:color w:val="auto"/>
              </w:rPr>
            </w:pPr>
          </w:p>
        </w:tc>
        <w:tc>
          <w:tcPr>
            <w:tcW w:w="118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Securities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Amounts reclassified from accumulated other comprehensive</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to income</w:t>
            </w: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 net of reclassifications</w:t>
            </w: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3"/>
        </w:trPr>
        <w:tc>
          <w:tcPr>
            <w:tcW w:w="550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Amounts reclassified from accumulated other comprehensive</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to income</w:t>
            </w: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 net of reclassifications</w:t>
            </w: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180" w:right="8540" w:hanging="172"/>
        <w:spacing w:after="0" w:line="411" w:lineRule="auto"/>
        <w:tabs>
          <w:tab w:leader="none" w:pos="318"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i w:val="1"/>
          <w:iCs w:val="1"/>
          <w:color w:val="auto"/>
        </w:rPr>
        <w:t>2010 Stock Incentive Plan</w:t>
      </w:r>
    </w:p>
    <w:p>
      <w:pPr>
        <w:spacing w:after="0" w:line="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2010, the Company adopted the Second Amended and Restated 2010 Stock Plan (“2010 Plan”), and amended the 2010 Plan in 2011. The 2010 Plan provides for the grant of stock awards to employees, consultants and directors of the Company. Options granted under the 2010 Plan may either be Incentive Stock Options (“ISOs”) or Nonstatutory Stock Options (“NSOs”). ISOs may be granted to Company employees only, while stock awards other than ISOs may be granted to employees, directors and consultants. In 2020, the board of directors authorized an additional 6.5 million shares for the 2010 Plan. In 2021, the board of directors authorized an additional 1.0 million shares for the 2010 Plan.</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Stock awards under the 2010 Plan may be granted with terms of up to 10 years and at prices determined by the board of directors, provided, however, that (i) the exercise price of an ISO or NSO shall not be less than 100% of the estimated fair value of the shares on the date of the grant, and (ii) the exercise price of an ISO granted to a 10% or more stockholder shall not be less than 110% of the estimated fair value of the shares on the grant date. The options generally vest over a four-year period. For certain options, vesting accelerates upon the occurrence of specified events, such as a change of control.</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IPO Options Under the 2010 Plan</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August 2020, the Company’s board of directors approved stock options for 3,588,535 common shares to be granted to certain officers and employees with an exercise price of $2.05 per share. 50% of the options granted vest over a four-year period commencing on the effective date of the IPO. The remaining 50% of the options granted vest over a four-year period commencing on the one-year anniversary of the IPO. As these stock options vest upon the satisfaction of both a time-based condition and a performance condition, the fair value of these stock options of $6.7 million, in aggregate, is being recognized as compensation expense over the requisite service period using the accelerated attribution method. During the years ended December 31, 2022 and 2021, compensation expense related to stock options subject to these performance conditions was $1.2 million and $3.2 million, respectively.</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2021 Stock Option and Incentive Plan</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February 2021, in connection with the IPO, the Company’s board of directors adopted the 2021 Stock Option and Incentive Plan (“2021 Plan”) to replace the 2010 Plan, which was subsequently approved by the Company’s stockholders in March 2021. The 2021 Plan became effective on March 24, 2021.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under the 2010 Plan, as amended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Exercise Price Per</w:t>
            </w:r>
          </w:p>
        </w:tc>
        <w:tc>
          <w:tcPr>
            <w:tcW w:w="17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rPr>
              <w:t>Remaining Contractual</w:t>
            </w: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6"/>
                <w:szCs w:val="16"/>
                <w:color w:val="auto"/>
              </w:rPr>
            </w:pPr>
          </w:p>
        </w:tc>
        <w:tc>
          <w:tcPr>
            <w:tcW w:w="1520" w:type="dxa"/>
            <w:vAlign w:val="bottom"/>
          </w:tcPr>
          <w:p>
            <w:pPr>
              <w:jc w:val="center"/>
              <w:ind w:right="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6.29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3.48</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5.20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Pr>
          <w:p>
            <w:pPr>
              <w:ind w:left="20"/>
              <w:spacing w:after="0" w:line="203" w:lineRule="exact"/>
              <w:rPr>
                <w:sz w:val="20"/>
                <w:szCs w:val="20"/>
                <w:color w:val="auto"/>
              </w:rPr>
            </w:pPr>
            <w:r>
              <w:rPr>
                <w:rFonts w:ascii="Arial" w:cs="Arial" w:eastAsia="Arial" w:hAnsi="Arial"/>
                <w:sz w:val="18"/>
                <w:szCs w:val="18"/>
                <w:color w:val="auto"/>
              </w:rPr>
              <w:t>Exercisable as of December 31, 2022</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14,280</w:t>
            </w:r>
          </w:p>
        </w:tc>
        <w:tc>
          <w:tcPr>
            <w:tcW w:w="2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1.90</w:t>
            </w:r>
          </w:p>
        </w:tc>
        <w:tc>
          <w:tcPr>
            <w:tcW w:w="80" w:type="dxa"/>
            <w:vAlign w:val="bottom"/>
          </w:tcPr>
          <w:p>
            <w:pPr>
              <w:spacing w:after="0"/>
              <w:rPr>
                <w:sz w:val="17"/>
                <w:szCs w:val="17"/>
                <w:color w:val="auto"/>
              </w:rPr>
            </w:pPr>
          </w:p>
        </w:tc>
        <w:tc>
          <w:tcPr>
            <w:tcW w:w="1740" w:type="dxa"/>
            <w:vAlign w:val="bottom"/>
            <w:gridSpan w:val="2"/>
          </w:tcPr>
          <w:p>
            <w:pPr>
              <w:ind w:left="800"/>
              <w:spacing w:after="0" w:line="203" w:lineRule="exact"/>
              <w:rPr>
                <w:sz w:val="20"/>
                <w:szCs w:val="20"/>
                <w:color w:val="auto"/>
              </w:rPr>
            </w:pPr>
            <w:r>
              <w:rPr>
                <w:rFonts w:ascii="Arial" w:cs="Arial" w:eastAsia="Arial" w:hAnsi="Arial"/>
                <w:sz w:val="18"/>
                <w:szCs w:val="18"/>
                <w:color w:val="auto"/>
              </w:rPr>
              <w:t>4.66 years</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aggregated intrinsic value represents the difference between the exercise price and the fair value of common stock. The aggregate intrinsic value of all options exercised was $2.5 million, $53.8 million and $2.9 million during the years ended December 31, 2022, 2021, and 2020, respectively. The weighted average grant date fair value of options granted was zero, $6.66 and $1.72 during the years ended December 31, 2022, 2021, and 2020, respectively.</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records stock-based awards at fair value as of the grant date, using the Black Scholes option pricing model. The fair value of stock options granted were estimated using the following range of assumptions:</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34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55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5.00 - 10.00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5.00 - 10.00</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59.4% - 61.8%</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46.9% - 54.9%</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risk-free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0.44% - 1.10%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0.28% - 1.55%</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ind w:left="1420"/>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these inputs is subjective and generally requires significant judgment:</w:t>
      </w:r>
    </w:p>
    <w:p>
      <w:pPr>
        <w:spacing w:after="0" w:line="99" w:lineRule="exact"/>
        <w:rPr>
          <w:sz w:val="20"/>
          <w:szCs w:val="20"/>
          <w:color w:val="auto"/>
        </w:rPr>
      </w:pPr>
    </w:p>
    <w:p>
      <w:pPr>
        <w:jc w:val="both"/>
        <w:ind w:left="6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 Historically, for all periods prior to the IPO in March 2021, the fair value of the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has historically been determined by the Company’s board of directors as there was no public market for the common stock. The board of directors determined the fair value of our common stock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amongst other factors. After the completion of the IPO in March 2021, the fair value of each share of underlying common stock is based on the closing price of the Company’s common stock as reported on the date of grant on the Nasdaq Global Select Market.</w:t>
      </w:r>
    </w:p>
    <w:p>
      <w:pPr>
        <w:spacing w:after="0" w:line="80"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that the Company’s stock options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7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Because the Company does not have sufficient trading history for its common stock, the expected volatility was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on the average volatility for comparable publicly-traded companies, over a period equal to the expected term of the stock option grants.</w:t>
      </w:r>
    </w:p>
    <w:p>
      <w:pPr>
        <w:spacing w:after="0" w:line="6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 The risk-free rate assumption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53"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The Company has never paid dividends on its common stock and does not anticipate paying dividends on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the Company uses an expected dividend yield of zero.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 Stock Purchase Plan</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2021, the Company’s board of directors adopted the Employee Stock Purchase Plan (“ESPP”), which was subsequently approved by stockholders in March 2021. The ESPP became effective on March 24, 2021, and the first offering period began on March 25, 2021. Under the terms of the ESPP, rights to purchase common shares may be granted to eligible qualified employees subject to certain restrictions. The ESPP enables the Company’s eligible employees, through payroll withholdings, to purchase a limited number of common shares at 85% of the fair market value of a common share either at the beginning of that offering period or on the applicable exercise date, whichever is less. Purchases are made on a semi-annual basis.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years ended December 31, 2022 and 2021, compensation expense related to ESPP was not material.</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Units</w:t>
      </w:r>
    </w:p>
    <w:p>
      <w:pPr>
        <w:spacing w:after="0" w:line="1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issues service-based and performance-based RSUs to employees. The RSUs automatically convert to shares of the Company’s Class A common stock on a one-for-one basis as the awards vest. RSUs granted to newly hired employees typically vest in equal quarterly installments over 3 or 4 years, provided that the initial vest occurs after a 1-year cliff. Such grants commence vesting as of the nearest scheduled quarterly vesting date from the date of grant. Generally, performance conditions include targets for revenue, gross profit, and EBITDA. The RSUs are measured at grant date fair value, at the market price of the Company’s common stock on the grant date. The Company records stock-based compensation expense related to the RSUs ratably over the employee respective requisite service period.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 under the 2021 Plan:</w:t>
      </w:r>
    </w:p>
    <w:p>
      <w:pPr>
        <w:spacing w:after="0" w:line="24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3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6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7"/>
              <w:spacing w:after="0" w:line="148"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1660" w:type="dxa"/>
            <w:vAlign w:val="bottom"/>
          </w:tcPr>
          <w:p>
            <w:pPr>
              <w:jc w:val="right"/>
              <w:ind w:right="295"/>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December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10,317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stock-based compensation expense by financial statement line item:</w:t>
      </w:r>
    </w:p>
    <w:p>
      <w:pPr>
        <w:spacing w:after="0" w:line="253" w:lineRule="exact"/>
        <w:rPr>
          <w:sz w:val="20"/>
          <w:szCs w:val="20"/>
          <w:color w:val="auto"/>
        </w:rPr>
      </w:pPr>
    </w:p>
    <w:tbl>
      <w:tblPr>
        <w:tblLayout w:type="fixed"/>
        <w:tblInd w:w="88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2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196"/>
        </w:trPr>
        <w:tc>
          <w:tcPr>
            <w:tcW w:w="4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26,817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12,959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7,336</w:t>
            </w:r>
          </w:p>
        </w:tc>
      </w:tr>
      <w:tr>
        <w:trPr>
          <w:trHeight w:val="20"/>
        </w:trPr>
        <w:tc>
          <w:tcPr>
            <w:tcW w:w="4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December 31, 2022, there was $4.9 million of total unrecognized stock-based compensation related to outstanding stock options, which will be recognized over a weighted average period of 1.27 years.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2022, the Company had $58.7 million unrecognized stock-based compensation related to RSUs, which will be recognized over the weighted average remaining requisite service period of 3.07 years. The total fair value of RSUs that vested during the years ended December 31, 2022 and 2021 was $20.2 million and $1.7 million, respectively.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right="7860" w:hanging="172"/>
        <w:spacing w:after="0" w:line="411" w:lineRule="auto"/>
        <w:tabs>
          <w:tab w:leader="none" w:pos="318"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Noncancellable Purchase Commitments</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2022, the Company has non-cancelable contractual commitments of $5.7 million for software and other services in the ordinary course of business with varying expiration terms through 2025. The future minimum payments under these arrangements were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96"/>
        </w:trPr>
        <w:tc>
          <w:tcPr>
            <w:tcW w:w="6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Amount</w:t>
            </w:r>
          </w:p>
        </w:tc>
      </w:tr>
      <w:tr>
        <w:trPr>
          <w:trHeight w:val="196"/>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314"/>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2,161</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payments</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Legal Contingencies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13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Plan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United States, the Company maintains a defined-contribution savings plan pursuant to Section 401(k) of the Internal Revenue Code of 1986, as amended. The plan is available to substantially all employees who meet the minimum age and length of service requirements. The Company did not make any contributions to this plan during the years ended December 31, 2022, 2021,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loss before provision for income taxes were as follows: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196"/>
        </w:trPr>
        <w:tc>
          <w:tcPr>
            <w:tcW w:w="4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(47,821)</w:t>
            </w:r>
          </w:p>
        </w:tc>
      </w:tr>
      <w:tr>
        <w:trPr>
          <w:trHeight w:val="23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had no federal or foreign provision for income taxes as the Company has incurred operating losses since inception. The Company’s state tax provision, which was current, was $35,000, $80,000 and $56,000 for the years ended December 31, 2022, 2021, and 2020, respectively.</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effective tax rate, as a percentage of pretax income, differs from the statutory federal rate primarily due to the valuation allowance that the Company records on its deferred tax assets as management believes it is more likely than not that the deferred tax assets will not be fully realized.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reconciliation between the provision for income taxes at the statutory rate and the provision for income taxes at the effective tax rate is as follows: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196"/>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Tax expense at United States statutory rate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Increase (decrease) in tax resulting from:</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taxes, net of federal effect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4900" w:type="dxa"/>
            <w:vAlign w:val="bottom"/>
          </w:tcPr>
          <w:p>
            <w:pPr>
              <w:ind w:left="160"/>
              <w:spacing w:after="0"/>
              <w:rPr>
                <w:sz w:val="20"/>
                <w:szCs w:val="20"/>
                <w:color w:val="auto"/>
              </w:rPr>
            </w:pPr>
            <w:r>
              <w:rPr>
                <w:rFonts w:ascii="Arial" w:cs="Arial" w:eastAsia="Arial" w:hAnsi="Arial"/>
                <w:sz w:val="18"/>
                <w:szCs w:val="18"/>
                <w:color w:val="auto"/>
              </w:rPr>
              <w:t>Non-deductible and other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tax rate differential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29"/>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
        </w:trPr>
        <w:tc>
          <w:tcPr>
            <w:tcW w:w="4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of temporary differences that gave rise to deferred tax assets and liabilities were as follows:</w:t>
      </w:r>
    </w:p>
    <w:p>
      <w:pPr>
        <w:spacing w:after="0" w:line="253"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r>
      <w:tr>
        <w:trPr>
          <w:trHeight w:val="196"/>
        </w:trPr>
        <w:tc>
          <w:tcPr>
            <w:tcW w:w="5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color w:val="auto"/>
              </w:rPr>
              <w:t>Accruals and reserves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2,043</w:t>
            </w: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and deferred revenue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color w:val="auto"/>
              </w:rPr>
              <w:t>Capitalized research and development costs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29"/>
        </w:trPr>
        <w:tc>
          <w:tcPr>
            <w:tcW w:w="5520" w:type="dxa"/>
            <w:vAlign w:val="bottom"/>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75,804</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99,754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82,162</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(92,810)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(75,348)</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4,876</w:t>
            </w: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deferred tax assets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Net deferred tax assets consist primarily of net operating loss carryforwards of approximately $83.6 million and $75.8 million as of December 31, 2022 and 2021, respectively, related to U.S. federal, state, and foreign taxes. A valuation allowance is provided when it is more likely than not that the deferred tax assets will not be realized. As of December 31, 2022 and 2021, the Company held valuation allowances against its deferred tax assets due to the uncertainty of realizing future benefits from its net operating loss carryforwards and other deferred tax assets. The valuation allowance increased by approximately $17.5 million, $18.8 million, and $10.5 million during the years ended December 31, 2022, 2021, and 2020, respectively.</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U.S. federal, state, and foreign net operating loss carryforwards of approximately $ 327.4 million, $231.3 million and $12.9 million, respectively, for income tax purposes are available to offset future taxable income as of December 31, 2022. $219.1 million of the U.S. federal net operating losses can be carried forward indefinitely and are available to offset 80% of future taxable income. If not used, these federal carryforwards will begin to expire in varying amounts beginning in 2030. Foreign net operating losses can be carried forward for a period of 5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Tax Reform Act of 1986 and similar California legislation impose substantial restrictions on the utilization of net operating losses and tax credit carryforwards in the event that there is a change in ownership as provided by Section 382 and Section 383 of the Internal Revenue Code and similar state provisions. Such a limitation could result in the limitation and/or expiration of the net operating loss carryforwards and tax credits before utilization, which could result in increased future tax liabilities when the Company becomes taxable for federal or state purposes. While the Company has experienced an ownership change since its inception, an immaterial amount of net operating losses or tax credits has been limited as of December 31, 2022.</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no uncertain tax positions as of December 31, 2022 and 2021.</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tax years 2010 through current will remain open for examination by the federal and state authorities for three and four years, respectively, from the date of utilization of any net operating loss credits. The Company is not currently under examination by income tax authorities in federal, state or other jurisdictions.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Loss Per Share Attributable to Common Stockholders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participating securities have been excluded from the computation of diluted loss per share attributable to common stockholders for the periods presented because including them would have been anti-dilutive:</w:t>
      </w:r>
    </w:p>
    <w:p>
      <w:pPr>
        <w:spacing w:after="0" w:line="253"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December 31,</w:t>
      </w:r>
    </w:p>
    <w:p>
      <w:pPr>
        <w:spacing w:after="0" w:line="29"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49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196"/>
        </w:trPr>
        <w:tc>
          <w:tcPr>
            <w:tcW w:w="4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gridSpan w:val="3"/>
          </w:tcPr>
          <w:p>
            <w:pPr>
              <w:ind w:left="24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5"/>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19,440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22,775</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2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65,971</w:t>
            </w: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convertible preferred stock warrants</w:t>
            </w:r>
          </w:p>
        </w:tc>
        <w:tc>
          <w:tcPr>
            <w:tcW w:w="12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660" w:type="dxa"/>
            <w:vAlign w:val="bottom"/>
          </w:tcPr>
          <w:p>
            <w:pPr>
              <w:jc w:val="right"/>
              <w:spacing w:after="0"/>
              <w:rPr>
                <w:sz w:val="20"/>
                <w:szCs w:val="20"/>
                <w:color w:val="auto"/>
              </w:rPr>
            </w:pPr>
            <w:r>
              <w:rPr>
                <w:rFonts w:ascii="Arial" w:cs="Arial" w:eastAsia="Arial" w:hAnsi="Arial"/>
                <w:sz w:val="18"/>
                <w:szCs w:val="18"/>
                <w:color w:val="auto"/>
              </w:rPr>
              <w:t>7,855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Delayed share issuance related to acquisition</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20,858</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right="2720" w:hanging="323"/>
        <w:spacing w:after="0" w:line="412"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i w:val="1"/>
          <w:i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1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Because of the material weakness in our internal control over financial reporting discussed below, our Chief Executive Officer and Chief Financial Officer concluded that, as of December 31, 2022, our disclosure controls and procedures were not effective. In light of this fact, our management, including our Chief Executive Officer and Chief Financial Officer, has put in place processes and controls and other post-closing procedures and has concluded that, notwithstanding the material weakness in our internal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GAAP.</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connection with the audit of our consolidated financial statements for the fiscal year ended December 31, 2022, and as previously described in our Annual Report on Form 10-K for the year ended December 31, 2021 in connection with the audits of our consolidated financial statements in certain prior years, we and our independent registered public accounting firms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material weakness related to the following control deficiency:</w:t>
      </w:r>
    </w:p>
    <w:p>
      <w:pPr>
        <w:spacing w:after="0" w:line="117" w:lineRule="exact"/>
        <w:rPr>
          <w:sz w:val="20"/>
          <w:szCs w:val="20"/>
          <w:color w:val="auto"/>
        </w:rPr>
      </w:pPr>
    </w:p>
    <w:p>
      <w:pPr>
        <w:jc w:val="both"/>
        <w:ind w:left="660" w:hanging="328"/>
        <w:spacing w:after="0" w:line="25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account reconciliations were prepared and reviewed at the appropriate level of precision on a consistent and timely basis.</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deficiency described above, if not remediated, could result in a misstatement of one or more account balances or disclosures in our annual or interim consolidated financial statements that would not be prevented or detected, and, accordingly, we determined that this control deficiency constitutes a material weakness.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address our material weakness, we have added accounting and finance personnel and implemented new financial accounting processes, controls, and systems. We are continuing to take steps to remediate the material weakness described above through hiring additional qualified accounting and finance resources and further evolving our accounting and close processes. We will not be able to fully remediate this control deficiency until these steps have been completed and the controls have been operating effectively for a sufficient period of time.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taking actions to remediate the material weakness relating to our internal control over financial reporting, as described above. Except as described above, there was not any change in our internal control over financial reporting (as such term is defined in Rules 13a-15(f) and 15d-15(f) under the Exchange Act) during our most recent fiscal quarter that has materially affected, or is reasonably likely to materially affect, our internal control over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Management, including our Chief Executive Officer and Chief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our financial statements for external purposes in accordance with U.S. GAAP.</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conducted an evaluation of the effectiveness of our internal control over financial reporting based on criteria established in Internal Control - Integrated Framework (2013) issued by the Committee of Sponsoring Organizations of the Treadway Commission (COSO). Based on that evaluation, management concluded that due to the material weakness described above, our internal control over financial reporting was not effective as of December 31, 2022.</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internal control over financial reporting due to an exemption for emerging growth companies pursuant to Section 404 of the Sarbanes-Oxley Act.</w:t>
      </w:r>
    </w:p>
    <w:p>
      <w:pPr>
        <w:spacing w:after="0" w:line="2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to be filed with the SEC no later than 120 days after the close of our fiscal year ended December 31, 2022.</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has adopted a code of conduct that applies to all of our employees, officers and directors. The full text of our code of conduct is available on our investor relations website at ir.thredup.com under the “Corporate Governance” section. We intend to satisfy the disclosure requirement under Item 5.05 of Form 8-K regarding amendments to, or waiver from, a provision of our code of conduct by posting such information on the website address and location specified above.</w:t>
      </w:r>
    </w:p>
    <w:p>
      <w:pPr>
        <w:spacing w:after="0" w:line="2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to be filed with the SEC no later than 120 days after the close of our fiscal year ended December 31, 2022.</w:t>
      </w: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to be filed with the SEC no later than 120 days after the close of our fiscal year ended December 31, 2022.</w:t>
      </w: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to be filed with the SEC no later than 120 days after the close of our fiscal year ended December 31, 2022.</w:t>
      </w: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to be filed with the SEC no later than 120 days after the close of our fiscal year ended December 31, 2022.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 and Financial Statement Schedules</w:t>
      </w:r>
    </w:p>
    <w:p>
      <w:pPr>
        <w:spacing w:after="0" w:line="139"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 or incorporated herein by reference:</w:t>
      </w:r>
    </w:p>
    <w:p>
      <w:pPr>
        <w:spacing w:after="0" w:line="99" w:lineRule="exact"/>
        <w:rPr>
          <w:rFonts w:ascii="Arial" w:cs="Arial" w:eastAsia="Arial" w:hAnsi="Arial"/>
          <w:sz w:val="18"/>
          <w:szCs w:val="18"/>
          <w:color w:val="auto"/>
        </w:rPr>
      </w:pPr>
    </w:p>
    <w:p>
      <w:pPr>
        <w:ind w:left="980" w:hanging="324"/>
        <w:spacing w:after="0" w:line="226" w:lineRule="exact"/>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financial statements included in Part II, Item 8,</w:t>
      </w:r>
      <w:r>
        <w:rPr>
          <w:rFonts w:ascii="Arial" w:cs="Arial" w:eastAsia="Arial" w:hAnsi="Arial"/>
          <w:sz w:val="18"/>
          <w:szCs w:val="18"/>
          <w:i w:val="1"/>
          <w:iCs w:val="1"/>
          <w:color w:val="auto"/>
        </w:rPr>
        <w:t xml:space="preserve"> Financial Statements and Supplementary Data</w:t>
      </w:r>
      <w:r>
        <w:rPr>
          <w:rFonts w:ascii="Arial" w:cs="Arial" w:eastAsia="Arial" w:hAnsi="Arial"/>
          <w:sz w:val="18"/>
          <w:szCs w:val="18"/>
          <w:color w:val="auto"/>
        </w:rPr>
        <w: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are filed as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89" w:lineRule="exact"/>
        <w:rPr>
          <w:rFonts w:ascii="Arial" w:cs="Arial" w:eastAsia="Arial" w:hAnsi="Arial"/>
          <w:sz w:val="18"/>
          <w:szCs w:val="18"/>
          <w:color w:val="auto"/>
        </w:rPr>
      </w:pPr>
    </w:p>
    <w:p>
      <w:pPr>
        <w:ind w:left="980" w:hanging="324"/>
        <w:spacing w:after="0" w:line="282"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Schedules are omitted because the required information is inapplicable, not material, 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presented in the consolidated financial statements or related notes.</w:t>
      </w:r>
    </w:p>
    <w:p>
      <w:pPr>
        <w:spacing w:after="0" w:line="53" w:lineRule="exact"/>
        <w:rPr>
          <w:rFonts w:ascii="Arial" w:cs="Arial" w:eastAsia="Arial" w:hAnsi="Arial"/>
          <w:sz w:val="18"/>
          <w:szCs w:val="18"/>
          <w:color w:val="auto"/>
        </w:rPr>
      </w:pPr>
    </w:p>
    <w:p>
      <w:pPr>
        <w:ind w:left="980" w:hanging="324"/>
        <w:spacing w:after="0" w:line="282"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listed in the Exhibit Index immediately below are filed as part of this Annual Report on Form 10-K, or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herein.</w:t>
      </w:r>
    </w:p>
    <w:p>
      <w:pPr>
        <w:spacing w:after="0" w:line="287"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80" w:type="dxa"/>
            <w:vAlign w:val="bottom"/>
          </w:tcPr>
          <w:p>
            <w:pPr>
              <w:jc w:val="center"/>
              <w:ind w:right="1148"/>
              <w:spacing w:after="0" w:line="135" w:lineRule="exact"/>
              <w:rPr>
                <w:sz w:val="20"/>
                <w:szCs w:val="20"/>
                <w:color w:val="auto"/>
              </w:rPr>
            </w:pPr>
            <w:r>
              <w:rPr>
                <w:rFonts w:ascii="Arial" w:cs="Arial" w:eastAsia="Arial" w:hAnsi="Arial"/>
                <w:sz w:val="14"/>
                <w:szCs w:val="14"/>
                <w:b w:val="1"/>
                <w:bCs w:val="1"/>
                <w:color w:val="auto"/>
              </w:rPr>
              <w:t>Exhibit</w:t>
            </w:r>
          </w:p>
        </w:tc>
        <w:tc>
          <w:tcPr>
            <w:tcW w:w="476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Exhibit Description</w:t>
            </w:r>
          </w:p>
        </w:tc>
        <w:tc>
          <w:tcPr>
            <w:tcW w:w="10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3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File No.</w:t>
            </w: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780" w:type="dxa"/>
            <w:vAlign w:val="bottom"/>
          </w:tcPr>
          <w:p>
            <w:pPr>
              <w:jc w:val="center"/>
              <w:ind w:right="1148"/>
              <w:spacing w:after="0"/>
              <w:rPr>
                <w:sz w:val="20"/>
                <w:szCs w:val="20"/>
                <w:color w:val="auto"/>
              </w:rPr>
            </w:pPr>
            <w:r>
              <w:rPr>
                <w:rFonts w:ascii="Arial" w:cs="Arial" w:eastAsia="Arial" w:hAnsi="Arial"/>
                <w:sz w:val="14"/>
                <w:szCs w:val="14"/>
                <w:b w:val="1"/>
                <w:bCs w:val="1"/>
                <w:color w:val="auto"/>
              </w:rPr>
              <w:t>Number</w:t>
            </w:r>
          </w:p>
        </w:tc>
        <w:tc>
          <w:tcPr>
            <w:tcW w:w="47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tbl>
      <w:tblPr>
        <w:tblLayout w:type="fixed"/>
        <w:tblInd w:w="0" w:type="dxa"/>
        <w:tblCellMar>
          <w:top w:w="0" w:type="dxa"/>
          <w:left w:w="0" w:type="dxa"/>
          <w:bottom w:w="0" w:type="dxa"/>
          <w:right w:w="0" w:type="dxa"/>
        </w:tblCellMar>
      </w:tblPr>
      <w:tr>
        <w:trPr>
          <w:trHeight w:val="183"/>
        </w:trPr>
        <w:tc>
          <w:tcPr>
            <w:tcW w:w="10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720" w:type="dxa"/>
            <w:vAlign w:val="bottom"/>
            <w:tcBorders>
              <w:top w:val="single" w:sz="8" w:color="auto"/>
            </w:tcBorders>
            <w:gridSpan w:val="32"/>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Amended and Restated Certificate of Incorporation of the Registrant.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0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tcBorders>
              <w:bottom w:val="single" w:sz="8" w:color="0000FF"/>
            </w:tcBorders>
            <w:gridSpan w:val="32"/>
          </w:tcPr>
          <w:p>
            <w:pPr>
              <w:spacing w:after="0"/>
              <w:rPr>
                <w:rFonts w:ascii="Arial" w:cs="Arial" w:eastAsia="Arial" w:hAnsi="Arial"/>
                <w:sz w:val="18"/>
                <w:szCs w:val="18"/>
                <w:color w:val="0000FF"/>
              </w:rPr>
            </w:pPr>
            <w:hyperlink r:id="rId112">
              <w:r>
                <w:rPr>
                  <w:rFonts w:ascii="Arial" w:cs="Arial" w:eastAsia="Arial" w:hAnsi="Arial"/>
                  <w:sz w:val="18"/>
                  <w:szCs w:val="18"/>
                  <w:color w:val="0000FF"/>
                </w:rPr>
                <w:t>Amended and Restated Bylaws of the Registrant, as adopted on</w:t>
              </w:r>
            </w:hyperlink>
          </w:p>
        </w:tc>
        <w:tc>
          <w:tcPr>
            <w:tcW w:w="0" w:type="dxa"/>
            <w:vAlign w:val="bottom"/>
          </w:tcPr>
          <w:p>
            <w:pPr>
              <w:spacing w:after="0"/>
              <w:rPr>
                <w:sz w:val="1"/>
                <w:szCs w:val="1"/>
                <w:color w:val="auto"/>
              </w:rPr>
            </w:pPr>
          </w:p>
        </w:tc>
      </w:tr>
      <w:tr>
        <w:trPr>
          <w:trHeight w:val="136"/>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gridSpan w:val="18"/>
          </w:tcPr>
          <w:p>
            <w:pPr>
              <w:spacing w:after="0" w:line="136" w:lineRule="exact"/>
              <w:rPr>
                <w:rFonts w:ascii="Arial" w:cs="Arial" w:eastAsia="Arial" w:hAnsi="Arial"/>
                <w:sz w:val="15"/>
                <w:szCs w:val="15"/>
                <w:color w:val="0000FF"/>
              </w:rPr>
            </w:pPr>
            <w:hyperlink r:id="rId112">
              <w:r>
                <w:rPr>
                  <w:rFonts w:ascii="Arial" w:cs="Arial" w:eastAsia="Arial" w:hAnsi="Arial"/>
                  <w:sz w:val="15"/>
                  <w:szCs w:val="15"/>
                  <w:color w:val="0000FF"/>
                </w:rPr>
                <w:t xml:space="preserve">February </w:t>
              </w:r>
            </w:hyperlink>
            <w:r>
              <w:rPr>
                <w:rFonts w:ascii="Arial" w:cs="Arial" w:eastAsia="Arial" w:hAnsi="Arial"/>
                <w:sz w:val="15"/>
                <w:szCs w:val="15"/>
                <w:color w:val="0000FF"/>
              </w:rPr>
              <w:t xml:space="preserve">16, </w:t>
            </w:r>
            <w:hyperlink r:id="rId112">
              <w:r>
                <w:rPr>
                  <w:rFonts w:ascii="Arial" w:cs="Arial" w:eastAsia="Arial" w:hAnsi="Arial"/>
                  <w:sz w:val="15"/>
                  <w:szCs w:val="15"/>
                  <w:color w:val="0000FF"/>
                </w:rPr>
                <w:t>2023</w:t>
              </w:r>
            </w:hyperlink>
            <w:r>
              <w:rPr>
                <w:rFonts w:ascii="Arial" w:cs="Arial" w:eastAsia="Arial" w:hAnsi="Arial"/>
                <w:sz w:val="15"/>
                <w:szCs w:val="15"/>
                <w:color w:val="000000"/>
              </w:rPr>
              <w:t>.</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Borders>
              <w:bottom w:val="single" w:sz="8" w:color="0000FF"/>
            </w:tcBorders>
            <w:gridSpan w:val="19"/>
          </w:tcPr>
          <w:p>
            <w:pPr>
              <w:spacing w:after="0"/>
              <w:rPr>
                <w:rFonts w:ascii="Arial" w:cs="Arial" w:eastAsia="Arial" w:hAnsi="Arial"/>
                <w:sz w:val="18"/>
                <w:szCs w:val="18"/>
                <w:color w:val="0000FF"/>
                <w:w w:val="99"/>
              </w:rPr>
            </w:pPr>
            <w:hyperlink r:id="rId113">
              <w:r>
                <w:rPr>
                  <w:rFonts w:ascii="Arial" w:cs="Arial" w:eastAsia="Arial" w:hAnsi="Arial"/>
                  <w:sz w:val="18"/>
                  <w:szCs w:val="18"/>
                  <w:color w:val="0000FF"/>
                  <w:w w:val="99"/>
                </w:rPr>
                <w:t>Form of Class A common stock certificate of the Registrant.</w:t>
              </w:r>
            </w:hyperlink>
          </w:p>
        </w:tc>
        <w:tc>
          <w:tcPr>
            <w:tcW w:w="98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gridSpan w:val="32"/>
          </w:tcPr>
          <w:p>
            <w:pPr>
              <w:spacing w:after="0"/>
              <w:rPr>
                <w:rFonts w:ascii="Arial" w:cs="Arial" w:eastAsia="Arial" w:hAnsi="Arial"/>
                <w:sz w:val="18"/>
                <w:szCs w:val="18"/>
                <w:color w:val="0000FF"/>
              </w:rPr>
            </w:pPr>
            <w:hyperlink r:id="rId114">
              <w:r>
                <w:rPr>
                  <w:rFonts w:ascii="Arial" w:cs="Arial" w:eastAsia="Arial" w:hAnsi="Arial"/>
                  <w:sz w:val="18"/>
                  <w:szCs w:val="18"/>
                  <w:color w:val="0000FF"/>
                </w:rPr>
                <w:t>Description of Securities Registered Pursuant to Section 12 of the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Securities Exchange Act of 1934.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gridSpan w:val="32"/>
          </w:tcPr>
          <w:p>
            <w:pPr>
              <w:spacing w:after="0"/>
              <w:rPr>
                <w:rFonts w:ascii="Arial" w:cs="Arial" w:eastAsia="Arial" w:hAnsi="Arial"/>
                <w:sz w:val="18"/>
                <w:szCs w:val="18"/>
                <w:color w:val="0000FF"/>
              </w:rPr>
            </w:pPr>
            <w:hyperlink r:id="rId115">
              <w:r>
                <w:rPr>
                  <w:rFonts w:ascii="Arial" w:cs="Arial" w:eastAsia="Arial" w:hAnsi="Arial"/>
                  <w:sz w:val="18"/>
                  <w:szCs w:val="18"/>
                  <w:color w:val="0000FF"/>
                </w:rPr>
                <w:t>Tenth Amended and Restated Investors’ Rights Agreement, dated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February 16, 2021, by and among the Registrant and certain of its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0000FF"/>
            </w:tcBorders>
            <w:gridSpan w:val="4"/>
          </w:tcPr>
          <w:p>
            <w:pPr>
              <w:spacing w:after="0" w:line="169" w:lineRule="exact"/>
              <w:rPr>
                <w:rFonts w:ascii="Arial" w:cs="Arial" w:eastAsia="Arial" w:hAnsi="Arial"/>
                <w:sz w:val="18"/>
                <w:szCs w:val="18"/>
                <w:color w:val="0000FF"/>
                <w:w w:val="98"/>
              </w:rPr>
            </w:pPr>
            <w:hyperlink r:id="rId115">
              <w:r>
                <w:rPr>
                  <w:rFonts w:ascii="Arial" w:cs="Arial" w:eastAsia="Arial" w:hAnsi="Arial"/>
                  <w:sz w:val="18"/>
                  <w:szCs w:val="18"/>
                  <w:color w:val="0000FF"/>
                  <w:w w:val="98"/>
                </w:rPr>
                <w:t>stockholders.</w:t>
              </w:r>
            </w:hyperlink>
          </w:p>
        </w:tc>
        <w:tc>
          <w:tcPr>
            <w:tcW w:w="4660" w:type="dxa"/>
            <w:vAlign w:val="bottom"/>
            <w:gridSpan w:val="28"/>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gridSpan w:val="32"/>
          </w:tcPr>
          <w:p>
            <w:pPr>
              <w:spacing w:after="0"/>
              <w:rPr>
                <w:rFonts w:ascii="Arial" w:cs="Arial" w:eastAsia="Arial" w:hAnsi="Arial"/>
                <w:sz w:val="18"/>
                <w:szCs w:val="18"/>
                <w:color w:val="0000FF"/>
              </w:rPr>
            </w:pPr>
            <w:hyperlink r:id="rId116">
              <w:r>
                <w:rPr>
                  <w:rFonts w:ascii="Arial" w:cs="Arial" w:eastAsia="Arial" w:hAnsi="Arial"/>
                  <w:sz w:val="18"/>
                  <w:szCs w:val="18"/>
                  <w:color w:val="0000FF"/>
                </w:rPr>
                <w:t>Form of Indemnification Agreement between the Registrant and each</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of its directors and executive officers.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line="243" w:lineRule="exact"/>
              <w:rPr>
                <w:sz w:val="20"/>
                <w:szCs w:val="20"/>
                <w:color w:val="auto"/>
              </w:rPr>
            </w:pPr>
            <w:r>
              <w:rPr>
                <w:rFonts w:ascii="Arial" w:cs="Arial" w:eastAsia="Arial" w:hAnsi="Arial"/>
                <w:sz w:val="18"/>
                <w:szCs w:val="18"/>
                <w:color w:val="auto"/>
                <w:w w:val="91"/>
              </w:rPr>
              <w:t>10.2</w:t>
            </w:r>
            <w:r>
              <w:rPr>
                <w:rFonts w:ascii="Arial" w:cs="Arial" w:eastAsia="Arial" w:hAnsi="Arial"/>
                <w:sz w:val="23"/>
                <w:szCs w:val="23"/>
                <w:color w:val="auto"/>
                <w:w w:val="91"/>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gridSpan w:val="32"/>
          </w:tcPr>
          <w:p>
            <w:pPr>
              <w:spacing w:after="0"/>
              <w:rPr>
                <w:rFonts w:ascii="Arial" w:cs="Arial" w:eastAsia="Arial" w:hAnsi="Arial"/>
                <w:sz w:val="18"/>
                <w:szCs w:val="18"/>
                <w:color w:val="0000FF"/>
              </w:rPr>
            </w:pPr>
            <w:hyperlink r:id="rId117">
              <w:r>
                <w:rPr>
                  <w:rFonts w:ascii="Arial" w:cs="Arial" w:eastAsia="Arial" w:hAnsi="Arial"/>
                  <w:sz w:val="18"/>
                  <w:szCs w:val="18"/>
                  <w:color w:val="0000FF"/>
                </w:rPr>
                <w:t>Second  Amended  and  Restated  2010  Stock  Incentive  Plan,  as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amended, and forms of agreements thereunder.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line="243" w:lineRule="exact"/>
              <w:rPr>
                <w:sz w:val="20"/>
                <w:szCs w:val="20"/>
                <w:color w:val="auto"/>
              </w:rPr>
            </w:pPr>
            <w:r>
              <w:rPr>
                <w:rFonts w:ascii="Arial" w:cs="Arial" w:eastAsia="Arial" w:hAnsi="Arial"/>
                <w:sz w:val="18"/>
                <w:szCs w:val="18"/>
                <w:color w:val="auto"/>
                <w:w w:val="91"/>
              </w:rPr>
              <w:t>10.3</w:t>
            </w:r>
            <w:r>
              <w:rPr>
                <w:rFonts w:ascii="Arial" w:cs="Arial" w:eastAsia="Arial" w:hAnsi="Arial"/>
                <w:sz w:val="23"/>
                <w:szCs w:val="23"/>
                <w:color w:val="auto"/>
                <w:w w:val="91"/>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gridSpan w:val="32"/>
          </w:tcPr>
          <w:p>
            <w:pPr>
              <w:spacing w:after="0"/>
              <w:rPr>
                <w:rFonts w:ascii="Arial" w:cs="Arial" w:eastAsia="Arial" w:hAnsi="Arial"/>
                <w:sz w:val="18"/>
                <w:szCs w:val="18"/>
                <w:color w:val="0000FF"/>
              </w:rPr>
            </w:pPr>
            <w:hyperlink r:id="rId118">
              <w:r>
                <w:rPr>
                  <w:rFonts w:ascii="Arial" w:cs="Arial" w:eastAsia="Arial" w:hAnsi="Arial"/>
                  <w:sz w:val="18"/>
                  <w:szCs w:val="18"/>
                  <w:color w:val="0000FF"/>
                </w:rPr>
                <w:t>2021 Stock Option and Incentive Plan and forms of agreements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thereunder.</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line="243" w:lineRule="exact"/>
              <w:rPr>
                <w:sz w:val="20"/>
                <w:szCs w:val="20"/>
                <w:color w:val="auto"/>
              </w:rPr>
            </w:pPr>
            <w:r>
              <w:rPr>
                <w:rFonts w:ascii="Arial" w:cs="Arial" w:eastAsia="Arial" w:hAnsi="Arial"/>
                <w:sz w:val="18"/>
                <w:szCs w:val="18"/>
                <w:color w:val="auto"/>
                <w:w w:val="91"/>
              </w:rPr>
              <w:t>10.4</w:t>
            </w:r>
            <w:r>
              <w:rPr>
                <w:rFonts w:ascii="Arial" w:cs="Arial" w:eastAsia="Arial" w:hAnsi="Arial"/>
                <w:sz w:val="23"/>
                <w:szCs w:val="23"/>
                <w:color w:val="auto"/>
                <w:w w:val="91"/>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tcBorders>
              <w:bottom w:val="single" w:sz="8" w:color="0000FF"/>
            </w:tcBorders>
            <w:gridSpan w:val="14"/>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2021 Employee Stock Purchase Plan.</w:t>
              </w:r>
            </w:hyperlink>
          </w:p>
        </w:tc>
        <w:tc>
          <w:tcPr>
            <w:tcW w:w="270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jc w:val="center"/>
              <w:spacing w:after="0" w:line="210" w:lineRule="exact"/>
              <w:rPr>
                <w:sz w:val="20"/>
                <w:szCs w:val="20"/>
                <w:color w:val="auto"/>
              </w:rPr>
            </w:pPr>
            <w:r>
              <w:rPr>
                <w:rFonts w:ascii="Arial" w:cs="Arial" w:eastAsia="Arial" w:hAnsi="Arial"/>
                <w:sz w:val="18"/>
                <w:szCs w:val="18"/>
                <w:color w:val="auto"/>
                <w:w w:val="91"/>
              </w:rPr>
              <w:t>10.5</w:t>
            </w:r>
            <w:r>
              <w:rPr>
                <w:rFonts w:ascii="Arial" w:cs="Arial" w:eastAsia="Arial" w:hAnsi="Arial"/>
                <w:sz w:val="23"/>
                <w:szCs w:val="23"/>
                <w:color w:val="auto"/>
                <w:w w:val="91"/>
                <w:vertAlign w:val="superscript"/>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gridSpan w:val="32"/>
          </w:tcPr>
          <w:p>
            <w:pPr>
              <w:spacing w:after="0"/>
              <w:rPr>
                <w:rFonts w:ascii="Arial" w:cs="Arial" w:eastAsia="Arial" w:hAnsi="Arial"/>
                <w:sz w:val="18"/>
                <w:szCs w:val="18"/>
                <w:color w:val="0000FF"/>
              </w:rPr>
            </w:pPr>
            <w:hyperlink r:id="rId120">
              <w:r>
                <w:rPr>
                  <w:rFonts w:ascii="Arial" w:cs="Arial" w:eastAsia="Arial" w:hAnsi="Arial"/>
                  <w:sz w:val="18"/>
                  <w:szCs w:val="18"/>
                  <w:color w:val="0000FF"/>
                </w:rPr>
                <w:t>Senior Executive Cash Incentive Bonus Plan.</w:t>
              </w:r>
            </w:hyperlink>
          </w:p>
        </w:tc>
        <w:tc>
          <w:tcPr>
            <w:tcW w:w="0" w:type="dxa"/>
            <w:vAlign w:val="bottom"/>
          </w:tcPr>
          <w:p>
            <w:pPr>
              <w:spacing w:after="0"/>
              <w:rPr>
                <w:sz w:val="1"/>
                <w:szCs w:val="1"/>
                <w:color w:val="auto"/>
              </w:rPr>
            </w:pPr>
          </w:p>
        </w:tc>
      </w:tr>
      <w:tr>
        <w:trPr>
          <w:trHeight w:val="210"/>
        </w:trPr>
        <w:tc>
          <w:tcPr>
            <w:tcW w:w="1040" w:type="dxa"/>
            <w:vAlign w:val="bottom"/>
          </w:tcPr>
          <w:p>
            <w:pPr>
              <w:jc w:val="center"/>
              <w:spacing w:after="0" w:line="210" w:lineRule="exact"/>
              <w:rPr>
                <w:sz w:val="20"/>
                <w:szCs w:val="20"/>
                <w:color w:val="auto"/>
              </w:rPr>
            </w:pPr>
            <w:r>
              <w:rPr>
                <w:rFonts w:ascii="Arial" w:cs="Arial" w:eastAsia="Arial" w:hAnsi="Arial"/>
                <w:sz w:val="18"/>
                <w:szCs w:val="18"/>
                <w:color w:val="auto"/>
                <w:w w:val="91"/>
              </w:rPr>
              <w:t>10.6</w:t>
            </w:r>
            <w:r>
              <w:rPr>
                <w:rFonts w:ascii="Arial" w:cs="Arial" w:eastAsia="Arial" w:hAnsi="Arial"/>
                <w:sz w:val="23"/>
                <w:szCs w:val="23"/>
                <w:color w:val="auto"/>
                <w:w w:val="91"/>
                <w:vertAlign w:val="superscript"/>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tcBorders>
              <w:top w:val="single" w:sz="8" w:color="0000FF"/>
            </w:tcBorders>
            <w:gridSpan w:val="15"/>
          </w:tcPr>
          <w:p>
            <w:pPr>
              <w:spacing w:after="0"/>
              <w:rPr>
                <w:rFonts w:ascii="Arial" w:cs="Arial" w:eastAsia="Arial" w:hAnsi="Arial"/>
                <w:sz w:val="18"/>
                <w:szCs w:val="18"/>
                <w:color w:val="0000FF"/>
              </w:rPr>
            </w:pPr>
            <w:hyperlink r:id="rId121">
              <w:r>
                <w:rPr>
                  <w:rFonts w:ascii="Arial" w:cs="Arial" w:eastAsia="Arial" w:hAnsi="Arial"/>
                  <w:sz w:val="18"/>
                  <w:szCs w:val="18"/>
                  <w:color w:val="0000FF"/>
                </w:rPr>
                <w:t>Executive Severance Plan.</w:t>
              </w:r>
            </w:hyperlink>
          </w:p>
        </w:tc>
        <w:tc>
          <w:tcPr>
            <w:tcW w:w="212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line="230" w:lineRule="exact"/>
              <w:rPr>
                <w:sz w:val="20"/>
                <w:szCs w:val="20"/>
                <w:color w:val="auto"/>
              </w:rPr>
            </w:pPr>
            <w:r>
              <w:rPr>
                <w:rFonts w:ascii="Arial" w:cs="Arial" w:eastAsia="Arial" w:hAnsi="Arial"/>
                <w:sz w:val="18"/>
                <w:szCs w:val="18"/>
                <w:color w:val="auto"/>
                <w:w w:val="91"/>
              </w:rPr>
              <w:t>10.7</w:t>
            </w:r>
            <w:r>
              <w:rPr>
                <w:rFonts w:ascii="Arial" w:cs="Arial" w:eastAsia="Arial" w:hAnsi="Arial"/>
                <w:sz w:val="23"/>
                <w:szCs w:val="23"/>
                <w:color w:val="auto"/>
                <w:w w:val="91"/>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Borders>
              <w:bottom w:val="single" w:sz="8" w:color="0000FF"/>
            </w:tcBorders>
            <w:gridSpan w:val="16"/>
          </w:tcPr>
          <w:p>
            <w:pPr>
              <w:spacing w:after="0"/>
              <w:rPr>
                <w:rFonts w:ascii="Arial" w:cs="Arial" w:eastAsia="Arial" w:hAnsi="Arial"/>
                <w:sz w:val="18"/>
                <w:szCs w:val="18"/>
                <w:color w:val="0000FF"/>
                <w:w w:val="98"/>
              </w:rPr>
            </w:pPr>
            <w:hyperlink r:id="rId122">
              <w:r>
                <w:rPr>
                  <w:rFonts w:ascii="Arial" w:cs="Arial" w:eastAsia="Arial" w:hAnsi="Arial"/>
                  <w:sz w:val="18"/>
                  <w:szCs w:val="18"/>
                  <w:color w:val="0000FF"/>
                  <w:w w:val="98"/>
                </w:rPr>
                <w:t>Non-Employee Director Compensation Policy.</w:t>
              </w:r>
            </w:hyperlink>
          </w:p>
        </w:tc>
        <w:tc>
          <w:tcPr>
            <w:tcW w:w="20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jc w:val="center"/>
              <w:spacing w:after="0" w:line="210" w:lineRule="exact"/>
              <w:rPr>
                <w:sz w:val="20"/>
                <w:szCs w:val="20"/>
                <w:color w:val="auto"/>
              </w:rPr>
            </w:pPr>
            <w:r>
              <w:rPr>
                <w:rFonts w:ascii="Arial" w:cs="Arial" w:eastAsia="Arial" w:hAnsi="Arial"/>
                <w:sz w:val="18"/>
                <w:szCs w:val="18"/>
                <w:color w:val="auto"/>
                <w:w w:val="91"/>
              </w:rPr>
              <w:t>10.8</w:t>
            </w:r>
            <w:r>
              <w:rPr>
                <w:rFonts w:ascii="Arial" w:cs="Arial" w:eastAsia="Arial" w:hAnsi="Arial"/>
                <w:sz w:val="23"/>
                <w:szCs w:val="23"/>
                <w:color w:val="auto"/>
                <w:w w:val="91"/>
                <w:vertAlign w:val="superscript"/>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gridSpan w:val="32"/>
          </w:tcPr>
          <w:p>
            <w:pPr>
              <w:spacing w:after="0"/>
              <w:rPr>
                <w:rFonts w:ascii="Arial" w:cs="Arial" w:eastAsia="Arial" w:hAnsi="Arial"/>
                <w:sz w:val="18"/>
                <w:szCs w:val="18"/>
                <w:color w:val="0000FF"/>
              </w:rPr>
            </w:pPr>
            <w:hyperlink r:id="rId123">
              <w:r>
                <w:rPr>
                  <w:rFonts w:ascii="Arial" w:cs="Arial" w:eastAsia="Arial" w:hAnsi="Arial"/>
                  <w:sz w:val="18"/>
                  <w:szCs w:val="18"/>
                  <w:color w:val="0000FF"/>
                </w:rPr>
                <w:t>Terms and Conditions of the Registrant’s Fiscal Year 2021 Incentive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Compensation Targets.</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line="243" w:lineRule="exact"/>
              <w:rPr>
                <w:sz w:val="20"/>
                <w:szCs w:val="20"/>
                <w:color w:val="auto"/>
              </w:rPr>
            </w:pPr>
            <w:r>
              <w:rPr>
                <w:rFonts w:ascii="Arial" w:cs="Arial" w:eastAsia="Arial" w:hAnsi="Arial"/>
                <w:sz w:val="18"/>
                <w:szCs w:val="18"/>
                <w:color w:val="auto"/>
                <w:w w:val="91"/>
              </w:rPr>
              <w:t>10.9</w:t>
            </w:r>
            <w:r>
              <w:rPr>
                <w:rFonts w:ascii="Arial" w:cs="Arial" w:eastAsia="Arial" w:hAnsi="Arial"/>
                <w:sz w:val="23"/>
                <w:szCs w:val="23"/>
                <w:color w:val="auto"/>
                <w:w w:val="91"/>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gridSpan w:val="32"/>
          </w:tcPr>
          <w:p>
            <w:pPr>
              <w:spacing w:after="0"/>
              <w:rPr>
                <w:rFonts w:ascii="Arial" w:cs="Arial" w:eastAsia="Arial" w:hAnsi="Arial"/>
                <w:sz w:val="18"/>
                <w:szCs w:val="18"/>
                <w:color w:val="0000FF"/>
              </w:rPr>
            </w:pPr>
            <w:hyperlink r:id="rId124">
              <w:r>
                <w:rPr>
                  <w:rFonts w:ascii="Arial" w:cs="Arial" w:eastAsia="Arial" w:hAnsi="Arial"/>
                  <w:sz w:val="18"/>
                  <w:szCs w:val="18"/>
                  <w:color w:val="0000FF"/>
                </w:rPr>
                <w:t>Offer Letter between the Registrant and Anthony Marino, dated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r:id="rId124">
              <w:r>
                <w:rPr>
                  <w:rFonts w:ascii="Arial" w:cs="Arial" w:eastAsia="Arial" w:hAnsi="Arial"/>
                  <w:sz w:val="18"/>
                  <w:szCs w:val="18"/>
                  <w:color w:val="0000FF"/>
                  <w:w w:val="98"/>
                </w:rPr>
                <w:t>August 5, 2013.</w:t>
              </w:r>
            </w:hyperlink>
          </w:p>
        </w:tc>
        <w:tc>
          <w:tcPr>
            <w:tcW w:w="4360" w:type="dxa"/>
            <w:vAlign w:val="bottom"/>
            <w:tcBorders>
              <w:top w:val="single" w:sz="8" w:color="0000FF"/>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line="223" w:lineRule="exact"/>
              <w:rPr>
                <w:sz w:val="20"/>
                <w:szCs w:val="20"/>
                <w:color w:val="auto"/>
              </w:rPr>
            </w:pPr>
            <w:r>
              <w:rPr>
                <w:rFonts w:ascii="Arial" w:cs="Arial" w:eastAsia="Arial" w:hAnsi="Arial"/>
                <w:sz w:val="18"/>
                <w:szCs w:val="18"/>
                <w:color w:val="auto"/>
                <w:w w:val="96"/>
              </w:rPr>
              <w:t>10.10</w:t>
            </w:r>
            <w:r>
              <w:rPr>
                <w:rFonts w:ascii="Arial" w:cs="Arial" w:eastAsia="Arial" w:hAnsi="Arial"/>
                <w:sz w:val="23"/>
                <w:szCs w:val="23"/>
                <w:color w:val="auto"/>
                <w:w w:val="96"/>
                <w:vertAlign w:val="superscript"/>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gridSpan w:val="32"/>
          </w:tcPr>
          <w:p>
            <w:pPr>
              <w:spacing w:after="0"/>
              <w:rPr>
                <w:rFonts w:ascii="Arial" w:cs="Arial" w:eastAsia="Arial" w:hAnsi="Arial"/>
                <w:sz w:val="18"/>
                <w:szCs w:val="18"/>
                <w:color w:val="0000FF"/>
              </w:rPr>
            </w:pPr>
            <w:hyperlink r:id="rId125">
              <w:r>
                <w:rPr>
                  <w:rFonts w:ascii="Arial" w:cs="Arial" w:eastAsia="Arial" w:hAnsi="Arial"/>
                  <w:sz w:val="18"/>
                  <w:szCs w:val="18"/>
                  <w:color w:val="0000FF"/>
                </w:rPr>
                <w:t>Offer  Letter  between  the  Registrant  and  Sean  Sobers,  dated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r:id="rId125">
              <w:r>
                <w:rPr>
                  <w:rFonts w:ascii="Arial" w:cs="Arial" w:eastAsia="Arial" w:hAnsi="Arial"/>
                  <w:sz w:val="18"/>
                  <w:szCs w:val="18"/>
                  <w:color w:val="0000FF"/>
                  <w:w w:val="98"/>
                </w:rPr>
                <w:t>September 30, 2019.</w:t>
              </w:r>
            </w:hyperlink>
          </w:p>
        </w:tc>
        <w:tc>
          <w:tcPr>
            <w:tcW w:w="38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line="223" w:lineRule="exact"/>
              <w:rPr>
                <w:sz w:val="20"/>
                <w:szCs w:val="20"/>
                <w:color w:val="auto"/>
              </w:rPr>
            </w:pPr>
            <w:r>
              <w:rPr>
                <w:rFonts w:ascii="Arial" w:cs="Arial" w:eastAsia="Arial" w:hAnsi="Arial"/>
                <w:sz w:val="18"/>
                <w:szCs w:val="18"/>
                <w:color w:val="auto"/>
                <w:w w:val="96"/>
              </w:rPr>
              <w:t>10.11</w:t>
            </w:r>
            <w:r>
              <w:rPr>
                <w:rFonts w:ascii="Arial" w:cs="Arial" w:eastAsia="Arial" w:hAnsi="Arial"/>
                <w:sz w:val="23"/>
                <w:szCs w:val="23"/>
                <w:color w:val="auto"/>
                <w:w w:val="96"/>
                <w:vertAlign w:val="superscript"/>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20" w:type="dxa"/>
            <w:vAlign w:val="bottom"/>
            <w:gridSpan w:val="32"/>
          </w:tcPr>
          <w:p>
            <w:pPr>
              <w:spacing w:after="0"/>
              <w:rPr>
                <w:rFonts w:ascii="Arial" w:cs="Arial" w:eastAsia="Arial" w:hAnsi="Arial"/>
                <w:sz w:val="18"/>
                <w:szCs w:val="18"/>
                <w:color w:val="0000FF"/>
              </w:rPr>
            </w:pPr>
            <w:hyperlink r:id="rId126">
              <w:r>
                <w:rPr>
                  <w:rFonts w:ascii="Arial" w:cs="Arial" w:eastAsia="Arial" w:hAnsi="Arial"/>
                  <w:sz w:val="18"/>
                  <w:szCs w:val="18"/>
                  <w:color w:val="0000FF"/>
                </w:rPr>
                <w:t>Offer Letter between the Registrant and Chris Homer, dated July 1,</w:t>
              </w:r>
            </w:hyperlink>
          </w:p>
        </w:tc>
        <w:tc>
          <w:tcPr>
            <w:tcW w:w="0" w:type="dxa"/>
            <w:vAlign w:val="bottom"/>
          </w:tcPr>
          <w:p>
            <w:pPr>
              <w:spacing w:after="0"/>
              <w:rPr>
                <w:sz w:val="1"/>
                <w:szCs w:val="1"/>
                <w:color w:val="auto"/>
              </w:rPr>
            </w:pPr>
          </w:p>
        </w:tc>
      </w:tr>
      <w:tr>
        <w:trPr>
          <w:trHeight w:val="136"/>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6"/>
              </w:rPr>
              <w:t>10.12</w:t>
            </w:r>
            <w:r>
              <w:rPr>
                <w:rFonts w:ascii="Arial" w:cs="Arial" w:eastAsia="Arial" w:hAnsi="Arial"/>
                <w:sz w:val="23"/>
                <w:szCs w:val="23"/>
                <w:color w:val="auto"/>
                <w:w w:val="96"/>
                <w:vertAlign w:val="superscript"/>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0000FF"/>
            </w:tcBorders>
            <w:gridSpan w:val="2"/>
          </w:tcPr>
          <w:p>
            <w:pPr>
              <w:spacing w:after="0" w:line="136" w:lineRule="exact"/>
              <w:rPr>
                <w:rFonts w:ascii="Arial" w:cs="Arial" w:eastAsia="Arial" w:hAnsi="Arial"/>
                <w:sz w:val="15"/>
                <w:szCs w:val="15"/>
                <w:color w:val="0000FF"/>
              </w:rPr>
            </w:pPr>
            <w:hyperlink r:id="rId126">
              <w:r>
                <w:rPr>
                  <w:rFonts w:ascii="Arial" w:cs="Arial" w:eastAsia="Arial" w:hAnsi="Arial"/>
                  <w:sz w:val="15"/>
                  <w:szCs w:val="15"/>
                  <w:color w:val="0000FF"/>
                </w:rPr>
                <w:t>2010.</w:t>
              </w:r>
            </w:hyperlink>
          </w:p>
        </w:tc>
        <w:tc>
          <w:tcPr>
            <w:tcW w:w="1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7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gridSpan w:val="32"/>
          </w:tcPr>
          <w:p>
            <w:pPr>
              <w:spacing w:after="0"/>
              <w:rPr>
                <w:rFonts w:ascii="Arial" w:cs="Arial" w:eastAsia="Arial" w:hAnsi="Arial"/>
                <w:sz w:val="18"/>
                <w:szCs w:val="18"/>
                <w:color w:val="0000FF"/>
              </w:rPr>
            </w:pPr>
            <w:hyperlink r:id="rId127">
              <w:r>
                <w:rPr>
                  <w:rFonts w:ascii="Arial" w:cs="Arial" w:eastAsia="Arial" w:hAnsi="Arial"/>
                  <w:sz w:val="18"/>
                  <w:szCs w:val="18"/>
                  <w:color w:val="0000FF"/>
                </w:rPr>
                <w:t>Board  Member  Agreement  between  the  Registrant  and  Mandy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127">
              <w:r>
                <w:rPr>
                  <w:rFonts w:ascii="Arial" w:cs="Arial" w:eastAsia="Arial" w:hAnsi="Arial"/>
                  <w:sz w:val="18"/>
                  <w:szCs w:val="18"/>
                  <w:color w:val="0000FF"/>
                  <w:w w:val="99"/>
                </w:rPr>
                <w:t>Ginsberg, dated December 3, 2020.</w:t>
              </w:r>
            </w:hyperlink>
          </w:p>
        </w:tc>
        <w:tc>
          <w:tcPr>
            <w:tcW w:w="27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line="223" w:lineRule="exact"/>
              <w:rPr>
                <w:sz w:val="20"/>
                <w:szCs w:val="20"/>
                <w:color w:val="auto"/>
              </w:rPr>
            </w:pPr>
            <w:r>
              <w:rPr>
                <w:rFonts w:ascii="Arial" w:cs="Arial" w:eastAsia="Arial" w:hAnsi="Arial"/>
                <w:sz w:val="18"/>
                <w:szCs w:val="18"/>
                <w:color w:val="auto"/>
                <w:w w:val="96"/>
              </w:rPr>
              <w:t>10.13</w:t>
            </w:r>
            <w:r>
              <w:rPr>
                <w:rFonts w:ascii="Arial" w:cs="Arial" w:eastAsia="Arial" w:hAnsi="Arial"/>
                <w:sz w:val="23"/>
                <w:szCs w:val="23"/>
                <w:color w:val="auto"/>
                <w:w w:val="96"/>
                <w:vertAlign w:val="superscript"/>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gridSpan w:val="32"/>
          </w:tcPr>
          <w:p>
            <w:pPr>
              <w:spacing w:after="0"/>
              <w:rPr>
                <w:rFonts w:ascii="Arial" w:cs="Arial" w:eastAsia="Arial" w:hAnsi="Arial"/>
                <w:sz w:val="18"/>
                <w:szCs w:val="18"/>
                <w:color w:val="0000FF"/>
              </w:rPr>
            </w:pPr>
            <w:hyperlink r:id="rId128">
              <w:r>
                <w:rPr>
                  <w:rFonts w:ascii="Arial" w:cs="Arial" w:eastAsia="Arial" w:hAnsi="Arial"/>
                  <w:sz w:val="18"/>
                  <w:szCs w:val="18"/>
                  <w:color w:val="0000FF"/>
                </w:rPr>
                <w:t>Board Member Agreement between the Registrant and Marcie Vu,</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8"/>
              </w:rPr>
            </w:pPr>
            <w:hyperlink r:id="rId128">
              <w:r>
                <w:rPr>
                  <w:rFonts w:ascii="Arial" w:cs="Arial" w:eastAsia="Arial" w:hAnsi="Arial"/>
                  <w:sz w:val="18"/>
                  <w:szCs w:val="18"/>
                  <w:color w:val="0000FF"/>
                  <w:w w:val="98"/>
                </w:rPr>
                <w:t>dated February 11, 2021.</w:t>
              </w:r>
            </w:hyperlink>
          </w:p>
        </w:tc>
        <w:tc>
          <w:tcPr>
            <w:tcW w:w="3580" w:type="dxa"/>
            <w:vAlign w:val="bottom"/>
            <w:tcBorders>
              <w:top w:val="single" w:sz="8" w:color="0000FF"/>
            </w:tcBorders>
            <w:gridSpan w:val="17"/>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-3736975</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-3325495</wp:posOffset>
            </wp:positionV>
            <wp:extent cx="7132320" cy="3771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-2682875</wp:posOffset>
            </wp:positionV>
            <wp:extent cx="7132320" cy="266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-2151380</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-1859915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-1568450</wp:posOffset>
            </wp:positionV>
            <wp:extent cx="7132320"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-1036955</wp:posOffset>
            </wp:positionV>
            <wp:extent cx="713232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266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S-1</w:t>
            </w:r>
          </w:p>
        </w:tc>
        <w:tc>
          <w:tcPr>
            <w:tcW w:w="8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3/3/2021</w:t>
            </w:r>
          </w:p>
        </w:tc>
      </w:tr>
      <w:tr>
        <w:trPr>
          <w:trHeight w:val="418"/>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001-40249</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2/21/2023</w:t>
            </w:r>
          </w:p>
        </w:tc>
      </w:tr>
      <w:tr>
        <w:trPr>
          <w:trHeight w:val="229"/>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418"/>
        </w:trPr>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001-40249</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3/22/2022</w:t>
            </w:r>
          </w:p>
        </w:tc>
      </w:tr>
      <w:tr>
        <w:trPr>
          <w:trHeight w:val="594"/>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419"/>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418"/>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418"/>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3/17/2021</w:t>
            </w:r>
          </w:p>
        </w:tc>
      </w:tr>
      <w:tr>
        <w:trPr>
          <w:trHeight w:val="230"/>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3/17/2021</w:t>
            </w:r>
          </w:p>
        </w:tc>
      </w:tr>
      <w:tr>
        <w:trPr>
          <w:trHeight w:val="230"/>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230"/>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229"/>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419"/>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418"/>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418"/>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419"/>
        </w:trPr>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001-40249</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3/22/2022</w:t>
            </w:r>
          </w:p>
        </w:tc>
      </w:tr>
      <w:tr>
        <w:trPr>
          <w:trHeight w:val="418"/>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416"/>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333-253834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3/3/2021</w:t>
            </w:r>
          </w:p>
        </w:tc>
      </w:tr>
    </w:tbl>
    <w:p>
      <w:pPr>
        <w:spacing w:after="0" w:line="1" w:lineRule="exact"/>
        <w:rPr>
          <w:sz w:val="20"/>
          <w:szCs w:val="20"/>
          <w:color w:val="auto"/>
        </w:rPr>
      </w:pPr>
    </w:p>
    <w:p>
      <w:pPr>
        <w:sectPr>
          <w:pgSz w:w="11900" w:h="16838" w:orient="portrait"/>
          <w:cols w:equalWidth="0" w:num="2">
            <w:col w:w="6700" w:space="80"/>
            <w:col w:w="446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1140" w:type="dxa"/>
            <w:vAlign w:val="bottom"/>
            <w:shd w:val="clear" w:color="auto" w:fill="CCEEFF"/>
          </w:tcPr>
          <w:p>
            <w:pPr>
              <w:jc w:val="right"/>
              <w:ind w:right="274"/>
              <w:spacing w:after="0" w:line="191" w:lineRule="exact"/>
              <w:rPr>
                <w:sz w:val="20"/>
                <w:szCs w:val="20"/>
                <w:color w:val="auto"/>
              </w:rPr>
            </w:pPr>
            <w:r>
              <w:rPr>
                <w:rFonts w:ascii="Arial" w:cs="Arial" w:eastAsia="Arial" w:hAnsi="Arial"/>
                <w:sz w:val="17"/>
                <w:szCs w:val="17"/>
                <w:color w:val="auto"/>
              </w:rPr>
              <w:t>10.14</w:t>
            </w:r>
            <w:r>
              <w:rPr>
                <w:rFonts w:ascii="Arial" w:cs="Arial" w:eastAsia="Arial" w:hAnsi="Arial"/>
                <w:sz w:val="22"/>
                <w:szCs w:val="22"/>
                <w:color w:val="auto"/>
                <w:vertAlign w:val="superscript"/>
              </w:rPr>
              <w:t>^</w:t>
            </w:r>
          </w:p>
        </w:tc>
        <w:tc>
          <w:tcPr>
            <w:tcW w:w="2140" w:type="dxa"/>
            <w:vAlign w:val="bottom"/>
            <w:gridSpan w:val="2"/>
            <w:shd w:val="clear" w:color="auto" w:fill="CCEEFF"/>
          </w:tcPr>
          <w:p>
            <w:pPr>
              <w:spacing w:after="0" w:line="191" w:lineRule="exact"/>
              <w:rPr>
                <w:rFonts w:ascii="Arial" w:cs="Arial" w:eastAsia="Arial" w:hAnsi="Arial"/>
                <w:sz w:val="18"/>
                <w:szCs w:val="18"/>
                <w:color w:val="0000FF"/>
              </w:rPr>
            </w:pPr>
            <w:hyperlink r:id="rId137">
              <w:r>
                <w:rPr>
                  <w:rFonts w:ascii="Arial" w:cs="Arial" w:eastAsia="Arial" w:hAnsi="Arial"/>
                  <w:sz w:val="18"/>
                  <w:szCs w:val="18"/>
                  <w:color w:val="0000FF"/>
                </w:rPr>
                <w:t>Amended  and  Restated</w:t>
              </w:r>
            </w:hyperlink>
          </w:p>
        </w:tc>
        <w:tc>
          <w:tcPr>
            <w:tcW w:w="4520" w:type="dxa"/>
            <w:vAlign w:val="bottom"/>
            <w:gridSpan w:val="2"/>
            <w:shd w:val="clear" w:color="auto" w:fill="CCEEFF"/>
          </w:tcPr>
          <w:p>
            <w:pPr>
              <w:ind w:left="80"/>
              <w:spacing w:after="0" w:line="191" w:lineRule="exact"/>
              <w:rPr>
                <w:rFonts w:ascii="Arial" w:cs="Arial" w:eastAsia="Arial" w:hAnsi="Arial"/>
                <w:sz w:val="18"/>
                <w:szCs w:val="18"/>
                <w:color w:val="0000FF"/>
              </w:rPr>
            </w:pPr>
            <w:hyperlink r:id="rId137">
              <w:r>
                <w:rPr>
                  <w:rFonts w:ascii="Arial" w:cs="Arial" w:eastAsia="Arial" w:hAnsi="Arial"/>
                  <w:sz w:val="18"/>
                  <w:szCs w:val="18"/>
                  <w:color w:val="0000FF"/>
                </w:rPr>
                <w:t>Loan  and  Security  Agreement,  dated</w:t>
              </w:r>
            </w:hyperlink>
          </w:p>
        </w:tc>
        <w:tc>
          <w:tcPr>
            <w:tcW w:w="1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552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February 3, 2021, by and between the Registrant and Western</w:t>
              </w:r>
            </w:hyperlink>
          </w:p>
        </w:tc>
        <w:tc>
          <w:tcPr>
            <w:tcW w:w="1140" w:type="dxa"/>
            <w:vAlign w:val="bottom"/>
            <w:tcBorders>
              <w:top w:val="single" w:sz="8" w:color="CCEEFF"/>
              <w:bottom w:val="single" w:sz="8" w:color="CCEEFF"/>
            </w:tcBorders>
            <w:vMerge w:val="restart"/>
            <w:shd w:val="clear" w:color="auto" w:fill="CCEEFF"/>
          </w:tcPr>
          <w:p>
            <w:pPr>
              <w:ind w:left="420"/>
              <w:spacing w:after="0"/>
              <w:rPr>
                <w:sz w:val="20"/>
                <w:szCs w:val="20"/>
                <w:color w:val="auto"/>
              </w:rPr>
            </w:pPr>
            <w:r>
              <w:rPr>
                <w:rFonts w:ascii="Arial" w:cs="Arial" w:eastAsia="Arial" w:hAnsi="Arial"/>
                <w:sz w:val="18"/>
                <w:szCs w:val="18"/>
                <w:color w:val="auto"/>
              </w:rPr>
              <w:t>S-1/A</w:t>
            </w:r>
          </w:p>
        </w:tc>
        <w:tc>
          <w:tcPr>
            <w:tcW w:w="1440" w:type="dxa"/>
            <w:vAlign w:val="bottom"/>
            <w:tcBorders>
              <w:top w:val="single" w:sz="8" w:color="CCEEFF"/>
              <w:bottom w:val="single" w:sz="8" w:color="CCEEFF"/>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333-253834</w:t>
            </w:r>
          </w:p>
        </w:tc>
        <w:tc>
          <w:tcPr>
            <w:tcW w:w="840" w:type="dxa"/>
            <w:vAlign w:val="bottom"/>
            <w:tcBorders>
              <w:top w:val="single" w:sz="8" w:color="CCEEFF"/>
              <w:bottom w:val="single" w:sz="8" w:color="CCEEFF"/>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10.14</w:t>
            </w:r>
          </w:p>
        </w:tc>
        <w:tc>
          <w:tcPr>
            <w:tcW w:w="1160" w:type="dxa"/>
            <w:vAlign w:val="bottom"/>
            <w:tcBorders>
              <w:top w:val="single" w:sz="8" w:color="CCEEFF"/>
              <w:bottom w:val="single" w:sz="8" w:color="CCEEFF"/>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3/17/2021</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spacing w:after="0" w:line="169" w:lineRule="exact"/>
              <w:rPr>
                <w:rFonts w:ascii="Arial" w:cs="Arial" w:eastAsia="Arial" w:hAnsi="Arial"/>
                <w:sz w:val="18"/>
                <w:szCs w:val="18"/>
                <w:color w:val="0000FF"/>
              </w:rPr>
            </w:pPr>
            <w:hyperlink r:id="rId137">
              <w:r>
                <w:rPr>
                  <w:rFonts w:ascii="Arial" w:cs="Arial" w:eastAsia="Arial" w:hAnsi="Arial"/>
                  <w:sz w:val="18"/>
                  <w:szCs w:val="18"/>
                  <w:color w:val="0000FF"/>
                </w:rPr>
                <w:t>Alliance Bank.</w:t>
              </w:r>
            </w:hyperlink>
          </w:p>
        </w:tc>
        <w:tc>
          <w:tcPr>
            <w:tcW w:w="33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42"/>
        </w:trPr>
        <w:tc>
          <w:tcPr>
            <w:tcW w:w="1140" w:type="dxa"/>
            <w:vAlign w:val="bottom"/>
            <w:tcBorders>
              <w:top w:val="single" w:sz="8" w:color="CCEE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380" w:type="dxa"/>
            <w:vAlign w:val="bottom"/>
            <w:tcBorders>
              <w:top w:val="single" w:sz="8" w:color="CCEEFF"/>
            </w:tcBorders>
          </w:tcPr>
          <w:p>
            <w:pPr>
              <w:jc w:val="right"/>
              <w:ind w:right="850"/>
              <w:spacing w:after="0"/>
              <w:rPr>
                <w:sz w:val="20"/>
                <w:szCs w:val="20"/>
                <w:color w:val="auto"/>
              </w:rPr>
            </w:pPr>
            <w:r>
              <w:rPr>
                <w:rFonts w:ascii="Arial" w:cs="Arial" w:eastAsia="Arial" w:hAnsi="Arial"/>
                <w:sz w:val="18"/>
                <w:szCs w:val="18"/>
                <w:color w:val="auto"/>
              </w:rPr>
              <w:t>92</w:t>
            </w:r>
          </w:p>
        </w:tc>
        <w:tc>
          <w:tcPr>
            <w:tcW w:w="114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center"/>
              <w:spacing w:after="0"/>
              <w:rPr>
                <w:sz w:val="20"/>
                <w:szCs w:val="20"/>
                <w:color w:val="auto"/>
              </w:rPr>
            </w:pPr>
            <w:r>
              <w:rPr>
                <w:rFonts w:ascii="Arial" w:cs="Arial" w:eastAsia="Arial" w:hAnsi="Arial"/>
                <w:sz w:val="18"/>
                <w:szCs w:val="18"/>
                <w:color w:val="auto"/>
              </w:rPr>
              <w:t>10.15</w:t>
            </w:r>
          </w:p>
        </w:tc>
        <w:tc>
          <w:tcPr>
            <w:tcW w:w="5860" w:type="dxa"/>
            <w:vAlign w:val="bottom"/>
            <w:gridSpan w:val="30"/>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First Amendment to Amended and Restated Loan and Security</w:t>
              </w:r>
            </w:hyperlink>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Agreement, dated as of May 14, 2021, by and among ThredUp Inc.,</w:t>
              </w:r>
            </w:hyperlink>
          </w:p>
        </w:tc>
        <w:tc>
          <w:tcPr>
            <w:tcW w:w="20" w:type="dxa"/>
            <w:vAlign w:val="bottom"/>
            <w:tcBorders>
              <w:bottom w:val="single" w:sz="8" w:color="0000FF"/>
            </w:tcBorders>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380" w:type="dxa"/>
            <w:vAlign w:val="bottom"/>
            <w:gridSpan w:val="8"/>
          </w:tcPr>
          <w:p>
            <w:pPr>
              <w:spacing w:after="0" w:line="169" w:lineRule="exact"/>
              <w:rPr>
                <w:rFonts w:ascii="Arial" w:cs="Arial" w:eastAsia="Arial" w:hAnsi="Arial"/>
                <w:sz w:val="18"/>
                <w:szCs w:val="18"/>
                <w:color w:val="0000FF"/>
              </w:rPr>
            </w:pPr>
            <w:hyperlink r:id="rId140">
              <w:r>
                <w:rPr>
                  <w:rFonts w:ascii="Arial" w:cs="Arial" w:eastAsia="Arial" w:hAnsi="Arial"/>
                  <w:sz w:val="18"/>
                  <w:szCs w:val="18"/>
                  <w:color w:val="0000FF"/>
                </w:rPr>
                <w:t>ThredUp CF LLC, ThredUp</w:t>
              </w:r>
            </w:hyperlink>
          </w:p>
        </w:tc>
        <w:tc>
          <w:tcPr>
            <w:tcW w:w="3480" w:type="dxa"/>
            <w:vAlign w:val="bottom"/>
            <w:gridSpan w:val="22"/>
          </w:tcPr>
          <w:p>
            <w:pPr>
              <w:jc w:val="right"/>
              <w:ind w:right="320"/>
              <w:spacing w:after="0" w:line="169" w:lineRule="exact"/>
              <w:rPr>
                <w:rFonts w:ascii="Arial" w:cs="Arial" w:eastAsia="Arial" w:hAnsi="Arial"/>
                <w:sz w:val="18"/>
                <w:szCs w:val="18"/>
                <w:color w:val="0000FF"/>
              </w:rPr>
            </w:pPr>
            <w:hyperlink r:id="rId140">
              <w:r>
                <w:rPr>
                  <w:rFonts w:ascii="Arial" w:cs="Arial" w:eastAsia="Arial" w:hAnsi="Arial"/>
                  <w:sz w:val="18"/>
                  <w:szCs w:val="18"/>
                  <w:color w:val="0000FF"/>
                </w:rPr>
                <w:t>Intermediary Holdings LLC, Knitwit GC</w:t>
              </w:r>
            </w:hyperlink>
          </w:p>
        </w:tc>
        <w:tc>
          <w:tcPr>
            <w:tcW w:w="920" w:type="dxa"/>
            <w:vAlign w:val="bottom"/>
            <w:vMerge w:val="restart"/>
          </w:tcPr>
          <w:p>
            <w:pPr>
              <w:jc w:val="center"/>
              <w:ind w:right="190"/>
              <w:spacing w:after="0"/>
              <w:rPr>
                <w:sz w:val="20"/>
                <w:szCs w:val="20"/>
                <w:color w:val="auto"/>
              </w:rPr>
            </w:pPr>
            <w:r>
              <w:rPr>
                <w:rFonts w:ascii="Arial" w:cs="Arial" w:eastAsia="Arial" w:hAnsi="Arial"/>
                <w:sz w:val="18"/>
                <w:szCs w:val="18"/>
                <w:color w:val="auto"/>
                <w:w w:val="99"/>
              </w:rPr>
              <w:t>8-K</w:t>
            </w: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color w:val="auto"/>
              </w:rPr>
              <w:t>001-40249</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rPr>
              <w:t>10.10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5/18/2021</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6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LLC, and Western Alliance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2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10.16</w:t>
            </w:r>
          </w:p>
        </w:tc>
        <w:tc>
          <w:tcPr>
            <w:tcW w:w="5860" w:type="dxa"/>
            <w:vAlign w:val="bottom"/>
            <w:gridSpan w:val="30"/>
            <w:shd w:val="clear" w:color="auto" w:fill="CCEEFF"/>
          </w:tcPr>
          <w:p>
            <w:pPr>
              <w:spacing w:after="0" w:line="189" w:lineRule="exact"/>
              <w:rPr>
                <w:rFonts w:ascii="Arial" w:cs="Arial" w:eastAsia="Arial" w:hAnsi="Arial"/>
                <w:sz w:val="18"/>
                <w:szCs w:val="18"/>
                <w:color w:val="0000FF"/>
              </w:rPr>
            </w:pPr>
            <w:hyperlink r:id="rId141">
              <w:r>
                <w:rPr>
                  <w:rFonts w:ascii="Arial" w:cs="Arial" w:eastAsia="Arial" w:hAnsi="Arial"/>
                  <w:sz w:val="18"/>
                  <w:szCs w:val="18"/>
                  <w:color w:val="0000FF"/>
                </w:rPr>
                <w:t>Second Amendment to Amended and Restated Loan and Security</w:t>
              </w:r>
            </w:hyperlink>
          </w:p>
        </w:tc>
        <w:tc>
          <w:tcPr>
            <w:tcW w:w="9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5540" w:type="dxa"/>
            <w:vAlign w:val="bottom"/>
            <w:tcBorders>
              <w:top w:val="single" w:sz="8" w:color="0000FF"/>
              <w:bottom w:val="single" w:sz="8" w:color="0000FF"/>
            </w:tcBorders>
            <w:gridSpan w:val="14"/>
            <w:shd w:val="clear" w:color="auto" w:fill="CCEEFF"/>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Agreement, dated as of December 3, 2021, by and among ThredUp</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4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gridSpan w:val="11"/>
            <w:shd w:val="clear" w:color="auto" w:fill="CCEEFF"/>
          </w:tcPr>
          <w:p>
            <w:pPr>
              <w:spacing w:after="0" w:line="149" w:lineRule="exact"/>
              <w:rPr>
                <w:rFonts w:ascii="Arial" w:cs="Arial" w:eastAsia="Arial" w:hAnsi="Arial"/>
                <w:sz w:val="17"/>
                <w:szCs w:val="17"/>
                <w:color w:val="0000FF"/>
              </w:rPr>
            </w:pPr>
            <w:hyperlink r:id="rId141">
              <w:r>
                <w:rPr>
                  <w:rFonts w:ascii="Arial" w:cs="Arial" w:eastAsia="Arial" w:hAnsi="Arial"/>
                  <w:sz w:val="17"/>
                  <w:szCs w:val="17"/>
                  <w:color w:val="0000FF"/>
                </w:rPr>
                <w:t>Inc., ThredUp CF LLC, ThredUp</w:t>
              </w:r>
            </w:hyperlink>
          </w:p>
        </w:tc>
        <w:tc>
          <w:tcPr>
            <w:tcW w:w="2980" w:type="dxa"/>
            <w:vAlign w:val="bottom"/>
            <w:tcBorders>
              <w:top w:val="single" w:sz="8" w:color="0000FF"/>
            </w:tcBorders>
            <w:gridSpan w:val="19"/>
            <w:shd w:val="clear" w:color="auto" w:fill="CCEEFF"/>
          </w:tcPr>
          <w:p>
            <w:pPr>
              <w:jc w:val="right"/>
              <w:ind w:right="320"/>
              <w:spacing w:after="0" w:line="149" w:lineRule="exact"/>
              <w:rPr>
                <w:rFonts w:ascii="Arial" w:cs="Arial" w:eastAsia="Arial" w:hAnsi="Arial"/>
                <w:sz w:val="17"/>
                <w:szCs w:val="17"/>
                <w:color w:val="0000FF"/>
              </w:rPr>
            </w:pPr>
            <w:hyperlink r:id="rId141">
              <w:r>
                <w:rPr>
                  <w:rFonts w:ascii="Arial" w:cs="Arial" w:eastAsia="Arial" w:hAnsi="Arial"/>
                  <w:sz w:val="17"/>
                  <w:szCs w:val="17"/>
                  <w:color w:val="0000FF"/>
                </w:rPr>
                <w:t>Intermediary Holdings LLC, Knitwit</w:t>
              </w:r>
            </w:hyperlink>
          </w:p>
        </w:tc>
        <w:tc>
          <w:tcPr>
            <w:tcW w:w="920" w:type="dxa"/>
            <w:vAlign w:val="bottom"/>
            <w:tcBorders>
              <w:top w:val="single" w:sz="8" w:color="CCEEFF"/>
            </w:tcBorders>
            <w:vMerge w:val="restart"/>
            <w:shd w:val="clear" w:color="auto" w:fill="CCEEFF"/>
          </w:tcPr>
          <w:p>
            <w:pPr>
              <w:jc w:val="center"/>
              <w:ind w:right="210"/>
              <w:spacing w:after="0"/>
              <w:rPr>
                <w:sz w:val="20"/>
                <w:szCs w:val="20"/>
                <w:color w:val="auto"/>
              </w:rPr>
            </w:pPr>
            <w:r>
              <w:rPr>
                <w:rFonts w:ascii="Arial" w:cs="Arial" w:eastAsia="Arial" w:hAnsi="Arial"/>
                <w:sz w:val="18"/>
                <w:szCs w:val="18"/>
                <w:color w:val="auto"/>
                <w:w w:val="99"/>
              </w:rPr>
              <w:t>10-K</w:t>
            </w:r>
          </w:p>
        </w:tc>
        <w:tc>
          <w:tcPr>
            <w:tcW w:w="1300" w:type="dxa"/>
            <w:vAlign w:val="bottom"/>
            <w:tcBorders>
              <w:top w:val="single" w:sz="8" w:color="CCEEFF"/>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001-40249</w:t>
            </w:r>
          </w:p>
        </w:tc>
        <w:tc>
          <w:tcPr>
            <w:tcW w:w="86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10.16</w:t>
            </w:r>
          </w:p>
        </w:tc>
        <w:tc>
          <w:tcPr>
            <w:tcW w:w="116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3/22/2022</w:t>
            </w:r>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0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GC LLC, and Western Alliance Bank.</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920" w:type="dxa"/>
            <w:vAlign w:val="bottom"/>
            <w:tcBorders>
              <w:top w:val="single" w:sz="8" w:color="CCEEFF"/>
            </w:tcBorders>
            <w:vMerge w:val="continue"/>
            <w:shd w:val="clear" w:color="auto" w:fill="CCEEFF"/>
          </w:tcPr>
          <w:p>
            <w:pPr>
              <w:spacing w:after="0"/>
              <w:rPr>
                <w:sz w:val="13"/>
                <w:szCs w:val="13"/>
                <w:color w:val="auto"/>
              </w:rPr>
            </w:pPr>
          </w:p>
        </w:tc>
        <w:tc>
          <w:tcPr>
            <w:tcW w:w="1300" w:type="dxa"/>
            <w:vAlign w:val="bottom"/>
            <w:tcBorders>
              <w:top w:val="single" w:sz="8" w:color="CCEEFF"/>
            </w:tcBorders>
            <w:vMerge w:val="continue"/>
            <w:shd w:val="clear" w:color="auto" w:fill="CCEEFF"/>
          </w:tcPr>
          <w:p>
            <w:pPr>
              <w:spacing w:after="0"/>
              <w:rPr>
                <w:sz w:val="13"/>
                <w:szCs w:val="13"/>
                <w:color w:val="auto"/>
              </w:rPr>
            </w:pPr>
          </w:p>
        </w:tc>
        <w:tc>
          <w:tcPr>
            <w:tcW w:w="860" w:type="dxa"/>
            <w:vAlign w:val="bottom"/>
            <w:tcBorders>
              <w:top w:val="single" w:sz="8" w:color="CCEEFF"/>
            </w:tcBorders>
            <w:vMerge w:val="continue"/>
            <w:shd w:val="clear" w:color="auto" w:fill="CCEEFF"/>
          </w:tcPr>
          <w:p>
            <w:pPr>
              <w:spacing w:after="0"/>
              <w:rPr>
                <w:sz w:val="13"/>
                <w:szCs w:val="13"/>
                <w:color w:val="auto"/>
              </w:rPr>
            </w:pPr>
          </w:p>
        </w:tc>
        <w:tc>
          <w:tcPr>
            <w:tcW w:w="116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jc w:val="center"/>
              <w:spacing w:after="0" w:line="189" w:lineRule="exact"/>
              <w:rPr>
                <w:sz w:val="20"/>
                <w:szCs w:val="20"/>
                <w:color w:val="auto"/>
              </w:rPr>
            </w:pPr>
            <w:r>
              <w:rPr>
                <w:rFonts w:ascii="Arial" w:cs="Arial" w:eastAsia="Arial" w:hAnsi="Arial"/>
                <w:sz w:val="17"/>
                <w:szCs w:val="17"/>
                <w:color w:val="auto"/>
              </w:rPr>
              <w:t>10.17</w:t>
            </w:r>
            <w:r>
              <w:rPr>
                <w:rFonts w:ascii="Arial" w:cs="Arial" w:eastAsia="Arial" w:hAnsi="Arial"/>
                <w:sz w:val="21"/>
                <w:szCs w:val="21"/>
                <w:color w:val="auto"/>
                <w:vertAlign w:val="superscript"/>
              </w:rPr>
              <w:t>†^</w:t>
            </w:r>
          </w:p>
        </w:tc>
        <w:tc>
          <w:tcPr>
            <w:tcW w:w="5860" w:type="dxa"/>
            <w:vAlign w:val="bottom"/>
            <w:gridSpan w:val="30"/>
          </w:tcPr>
          <w:p>
            <w:pPr>
              <w:spacing w:after="0" w:line="189" w:lineRule="exact"/>
              <w:rPr>
                <w:rFonts w:ascii="Arial" w:cs="Arial" w:eastAsia="Arial" w:hAnsi="Arial"/>
                <w:sz w:val="18"/>
                <w:szCs w:val="18"/>
                <w:color w:val="0000FF"/>
              </w:rPr>
            </w:pPr>
            <w:hyperlink r:id="rId142">
              <w:r>
                <w:rPr>
                  <w:rFonts w:ascii="Arial" w:cs="Arial" w:eastAsia="Arial" w:hAnsi="Arial"/>
                  <w:sz w:val="18"/>
                  <w:szCs w:val="18"/>
                  <w:color w:val="0000FF"/>
                </w:rPr>
                <w:t>Second Amended and Restated Loan and Security Agreement dated</w:t>
              </w:r>
            </w:hyperlink>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7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as  of  July  14,  2022,  by  and  among  ThredUp  Inc.,  ThredUp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70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142">
              <w:r>
                <w:rPr>
                  <w:rFonts w:ascii="Arial" w:cs="Arial" w:eastAsia="Arial" w:hAnsi="Arial"/>
                  <w:sz w:val="18"/>
                  <w:szCs w:val="18"/>
                  <w:color w:val="0000FF"/>
                </w:rPr>
                <w:t>Intermediary Holdings LLC, Knitwit GC LLC, the lenders from time to</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920" w:type="dxa"/>
            <w:vAlign w:val="bottom"/>
            <w:vMerge w:val="restart"/>
          </w:tcPr>
          <w:p>
            <w:pPr>
              <w:jc w:val="center"/>
              <w:ind w:right="190"/>
              <w:spacing w:after="0"/>
              <w:rPr>
                <w:sz w:val="20"/>
                <w:szCs w:val="20"/>
                <w:color w:val="auto"/>
              </w:rPr>
            </w:pPr>
            <w:r>
              <w:rPr>
                <w:rFonts w:ascii="Arial" w:cs="Arial" w:eastAsia="Arial" w:hAnsi="Arial"/>
                <w:sz w:val="18"/>
                <w:szCs w:val="18"/>
                <w:color w:val="auto"/>
                <w:w w:val="99"/>
              </w:rPr>
              <w:t>8-K</w:t>
            </w: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color w:val="auto"/>
              </w:rPr>
              <w:t>001-40249</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7/20/2022</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6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time party thereto, and Western Alliance Bank, as agent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2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16.1</w:t>
            </w:r>
          </w:p>
        </w:tc>
        <w:tc>
          <w:tcPr>
            <w:tcW w:w="5860" w:type="dxa"/>
            <w:vAlign w:val="bottom"/>
            <w:gridSpan w:val="30"/>
            <w:shd w:val="clear" w:color="auto" w:fill="CCEEFF"/>
          </w:tcPr>
          <w:p>
            <w:pPr>
              <w:spacing w:after="0" w:line="189" w:lineRule="exact"/>
              <w:rPr>
                <w:rFonts w:ascii="Arial" w:cs="Arial" w:eastAsia="Arial" w:hAnsi="Arial"/>
                <w:sz w:val="18"/>
                <w:szCs w:val="18"/>
                <w:color w:val="0000FF"/>
              </w:rPr>
            </w:pPr>
            <w:hyperlink r:id="rId143">
              <w:r>
                <w:rPr>
                  <w:rFonts w:ascii="Arial" w:cs="Arial" w:eastAsia="Arial" w:hAnsi="Arial"/>
                  <w:sz w:val="18"/>
                  <w:szCs w:val="18"/>
                  <w:color w:val="0000FF"/>
                </w:rPr>
                <w:t>Letter Re Change in Certifying Accountant — KPMG LLP dated</w:t>
              </w:r>
            </w:hyperlink>
          </w:p>
        </w:tc>
        <w:tc>
          <w:tcPr>
            <w:tcW w:w="920" w:type="dxa"/>
            <w:vAlign w:val="bottom"/>
            <w:vMerge w:val="restart"/>
            <w:shd w:val="clear" w:color="auto" w:fill="CCEEFF"/>
          </w:tcPr>
          <w:p>
            <w:pPr>
              <w:jc w:val="center"/>
              <w:ind w:right="190"/>
              <w:spacing w:after="0"/>
              <w:rPr>
                <w:sz w:val="20"/>
                <w:szCs w:val="20"/>
                <w:color w:val="auto"/>
              </w:rPr>
            </w:pPr>
            <w:r>
              <w:rPr>
                <w:rFonts w:ascii="Arial" w:cs="Arial" w:eastAsia="Arial" w:hAnsi="Arial"/>
                <w:sz w:val="18"/>
                <w:szCs w:val="18"/>
                <w:color w:val="auto"/>
                <w:w w:val="99"/>
              </w:rPr>
              <w:t>8-K</w:t>
            </w:r>
          </w:p>
        </w:tc>
        <w:tc>
          <w:tcPr>
            <w:tcW w:w="13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001-40249</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16.1</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9/6/2022</w:t>
            </w:r>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5820" w:type="dxa"/>
            <w:vAlign w:val="bottom"/>
            <w:tcBorders>
              <w:top w:val="single" w:sz="8" w:color="0000FF"/>
            </w:tcBorders>
            <w:gridSpan w:val="28"/>
            <w:shd w:val="clear" w:color="auto" w:fill="CCEEFF"/>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September 6, 2022</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920" w:type="dxa"/>
            <w:vAlign w:val="bottom"/>
            <w:tcBorders>
              <w:top w:val="single" w:sz="8" w:color="CCEEFF"/>
            </w:tcBorders>
            <w:vMerge w:val="continue"/>
            <w:shd w:val="clear" w:color="auto" w:fill="CCEEFF"/>
          </w:tcPr>
          <w:p>
            <w:pPr>
              <w:spacing w:after="0"/>
              <w:rPr>
                <w:sz w:val="13"/>
                <w:szCs w:val="13"/>
                <w:color w:val="auto"/>
              </w:rPr>
            </w:pPr>
          </w:p>
        </w:tc>
        <w:tc>
          <w:tcPr>
            <w:tcW w:w="1300" w:type="dxa"/>
            <w:vAlign w:val="bottom"/>
            <w:tcBorders>
              <w:top w:val="single" w:sz="8" w:color="CCEEFF"/>
            </w:tcBorders>
            <w:vMerge w:val="continue"/>
            <w:shd w:val="clear" w:color="auto" w:fill="CCEEFF"/>
          </w:tcPr>
          <w:p>
            <w:pPr>
              <w:spacing w:after="0"/>
              <w:rPr>
                <w:sz w:val="13"/>
                <w:szCs w:val="13"/>
                <w:color w:val="auto"/>
              </w:rPr>
            </w:pPr>
          </w:p>
        </w:tc>
        <w:tc>
          <w:tcPr>
            <w:tcW w:w="860" w:type="dxa"/>
            <w:vAlign w:val="bottom"/>
            <w:tcBorders>
              <w:top w:val="single" w:sz="8" w:color="CCEEFF"/>
            </w:tcBorders>
            <w:vMerge w:val="continue"/>
            <w:shd w:val="clear" w:color="auto" w:fill="CCEEFF"/>
          </w:tcPr>
          <w:p>
            <w:pPr>
              <w:spacing w:after="0"/>
              <w:rPr>
                <w:sz w:val="13"/>
                <w:szCs w:val="13"/>
                <w:color w:val="auto"/>
              </w:rPr>
            </w:pPr>
          </w:p>
        </w:tc>
        <w:tc>
          <w:tcPr>
            <w:tcW w:w="116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6"/>
              </w:rPr>
              <w:t>21.1</w:t>
            </w:r>
          </w:p>
        </w:tc>
        <w:tc>
          <w:tcPr>
            <w:tcW w:w="5860" w:type="dxa"/>
            <w:vAlign w:val="bottom"/>
            <w:gridSpan w:val="30"/>
          </w:tcPr>
          <w:p>
            <w:pPr>
              <w:spacing w:after="0" w:line="189" w:lineRule="exact"/>
              <w:rPr>
                <w:sz w:val="20"/>
                <w:szCs w:val="20"/>
                <w:color w:val="auto"/>
              </w:rPr>
            </w:pPr>
            <w:r>
              <w:rPr>
                <w:rFonts w:ascii="Arial" w:cs="Arial" w:eastAsia="Arial" w:hAnsi="Arial"/>
                <w:sz w:val="18"/>
                <w:szCs w:val="18"/>
                <w:color w:val="0000FF"/>
              </w:rPr>
              <w:t>Subsidiaries of the Registrant</w:t>
            </w:r>
          </w:p>
        </w:tc>
        <w:tc>
          <w:tcPr>
            <w:tcW w:w="920" w:type="dxa"/>
            <w:vAlign w:val="bottom"/>
          </w:tcPr>
          <w:p>
            <w:pPr>
              <w:jc w:val="center"/>
              <w:ind w:right="210"/>
              <w:spacing w:after="0" w:line="189" w:lineRule="exact"/>
              <w:rPr>
                <w:sz w:val="20"/>
                <w:szCs w:val="20"/>
                <w:color w:val="auto"/>
              </w:rPr>
            </w:pPr>
            <w:r>
              <w:rPr>
                <w:rFonts w:ascii="Arial" w:cs="Arial" w:eastAsia="Arial" w:hAnsi="Arial"/>
                <w:sz w:val="18"/>
                <w:szCs w:val="18"/>
                <w:color w:val="auto"/>
                <w:w w:val="97"/>
              </w:rPr>
              <w:t>Filed</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center"/>
              <w:ind w:right="170"/>
              <w:spacing w:after="0" w:line="197" w:lineRule="exact"/>
              <w:rPr>
                <w:sz w:val="20"/>
                <w:szCs w:val="20"/>
                <w:color w:val="auto"/>
              </w:rPr>
            </w:pPr>
            <w:r>
              <w:rPr>
                <w:rFonts w:ascii="Arial" w:cs="Arial" w:eastAsia="Arial" w:hAnsi="Arial"/>
                <w:sz w:val="18"/>
                <w:szCs w:val="18"/>
                <w:color w:val="auto"/>
                <w:w w:val="96"/>
              </w:rPr>
              <w:t>herewith</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23.1</w:t>
            </w:r>
          </w:p>
        </w:tc>
        <w:tc>
          <w:tcPr>
            <w:tcW w:w="5860" w:type="dxa"/>
            <w:vAlign w:val="bottom"/>
            <w:gridSpan w:val="30"/>
            <w:shd w:val="clear" w:color="auto" w:fill="CCEEFF"/>
          </w:tcPr>
          <w:p>
            <w:pPr>
              <w:spacing w:after="0" w:line="195" w:lineRule="exact"/>
              <w:rPr>
                <w:sz w:val="20"/>
                <w:szCs w:val="20"/>
                <w:color w:val="auto"/>
              </w:rPr>
            </w:pPr>
            <w:r>
              <w:rPr>
                <w:rFonts w:ascii="Arial" w:cs="Arial" w:eastAsia="Arial" w:hAnsi="Arial"/>
                <w:sz w:val="18"/>
                <w:szCs w:val="18"/>
                <w:color w:val="0000FF"/>
              </w:rPr>
              <w:t>Consent  of  Independent  Registered  Public  Accounting  Firm  –</w:t>
            </w:r>
          </w:p>
        </w:tc>
        <w:tc>
          <w:tcPr>
            <w:tcW w:w="920" w:type="dxa"/>
            <w:vAlign w:val="bottom"/>
            <w:shd w:val="clear" w:color="auto" w:fill="CCEEFF"/>
          </w:tcPr>
          <w:p>
            <w:pPr>
              <w:jc w:val="center"/>
              <w:ind w:right="210"/>
              <w:spacing w:after="0" w:line="195" w:lineRule="exact"/>
              <w:rPr>
                <w:sz w:val="20"/>
                <w:szCs w:val="20"/>
                <w:color w:val="auto"/>
              </w:rPr>
            </w:pPr>
            <w:r>
              <w:rPr>
                <w:rFonts w:ascii="Arial" w:cs="Arial" w:eastAsia="Arial" w:hAnsi="Arial"/>
                <w:sz w:val="18"/>
                <w:szCs w:val="18"/>
                <w:color w:val="auto"/>
                <w:w w:val="97"/>
              </w:rPr>
              <w:t>Filed</w:t>
            </w:r>
          </w:p>
        </w:tc>
        <w:tc>
          <w:tcPr>
            <w:tcW w:w="1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5600" w:type="dxa"/>
            <w:vAlign w:val="bottom"/>
            <w:tcBorders>
              <w:top w:val="single" w:sz="8" w:color="0000FF"/>
            </w:tcBorders>
            <w:gridSpan w:val="17"/>
            <w:shd w:val="clear" w:color="auto" w:fill="CCEEFF"/>
          </w:tcPr>
          <w:p>
            <w:pPr>
              <w:spacing w:after="0" w:line="157" w:lineRule="exact"/>
              <w:rPr>
                <w:sz w:val="20"/>
                <w:szCs w:val="20"/>
                <w:color w:val="auto"/>
              </w:rPr>
            </w:pPr>
            <w:r>
              <w:rPr>
                <w:rFonts w:ascii="Arial" w:cs="Arial" w:eastAsia="Arial" w:hAnsi="Arial"/>
                <w:sz w:val="18"/>
                <w:szCs w:val="18"/>
                <w:color w:val="0000FF"/>
              </w:rPr>
              <w:t>Deloitte &amp; Touche LLP</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jc w:val="center"/>
              <w:ind w:right="170"/>
              <w:spacing w:after="0" w:line="157" w:lineRule="exact"/>
              <w:rPr>
                <w:sz w:val="20"/>
                <w:szCs w:val="20"/>
                <w:color w:val="auto"/>
              </w:rPr>
            </w:pPr>
            <w:r>
              <w:rPr>
                <w:rFonts w:ascii="Arial" w:cs="Arial" w:eastAsia="Arial" w:hAnsi="Arial"/>
                <w:sz w:val="18"/>
                <w:szCs w:val="18"/>
                <w:color w:val="auto"/>
                <w:w w:val="96"/>
              </w:rPr>
              <w:t>herewith</w:t>
            </w:r>
          </w:p>
        </w:tc>
        <w:tc>
          <w:tcPr>
            <w:tcW w:w="13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6"/>
              </w:rPr>
              <w:t>23.2</w:t>
            </w:r>
          </w:p>
        </w:tc>
        <w:tc>
          <w:tcPr>
            <w:tcW w:w="5860" w:type="dxa"/>
            <w:vAlign w:val="bottom"/>
            <w:gridSpan w:val="30"/>
          </w:tcPr>
          <w:p>
            <w:pPr>
              <w:spacing w:after="0" w:line="189" w:lineRule="exact"/>
              <w:rPr>
                <w:sz w:val="20"/>
                <w:szCs w:val="20"/>
                <w:color w:val="auto"/>
              </w:rPr>
            </w:pPr>
            <w:r>
              <w:rPr>
                <w:rFonts w:ascii="Arial" w:cs="Arial" w:eastAsia="Arial" w:hAnsi="Arial"/>
                <w:sz w:val="18"/>
                <w:szCs w:val="18"/>
                <w:color w:val="0000FF"/>
              </w:rPr>
              <w:t>Consent of Independent Registered Public Accounting Firm – KPMG</w:t>
            </w:r>
          </w:p>
        </w:tc>
        <w:tc>
          <w:tcPr>
            <w:tcW w:w="920" w:type="dxa"/>
            <w:vAlign w:val="bottom"/>
          </w:tcPr>
          <w:p>
            <w:pPr>
              <w:jc w:val="center"/>
              <w:ind w:right="210"/>
              <w:spacing w:after="0" w:line="189" w:lineRule="exact"/>
              <w:rPr>
                <w:sz w:val="20"/>
                <w:szCs w:val="20"/>
                <w:color w:val="auto"/>
              </w:rPr>
            </w:pPr>
            <w:r>
              <w:rPr>
                <w:rFonts w:ascii="Arial" w:cs="Arial" w:eastAsia="Arial" w:hAnsi="Arial"/>
                <w:sz w:val="18"/>
                <w:szCs w:val="18"/>
                <w:color w:val="auto"/>
                <w:w w:val="97"/>
              </w:rPr>
              <w:t>Filed</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560" w:type="dxa"/>
            <w:vAlign w:val="bottom"/>
            <w:tcBorders>
              <w:top w:val="single" w:sz="8" w:color="0000FF"/>
            </w:tcBorders>
            <w:gridSpan w:val="15"/>
          </w:tcPr>
          <w:p>
            <w:pPr>
              <w:spacing w:after="0" w:line="157" w:lineRule="exact"/>
              <w:rPr>
                <w:sz w:val="20"/>
                <w:szCs w:val="20"/>
                <w:color w:val="auto"/>
              </w:rPr>
            </w:pPr>
            <w:r>
              <w:rPr>
                <w:rFonts w:ascii="Arial" w:cs="Arial" w:eastAsia="Arial" w:hAnsi="Arial"/>
                <w:sz w:val="18"/>
                <w:szCs w:val="18"/>
                <w:color w:val="0000FF"/>
              </w:rPr>
              <w:t>LLP</w:t>
            </w: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920" w:type="dxa"/>
            <w:vAlign w:val="bottom"/>
          </w:tcPr>
          <w:p>
            <w:pPr>
              <w:jc w:val="center"/>
              <w:ind w:right="170"/>
              <w:spacing w:after="0" w:line="157" w:lineRule="exact"/>
              <w:rPr>
                <w:sz w:val="20"/>
                <w:szCs w:val="20"/>
                <w:color w:val="auto"/>
              </w:rPr>
            </w:pPr>
            <w:r>
              <w:rPr>
                <w:rFonts w:ascii="Arial" w:cs="Arial" w:eastAsia="Arial" w:hAnsi="Arial"/>
                <w:sz w:val="18"/>
                <w:szCs w:val="18"/>
                <w:color w:val="auto"/>
                <w:w w:val="96"/>
              </w:rPr>
              <w:t>herewith</w:t>
            </w: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24.1</w:t>
            </w:r>
          </w:p>
        </w:tc>
        <w:tc>
          <w:tcPr>
            <w:tcW w:w="58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Power of Attorney (included on the Signatures page of this Annual</w:t>
            </w:r>
          </w:p>
        </w:tc>
        <w:tc>
          <w:tcPr>
            <w:tcW w:w="920" w:type="dxa"/>
            <w:vAlign w:val="bottom"/>
            <w:shd w:val="clear" w:color="auto" w:fill="CCEEFF"/>
          </w:tcPr>
          <w:p>
            <w:pPr>
              <w:jc w:val="center"/>
              <w:ind w:right="210"/>
              <w:spacing w:after="0" w:line="189" w:lineRule="exact"/>
              <w:rPr>
                <w:sz w:val="20"/>
                <w:szCs w:val="20"/>
                <w:color w:val="auto"/>
              </w:rPr>
            </w:pPr>
            <w:r>
              <w:rPr>
                <w:rFonts w:ascii="Arial" w:cs="Arial" w:eastAsia="Arial" w:hAnsi="Arial"/>
                <w:sz w:val="18"/>
                <w:szCs w:val="18"/>
                <w:color w:val="auto"/>
                <w:w w:val="97"/>
              </w:rPr>
              <w:t>Filed</w:t>
            </w:r>
          </w:p>
        </w:tc>
        <w:tc>
          <w:tcPr>
            <w:tcW w:w="1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5680" w:type="dxa"/>
            <w:vAlign w:val="bottom"/>
            <w:tcBorders>
              <w:top w:val="single" w:sz="8" w:color="0000FF"/>
            </w:tcBorders>
            <w:gridSpan w:val="21"/>
            <w:shd w:val="clear" w:color="auto" w:fill="CCEEFF"/>
          </w:tcPr>
          <w:p>
            <w:pPr>
              <w:spacing w:after="0" w:line="157" w:lineRule="exact"/>
              <w:rPr>
                <w:sz w:val="20"/>
                <w:szCs w:val="20"/>
                <w:color w:val="auto"/>
              </w:rPr>
            </w:pPr>
            <w:r>
              <w:rPr>
                <w:rFonts w:ascii="Arial" w:cs="Arial" w:eastAsia="Arial" w:hAnsi="Arial"/>
                <w:sz w:val="18"/>
                <w:szCs w:val="18"/>
                <w:color w:val="0000FF"/>
              </w:rPr>
              <w:t>Report on Form 10-K)</w:t>
            </w: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jc w:val="center"/>
              <w:ind w:right="170"/>
              <w:spacing w:after="0" w:line="157" w:lineRule="exact"/>
              <w:rPr>
                <w:sz w:val="20"/>
                <w:szCs w:val="20"/>
                <w:color w:val="auto"/>
              </w:rPr>
            </w:pPr>
            <w:r>
              <w:rPr>
                <w:rFonts w:ascii="Arial" w:cs="Arial" w:eastAsia="Arial" w:hAnsi="Arial"/>
                <w:sz w:val="18"/>
                <w:szCs w:val="18"/>
                <w:color w:val="auto"/>
                <w:w w:val="96"/>
              </w:rPr>
              <w:t>herewith</w:t>
            </w:r>
          </w:p>
        </w:tc>
        <w:tc>
          <w:tcPr>
            <w:tcW w:w="13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6"/>
              </w:rPr>
              <w:t>31.1</w:t>
            </w:r>
          </w:p>
        </w:tc>
        <w:tc>
          <w:tcPr>
            <w:tcW w:w="5860" w:type="dxa"/>
            <w:vAlign w:val="bottom"/>
            <w:gridSpan w:val="30"/>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Exchange Act</w:t>
            </w:r>
          </w:p>
        </w:tc>
        <w:tc>
          <w:tcPr>
            <w:tcW w:w="920" w:type="dxa"/>
            <w:vAlign w:val="bottom"/>
            <w:vMerge w:val="restart"/>
          </w:tcPr>
          <w:p>
            <w:pPr>
              <w:jc w:val="center"/>
              <w:ind w:right="210"/>
              <w:spacing w:after="0"/>
              <w:rPr>
                <w:sz w:val="20"/>
                <w:szCs w:val="20"/>
                <w:color w:val="auto"/>
              </w:rPr>
            </w:pPr>
            <w:r>
              <w:rPr>
                <w:rFonts w:ascii="Arial" w:cs="Arial" w:eastAsia="Arial" w:hAnsi="Arial"/>
                <w:sz w:val="18"/>
                <w:szCs w:val="18"/>
                <w:color w:val="auto"/>
                <w:w w:val="97"/>
              </w:rPr>
              <w:t>Filed</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580" w:type="dxa"/>
            <w:vAlign w:val="bottom"/>
            <w:tcBorders>
              <w:top w:val="single" w:sz="8" w:color="0000FF"/>
              <w:bottom w:val="single" w:sz="8" w:color="0000FF"/>
            </w:tcBorders>
            <w:gridSpan w:val="16"/>
          </w:tcPr>
          <w:p>
            <w:pPr>
              <w:spacing w:after="0" w:line="154" w:lineRule="exact"/>
              <w:rPr>
                <w:sz w:val="20"/>
                <w:szCs w:val="20"/>
                <w:color w:val="auto"/>
              </w:rPr>
            </w:pPr>
            <w:r>
              <w:rPr>
                <w:rFonts w:ascii="Arial" w:cs="Arial" w:eastAsia="Arial" w:hAnsi="Arial"/>
                <w:sz w:val="17"/>
                <w:szCs w:val="17"/>
                <w:color w:val="0000FF"/>
              </w:rPr>
              <w:t>Rules 13a-14(a) and 15d-14(a), as adopted pursuant to Section 302</w:t>
            </w:r>
          </w:p>
        </w:tc>
        <w:tc>
          <w:tcPr>
            <w:tcW w:w="60" w:type="dxa"/>
            <w:vAlign w:val="bottom"/>
            <w:tcBorders>
              <w:bottom w:val="single" w:sz="8" w:color="0000FF"/>
            </w:tcBorders>
            <w:gridSpan w:val="3"/>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9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5740" w:type="dxa"/>
            <w:vAlign w:val="bottom"/>
            <w:gridSpan w:val="24"/>
          </w:tcPr>
          <w:p>
            <w:pPr>
              <w:spacing w:after="0" w:line="170" w:lineRule="exact"/>
              <w:rPr>
                <w:sz w:val="20"/>
                <w:szCs w:val="20"/>
                <w:color w:val="auto"/>
              </w:rPr>
            </w:pPr>
            <w:r>
              <w:rPr>
                <w:rFonts w:ascii="Arial" w:cs="Arial" w:eastAsia="Arial" w:hAnsi="Arial"/>
                <w:sz w:val="18"/>
                <w:szCs w:val="18"/>
                <w:color w:val="0000FF"/>
              </w:rPr>
              <w:t>of the Sarbanes-Oxley Act of 2002</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920" w:type="dxa"/>
            <w:vAlign w:val="bottom"/>
          </w:tcPr>
          <w:p>
            <w:pPr>
              <w:jc w:val="center"/>
              <w:ind w:right="170"/>
              <w:spacing w:after="0" w:line="170" w:lineRule="exact"/>
              <w:rPr>
                <w:sz w:val="20"/>
                <w:szCs w:val="20"/>
                <w:color w:val="auto"/>
              </w:rPr>
            </w:pPr>
            <w:r>
              <w:rPr>
                <w:rFonts w:ascii="Arial" w:cs="Arial" w:eastAsia="Arial" w:hAnsi="Arial"/>
                <w:sz w:val="18"/>
                <w:szCs w:val="18"/>
                <w:color w:val="auto"/>
                <w:w w:val="96"/>
              </w:rPr>
              <w:t>herewith</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31.2</w:t>
            </w:r>
          </w:p>
        </w:tc>
        <w:tc>
          <w:tcPr>
            <w:tcW w:w="58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Exchange Act</w:t>
            </w:r>
          </w:p>
        </w:tc>
        <w:tc>
          <w:tcPr>
            <w:tcW w:w="920" w:type="dxa"/>
            <w:vAlign w:val="bottom"/>
            <w:vMerge w:val="restart"/>
            <w:shd w:val="clear" w:color="auto" w:fill="CCEEFF"/>
          </w:tcPr>
          <w:p>
            <w:pPr>
              <w:jc w:val="center"/>
              <w:ind w:right="210"/>
              <w:spacing w:after="0"/>
              <w:rPr>
                <w:sz w:val="20"/>
                <w:szCs w:val="20"/>
                <w:color w:val="auto"/>
              </w:rPr>
            </w:pPr>
            <w:r>
              <w:rPr>
                <w:rFonts w:ascii="Arial" w:cs="Arial" w:eastAsia="Arial" w:hAnsi="Arial"/>
                <w:sz w:val="18"/>
                <w:szCs w:val="18"/>
                <w:color w:val="auto"/>
                <w:w w:val="97"/>
              </w:rPr>
              <w:t>Filed</w:t>
            </w:r>
          </w:p>
        </w:tc>
        <w:tc>
          <w:tcPr>
            <w:tcW w:w="1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5820" w:type="dxa"/>
            <w:vAlign w:val="bottom"/>
            <w:tcBorders>
              <w:top w:val="single" w:sz="8" w:color="0000FF"/>
            </w:tcBorders>
            <w:gridSpan w:val="28"/>
            <w:shd w:val="clear" w:color="auto" w:fill="CCEEFF"/>
          </w:tcPr>
          <w:p>
            <w:pPr>
              <w:spacing w:after="0" w:line="154" w:lineRule="exact"/>
              <w:rPr>
                <w:sz w:val="20"/>
                <w:szCs w:val="20"/>
                <w:color w:val="auto"/>
              </w:rPr>
            </w:pPr>
            <w:r>
              <w:rPr>
                <w:rFonts w:ascii="Arial" w:cs="Arial" w:eastAsia="Arial" w:hAnsi="Arial"/>
                <w:sz w:val="17"/>
                <w:szCs w:val="17"/>
                <w:color w:val="0000FF"/>
              </w:rPr>
              <w:t>Rules 13a-14(a) and 15d-14(a), as adopted pursuant to Section 302</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920" w:type="dxa"/>
            <w:vAlign w:val="bottom"/>
            <w:tcBorders>
              <w:top w:val="single" w:sz="8" w:color="CCEEFF"/>
            </w:tcBorders>
            <w:vMerge w:val="continue"/>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4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0000FF"/>
            </w:tcBorders>
            <w:gridSpan w:val="24"/>
            <w:shd w:val="clear" w:color="auto" w:fill="CCEEFF"/>
          </w:tcPr>
          <w:p>
            <w:pPr>
              <w:spacing w:after="0" w:line="170" w:lineRule="exact"/>
              <w:rPr>
                <w:sz w:val="20"/>
                <w:szCs w:val="20"/>
                <w:color w:val="auto"/>
              </w:rPr>
            </w:pPr>
            <w:r>
              <w:rPr>
                <w:rFonts w:ascii="Arial" w:cs="Arial" w:eastAsia="Arial" w:hAnsi="Arial"/>
                <w:sz w:val="18"/>
                <w:szCs w:val="18"/>
                <w:color w:val="0000FF"/>
              </w:rPr>
              <w:t>of the Sarbanes-Oxley Act of 2002</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jc w:val="center"/>
              <w:ind w:right="170"/>
              <w:spacing w:after="0" w:line="170" w:lineRule="exact"/>
              <w:rPr>
                <w:sz w:val="20"/>
                <w:szCs w:val="20"/>
                <w:color w:val="auto"/>
              </w:rPr>
            </w:pPr>
            <w:r>
              <w:rPr>
                <w:rFonts w:ascii="Arial" w:cs="Arial" w:eastAsia="Arial" w:hAnsi="Arial"/>
                <w:sz w:val="18"/>
                <w:szCs w:val="18"/>
                <w:color w:val="auto"/>
                <w:w w:val="96"/>
              </w:rPr>
              <w:t>herewith</w:t>
            </w:r>
          </w:p>
        </w:tc>
        <w:tc>
          <w:tcPr>
            <w:tcW w:w="13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jc w:val="center"/>
              <w:ind w:right="11"/>
              <w:spacing w:after="0" w:line="189" w:lineRule="exact"/>
              <w:rPr>
                <w:sz w:val="20"/>
                <w:szCs w:val="20"/>
                <w:color w:val="auto"/>
              </w:rPr>
            </w:pPr>
            <w:r>
              <w:rPr>
                <w:rFonts w:ascii="Arial" w:cs="Arial" w:eastAsia="Arial" w:hAnsi="Arial"/>
                <w:sz w:val="17"/>
                <w:szCs w:val="17"/>
                <w:color w:val="auto"/>
              </w:rPr>
              <w:t>32.1</w:t>
            </w:r>
            <w:r>
              <w:rPr>
                <w:rFonts w:ascii="Arial" w:cs="Arial" w:eastAsia="Arial" w:hAnsi="Arial"/>
                <w:sz w:val="21"/>
                <w:szCs w:val="21"/>
                <w:color w:val="auto"/>
                <w:vertAlign w:val="superscript"/>
              </w:rPr>
              <w:t>*</w:t>
            </w:r>
          </w:p>
        </w:tc>
        <w:tc>
          <w:tcPr>
            <w:tcW w:w="5860" w:type="dxa"/>
            <w:vAlign w:val="bottom"/>
            <w:gridSpan w:val="30"/>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18 U.S.C.</w:t>
            </w:r>
          </w:p>
        </w:tc>
        <w:tc>
          <w:tcPr>
            <w:tcW w:w="920" w:type="dxa"/>
            <w:vAlign w:val="bottom"/>
            <w:vMerge w:val="restart"/>
          </w:tcPr>
          <w:p>
            <w:pPr>
              <w:jc w:val="center"/>
              <w:ind w:right="110"/>
              <w:spacing w:after="0"/>
              <w:rPr>
                <w:sz w:val="20"/>
                <w:szCs w:val="20"/>
                <w:color w:val="auto"/>
              </w:rPr>
            </w:pPr>
            <w:r>
              <w:rPr>
                <w:rFonts w:ascii="Arial" w:cs="Arial" w:eastAsia="Arial" w:hAnsi="Arial"/>
                <w:sz w:val="18"/>
                <w:szCs w:val="18"/>
                <w:color w:val="auto"/>
                <w:w w:val="89"/>
              </w:rPr>
              <w:t>Furnished</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800" w:type="dxa"/>
            <w:vAlign w:val="bottom"/>
            <w:tcBorders>
              <w:top w:val="single" w:sz="8" w:color="0000FF"/>
            </w:tcBorders>
            <w:gridSpan w:val="27"/>
          </w:tcPr>
          <w:p>
            <w:pPr>
              <w:spacing w:after="0" w:line="154" w:lineRule="exact"/>
              <w:rPr>
                <w:sz w:val="20"/>
                <w:szCs w:val="20"/>
                <w:color w:val="auto"/>
              </w:rPr>
            </w:pPr>
            <w:r>
              <w:rPr>
                <w:rFonts w:ascii="Arial" w:cs="Arial" w:eastAsia="Arial" w:hAnsi="Arial"/>
                <w:sz w:val="17"/>
                <w:szCs w:val="17"/>
                <w:color w:val="0000FF"/>
              </w:rPr>
              <w:t>Section 1350, as adopted pursuant to Section 906 of the Sarbanes-</w:t>
            </w:r>
          </w:p>
        </w:tc>
        <w:tc>
          <w:tcPr>
            <w:tcW w:w="60" w:type="dxa"/>
            <w:vAlign w:val="bottom"/>
            <w:gridSpan w:val="3"/>
          </w:tcPr>
          <w:p>
            <w:pPr>
              <w:spacing w:after="0"/>
              <w:rPr>
                <w:sz w:val="13"/>
                <w:szCs w:val="13"/>
                <w:color w:val="auto"/>
              </w:rPr>
            </w:pPr>
          </w:p>
        </w:tc>
        <w:tc>
          <w:tcPr>
            <w:tcW w:w="9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5760" w:type="dxa"/>
            <w:vAlign w:val="bottom"/>
            <w:tcBorders>
              <w:top w:val="single" w:sz="8" w:color="0000FF"/>
            </w:tcBorders>
            <w:gridSpan w:val="25"/>
          </w:tcPr>
          <w:p>
            <w:pPr>
              <w:spacing w:after="0" w:line="170" w:lineRule="exact"/>
              <w:rPr>
                <w:sz w:val="20"/>
                <w:szCs w:val="20"/>
                <w:color w:val="auto"/>
              </w:rPr>
            </w:pPr>
            <w:r>
              <w:rPr>
                <w:rFonts w:ascii="Arial" w:cs="Arial" w:eastAsia="Arial" w:hAnsi="Arial"/>
                <w:sz w:val="18"/>
                <w:szCs w:val="18"/>
                <w:color w:val="0000FF"/>
              </w:rPr>
              <w:t>Oxley Act of 2002</w:t>
            </w:r>
          </w:p>
        </w:tc>
        <w:tc>
          <w:tcPr>
            <w:tcW w:w="100" w:type="dxa"/>
            <w:vAlign w:val="bottom"/>
            <w:gridSpan w:val="5"/>
          </w:tcPr>
          <w:p>
            <w:pPr>
              <w:spacing w:after="0"/>
              <w:rPr>
                <w:sz w:val="14"/>
                <w:szCs w:val="14"/>
                <w:color w:val="auto"/>
              </w:rPr>
            </w:pPr>
          </w:p>
        </w:tc>
        <w:tc>
          <w:tcPr>
            <w:tcW w:w="920" w:type="dxa"/>
            <w:vAlign w:val="bottom"/>
          </w:tcPr>
          <w:p>
            <w:pPr>
              <w:jc w:val="center"/>
              <w:ind w:right="170"/>
              <w:spacing w:after="0" w:line="170" w:lineRule="exact"/>
              <w:rPr>
                <w:sz w:val="20"/>
                <w:szCs w:val="20"/>
                <w:color w:val="auto"/>
              </w:rPr>
            </w:pPr>
            <w:r>
              <w:rPr>
                <w:rFonts w:ascii="Arial" w:cs="Arial" w:eastAsia="Arial" w:hAnsi="Arial"/>
                <w:sz w:val="18"/>
                <w:szCs w:val="18"/>
                <w:color w:val="auto"/>
                <w:w w:val="96"/>
              </w:rPr>
              <w:t>herewith</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jc w:val="center"/>
              <w:ind w:right="11"/>
              <w:spacing w:after="0" w:line="189" w:lineRule="exact"/>
              <w:rPr>
                <w:sz w:val="20"/>
                <w:szCs w:val="20"/>
                <w:color w:val="auto"/>
              </w:rPr>
            </w:pPr>
            <w:r>
              <w:rPr>
                <w:rFonts w:ascii="Arial" w:cs="Arial" w:eastAsia="Arial" w:hAnsi="Arial"/>
                <w:sz w:val="17"/>
                <w:szCs w:val="17"/>
                <w:color w:val="auto"/>
              </w:rPr>
              <w:t>32.2</w:t>
            </w:r>
            <w:r>
              <w:rPr>
                <w:rFonts w:ascii="Arial" w:cs="Arial" w:eastAsia="Arial" w:hAnsi="Arial"/>
                <w:sz w:val="21"/>
                <w:szCs w:val="21"/>
                <w:color w:val="auto"/>
                <w:vertAlign w:val="superscript"/>
              </w:rPr>
              <w:t>*</w:t>
            </w:r>
          </w:p>
        </w:tc>
        <w:tc>
          <w:tcPr>
            <w:tcW w:w="58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18 U.S.C.</w:t>
            </w:r>
          </w:p>
        </w:tc>
        <w:tc>
          <w:tcPr>
            <w:tcW w:w="920" w:type="dxa"/>
            <w:vAlign w:val="bottom"/>
            <w:vMerge w:val="restart"/>
            <w:shd w:val="clear" w:color="auto" w:fill="CCEEFF"/>
          </w:tcPr>
          <w:p>
            <w:pPr>
              <w:jc w:val="center"/>
              <w:ind w:right="110"/>
              <w:spacing w:after="0"/>
              <w:rPr>
                <w:sz w:val="20"/>
                <w:szCs w:val="20"/>
                <w:color w:val="auto"/>
              </w:rPr>
            </w:pPr>
            <w:r>
              <w:rPr>
                <w:rFonts w:ascii="Arial" w:cs="Arial" w:eastAsia="Arial" w:hAnsi="Arial"/>
                <w:sz w:val="18"/>
                <w:szCs w:val="18"/>
                <w:color w:val="auto"/>
                <w:w w:val="89"/>
              </w:rPr>
              <w:t>Furnished</w:t>
            </w:r>
          </w:p>
        </w:tc>
        <w:tc>
          <w:tcPr>
            <w:tcW w:w="1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5640" w:type="dxa"/>
            <w:vAlign w:val="bottom"/>
            <w:tcBorders>
              <w:top w:val="single" w:sz="8" w:color="0000FF"/>
            </w:tcBorders>
            <w:gridSpan w:val="19"/>
            <w:shd w:val="clear" w:color="auto" w:fill="CCEEFF"/>
          </w:tcPr>
          <w:p>
            <w:pPr>
              <w:spacing w:after="0" w:line="154" w:lineRule="exact"/>
              <w:rPr>
                <w:sz w:val="20"/>
                <w:szCs w:val="20"/>
                <w:color w:val="auto"/>
              </w:rPr>
            </w:pPr>
            <w:r>
              <w:rPr>
                <w:rFonts w:ascii="Arial" w:cs="Arial" w:eastAsia="Arial" w:hAnsi="Arial"/>
                <w:sz w:val="17"/>
                <w:szCs w:val="17"/>
                <w:color w:val="0000FF"/>
              </w:rPr>
              <w:t>Section 1350, as adopted pursuant to Section 906 of the Sarbanes-</w:t>
            </w:r>
          </w:p>
        </w:tc>
        <w:tc>
          <w:tcPr>
            <w:tcW w:w="220" w:type="dxa"/>
            <w:vAlign w:val="bottom"/>
            <w:tcBorders>
              <w:top w:val="single" w:sz="8" w:color="CCEEFF"/>
            </w:tcBorders>
            <w:gridSpan w:val="11"/>
            <w:shd w:val="clear" w:color="auto" w:fill="CCEEFF"/>
          </w:tcPr>
          <w:p>
            <w:pPr>
              <w:spacing w:after="0"/>
              <w:rPr>
                <w:sz w:val="13"/>
                <w:szCs w:val="13"/>
                <w:color w:val="auto"/>
              </w:rPr>
            </w:pPr>
          </w:p>
        </w:tc>
        <w:tc>
          <w:tcPr>
            <w:tcW w:w="920" w:type="dxa"/>
            <w:vAlign w:val="bottom"/>
            <w:tcBorders>
              <w:top w:val="single" w:sz="8" w:color="CCEEFF"/>
            </w:tcBorders>
            <w:vMerge w:val="continue"/>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40" w:type="dxa"/>
            <w:vAlign w:val="bottom"/>
            <w:tcBorders>
              <w:top w:val="single" w:sz="8" w:color="CCEEFF"/>
            </w:tcBorders>
            <w:shd w:val="clear" w:color="auto" w:fill="CCEEFF"/>
          </w:tcPr>
          <w:p>
            <w:pPr>
              <w:spacing w:after="0"/>
              <w:rPr>
                <w:sz w:val="14"/>
                <w:szCs w:val="14"/>
                <w:color w:val="auto"/>
              </w:rPr>
            </w:pPr>
          </w:p>
        </w:tc>
        <w:tc>
          <w:tcPr>
            <w:tcW w:w="5760" w:type="dxa"/>
            <w:vAlign w:val="bottom"/>
            <w:tcBorders>
              <w:top w:val="single" w:sz="8" w:color="0000FF"/>
            </w:tcBorders>
            <w:gridSpan w:val="25"/>
            <w:shd w:val="clear" w:color="auto" w:fill="CCEEFF"/>
          </w:tcPr>
          <w:p>
            <w:pPr>
              <w:spacing w:after="0" w:line="170" w:lineRule="exact"/>
              <w:rPr>
                <w:sz w:val="20"/>
                <w:szCs w:val="20"/>
                <w:color w:val="auto"/>
              </w:rPr>
            </w:pPr>
            <w:r>
              <w:rPr>
                <w:rFonts w:ascii="Arial" w:cs="Arial" w:eastAsia="Arial" w:hAnsi="Arial"/>
                <w:sz w:val="18"/>
                <w:szCs w:val="18"/>
                <w:color w:val="0000FF"/>
              </w:rPr>
              <w:t>Oxley Act of 2002</w:t>
            </w:r>
          </w:p>
        </w:tc>
        <w:tc>
          <w:tcPr>
            <w:tcW w:w="100" w:type="dxa"/>
            <w:vAlign w:val="bottom"/>
            <w:tcBorders>
              <w:top w:val="single" w:sz="8" w:color="CCEEFF"/>
            </w:tcBorders>
            <w:gridSpan w:val="5"/>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jc w:val="center"/>
              <w:ind w:right="170"/>
              <w:spacing w:after="0" w:line="170" w:lineRule="exact"/>
              <w:rPr>
                <w:sz w:val="20"/>
                <w:szCs w:val="20"/>
                <w:color w:val="auto"/>
              </w:rPr>
            </w:pPr>
            <w:r>
              <w:rPr>
                <w:rFonts w:ascii="Arial" w:cs="Arial" w:eastAsia="Arial" w:hAnsi="Arial"/>
                <w:sz w:val="18"/>
                <w:szCs w:val="18"/>
                <w:color w:val="auto"/>
                <w:w w:val="96"/>
              </w:rPr>
              <w:t>herewith</w:t>
            </w:r>
          </w:p>
        </w:tc>
        <w:tc>
          <w:tcPr>
            <w:tcW w:w="13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rPr>
              <w:t>101.INS</w:t>
            </w:r>
          </w:p>
        </w:tc>
        <w:tc>
          <w:tcPr>
            <w:tcW w:w="5860" w:type="dxa"/>
            <w:vAlign w:val="bottom"/>
            <w:gridSpan w:val="30"/>
          </w:tcPr>
          <w:p>
            <w:pPr>
              <w:spacing w:after="0" w:line="189" w:lineRule="exact"/>
              <w:rPr>
                <w:sz w:val="20"/>
                <w:szCs w:val="20"/>
                <w:color w:val="auto"/>
              </w:rPr>
            </w:pPr>
            <w:r>
              <w:rPr>
                <w:rFonts w:ascii="Arial" w:cs="Arial" w:eastAsia="Arial" w:hAnsi="Arial"/>
                <w:sz w:val="18"/>
                <w:szCs w:val="18"/>
                <w:color w:val="auto"/>
              </w:rPr>
              <w:t>XBRL Instance Document – the instance document does not appear</w:t>
            </w: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5860" w:type="dxa"/>
            <w:vAlign w:val="bottom"/>
            <w:gridSpan w:val="30"/>
          </w:tcPr>
          <w:p>
            <w:pPr>
              <w:spacing w:after="0" w:line="176" w:lineRule="exact"/>
              <w:rPr>
                <w:sz w:val="20"/>
                <w:szCs w:val="20"/>
                <w:color w:val="auto"/>
              </w:rPr>
            </w:pPr>
            <w:r>
              <w:rPr>
                <w:rFonts w:ascii="Arial" w:cs="Arial" w:eastAsia="Arial" w:hAnsi="Arial"/>
                <w:sz w:val="18"/>
                <w:szCs w:val="18"/>
                <w:color w:val="auto"/>
              </w:rPr>
              <w:t>in the Interactive Data File because its XBRL tags are embedded</w:t>
            </w:r>
          </w:p>
        </w:tc>
        <w:tc>
          <w:tcPr>
            <w:tcW w:w="920" w:type="dxa"/>
            <w:vAlign w:val="bottom"/>
          </w:tcPr>
          <w:p>
            <w:pPr>
              <w:jc w:val="center"/>
              <w:ind w:right="210"/>
              <w:spacing w:after="0" w:line="176" w:lineRule="exact"/>
              <w:rPr>
                <w:sz w:val="20"/>
                <w:szCs w:val="20"/>
                <w:color w:val="auto"/>
              </w:rPr>
            </w:pPr>
            <w:r>
              <w:rPr>
                <w:rFonts w:ascii="Arial" w:cs="Arial" w:eastAsia="Arial" w:hAnsi="Arial"/>
                <w:sz w:val="18"/>
                <w:szCs w:val="18"/>
                <w:color w:val="auto"/>
                <w:w w:val="97"/>
              </w:rPr>
              <w:t>Filed</w:t>
            </w: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860" w:type="dxa"/>
            <w:vAlign w:val="bottom"/>
            <w:gridSpan w:val="30"/>
          </w:tcPr>
          <w:p>
            <w:pPr>
              <w:spacing w:after="0"/>
              <w:rPr>
                <w:sz w:val="20"/>
                <w:szCs w:val="20"/>
                <w:color w:val="auto"/>
              </w:rPr>
            </w:pPr>
            <w:r>
              <w:rPr>
                <w:rFonts w:ascii="Arial" w:cs="Arial" w:eastAsia="Arial" w:hAnsi="Arial"/>
                <w:sz w:val="18"/>
                <w:szCs w:val="18"/>
                <w:color w:val="auto"/>
              </w:rPr>
              <w:t>within the Inline XBRL document</w:t>
            </w: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6"/>
              </w:rPr>
              <w:t>herewith</w:t>
            </w: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101.SCH</w:t>
            </w:r>
          </w:p>
        </w:tc>
        <w:tc>
          <w:tcPr>
            <w:tcW w:w="586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920" w:type="dxa"/>
            <w:vAlign w:val="bottom"/>
            <w:shd w:val="clear" w:color="auto" w:fill="CCEEFF"/>
          </w:tcPr>
          <w:p>
            <w:pPr>
              <w:jc w:val="center"/>
              <w:ind w:right="210"/>
              <w:spacing w:after="0" w:line="189" w:lineRule="exact"/>
              <w:rPr>
                <w:sz w:val="20"/>
                <w:szCs w:val="20"/>
                <w:color w:val="auto"/>
              </w:rPr>
            </w:pPr>
            <w:r>
              <w:rPr>
                <w:rFonts w:ascii="Arial" w:cs="Arial" w:eastAsia="Arial" w:hAnsi="Arial"/>
                <w:sz w:val="18"/>
                <w:szCs w:val="18"/>
                <w:color w:val="auto"/>
                <w:w w:val="97"/>
              </w:rPr>
              <w:t>Filed</w:t>
            </w:r>
          </w:p>
        </w:tc>
        <w:tc>
          <w:tcPr>
            <w:tcW w:w="1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6"/>
              </w:rPr>
              <w:t>herewith</w:t>
            </w:r>
          </w:p>
        </w:tc>
        <w:tc>
          <w:tcPr>
            <w:tcW w:w="1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101.CAL</w:t>
            </w:r>
          </w:p>
        </w:tc>
        <w:tc>
          <w:tcPr>
            <w:tcW w:w="5860" w:type="dxa"/>
            <w:vAlign w:val="bottom"/>
            <w:gridSpan w:val="30"/>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jc w:val="center"/>
              <w:ind w:right="210"/>
              <w:spacing w:after="0" w:line="189" w:lineRule="exact"/>
              <w:rPr>
                <w:sz w:val="20"/>
                <w:szCs w:val="20"/>
                <w:color w:val="auto"/>
              </w:rPr>
            </w:pPr>
            <w:r>
              <w:rPr>
                <w:rFonts w:ascii="Arial" w:cs="Arial" w:eastAsia="Arial" w:hAnsi="Arial"/>
                <w:sz w:val="18"/>
                <w:szCs w:val="18"/>
                <w:color w:val="auto"/>
                <w:w w:val="97"/>
              </w:rPr>
              <w:t>Filed</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6"/>
              </w:rPr>
              <w:t>herewith</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101.DEF</w:t>
            </w:r>
          </w:p>
        </w:tc>
        <w:tc>
          <w:tcPr>
            <w:tcW w:w="5860" w:type="dxa"/>
            <w:vAlign w:val="bottom"/>
            <w:gridSpan w:val="30"/>
            <w:shd w:val="clear" w:color="auto" w:fill="CCEEFF"/>
          </w:tcPr>
          <w:p>
            <w:pPr>
              <w:spacing w:after="0" w:line="195" w:lineRule="exact"/>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shd w:val="clear" w:color="auto" w:fill="CCEEFF"/>
          </w:tcPr>
          <w:p>
            <w:pPr>
              <w:jc w:val="center"/>
              <w:ind w:right="210"/>
              <w:spacing w:after="0" w:line="195" w:lineRule="exact"/>
              <w:rPr>
                <w:sz w:val="20"/>
                <w:szCs w:val="20"/>
                <w:color w:val="auto"/>
              </w:rPr>
            </w:pPr>
            <w:r>
              <w:rPr>
                <w:rFonts w:ascii="Arial" w:cs="Arial" w:eastAsia="Arial" w:hAnsi="Arial"/>
                <w:sz w:val="18"/>
                <w:szCs w:val="18"/>
                <w:color w:val="auto"/>
                <w:w w:val="97"/>
              </w:rPr>
              <w:t>Filed</w:t>
            </w:r>
          </w:p>
        </w:tc>
        <w:tc>
          <w:tcPr>
            <w:tcW w:w="1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6"/>
              </w:rPr>
              <w:t>herewith</w:t>
            </w:r>
          </w:p>
        </w:tc>
        <w:tc>
          <w:tcPr>
            <w:tcW w:w="1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rPr>
              <w:t>101.LAB</w:t>
            </w:r>
          </w:p>
        </w:tc>
        <w:tc>
          <w:tcPr>
            <w:tcW w:w="5860" w:type="dxa"/>
            <w:vAlign w:val="bottom"/>
            <w:gridSpan w:val="30"/>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jc w:val="center"/>
              <w:ind w:right="210"/>
              <w:spacing w:after="0" w:line="189" w:lineRule="exact"/>
              <w:rPr>
                <w:sz w:val="20"/>
                <w:szCs w:val="20"/>
                <w:color w:val="auto"/>
              </w:rPr>
            </w:pPr>
            <w:r>
              <w:rPr>
                <w:rFonts w:ascii="Arial" w:cs="Arial" w:eastAsia="Arial" w:hAnsi="Arial"/>
                <w:sz w:val="18"/>
                <w:szCs w:val="18"/>
                <w:color w:val="auto"/>
                <w:w w:val="97"/>
              </w:rPr>
              <w:t>Filed</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6"/>
              </w:rPr>
              <w:t>herewith</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jc w:val="center"/>
              <w:ind w:right="11"/>
              <w:spacing w:after="0" w:line="195" w:lineRule="exact"/>
              <w:rPr>
                <w:sz w:val="20"/>
                <w:szCs w:val="20"/>
                <w:color w:val="auto"/>
              </w:rPr>
            </w:pPr>
            <w:r>
              <w:rPr>
                <w:rFonts w:ascii="Arial" w:cs="Arial" w:eastAsia="Arial" w:hAnsi="Arial"/>
                <w:sz w:val="18"/>
                <w:szCs w:val="18"/>
                <w:color w:val="auto"/>
                <w:w w:val="99"/>
              </w:rPr>
              <w:t>101.PRE</w:t>
            </w:r>
          </w:p>
        </w:tc>
        <w:tc>
          <w:tcPr>
            <w:tcW w:w="5860" w:type="dxa"/>
            <w:vAlign w:val="bottom"/>
            <w:gridSpan w:val="30"/>
            <w:shd w:val="clear" w:color="auto" w:fill="CCEEFF"/>
          </w:tcPr>
          <w:p>
            <w:pPr>
              <w:spacing w:after="0" w:line="195" w:lineRule="exact"/>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shd w:val="clear" w:color="auto" w:fill="CCEEFF"/>
          </w:tcPr>
          <w:p>
            <w:pPr>
              <w:jc w:val="center"/>
              <w:ind w:right="210"/>
              <w:spacing w:after="0" w:line="195" w:lineRule="exact"/>
              <w:rPr>
                <w:sz w:val="20"/>
                <w:szCs w:val="20"/>
                <w:color w:val="auto"/>
              </w:rPr>
            </w:pPr>
            <w:r>
              <w:rPr>
                <w:rFonts w:ascii="Arial" w:cs="Arial" w:eastAsia="Arial" w:hAnsi="Arial"/>
                <w:sz w:val="18"/>
                <w:szCs w:val="18"/>
                <w:color w:val="auto"/>
                <w:w w:val="97"/>
              </w:rPr>
              <w:t>Filed</w:t>
            </w:r>
          </w:p>
        </w:tc>
        <w:tc>
          <w:tcPr>
            <w:tcW w:w="1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6"/>
              </w:rPr>
              <w:t>herewith</w:t>
            </w:r>
          </w:p>
        </w:tc>
        <w:tc>
          <w:tcPr>
            <w:tcW w:w="1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104</w:t>
            </w:r>
          </w:p>
        </w:tc>
        <w:tc>
          <w:tcPr>
            <w:tcW w:w="5860" w:type="dxa"/>
            <w:vAlign w:val="bottom"/>
            <w:gridSpan w:val="30"/>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with</w:t>
            </w:r>
          </w:p>
        </w:tc>
        <w:tc>
          <w:tcPr>
            <w:tcW w:w="920" w:type="dxa"/>
            <w:vAlign w:val="bottom"/>
          </w:tcPr>
          <w:p>
            <w:pPr>
              <w:jc w:val="center"/>
              <w:ind w:right="210"/>
              <w:spacing w:after="0" w:line="189" w:lineRule="exact"/>
              <w:rPr>
                <w:sz w:val="20"/>
                <w:szCs w:val="20"/>
                <w:color w:val="auto"/>
              </w:rPr>
            </w:pPr>
            <w:r>
              <w:rPr>
                <w:rFonts w:ascii="Arial" w:cs="Arial" w:eastAsia="Arial" w:hAnsi="Arial"/>
                <w:sz w:val="18"/>
                <w:szCs w:val="18"/>
                <w:color w:val="auto"/>
                <w:w w:val="97"/>
              </w:rPr>
              <w:t>Filed</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860" w:type="dxa"/>
            <w:vAlign w:val="bottom"/>
            <w:gridSpan w:val="30"/>
          </w:tcPr>
          <w:p>
            <w:pPr>
              <w:spacing w:after="0"/>
              <w:rPr>
                <w:sz w:val="20"/>
                <w:szCs w:val="20"/>
                <w:color w:val="auto"/>
              </w:rPr>
            </w:pPr>
            <w:r>
              <w:rPr>
                <w:rFonts w:ascii="Arial" w:cs="Arial" w:eastAsia="Arial" w:hAnsi="Arial"/>
                <w:sz w:val="18"/>
                <w:szCs w:val="18"/>
                <w:color w:val="auto"/>
              </w:rPr>
              <w:t>applicable taxonomy extension information contained in Exhibits 101)</w:t>
            </w: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6"/>
              </w:rPr>
              <w:t>herewith</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4230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contract or agreement.</w:t>
      </w:r>
    </w:p>
    <w:p>
      <w:pPr>
        <w:spacing w:after="0" w:line="50" w:lineRule="exact"/>
        <w:rPr>
          <w:sz w:val="20"/>
          <w:szCs w:val="20"/>
          <w:color w:val="auto"/>
        </w:rPr>
      </w:pPr>
    </w:p>
    <w:p>
      <w:pPr>
        <w:jc w:val="both"/>
        <w:ind w:left="340" w:hanging="332"/>
        <w:spacing w:after="0" w:line="254" w:lineRule="auto"/>
        <w:tabs>
          <w:tab w:leader="none" w:pos="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ind w:left="340" w:hanging="332"/>
        <w:spacing w:after="0" w:line="261" w:lineRule="auto"/>
        <w:tabs>
          <w:tab w:leader="none" w:pos="3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601(a)(5) of Regulation S-K under the Securities Act. The Company agrees to furnish supplementally any omitted schedules to the Securities and Exchange Commission upon request.</w:t>
      </w:r>
    </w:p>
    <w:p>
      <w:pPr>
        <w:spacing w:after="0" w:line="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 because they are both (i) not material and</w:t>
      </w:r>
    </w:p>
    <w:p>
      <w:pPr>
        <w:spacing w:after="0" w:line="9" w:lineRule="exact"/>
        <w:rPr>
          <w:rFonts w:ascii="Arial" w:cs="Arial" w:eastAsia="Arial" w:hAnsi="Arial"/>
          <w:sz w:val="18"/>
          <w:szCs w:val="18"/>
          <w:color w:val="auto"/>
        </w:rPr>
      </w:pPr>
    </w:p>
    <w:p>
      <w:pPr>
        <w:ind w:left="340" w:hanging="8"/>
        <w:spacing w:after="0" w:line="261" w:lineRule="auto"/>
        <w:tabs>
          <w:tab w:leader="none" w:pos="614"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type that the registrant treats as private or confidential. A copy of the omitted portions will be furnished to the Securities and Exchange Commission upon request.</w:t>
      </w: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THREDUP INC.</w:t>
      </w:r>
    </w:p>
    <w:p>
      <w:pPr>
        <w:spacing w:after="0" w:line="31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Sean Sobers and Alon Rotem,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as fully to all intents and purposes as he or she might or could do in person, hereby ratifying and confirming all that said attorneys-in-fact and agents, or any of them, or their, his or her substitute or substitutes, may lawfully do or cause to be done by virtue hereof.</w:t>
      </w:r>
    </w:p>
    <w:p>
      <w:pPr>
        <w:spacing w:after="0" w:line="20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40" w:right="33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8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Signature</w:t>
            </w:r>
          </w:p>
        </w:tc>
        <w:tc>
          <w:tcPr>
            <w:tcW w:w="8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480"/>
        </w:trPr>
        <w:tc>
          <w:tcPr>
            <w:tcW w:w="3680" w:type="dxa"/>
            <w:vAlign w:val="bottom"/>
          </w:tcPr>
          <w:p>
            <w:pPr>
              <w:ind w:left="20"/>
              <w:spacing w:after="0"/>
              <w:rPr>
                <w:sz w:val="20"/>
                <w:szCs w:val="20"/>
                <w:color w:val="auto"/>
              </w:rPr>
            </w:pPr>
            <w:r>
              <w:rPr>
                <w:rFonts w:ascii="Arial" w:cs="Arial" w:eastAsia="Arial" w:hAnsi="Arial"/>
                <w:sz w:val="18"/>
                <w:szCs w:val="18"/>
                <w:color w:val="auto"/>
              </w:rPr>
              <w:t>/s/ JAMES REINHART</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i w:val="1"/>
                <w:iCs w:val="1"/>
                <w:color w:val="auto"/>
                <w:w w:val="99"/>
              </w:rPr>
              <w:t>Chief Executive Officer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vMerge w:val="restart"/>
          </w:tcPr>
          <w:p>
            <w:pPr>
              <w:jc w:val="center"/>
              <w:spacing w:after="0"/>
              <w:rPr>
                <w:sz w:val="20"/>
                <w:szCs w:val="20"/>
                <w:color w:val="auto"/>
              </w:rPr>
            </w:pPr>
            <w:r>
              <w:rPr>
                <w:rFonts w:ascii="Arial" w:cs="Arial" w:eastAsia="Arial" w:hAnsi="Arial"/>
                <w:sz w:val="18"/>
                <w:szCs w:val="18"/>
                <w:color w:val="auto"/>
              </w:rPr>
              <w:t>(Principal Executive Officer and Director)</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James Reinhart</w:t>
            </w:r>
          </w:p>
        </w:tc>
        <w:tc>
          <w:tcPr>
            <w:tcW w:w="80" w:type="dxa"/>
            <w:vAlign w:val="bottom"/>
          </w:tcPr>
          <w:p>
            <w:pPr>
              <w:spacing w:after="0"/>
              <w:rPr>
                <w:sz w:val="19"/>
                <w:szCs w:val="19"/>
                <w:color w:val="auto"/>
              </w:rPr>
            </w:pPr>
          </w:p>
        </w:tc>
        <w:tc>
          <w:tcPr>
            <w:tcW w:w="3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3680" w:type="dxa"/>
            <w:vAlign w:val="bottom"/>
          </w:tcPr>
          <w:p>
            <w:pPr>
              <w:ind w:left="20"/>
              <w:spacing w:after="0"/>
              <w:rPr>
                <w:sz w:val="20"/>
                <w:szCs w:val="20"/>
                <w:color w:val="auto"/>
              </w:rPr>
            </w:pPr>
            <w:r>
              <w:rPr>
                <w:rFonts w:ascii="Arial" w:cs="Arial" w:eastAsia="Arial" w:hAnsi="Arial"/>
                <w:sz w:val="18"/>
                <w:szCs w:val="18"/>
                <w:color w:val="auto"/>
              </w:rPr>
              <w:t>/s/ SEAN SOBERS</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41"/>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vMerge w:val="restart"/>
          </w:tcPr>
          <w:p>
            <w:pPr>
              <w:jc w:val="cente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Sean Sobers</w:t>
            </w:r>
          </w:p>
        </w:tc>
        <w:tc>
          <w:tcPr>
            <w:tcW w:w="80" w:type="dxa"/>
            <w:vAlign w:val="bottom"/>
          </w:tcPr>
          <w:p>
            <w:pPr>
              <w:spacing w:after="0"/>
              <w:rPr>
                <w:sz w:val="19"/>
                <w:szCs w:val="19"/>
                <w:color w:val="auto"/>
              </w:rPr>
            </w:pPr>
          </w:p>
        </w:tc>
        <w:tc>
          <w:tcPr>
            <w:tcW w:w="3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3680" w:type="dxa"/>
            <w:vAlign w:val="bottom"/>
          </w:tcPr>
          <w:p>
            <w:pPr>
              <w:ind w:left="20"/>
              <w:spacing w:after="0"/>
              <w:rPr>
                <w:sz w:val="20"/>
                <w:szCs w:val="20"/>
                <w:color w:val="auto"/>
              </w:rPr>
            </w:pPr>
            <w:r>
              <w:rPr>
                <w:rFonts w:ascii="Arial" w:cs="Arial" w:eastAsia="Arial" w:hAnsi="Arial"/>
                <w:sz w:val="18"/>
                <w:szCs w:val="18"/>
                <w:color w:val="auto"/>
              </w:rPr>
              <w:t>/s/ IAN FRIEDMAN</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Ian Friedman</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3680" w:type="dxa"/>
            <w:vAlign w:val="bottom"/>
          </w:tcPr>
          <w:p>
            <w:pPr>
              <w:ind w:left="20"/>
              <w:spacing w:after="0"/>
              <w:rPr>
                <w:sz w:val="20"/>
                <w:szCs w:val="20"/>
                <w:color w:val="auto"/>
              </w:rPr>
            </w:pPr>
            <w:r>
              <w:rPr>
                <w:rFonts w:ascii="Arial" w:cs="Arial" w:eastAsia="Arial" w:hAnsi="Arial"/>
                <w:sz w:val="18"/>
                <w:szCs w:val="18"/>
                <w:color w:val="auto"/>
              </w:rPr>
              <w:t>/s/ MANDY GINSBERG</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Mandy Ginsberg</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3680" w:type="dxa"/>
            <w:vAlign w:val="bottom"/>
          </w:tcPr>
          <w:p>
            <w:pPr>
              <w:ind w:left="20"/>
              <w:spacing w:after="0"/>
              <w:rPr>
                <w:sz w:val="20"/>
                <w:szCs w:val="20"/>
                <w:color w:val="auto"/>
              </w:rPr>
            </w:pPr>
            <w:r>
              <w:rPr>
                <w:rFonts w:ascii="Arial" w:cs="Arial" w:eastAsia="Arial" w:hAnsi="Arial"/>
                <w:sz w:val="18"/>
                <w:szCs w:val="18"/>
                <w:color w:val="auto"/>
              </w:rPr>
              <w:t>/s/ TIMOTHY HALEY</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Timothy Haley</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3680" w:type="dxa"/>
            <w:vAlign w:val="bottom"/>
          </w:tcPr>
          <w:p>
            <w:pPr>
              <w:ind w:left="20"/>
              <w:spacing w:after="0"/>
              <w:rPr>
                <w:sz w:val="20"/>
                <w:szCs w:val="20"/>
                <w:color w:val="auto"/>
              </w:rPr>
            </w:pPr>
            <w:r>
              <w:rPr>
                <w:rFonts w:ascii="Arial" w:cs="Arial" w:eastAsia="Arial" w:hAnsi="Arial"/>
                <w:sz w:val="18"/>
                <w:szCs w:val="18"/>
                <w:color w:val="auto"/>
              </w:rPr>
              <w:t>/s/ JACK LAZAR</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Jack Lazar</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3680" w:type="dxa"/>
            <w:vAlign w:val="bottom"/>
          </w:tcPr>
          <w:p>
            <w:pPr>
              <w:ind w:left="20"/>
              <w:spacing w:after="0"/>
              <w:rPr>
                <w:sz w:val="20"/>
                <w:szCs w:val="20"/>
                <w:color w:val="auto"/>
              </w:rPr>
            </w:pPr>
            <w:r>
              <w:rPr>
                <w:rFonts w:ascii="Arial" w:cs="Arial" w:eastAsia="Arial" w:hAnsi="Arial"/>
                <w:sz w:val="18"/>
                <w:szCs w:val="18"/>
                <w:color w:val="auto"/>
              </w:rPr>
              <w:t>/s/ PATRICIA NAKACHE</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Patricia Nakache</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3680" w:type="dxa"/>
            <w:vAlign w:val="bottom"/>
          </w:tcPr>
          <w:p>
            <w:pPr>
              <w:ind w:left="20"/>
              <w:spacing w:after="0"/>
              <w:rPr>
                <w:sz w:val="20"/>
                <w:szCs w:val="20"/>
                <w:color w:val="auto"/>
              </w:rPr>
            </w:pPr>
            <w:r>
              <w:rPr>
                <w:rFonts w:ascii="Arial" w:cs="Arial" w:eastAsia="Arial" w:hAnsi="Arial"/>
                <w:sz w:val="18"/>
                <w:szCs w:val="18"/>
                <w:color w:val="auto"/>
              </w:rPr>
              <w:t>/s/ DAN NOVA</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Dan Nova</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3680" w:type="dxa"/>
            <w:vAlign w:val="bottom"/>
          </w:tcPr>
          <w:p>
            <w:pPr>
              <w:ind w:left="20"/>
              <w:spacing w:after="0"/>
              <w:rPr>
                <w:sz w:val="20"/>
                <w:szCs w:val="20"/>
                <w:color w:val="auto"/>
              </w:rPr>
            </w:pPr>
            <w:r>
              <w:rPr>
                <w:rFonts w:ascii="Arial" w:cs="Arial" w:eastAsia="Arial" w:hAnsi="Arial"/>
                <w:sz w:val="18"/>
                <w:szCs w:val="18"/>
                <w:color w:val="auto"/>
              </w:rPr>
              <w:t>/s/ CORETHA RUSHING</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Coretha Rushing</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3680" w:type="dxa"/>
            <w:vAlign w:val="bottom"/>
          </w:tcPr>
          <w:p>
            <w:pPr>
              <w:ind w:left="20"/>
              <w:spacing w:after="0"/>
              <w:rPr>
                <w:sz w:val="20"/>
                <w:szCs w:val="20"/>
                <w:color w:val="auto"/>
              </w:rPr>
            </w:pPr>
            <w:r>
              <w:rPr>
                <w:rFonts w:ascii="Arial" w:cs="Arial" w:eastAsia="Arial" w:hAnsi="Arial"/>
                <w:sz w:val="18"/>
                <w:szCs w:val="18"/>
                <w:color w:val="auto"/>
              </w:rPr>
              <w:t>/s/ PAULA SUTTER</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Paula Sutter</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3680" w:type="dxa"/>
            <w:vAlign w:val="bottom"/>
          </w:tcPr>
          <w:p>
            <w:pPr>
              <w:ind w:left="20"/>
              <w:spacing w:after="0"/>
              <w:rPr>
                <w:sz w:val="20"/>
                <w:szCs w:val="20"/>
                <w:color w:val="auto"/>
              </w:rPr>
            </w:pPr>
            <w:r>
              <w:rPr>
                <w:rFonts w:ascii="Arial" w:cs="Arial" w:eastAsia="Arial" w:hAnsi="Arial"/>
                <w:sz w:val="18"/>
                <w:szCs w:val="18"/>
                <w:color w:val="auto"/>
              </w:rPr>
              <w:t>/s/ MARCIE VU</w:t>
            </w:r>
          </w:p>
        </w:tc>
        <w:tc>
          <w:tcPr>
            <w:tcW w:w="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0" w:type="dxa"/>
            <w:vAlign w:val="bottom"/>
          </w:tcPr>
          <w:p>
            <w:pPr>
              <w:spacing w:after="0"/>
              <w:rPr>
                <w:sz w:val="1"/>
                <w:szCs w:val="1"/>
                <w:color w:val="auto"/>
              </w:rPr>
            </w:pPr>
          </w:p>
        </w:tc>
      </w:tr>
      <w:tr>
        <w:trPr>
          <w:trHeight w:val="40"/>
        </w:trPr>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Marcie Vu</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20320</wp:posOffset>
            </wp:positionV>
            <wp:extent cx="234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35"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pacing w:after="0" w:line="388" w:lineRule="exact"/>
        <w:rPr>
          <w:sz w:val="20"/>
          <w:szCs w:val="20"/>
          <w:color w:val="auto"/>
        </w:rPr>
      </w:pPr>
    </w:p>
    <w:p>
      <w:pPr>
        <w:jc w:val="center"/>
        <w:ind w:right="1280"/>
        <w:spacing w:after="0"/>
        <w:rPr>
          <w:sz w:val="20"/>
          <w:szCs w:val="20"/>
          <w:color w:val="auto"/>
        </w:rPr>
      </w:pPr>
      <w:r>
        <w:rPr>
          <w:rFonts w:ascii="Arial" w:cs="Arial" w:eastAsia="Arial" w:hAnsi="Arial"/>
          <w:sz w:val="17"/>
          <w:szCs w:val="17"/>
          <w:color w:val="auto"/>
        </w:rPr>
        <w:t>March 7, 2023</w:t>
      </w:r>
    </w:p>
    <w:p>
      <w:pPr>
        <w:spacing w:after="0" w:line="464" w:lineRule="exact"/>
        <w:rPr>
          <w:sz w:val="20"/>
          <w:szCs w:val="20"/>
          <w:color w:val="auto"/>
        </w:rPr>
      </w:pPr>
    </w:p>
    <w:p>
      <w:pPr>
        <w:sectPr>
          <w:pgSz w:w="11900" w:h="16838" w:orient="portrait"/>
          <w:cols w:equalWidth="0" w:num="2">
            <w:col w:w="8100" w:space="720"/>
            <w:col w:w="2420"/>
          </w:cols>
          <w:pgMar w:left="320" w:top="140" w:right="339" w:bottom="1440" w:gutter="0" w:footer="0" w:header="0"/>
          <w:type w:val="continuous"/>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140"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39"/>
        </w:trPr>
        <w:tc>
          <w:tcPr>
            <w:tcW w:w="3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0" w:type="dxa"/>
            <w:vAlign w:val="bottom"/>
          </w:tcPr>
          <w:p>
            <w:pPr>
              <w:ind w:left="4600"/>
              <w:spacing w:after="0"/>
              <w:rPr>
                <w:sz w:val="20"/>
                <w:szCs w:val="20"/>
                <w:color w:val="auto"/>
              </w:rPr>
            </w:pPr>
            <w:r>
              <w:rPr>
                <w:rFonts w:ascii="Arial" w:cs="Arial" w:eastAsia="Arial" w:hAnsi="Arial"/>
                <w:sz w:val="18"/>
                <w:szCs w:val="18"/>
                <w:b w:val="1"/>
                <w:bCs w:val="1"/>
                <w:color w:val="auto"/>
                <w:w w:val="97"/>
              </w:rPr>
              <w:t>Exhibit 21.1</w:t>
            </w:r>
          </w:p>
        </w:tc>
      </w:tr>
      <w:tr>
        <w:trPr>
          <w:trHeight w:val="409"/>
        </w:trPr>
        <w:tc>
          <w:tcPr>
            <w:tcW w:w="3680" w:type="dxa"/>
            <w:vAlign w:val="bottom"/>
          </w:tcPr>
          <w:p>
            <w:pPr>
              <w:spacing w:after="0"/>
              <w:rPr>
                <w:sz w:val="24"/>
                <w:szCs w:val="24"/>
                <w:color w:val="auto"/>
              </w:rPr>
            </w:pPr>
          </w:p>
        </w:tc>
        <w:tc>
          <w:tcPr>
            <w:tcW w:w="7560" w:type="dxa"/>
            <w:vAlign w:val="bottom"/>
            <w:gridSpan w:val="3"/>
          </w:tcPr>
          <w:p>
            <w:pPr>
              <w:jc w:val="center"/>
              <w:ind w:right="3594"/>
              <w:spacing w:after="0"/>
              <w:rPr>
                <w:sz w:val="20"/>
                <w:szCs w:val="20"/>
                <w:color w:val="auto"/>
              </w:rPr>
            </w:pPr>
            <w:r>
              <w:rPr>
                <w:rFonts w:ascii="Arial" w:cs="Arial" w:eastAsia="Arial" w:hAnsi="Arial"/>
                <w:sz w:val="18"/>
                <w:szCs w:val="18"/>
                <w:b w:val="1"/>
                <w:bCs w:val="1"/>
                <w:color w:val="auto"/>
              </w:rPr>
              <w:t>SUBSIDIARIES OF THREDUP INC.</w:t>
            </w:r>
          </w:p>
        </w:tc>
      </w:tr>
      <w:tr>
        <w:trPr>
          <w:trHeight w:val="239"/>
        </w:trPr>
        <w:tc>
          <w:tcPr>
            <w:tcW w:w="3680" w:type="dxa"/>
            <w:vAlign w:val="bottom"/>
          </w:tcPr>
          <w:p>
            <w:pPr>
              <w:spacing w:after="0"/>
              <w:rPr>
                <w:sz w:val="20"/>
                <w:szCs w:val="20"/>
                <w:color w:val="auto"/>
              </w:rPr>
            </w:pPr>
          </w:p>
        </w:tc>
        <w:tc>
          <w:tcPr>
            <w:tcW w:w="7560" w:type="dxa"/>
            <w:vAlign w:val="bottom"/>
            <w:gridSpan w:val="3"/>
          </w:tcPr>
          <w:p>
            <w:pPr>
              <w:jc w:val="center"/>
              <w:ind w:right="3594"/>
              <w:spacing w:after="0"/>
              <w:rPr>
                <w:sz w:val="20"/>
                <w:szCs w:val="20"/>
                <w:color w:val="auto"/>
              </w:rPr>
            </w:pPr>
            <w:r>
              <w:rPr>
                <w:rFonts w:ascii="Arial" w:cs="Arial" w:eastAsia="Arial" w:hAnsi="Arial"/>
                <w:sz w:val="18"/>
                <w:szCs w:val="18"/>
                <w:b w:val="1"/>
                <w:bCs w:val="1"/>
                <w:color w:val="auto"/>
                <w:w w:val="99"/>
              </w:rPr>
              <w:t>As of December 31, 2022</w:t>
            </w:r>
          </w:p>
        </w:tc>
      </w:tr>
      <w:tr>
        <w:trPr>
          <w:trHeight w:val="466"/>
        </w:trPr>
        <w:tc>
          <w:tcPr>
            <w:tcW w:w="368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Subsidiaries</w:t>
            </w:r>
          </w:p>
        </w:tc>
        <w:tc>
          <w:tcPr>
            <w:tcW w:w="18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6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Knitwit GC LLC</w:t>
            </w: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 USA</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Remix Global EAD</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Bulgaria</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ThredUp Intermediary Holdings LLC</w:t>
            </w: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 USA</w:t>
            </w:r>
          </w:p>
        </w:tc>
      </w:tr>
    </w:tbl>
    <w:p>
      <w:pPr>
        <w:sectPr>
          <w:pgSz w:w="11900" w:h="16838" w:orient="portrait"/>
          <w:cols w:equalWidth="0" w:num="1">
            <w:col w:w="11240"/>
          </w:cols>
          <w:pgMar w:left="320" w:top="76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333-254783, 333-256038, and 333-263761 on Form S-8 of our report dated March 7, 2023, relating to the financial statements of ThredUp Inc. appearing in this Annual Report on Form 10-K for the year ended December 31, 2022.</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2023</w:t>
      </w:r>
    </w:p>
    <w:p>
      <w:pPr>
        <w:sectPr>
          <w:pgSz w:w="11900" w:h="16838" w:orient="portrait"/>
          <w:cols w:equalWidth="0" w:num="1">
            <w:col w:w="11240"/>
          </w:cols>
          <w:pgMar w:left="320" w:top="76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consent to the incorporation by reference in the registration statements (Nos. 333-263761, 333-256038 and 333-254783) on Form S-8 of our report dated March 21, 2022, with respect to the consolidated financial statements of ThredUp Inc.</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2023</w:t>
      </w:r>
    </w:p>
    <w:p>
      <w:pPr>
        <w:sectPr>
          <w:pgSz w:w="11900" w:h="16838" w:orient="portrait"/>
          <w:cols w:equalWidth="0" w:num="1">
            <w:col w:w="11240"/>
          </w:cols>
          <w:pgMar w:left="320" w:top="76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225"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ThredUp Inc.;</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hanging="324"/>
        <w:spacing w:after="0" w:line="261" w:lineRule="auto"/>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29"/>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2023</w:t>
      </w:r>
    </w:p>
    <w:p>
      <w:pPr>
        <w:sectPr>
          <w:pgSz w:w="11900" w:h="16838" w:orient="portrait"/>
          <w:cols w:equalWidth="0" w:num="1">
            <w:col w:w="11240"/>
          </w:cols>
          <w:pgMar w:left="320" w:top="76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225"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ThredUp Inc.;</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71"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hanging="324"/>
        <w:spacing w:after="0" w:line="261" w:lineRule="auto"/>
        <w:tabs>
          <w:tab w:leader="none" w:pos="9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2023</w:t>
      </w:r>
    </w:p>
    <w:p>
      <w:pPr>
        <w:sectPr>
          <w:pgSz w:w="11900" w:h="16838" w:orient="portrait"/>
          <w:cols w:equalWidth="0" w:num="1">
            <w:col w:w="11240"/>
          </w:cols>
          <w:pgMar w:left="320" w:top="76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James Reinhart, Chief Executive Officer of ThredUp Inc. (the “Company”), do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29"/>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2023</w:t>
      </w:r>
    </w:p>
    <w:p>
      <w:pPr>
        <w:sectPr>
          <w:pgSz w:w="11900" w:h="16838" w:orient="portrait"/>
          <w:cols w:equalWidth="0" w:num="1">
            <w:col w:w="11240"/>
          </w:cols>
          <w:pgMar w:left="320" w:top="76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 Sean Sobers, Chief Financial Officer of ThredUp Inc. (the “Company”), do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29"/>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2023</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2"/>
    </w:lvl>
  </w:abstractNum>
  <w:abstractNum w:abstractNumId="24">
    <w:nsid w:val="737B8DDC"/>
    <w:multiLevelType w:val="hybridMultilevel"/>
    <w:lvl w:ilvl="0">
      <w:lvlJc w:val="left"/>
      <w:lvlText w:val="%1."/>
      <w:numFmt w:val="decimal"/>
      <w:start w:val="7"/>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2"/>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Letter"/>
      <w:start w:val="1"/>
    </w:lvl>
    <w:lvl w:ilvl="1">
      <w:lvlJc w:val="left"/>
      <w:lvlText w:val="%2."/>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lvl w:ilvl="1">
      <w:lvlJc w:val="left"/>
      <w:lvlText w:val="(%2)"/>
      <w:numFmt w:val="lowerRoman"/>
      <w:start w:val="2"/>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11" Type="http://schemas.openxmlformats.org/officeDocument/2006/relationships/hyperlink" Target="https://www.sec.gov/Archives/edgar/data/1484778/000162828021003857/exhibit32-sx1.htm" TargetMode="External"/><Relationship Id="rId112" Type="http://schemas.openxmlformats.org/officeDocument/2006/relationships/hyperlink" Target="https://www.sec.gov/Archives/edgar/data/1484778/000148477823000037/thredup-arpubliccompanybyl.htm" TargetMode="External"/><Relationship Id="rId113" Type="http://schemas.openxmlformats.org/officeDocument/2006/relationships/hyperlink" Target="https://www.sec.gov/Archives/edgar/data/1484778/000162828021003857/exhibit41-sx1.htm" TargetMode="External"/><Relationship Id="rId114" Type="http://schemas.openxmlformats.org/officeDocument/2006/relationships/hyperlink" Target="https://www.sec.gov/Archives/edgar/data/1484778/000148477822000044/exhibit42thredup-descripti.htm" TargetMode="External"/><Relationship Id="rId115" Type="http://schemas.openxmlformats.org/officeDocument/2006/relationships/hyperlink" Target="https://www.sec.gov/Archives/edgar/data/1484778/000162828021003857/exhibit42-sx1.htm" TargetMode="External"/><Relationship Id="rId116" Type="http://schemas.openxmlformats.org/officeDocument/2006/relationships/hyperlink" Target="https://www.sec.gov/Archives/edgar/data/1484778/000162828021003857/exhibit101-sx1.htm" TargetMode="External"/><Relationship Id="rId117" Type="http://schemas.openxmlformats.org/officeDocument/2006/relationships/hyperlink" Target="https://www.sec.gov/Archives/edgar/data/1484778/000162828021003857/exhibit102-sx1.htm" TargetMode="External"/><Relationship Id="rId118" Type="http://schemas.openxmlformats.org/officeDocument/2006/relationships/hyperlink" Target="https://www.sec.gov/Archives/edgar/data/1484778/000162828021005019/exhibit103-sx1a1x2021stock.htm" TargetMode="External"/><Relationship Id="rId119" Type="http://schemas.openxmlformats.org/officeDocument/2006/relationships/hyperlink" Target="https://www.sec.gov/Archives/edgar/data/1484778/000162828021005019/exhibit104-sx1a1.htm" TargetMode="External"/><Relationship Id="rId120" Type="http://schemas.openxmlformats.org/officeDocument/2006/relationships/hyperlink" Target="https://www.sec.gov/Archives/edgar/data/1484778/000162828021003857/exhibit105-sx1.htm" TargetMode="External"/><Relationship Id="rId121" Type="http://schemas.openxmlformats.org/officeDocument/2006/relationships/hyperlink" Target="https://www.sec.gov/Archives/edgar/data/1484778/000162828021003857/exhibit106-sx1.htm" TargetMode="External"/><Relationship Id="rId122" Type="http://schemas.openxmlformats.org/officeDocument/2006/relationships/hyperlink" Target="https://www.sec.gov/Archives/edgar/data/1484778/000162828021003857/exhibit107-sx1.htm" TargetMode="External"/><Relationship Id="rId123" Type="http://schemas.openxmlformats.org/officeDocument/2006/relationships/hyperlink" Target="https://www.sec.gov/Archives/edgar/data/1484778/000162828021003857/exhibit108-sx1.htm" TargetMode="External"/><Relationship Id="rId124" Type="http://schemas.openxmlformats.org/officeDocument/2006/relationships/hyperlink" Target="https://www.sec.gov/Archives/edgar/data/1484778/000162828021003857/exhibit109-sx1.htm" TargetMode="External"/><Relationship Id="rId125" Type="http://schemas.openxmlformats.org/officeDocument/2006/relationships/hyperlink" Target="https://www.sec.gov/Archives/edgar/data/1484778/000162828021003857/exhibit1010-sx1.htm" TargetMode="External"/><Relationship Id="rId126" Type="http://schemas.openxmlformats.org/officeDocument/2006/relationships/hyperlink" Target="https://www.sec.gov/Archives/edgar/data/1484778/000148477822000044/exhibit1011chrishomeroffer.htm" TargetMode="External"/><Relationship Id="rId127" Type="http://schemas.openxmlformats.org/officeDocument/2006/relationships/hyperlink" Target="https://www.sec.gov/Archives/edgar/data/1484778/000162828021003857/exhibit1011-sx1.htm" TargetMode="External"/><Relationship Id="rId128" Type="http://schemas.openxmlformats.org/officeDocument/2006/relationships/hyperlink" Target="https://www.sec.gov/Archives/edgar/data/1484778/000162828021003857/exhibit1012-sx1.htm" TargetMode="External"/><Relationship Id="rId137" Type="http://schemas.openxmlformats.org/officeDocument/2006/relationships/hyperlink" Target="https://www.sec.gov/Archives/edgar/data/1484778/000162828021005019/exhibit1014-sx1a1.htm" TargetMode="External"/><Relationship Id="rId140" Type="http://schemas.openxmlformats.org/officeDocument/2006/relationships/hyperlink" Target="https://www.sec.gov/Archives/edgar/data/1484778/000148477821000028/westernalliancebank-thredu.htm" TargetMode="External"/><Relationship Id="rId141" Type="http://schemas.openxmlformats.org/officeDocument/2006/relationships/hyperlink" Target="https://www.sec.gov/Archives/edgar/data/1484778/000148477822000044/exhibit1016westernalliance.htm" TargetMode="External"/><Relationship Id="rId142" Type="http://schemas.openxmlformats.org/officeDocument/2006/relationships/hyperlink" Target="https://www.sec.gov/Archives/edgar/data/1484778/000148477822000120/ex101july2022creditagreeme.htm" TargetMode="External"/><Relationship Id="rId143" Type="http://schemas.openxmlformats.org/officeDocument/2006/relationships/hyperlink" Target="https://www.sec.gov/Archives/edgar/data/1484778/000148477822000156/kpmg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2023-03-07T16:46:58Z</dcterms:created>
  <dcterms:modified xsi:type="dcterms:W3CDTF">2023-03-07T16:46:58Z</dcterms:modified>
</cp:coreProperties>
</file>