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1" w:after="283"/>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20, 2026</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ThredUp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001-40249</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26-4009181</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tbl>
      <w:tblPr>
        <w:tblW w:w="4662" w:type="dxa"/>
        <w:jc w:val="left"/>
        <w:tblInd w:w="0" w:type="dxa"/>
        <w:tblLayout w:type="fixed"/>
        <w:tblCellMar>
          <w:top w:w="28" w:type="dxa"/>
          <w:left w:w="28" w:type="dxa"/>
          <w:bottom w:w="28" w:type="dxa"/>
          <w:right w:w="28" w:type="dxa"/>
        </w:tblCellMar>
      </w:tblPr>
      <w:tblGrid>
        <w:gridCol w:w="1196"/>
        <w:gridCol w:w="1049"/>
        <w:gridCol w:w="1055"/>
        <w:gridCol w:w="109"/>
        <w:gridCol w:w="109"/>
        <w:gridCol w:w="109"/>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color w:val="000000"/>
                <w:sz w:val="20"/>
              </w:rPr>
              <w:t>969 Broadway</w:t>
            </w:r>
            <w:r>
              <w:rPr>
                <w:rFonts w:ascii="Times New Roman;serif" w:hAnsi="Times New Roman;serif"/>
                <w:b w:val="false"/>
                <w:color w:val="000000"/>
                <w:sz w:val="20"/>
              </w:rPr>
              <w:t xml:space="preserve">, </w:t>
            </w:r>
            <w:r>
              <w:rPr>
                <w:rFonts w:ascii="Times New Roman;serif" w:hAnsi="Times New Roman;serif"/>
                <w:b/>
                <w:color w:val="000000"/>
                <w:sz w:val="20"/>
              </w:rPr>
              <w:t>Suite 200</w:t>
            </w:r>
            <w:r>
              <w:rPr>
                <w:rFonts w:ascii="Times New Roman;serif" w:hAnsi="Times New Roman;serif"/>
                <w:b w:val="false"/>
                <w:color w:val="000000"/>
                <w:sz w:val="20"/>
              </w:rPr>
              <w:br/>
            </w:r>
            <w:r>
              <w:rPr>
                <w:rFonts w:ascii="Times New Roman;serif" w:hAnsi="Times New Roman;serif"/>
                <w:b/>
                <w:color w:val="000000"/>
                <w:sz w:val="20"/>
              </w:rPr>
              <w:t>Oakland</w:t>
            </w:r>
            <w:r>
              <w:rPr>
                <w:rFonts w:ascii="Times New Roman;serif" w:hAnsi="Times New Roman;serif"/>
                <w:b w:val="false"/>
                <w:color w:val="000000"/>
                <w:sz w:val="20"/>
              </w:rPr>
              <w:t xml:space="preserve">, </w:t>
            </w: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94607</w:t>
            </w:r>
          </w:p>
        </w:tc>
      </w:tr>
      <w:tr>
        <w:trPr/>
        <w:tc>
          <w:tcPr>
            <w:tcW w:w="330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(415) 402-5202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36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44"/>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TDUP</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Long-Term Stock Exchange</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40" w:before="0" w:after="0"/>
        <w:jc w:val="left"/>
        <w:rPr>
          <w:color w:val="000000"/>
        </w:rPr>
      </w:pPr>
      <w:r>
        <w:rPr>
          <w:color w:val="000000"/>
        </w:rPr>
        <w:t> </w:t>
      </w:r>
    </w:p>
    <w:p>
      <w:pPr>
        <w:pStyle w:val="TextBody"/>
        <w:bidi w:val="0"/>
        <w:spacing w:lineRule="auto" w:line="264" w:before="0" w:after="0"/>
        <w:jc w:val="both"/>
        <w:rPr/>
      </w:pPr>
      <w:r>
        <w:rPr>
          <w:rFonts w:ascii="Times New Roman;serif" w:hAnsi="Times New Roman;serif"/>
          <w:b w:val="false"/>
          <w:color w:val="000000"/>
          <w:sz w:val="20"/>
          <w:shd w:fill="FFFFFF" w:val="clear"/>
        </w:rPr>
        <w:t>On May 20, 2026, the Company held its 2026 Annual Meeting of Stockholders (the “Annual Meeting”). The Company’s stockholders voted on two proposals at the Annual Meeting, each of which is described in more detail in the Company’s definitive proxy statement filed with the Securities and Exchange Commission on April 7, 2026. Holders of the Company’s Class A common stock were entitled to one vote for each share held as of the close of business on March 27, 2026 (the “Record Date”), and holders of the Company’s Class B common stock were entitled to ten votes for each share held as of the close of business on the Record Date. The Class A common stock and Class B co</w:t>
      </w:r>
      <w:r>
        <w:rPr>
          <w:rFonts w:ascii="Times New Roman;serif" w:hAnsi="Times New Roman;serif"/>
          <w:b w:val="false"/>
          <w:color w:val="000000"/>
          <w:sz w:val="20"/>
        </w:rPr>
        <w:t>mmon stock (the “common stock”) voted as a single class on all matters. Present at the Annual Meeting in person or by proxy were holders of 115,415,334 shares of common stock, together representing a total of 297,073,512 votes, or a majority of the voting power of all issued and outstanding shares of the Company’s common stock as of the Record Date, and co</w:t>
      </w:r>
      <w:r>
        <w:rPr>
          <w:rFonts w:ascii="Times New Roman;serif" w:hAnsi="Times New Roman;serif"/>
          <w:b w:val="false"/>
          <w:color w:val="000000"/>
          <w:sz w:val="20"/>
          <w:shd w:fill="FFFFFF" w:val="clear"/>
        </w:rPr>
        <w:t>nstituting a quorum under the Company’s bylaws. The final results with respect to each such proposal are set forth below.</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Proposal 1 - Election of Directors.</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 stockholders elected each of the persons named below as Class II directors to serve until the 2029 annual meeting of stockholders or until their successors are duly elected and qualified. The results of such vote were:</w:t>
      </w:r>
    </w:p>
    <w:tbl>
      <w:tblPr>
        <w:tblW w:w="5655" w:type="dxa"/>
        <w:jc w:val="left"/>
        <w:tblInd w:w="0" w:type="dxa"/>
        <w:tblLayout w:type="fixed"/>
        <w:tblCellMar>
          <w:top w:w="28" w:type="dxa"/>
          <w:left w:w="28" w:type="dxa"/>
          <w:bottom w:w="28" w:type="dxa"/>
          <w:right w:w="28" w:type="dxa"/>
        </w:tblCellMar>
      </w:tblPr>
      <w:tblGrid>
        <w:gridCol w:w="663"/>
        <w:gridCol w:w="580"/>
        <w:gridCol w:w="587"/>
        <w:gridCol w:w="379"/>
        <w:gridCol w:w="379"/>
        <w:gridCol w:w="383"/>
        <w:gridCol w:w="404"/>
        <w:gridCol w:w="404"/>
        <w:gridCol w:w="406"/>
        <w:gridCol w:w="430"/>
        <w:gridCol w:w="430"/>
        <w:gridCol w:w="610"/>
      </w:tblGrid>
      <w:tr>
        <w:trPr/>
        <w:tc>
          <w:tcPr>
            <w:tcW w:w="6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16"/>
              </w:rPr>
            </w:pPr>
            <w:r>
              <w:rPr>
                <w:rFonts w:ascii="Times New Roman;serif" w:hAnsi="Times New Roman;serif"/>
                <w:b/>
                <w:color w:val="000000"/>
                <w:sz w:val="16"/>
              </w:rPr>
              <w:t>Nominee</w:t>
            </w:r>
          </w:p>
        </w:tc>
        <w:tc>
          <w:tcPr>
            <w:tcW w:w="114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Votes For</w:t>
            </w:r>
          </w:p>
        </w:tc>
        <w:tc>
          <w:tcPr>
            <w:tcW w:w="12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Votes Withheld</w:t>
            </w:r>
          </w:p>
        </w:tc>
        <w:tc>
          <w:tcPr>
            <w:tcW w:w="14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James Reinhart</w:t>
            </w:r>
          </w:p>
        </w:tc>
        <w:tc>
          <w:tcPr>
            <w:tcW w:w="114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260,351,414</w:t>
            </w:r>
          </w:p>
        </w:tc>
        <w:tc>
          <w:tcPr>
            <w:tcW w:w="12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13,168,612</w:t>
            </w:r>
          </w:p>
        </w:tc>
        <w:tc>
          <w:tcPr>
            <w:tcW w:w="14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23,553,486</w:t>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Dan Nova</w:t>
            </w:r>
          </w:p>
        </w:tc>
        <w:tc>
          <w:tcPr>
            <w:tcW w:w="114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259,682,875</w:t>
            </w:r>
          </w:p>
        </w:tc>
        <w:tc>
          <w:tcPr>
            <w:tcW w:w="12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13,837,151</w:t>
            </w:r>
          </w:p>
        </w:tc>
        <w:tc>
          <w:tcPr>
            <w:tcW w:w="14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23,553,486</w:t>
            </w:r>
          </w:p>
        </w:tc>
      </w:tr>
      <w:tr>
        <w:trPr/>
        <w:tc>
          <w:tcPr>
            <w:tcW w:w="18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Kelly Bodnar Battles</w:t>
            </w:r>
          </w:p>
        </w:tc>
        <w:tc>
          <w:tcPr>
            <w:tcW w:w="114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272,981,526</w:t>
            </w:r>
          </w:p>
        </w:tc>
        <w:tc>
          <w:tcPr>
            <w:tcW w:w="121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538,500</w:t>
            </w:r>
          </w:p>
        </w:tc>
        <w:tc>
          <w:tcPr>
            <w:tcW w:w="14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23,553,486</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Proposal 2 - Ratification of Appointment of Independent Registered Public Accounting Firm.</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stockholders ratified the appointment of Deloitte &amp; Touche LLP as the Company’s independent registered public accounting firm for the fiscal year ending December 31, 2026. The results of such vote were:</w:t>
      </w:r>
    </w:p>
    <w:tbl>
      <w:tblPr>
        <w:tblW w:w="4212" w:type="dxa"/>
        <w:jc w:val="left"/>
        <w:tblInd w:w="0" w:type="dxa"/>
        <w:tblLayout w:type="fixed"/>
        <w:tblCellMar>
          <w:top w:w="28" w:type="dxa"/>
          <w:left w:w="28" w:type="dxa"/>
          <w:bottom w:w="28" w:type="dxa"/>
          <w:right w:w="28" w:type="dxa"/>
        </w:tblCellMar>
      </w:tblPr>
      <w:tblGrid>
        <w:gridCol w:w="419"/>
        <w:gridCol w:w="368"/>
        <w:gridCol w:w="369"/>
        <w:gridCol w:w="137"/>
        <w:gridCol w:w="137"/>
        <w:gridCol w:w="137"/>
        <w:gridCol w:w="260"/>
        <w:gridCol w:w="260"/>
        <w:gridCol w:w="261"/>
        <w:gridCol w:w="184"/>
        <w:gridCol w:w="184"/>
        <w:gridCol w:w="186"/>
        <w:gridCol w:w="260"/>
        <w:gridCol w:w="260"/>
        <w:gridCol w:w="261"/>
        <w:gridCol w:w="154"/>
        <w:gridCol w:w="154"/>
        <w:gridCol w:w="221"/>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567" w:type="dxa"/>
            <w:gridSpan w:val="6"/>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Votes For</w:t>
            </w:r>
          </w:p>
        </w:tc>
        <w:tc>
          <w:tcPr>
            <w:tcW w:w="1335" w:type="dxa"/>
            <w:gridSpan w:val="6"/>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Votes Against</w:t>
            </w:r>
          </w:p>
        </w:tc>
        <w:tc>
          <w:tcPr>
            <w:tcW w:w="1310" w:type="dxa"/>
            <w:gridSpan w:val="6"/>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Abstentions</w:t>
            </w:r>
          </w:p>
        </w:tc>
      </w:tr>
      <w:tr>
        <w:trPr/>
        <w:tc>
          <w:tcPr>
            <w:tcW w:w="1156"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296,770,804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142,987</w:t>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159,721</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212" w:type="dxa"/>
        <w:jc w:val="left"/>
        <w:tblInd w:w="0" w:type="dxa"/>
        <w:tblLayout w:type="fixed"/>
        <w:tblCellMar>
          <w:top w:w="28" w:type="dxa"/>
          <w:left w:w="28" w:type="dxa"/>
          <w:bottom w:w="28" w:type="dxa"/>
          <w:right w:w="28" w:type="dxa"/>
        </w:tblCellMar>
      </w:tblPr>
      <w:tblGrid>
        <w:gridCol w:w="629"/>
        <w:gridCol w:w="554"/>
        <w:gridCol w:w="557"/>
        <w:gridCol w:w="154"/>
        <w:gridCol w:w="154"/>
        <w:gridCol w:w="154"/>
        <w:gridCol w:w="313"/>
        <w:gridCol w:w="313"/>
        <w:gridCol w:w="313"/>
        <w:gridCol w:w="313"/>
        <w:gridCol w:w="313"/>
        <w:gridCol w:w="44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THREDUP INC.</w:t>
            </w:r>
          </w:p>
        </w:tc>
      </w:tr>
      <w:tr>
        <w:trPr/>
        <w:tc>
          <w:tcPr>
            <w:tcW w:w="174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2472" w:type="dxa"/>
            <w:gridSpan w:val="9"/>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Date: May 20, 2026</w:t>
            </w:r>
          </w:p>
        </w:tc>
        <w:tc>
          <w:tcPr>
            <w:tcW w:w="46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Sean Sobers</w:t>
            </w:r>
          </w:p>
        </w:tc>
      </w:tr>
      <w:tr>
        <w:trPr/>
        <w:tc>
          <w:tcPr>
            <w:tcW w:w="174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46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20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Sean Sobers</w:t>
            </w:r>
          </w:p>
        </w:tc>
      </w:tr>
      <w:tr>
        <w:trPr/>
        <w:tc>
          <w:tcPr>
            <w:tcW w:w="174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46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201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80060"/>
                <wp:effectExtent l="0" t="0" r="0" b="0"/>
                <wp:wrapNone/>
                <wp:docPr id="3" name="Frame3"/>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3635</Characters>
  <CharactersWithSpaces>4272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