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March 3, 2021.</w:t>
      </w:r>
    </w:p>
    <w:p>
      <w:pPr>
        <w:spacing w:after="0" w:line="18" w:lineRule="exact"/>
        <w:rPr>
          <w:sz w:val="24"/>
          <w:szCs w:val="24"/>
          <w:color w:val="auto"/>
        </w:rPr>
      </w:pPr>
    </w:p>
    <w:p>
      <w:pPr>
        <w:ind w:left="94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1431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714311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50165</wp:posOffset>
            </wp:positionV>
            <wp:extent cx="11931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50165</wp:posOffset>
            </wp:positionV>
            <wp:extent cx="11931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ThredUp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50165</wp:posOffset>
            </wp:positionV>
            <wp:extent cx="11931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060" w:type="dxa"/>
            <w:vAlign w:val="bottom"/>
          </w:tcPr>
          <w:p>
            <w:pPr>
              <w:jc w:val="center"/>
              <w:ind w:left="614"/>
              <w:spacing w:after="0"/>
              <w:rPr>
                <w:sz w:val="20"/>
                <w:szCs w:val="20"/>
                <w:color w:val="auto"/>
              </w:rPr>
            </w:pPr>
            <w:r>
              <w:rPr>
                <w:rFonts w:ascii="Arial" w:cs="Arial" w:eastAsia="Arial" w:hAnsi="Arial"/>
                <w:sz w:val="13"/>
                <w:szCs w:val="13"/>
                <w:b w:val="1"/>
                <w:bCs w:val="1"/>
                <w:color w:val="auto"/>
              </w:rPr>
              <w:t>Delaware</w:t>
            </w:r>
          </w:p>
        </w:tc>
        <w:tc>
          <w:tcPr>
            <w:tcW w:w="3500" w:type="dxa"/>
            <w:vAlign w:val="bottom"/>
            <w:gridSpan w:val="2"/>
          </w:tcPr>
          <w:p>
            <w:pPr>
              <w:jc w:val="center"/>
              <w:ind w:left="1534"/>
              <w:spacing w:after="0"/>
              <w:rPr>
                <w:sz w:val="20"/>
                <w:szCs w:val="20"/>
                <w:color w:val="auto"/>
              </w:rPr>
            </w:pPr>
            <w:r>
              <w:rPr>
                <w:rFonts w:ascii="Arial" w:cs="Arial" w:eastAsia="Arial" w:hAnsi="Arial"/>
                <w:sz w:val="13"/>
                <w:szCs w:val="13"/>
                <w:b w:val="1"/>
                <w:bCs w:val="1"/>
                <w:color w:val="auto"/>
              </w:rPr>
              <w:t>5961</w:t>
            </w:r>
          </w:p>
        </w:tc>
        <w:tc>
          <w:tcPr>
            <w:tcW w:w="1500" w:type="dxa"/>
            <w:vAlign w:val="bottom"/>
          </w:tcPr>
          <w:p>
            <w:pPr>
              <w:spacing w:after="0"/>
              <w:rPr>
                <w:sz w:val="15"/>
                <w:szCs w:val="15"/>
                <w:color w:val="auto"/>
              </w:rPr>
            </w:pPr>
          </w:p>
        </w:tc>
        <w:tc>
          <w:tcPr>
            <w:tcW w:w="2540" w:type="dxa"/>
            <w:vAlign w:val="bottom"/>
          </w:tcPr>
          <w:p>
            <w:pPr>
              <w:jc w:val="right"/>
              <w:ind w:right="814"/>
              <w:spacing w:after="0"/>
              <w:rPr>
                <w:sz w:val="20"/>
                <w:szCs w:val="20"/>
                <w:color w:val="auto"/>
              </w:rPr>
            </w:pPr>
            <w:r>
              <w:rPr>
                <w:rFonts w:ascii="Arial" w:cs="Arial" w:eastAsia="Arial" w:hAnsi="Arial"/>
                <w:sz w:val="13"/>
                <w:szCs w:val="13"/>
                <w:b w:val="1"/>
                <w:bCs w:val="1"/>
                <w:color w:val="auto"/>
              </w:rPr>
              <w:t>26-4009181</w:t>
            </w:r>
          </w:p>
        </w:tc>
      </w:tr>
      <w:tr>
        <w:trPr>
          <w:trHeight w:val="136"/>
        </w:trPr>
        <w:tc>
          <w:tcPr>
            <w:tcW w:w="3060" w:type="dxa"/>
            <w:vAlign w:val="bottom"/>
          </w:tcPr>
          <w:p>
            <w:pPr>
              <w:jc w:val="center"/>
              <w:ind w:left="594"/>
              <w:spacing w:after="0" w:line="136" w:lineRule="exact"/>
              <w:rPr>
                <w:sz w:val="20"/>
                <w:szCs w:val="20"/>
                <w:color w:val="auto"/>
              </w:rPr>
            </w:pPr>
            <w:r>
              <w:rPr>
                <w:rFonts w:ascii="Arial" w:cs="Arial" w:eastAsia="Arial" w:hAnsi="Arial"/>
                <w:sz w:val="13"/>
                <w:szCs w:val="13"/>
                <w:color w:val="auto"/>
              </w:rPr>
              <w:t>(State or Other Jurisdiction of</w:t>
            </w:r>
          </w:p>
        </w:tc>
        <w:tc>
          <w:tcPr>
            <w:tcW w:w="1640" w:type="dxa"/>
            <w:vAlign w:val="bottom"/>
          </w:tcPr>
          <w:p>
            <w:pPr>
              <w:spacing w:after="0"/>
              <w:rPr>
                <w:sz w:val="11"/>
                <w:szCs w:val="11"/>
                <w:color w:val="auto"/>
              </w:rPr>
            </w:pPr>
          </w:p>
        </w:tc>
        <w:tc>
          <w:tcPr>
            <w:tcW w:w="3360" w:type="dxa"/>
            <w:vAlign w:val="bottom"/>
            <w:gridSpan w:val="2"/>
          </w:tcPr>
          <w:p>
            <w:pPr>
              <w:jc w:val="center"/>
              <w:ind w:right="1540"/>
              <w:spacing w:after="0" w:line="136" w:lineRule="exact"/>
              <w:rPr>
                <w:sz w:val="20"/>
                <w:szCs w:val="20"/>
                <w:color w:val="auto"/>
              </w:rPr>
            </w:pPr>
            <w:r>
              <w:rPr>
                <w:rFonts w:ascii="Arial" w:cs="Arial" w:eastAsia="Arial" w:hAnsi="Arial"/>
                <w:sz w:val="13"/>
                <w:szCs w:val="13"/>
                <w:color w:val="auto"/>
              </w:rPr>
              <w:t>(Primary Standard Industrial</w:t>
            </w:r>
          </w:p>
        </w:tc>
        <w:tc>
          <w:tcPr>
            <w:tcW w:w="2540" w:type="dxa"/>
            <w:vAlign w:val="bottom"/>
          </w:tcPr>
          <w:p>
            <w:pPr>
              <w:jc w:val="center"/>
              <w:ind w:left="14"/>
              <w:spacing w:after="0" w:line="136" w:lineRule="exact"/>
              <w:rPr>
                <w:sz w:val="20"/>
                <w:szCs w:val="20"/>
                <w:color w:val="auto"/>
              </w:rPr>
            </w:pPr>
            <w:r>
              <w:rPr>
                <w:rFonts w:ascii="Arial" w:cs="Arial" w:eastAsia="Arial" w:hAnsi="Arial"/>
                <w:sz w:val="13"/>
                <w:szCs w:val="13"/>
                <w:color w:val="auto"/>
              </w:rPr>
              <w:t>(I.R.S. Employer</w:t>
            </w:r>
          </w:p>
        </w:tc>
      </w:tr>
      <w:tr>
        <w:trPr>
          <w:trHeight w:val="178"/>
        </w:trPr>
        <w:tc>
          <w:tcPr>
            <w:tcW w:w="3060" w:type="dxa"/>
            <w:vAlign w:val="bottom"/>
          </w:tcPr>
          <w:p>
            <w:pPr>
              <w:jc w:val="center"/>
              <w:ind w:left="594"/>
              <w:spacing w:after="0"/>
              <w:rPr>
                <w:sz w:val="20"/>
                <w:szCs w:val="20"/>
                <w:color w:val="auto"/>
              </w:rPr>
            </w:pPr>
            <w:r>
              <w:rPr>
                <w:rFonts w:ascii="Arial" w:cs="Arial" w:eastAsia="Arial" w:hAnsi="Arial"/>
                <w:sz w:val="13"/>
                <w:szCs w:val="13"/>
                <w:color w:val="auto"/>
              </w:rPr>
              <w:t>Incorporation or Organization)</w:t>
            </w:r>
          </w:p>
        </w:tc>
        <w:tc>
          <w:tcPr>
            <w:tcW w:w="1640" w:type="dxa"/>
            <w:vAlign w:val="bottom"/>
          </w:tcPr>
          <w:p>
            <w:pPr>
              <w:spacing w:after="0"/>
              <w:rPr>
                <w:sz w:val="15"/>
                <w:szCs w:val="15"/>
                <w:color w:val="auto"/>
              </w:rPr>
            </w:pPr>
          </w:p>
        </w:tc>
        <w:tc>
          <w:tcPr>
            <w:tcW w:w="3360" w:type="dxa"/>
            <w:vAlign w:val="bottom"/>
            <w:gridSpan w:val="2"/>
          </w:tcPr>
          <w:p>
            <w:pPr>
              <w:jc w:val="center"/>
              <w:ind w:right="1540"/>
              <w:spacing w:after="0"/>
              <w:rPr>
                <w:sz w:val="20"/>
                <w:szCs w:val="20"/>
                <w:color w:val="auto"/>
              </w:rPr>
            </w:pPr>
            <w:r>
              <w:rPr>
                <w:rFonts w:ascii="Arial" w:cs="Arial" w:eastAsia="Arial" w:hAnsi="Arial"/>
                <w:sz w:val="13"/>
                <w:szCs w:val="13"/>
                <w:color w:val="auto"/>
              </w:rPr>
              <w:t>Classification Code Number)</w:t>
            </w:r>
          </w:p>
        </w:tc>
        <w:tc>
          <w:tcPr>
            <w:tcW w:w="2540" w:type="dxa"/>
            <w:vAlign w:val="bottom"/>
          </w:tcPr>
          <w:p>
            <w:pPr>
              <w:jc w:val="center"/>
              <w:ind w:left="14"/>
              <w:spacing w:after="0"/>
              <w:rPr>
                <w:sz w:val="20"/>
                <w:szCs w:val="20"/>
                <w:color w:val="auto"/>
              </w:rPr>
            </w:pPr>
            <w:r>
              <w:rPr>
                <w:rFonts w:ascii="Arial" w:cs="Arial" w:eastAsia="Arial" w:hAnsi="Arial"/>
                <w:sz w:val="13"/>
                <w:szCs w:val="13"/>
                <w:color w:val="auto"/>
              </w:rPr>
              <w:t>Identification Number)</w:t>
            </w:r>
          </w:p>
        </w:tc>
      </w:tr>
      <w:tr>
        <w:trPr>
          <w:trHeight w:val="219"/>
        </w:trPr>
        <w:tc>
          <w:tcPr>
            <w:tcW w:w="3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360" w:type="dxa"/>
            <w:vAlign w:val="bottom"/>
            <w:gridSpan w:val="2"/>
          </w:tcPr>
          <w:p>
            <w:pPr>
              <w:jc w:val="center"/>
              <w:ind w:right="1500"/>
              <w:spacing w:after="0"/>
              <w:rPr>
                <w:sz w:val="20"/>
                <w:szCs w:val="20"/>
                <w:color w:val="auto"/>
              </w:rPr>
            </w:pPr>
            <w:r>
              <w:rPr>
                <w:rFonts w:ascii="Arial" w:cs="Arial" w:eastAsia="Arial" w:hAnsi="Arial"/>
                <w:sz w:val="13"/>
                <w:szCs w:val="13"/>
                <w:b w:val="1"/>
                <w:bCs w:val="1"/>
                <w:color w:val="auto"/>
              </w:rPr>
              <w:t>969 Broadway</w:t>
            </w:r>
          </w:p>
        </w:tc>
        <w:tc>
          <w:tcPr>
            <w:tcW w:w="2540" w:type="dxa"/>
            <w:vAlign w:val="bottom"/>
          </w:tcPr>
          <w:p>
            <w:pPr>
              <w:spacing w:after="0"/>
              <w:rPr>
                <w:sz w:val="19"/>
                <w:szCs w:val="19"/>
                <w:color w:val="auto"/>
              </w:rPr>
            </w:pPr>
          </w:p>
        </w:tc>
      </w:tr>
      <w:tr>
        <w:trPr>
          <w:trHeight w:val="149"/>
        </w:trPr>
        <w:tc>
          <w:tcPr>
            <w:tcW w:w="3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60" w:type="dxa"/>
            <w:vAlign w:val="bottom"/>
            <w:gridSpan w:val="2"/>
          </w:tcPr>
          <w:p>
            <w:pPr>
              <w:jc w:val="center"/>
              <w:ind w:right="1500"/>
              <w:spacing w:after="0"/>
              <w:rPr>
                <w:sz w:val="20"/>
                <w:szCs w:val="20"/>
                <w:color w:val="auto"/>
              </w:rPr>
            </w:pPr>
            <w:r>
              <w:rPr>
                <w:rFonts w:ascii="Arial" w:cs="Arial" w:eastAsia="Arial" w:hAnsi="Arial"/>
                <w:sz w:val="13"/>
                <w:szCs w:val="13"/>
                <w:b w:val="1"/>
                <w:bCs w:val="1"/>
                <w:color w:val="auto"/>
              </w:rPr>
              <w:t>Suite 200</w:t>
            </w:r>
          </w:p>
        </w:tc>
        <w:tc>
          <w:tcPr>
            <w:tcW w:w="2540" w:type="dxa"/>
            <w:vAlign w:val="bottom"/>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60" w:type="dxa"/>
            <w:vAlign w:val="bottom"/>
            <w:gridSpan w:val="2"/>
          </w:tcPr>
          <w:p>
            <w:pPr>
              <w:jc w:val="center"/>
              <w:ind w:right="1500"/>
              <w:spacing w:after="0"/>
              <w:rPr>
                <w:sz w:val="20"/>
                <w:szCs w:val="20"/>
                <w:color w:val="auto"/>
              </w:rPr>
            </w:pPr>
            <w:r>
              <w:rPr>
                <w:rFonts w:ascii="Arial" w:cs="Arial" w:eastAsia="Arial" w:hAnsi="Arial"/>
                <w:sz w:val="13"/>
                <w:szCs w:val="13"/>
                <w:b w:val="1"/>
                <w:bCs w:val="1"/>
                <w:color w:val="auto"/>
              </w:rPr>
              <w:t>Oakland, California 94607</w:t>
            </w:r>
          </w:p>
        </w:tc>
        <w:tc>
          <w:tcPr>
            <w:tcW w:w="2540" w:type="dxa"/>
            <w:vAlign w:val="bottom"/>
          </w:tcPr>
          <w:p>
            <w:pPr>
              <w:spacing w:after="0"/>
              <w:rPr>
                <w:sz w:val="12"/>
                <w:szCs w:val="12"/>
                <w:color w:val="auto"/>
              </w:rPr>
            </w:pPr>
          </w:p>
        </w:tc>
      </w:tr>
      <w:tr>
        <w:trPr>
          <w:trHeight w:val="151"/>
        </w:trPr>
        <w:tc>
          <w:tcPr>
            <w:tcW w:w="3060" w:type="dxa"/>
            <w:vAlign w:val="bottom"/>
          </w:tcPr>
          <w:p>
            <w:pPr>
              <w:spacing w:after="0"/>
              <w:rPr>
                <w:sz w:val="13"/>
                <w:szCs w:val="13"/>
                <w:color w:val="auto"/>
              </w:rPr>
            </w:pPr>
          </w:p>
        </w:tc>
        <w:tc>
          <w:tcPr>
            <w:tcW w:w="3500" w:type="dxa"/>
            <w:vAlign w:val="bottom"/>
            <w:gridSpan w:val="2"/>
          </w:tcPr>
          <w:p>
            <w:pPr>
              <w:jc w:val="center"/>
              <w:ind w:left="1574"/>
              <w:spacing w:after="0"/>
              <w:rPr>
                <w:sz w:val="20"/>
                <w:szCs w:val="20"/>
                <w:color w:val="auto"/>
              </w:rPr>
            </w:pPr>
            <w:r>
              <w:rPr>
                <w:rFonts w:ascii="Arial" w:cs="Arial" w:eastAsia="Arial" w:hAnsi="Arial"/>
                <w:sz w:val="13"/>
                <w:szCs w:val="13"/>
                <w:b w:val="1"/>
                <w:bCs w:val="1"/>
                <w:color w:val="auto"/>
              </w:rPr>
              <w:t>(415) 402-5202</w:t>
            </w:r>
          </w:p>
        </w:tc>
        <w:tc>
          <w:tcPr>
            <w:tcW w:w="15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49"/>
        </w:trPr>
        <w:tc>
          <w:tcPr>
            <w:tcW w:w="3060" w:type="dxa"/>
            <w:vAlign w:val="bottom"/>
          </w:tcPr>
          <w:p>
            <w:pPr>
              <w:spacing w:after="0"/>
              <w:rPr>
                <w:sz w:val="12"/>
                <w:szCs w:val="12"/>
                <w:color w:val="auto"/>
              </w:rPr>
            </w:pPr>
          </w:p>
        </w:tc>
        <w:tc>
          <w:tcPr>
            <w:tcW w:w="5000" w:type="dxa"/>
            <w:vAlign w:val="bottom"/>
            <w:gridSpan w:val="3"/>
          </w:tcPr>
          <w:p>
            <w:pPr>
              <w:jc w:val="center"/>
              <w:ind w:left="54"/>
              <w:spacing w:after="0"/>
              <w:rPr>
                <w:sz w:val="20"/>
                <w:szCs w:val="20"/>
                <w:color w:val="auto"/>
              </w:rPr>
            </w:pPr>
            <w:r>
              <w:rPr>
                <w:rFonts w:ascii="Arial" w:cs="Arial" w:eastAsia="Arial" w:hAnsi="Arial"/>
                <w:sz w:val="13"/>
                <w:szCs w:val="13"/>
                <w:color w:val="auto"/>
              </w:rPr>
              <w:t>(Address, Including Zip Code, and Telephone Number, Including</w:t>
            </w:r>
          </w:p>
        </w:tc>
        <w:tc>
          <w:tcPr>
            <w:tcW w:w="2540" w:type="dxa"/>
            <w:vAlign w:val="bottom"/>
          </w:tcPr>
          <w:p>
            <w:pPr>
              <w:spacing w:after="0"/>
              <w:rPr>
                <w:sz w:val="12"/>
                <w:szCs w:val="12"/>
                <w:color w:val="auto"/>
              </w:rPr>
            </w:pPr>
          </w:p>
        </w:tc>
      </w:tr>
      <w:tr>
        <w:trPr>
          <w:trHeight w:val="178"/>
        </w:trPr>
        <w:tc>
          <w:tcPr>
            <w:tcW w:w="3060" w:type="dxa"/>
            <w:vAlign w:val="bottom"/>
          </w:tcPr>
          <w:p>
            <w:pPr>
              <w:spacing w:after="0"/>
              <w:rPr>
                <w:sz w:val="15"/>
                <w:szCs w:val="15"/>
                <w:color w:val="auto"/>
              </w:rPr>
            </w:pPr>
          </w:p>
        </w:tc>
        <w:tc>
          <w:tcPr>
            <w:tcW w:w="5000" w:type="dxa"/>
            <w:vAlign w:val="bottom"/>
            <w:gridSpan w:val="3"/>
          </w:tcPr>
          <w:p>
            <w:pPr>
              <w:jc w:val="center"/>
              <w:ind w:left="54"/>
              <w:spacing w:after="0"/>
              <w:rPr>
                <w:sz w:val="20"/>
                <w:szCs w:val="20"/>
                <w:color w:val="auto"/>
              </w:rPr>
            </w:pPr>
            <w:r>
              <w:rPr>
                <w:rFonts w:ascii="Arial" w:cs="Arial" w:eastAsia="Arial" w:hAnsi="Arial"/>
                <w:sz w:val="13"/>
                <w:szCs w:val="13"/>
                <w:color w:val="auto"/>
              </w:rPr>
              <w:t>Area Code, of Registrant’s Principal Executive Offices)</w:t>
            </w:r>
          </w:p>
        </w:tc>
        <w:tc>
          <w:tcPr>
            <w:tcW w:w="2540" w:type="dxa"/>
            <w:vAlign w:val="bottom"/>
          </w:tcPr>
          <w:p>
            <w:pPr>
              <w:spacing w:after="0"/>
              <w:rPr>
                <w:sz w:val="15"/>
                <w:szCs w:val="15"/>
                <w:color w:val="auto"/>
              </w:rPr>
            </w:pPr>
          </w:p>
        </w:tc>
      </w:tr>
      <w:tr>
        <w:trPr>
          <w:trHeight w:val="20"/>
        </w:trPr>
        <w:tc>
          <w:tcPr>
            <w:tcW w:w="3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360" w:type="dxa"/>
            <w:vAlign w:val="bottom"/>
            <w:gridSpan w:val="2"/>
          </w:tcPr>
          <w:p>
            <w:pPr>
              <w:jc w:val="center"/>
              <w:ind w:right="1520"/>
              <w:spacing w:after="0"/>
              <w:rPr>
                <w:sz w:val="20"/>
                <w:szCs w:val="20"/>
                <w:color w:val="auto"/>
              </w:rPr>
            </w:pPr>
            <w:r>
              <w:rPr>
                <w:rFonts w:ascii="Arial" w:cs="Arial" w:eastAsia="Arial" w:hAnsi="Arial"/>
                <w:sz w:val="13"/>
                <w:szCs w:val="13"/>
                <w:b w:val="1"/>
                <w:bCs w:val="1"/>
                <w:color w:val="auto"/>
              </w:rPr>
              <w:t>James G. Reinhart</w:t>
            </w:r>
          </w:p>
        </w:tc>
        <w:tc>
          <w:tcPr>
            <w:tcW w:w="2540" w:type="dxa"/>
            <w:vAlign w:val="bottom"/>
          </w:tcPr>
          <w:p>
            <w:pPr>
              <w:spacing w:after="0"/>
              <w:rPr>
                <w:sz w:val="18"/>
                <w:szCs w:val="18"/>
                <w:color w:val="auto"/>
              </w:rPr>
            </w:pPr>
          </w:p>
        </w:tc>
      </w:tr>
      <w:tr>
        <w:trPr>
          <w:trHeight w:val="149"/>
        </w:trPr>
        <w:tc>
          <w:tcPr>
            <w:tcW w:w="3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60" w:type="dxa"/>
            <w:vAlign w:val="bottom"/>
            <w:gridSpan w:val="2"/>
          </w:tcPr>
          <w:p>
            <w:pPr>
              <w:jc w:val="center"/>
              <w:ind w:right="1500"/>
              <w:spacing w:after="0"/>
              <w:rPr>
                <w:sz w:val="20"/>
                <w:szCs w:val="20"/>
                <w:color w:val="auto"/>
              </w:rPr>
            </w:pPr>
            <w:r>
              <w:rPr>
                <w:rFonts w:ascii="Arial" w:cs="Arial" w:eastAsia="Arial" w:hAnsi="Arial"/>
                <w:sz w:val="13"/>
                <w:szCs w:val="13"/>
                <w:b w:val="1"/>
                <w:bCs w:val="1"/>
                <w:color w:val="auto"/>
              </w:rPr>
              <w:t>Chief Executive Officer</w:t>
            </w:r>
          </w:p>
        </w:tc>
        <w:tc>
          <w:tcPr>
            <w:tcW w:w="2540" w:type="dxa"/>
            <w:vAlign w:val="bottom"/>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60" w:type="dxa"/>
            <w:vAlign w:val="bottom"/>
            <w:gridSpan w:val="2"/>
          </w:tcPr>
          <w:p>
            <w:pPr>
              <w:jc w:val="center"/>
              <w:ind w:right="1520"/>
              <w:spacing w:after="0"/>
              <w:rPr>
                <w:sz w:val="20"/>
                <w:szCs w:val="20"/>
                <w:color w:val="auto"/>
              </w:rPr>
            </w:pPr>
            <w:r>
              <w:rPr>
                <w:rFonts w:ascii="Arial" w:cs="Arial" w:eastAsia="Arial" w:hAnsi="Arial"/>
                <w:sz w:val="13"/>
                <w:szCs w:val="13"/>
                <w:b w:val="1"/>
                <w:bCs w:val="1"/>
                <w:color w:val="auto"/>
              </w:rPr>
              <w:t>ThredUp Inc.</w:t>
            </w:r>
          </w:p>
        </w:tc>
        <w:tc>
          <w:tcPr>
            <w:tcW w:w="2540" w:type="dxa"/>
            <w:vAlign w:val="bottom"/>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60" w:type="dxa"/>
            <w:vAlign w:val="bottom"/>
            <w:gridSpan w:val="2"/>
          </w:tcPr>
          <w:p>
            <w:pPr>
              <w:jc w:val="center"/>
              <w:ind w:right="1500"/>
              <w:spacing w:after="0"/>
              <w:rPr>
                <w:sz w:val="20"/>
                <w:szCs w:val="20"/>
                <w:color w:val="auto"/>
              </w:rPr>
            </w:pPr>
            <w:r>
              <w:rPr>
                <w:rFonts w:ascii="Arial" w:cs="Arial" w:eastAsia="Arial" w:hAnsi="Arial"/>
                <w:sz w:val="13"/>
                <w:szCs w:val="13"/>
                <w:b w:val="1"/>
                <w:bCs w:val="1"/>
                <w:color w:val="auto"/>
              </w:rPr>
              <w:t>969 Broadway, Suite 200</w:t>
            </w:r>
          </w:p>
        </w:tc>
        <w:tc>
          <w:tcPr>
            <w:tcW w:w="2540" w:type="dxa"/>
            <w:vAlign w:val="bottom"/>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60" w:type="dxa"/>
            <w:vAlign w:val="bottom"/>
            <w:gridSpan w:val="2"/>
          </w:tcPr>
          <w:p>
            <w:pPr>
              <w:jc w:val="center"/>
              <w:ind w:right="1500"/>
              <w:spacing w:after="0"/>
              <w:rPr>
                <w:sz w:val="20"/>
                <w:szCs w:val="20"/>
                <w:color w:val="auto"/>
              </w:rPr>
            </w:pPr>
            <w:r>
              <w:rPr>
                <w:rFonts w:ascii="Arial" w:cs="Arial" w:eastAsia="Arial" w:hAnsi="Arial"/>
                <w:sz w:val="13"/>
                <w:szCs w:val="13"/>
                <w:b w:val="1"/>
                <w:bCs w:val="1"/>
                <w:color w:val="auto"/>
              </w:rPr>
              <w:t>Oakland, California 94607</w:t>
            </w:r>
          </w:p>
        </w:tc>
        <w:tc>
          <w:tcPr>
            <w:tcW w:w="2540" w:type="dxa"/>
            <w:vAlign w:val="bottom"/>
          </w:tcPr>
          <w:p>
            <w:pPr>
              <w:spacing w:after="0"/>
              <w:rPr>
                <w:sz w:val="12"/>
                <w:szCs w:val="12"/>
                <w:color w:val="auto"/>
              </w:rPr>
            </w:pPr>
          </w:p>
        </w:tc>
      </w:tr>
      <w:tr>
        <w:trPr>
          <w:trHeight w:val="151"/>
        </w:trPr>
        <w:tc>
          <w:tcPr>
            <w:tcW w:w="3060" w:type="dxa"/>
            <w:vAlign w:val="bottom"/>
          </w:tcPr>
          <w:p>
            <w:pPr>
              <w:spacing w:after="0"/>
              <w:rPr>
                <w:sz w:val="13"/>
                <w:szCs w:val="13"/>
                <w:color w:val="auto"/>
              </w:rPr>
            </w:pPr>
          </w:p>
        </w:tc>
        <w:tc>
          <w:tcPr>
            <w:tcW w:w="3500" w:type="dxa"/>
            <w:vAlign w:val="bottom"/>
            <w:gridSpan w:val="2"/>
          </w:tcPr>
          <w:p>
            <w:pPr>
              <w:jc w:val="center"/>
              <w:ind w:left="1574"/>
              <w:spacing w:after="0"/>
              <w:rPr>
                <w:sz w:val="20"/>
                <w:szCs w:val="20"/>
                <w:color w:val="auto"/>
              </w:rPr>
            </w:pPr>
            <w:r>
              <w:rPr>
                <w:rFonts w:ascii="Arial" w:cs="Arial" w:eastAsia="Arial" w:hAnsi="Arial"/>
                <w:sz w:val="13"/>
                <w:szCs w:val="13"/>
                <w:b w:val="1"/>
                <w:bCs w:val="1"/>
                <w:color w:val="auto"/>
              </w:rPr>
              <w:t>(415) 402-5202</w:t>
            </w:r>
          </w:p>
        </w:tc>
        <w:tc>
          <w:tcPr>
            <w:tcW w:w="15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49"/>
        </w:trPr>
        <w:tc>
          <w:tcPr>
            <w:tcW w:w="3060" w:type="dxa"/>
            <w:vAlign w:val="bottom"/>
          </w:tcPr>
          <w:p>
            <w:pPr>
              <w:spacing w:after="0"/>
              <w:rPr>
                <w:sz w:val="12"/>
                <w:szCs w:val="12"/>
                <w:color w:val="auto"/>
              </w:rPr>
            </w:pPr>
          </w:p>
        </w:tc>
        <w:tc>
          <w:tcPr>
            <w:tcW w:w="5000" w:type="dxa"/>
            <w:vAlign w:val="bottom"/>
            <w:gridSpan w:val="3"/>
          </w:tcPr>
          <w:p>
            <w:pPr>
              <w:jc w:val="center"/>
              <w:ind w:left="74"/>
              <w:spacing w:after="0"/>
              <w:rPr>
                <w:sz w:val="20"/>
                <w:szCs w:val="20"/>
                <w:color w:val="auto"/>
              </w:rPr>
            </w:pPr>
            <w:r>
              <w:rPr>
                <w:rFonts w:ascii="Arial" w:cs="Arial" w:eastAsia="Arial" w:hAnsi="Arial"/>
                <w:sz w:val="13"/>
                <w:szCs w:val="13"/>
                <w:color w:val="auto"/>
              </w:rPr>
              <w:t>(Name, address, including zip code, and telephone number, including</w:t>
            </w:r>
          </w:p>
        </w:tc>
        <w:tc>
          <w:tcPr>
            <w:tcW w:w="2540" w:type="dxa"/>
            <w:vAlign w:val="bottom"/>
          </w:tcPr>
          <w:p>
            <w:pPr>
              <w:spacing w:after="0"/>
              <w:rPr>
                <w:sz w:val="12"/>
                <w:szCs w:val="12"/>
                <w:color w:val="auto"/>
              </w:rPr>
            </w:pPr>
          </w:p>
        </w:tc>
      </w:tr>
      <w:tr>
        <w:trPr>
          <w:trHeight w:val="178"/>
        </w:trPr>
        <w:tc>
          <w:tcPr>
            <w:tcW w:w="3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360" w:type="dxa"/>
            <w:vAlign w:val="bottom"/>
            <w:gridSpan w:val="2"/>
          </w:tcPr>
          <w:p>
            <w:pPr>
              <w:jc w:val="center"/>
              <w:ind w:right="1520"/>
              <w:spacing w:after="0"/>
              <w:rPr>
                <w:sz w:val="20"/>
                <w:szCs w:val="20"/>
                <w:color w:val="auto"/>
              </w:rPr>
            </w:pPr>
            <w:r>
              <w:rPr>
                <w:rFonts w:ascii="Arial" w:cs="Arial" w:eastAsia="Arial" w:hAnsi="Arial"/>
                <w:sz w:val="13"/>
                <w:szCs w:val="13"/>
                <w:color w:val="auto"/>
              </w:rPr>
              <w:t>area code, of agent for service)</w:t>
            </w:r>
          </w:p>
        </w:tc>
        <w:tc>
          <w:tcPr>
            <w:tcW w:w="2540" w:type="dxa"/>
            <w:vAlign w:val="bottom"/>
          </w:tcPr>
          <w:p>
            <w:pPr>
              <w:spacing w:after="0"/>
              <w:rPr>
                <w:sz w:val="15"/>
                <w:szCs w:val="15"/>
                <w:color w:val="auto"/>
              </w:rPr>
            </w:pPr>
          </w:p>
        </w:tc>
      </w:tr>
      <w:tr>
        <w:trPr>
          <w:trHeight w:val="33"/>
        </w:trPr>
        <w:tc>
          <w:tcPr>
            <w:tcW w:w="3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77"/>
        </w:trPr>
        <w:tc>
          <w:tcPr>
            <w:tcW w:w="3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60" w:type="dxa"/>
            <w:vAlign w:val="bottom"/>
            <w:gridSpan w:val="2"/>
          </w:tcPr>
          <w:p>
            <w:pPr>
              <w:jc w:val="center"/>
              <w:ind w:right="1520"/>
              <w:spacing w:after="0"/>
              <w:rPr>
                <w:sz w:val="20"/>
                <w:szCs w:val="20"/>
                <w:color w:val="auto"/>
              </w:rPr>
            </w:pPr>
            <w:r>
              <w:rPr>
                <w:rFonts w:ascii="Arial" w:cs="Arial" w:eastAsia="Arial" w:hAnsi="Arial"/>
                <w:sz w:val="13"/>
                <w:szCs w:val="13"/>
                <w:b w:val="1"/>
                <w:bCs w:val="1"/>
                <w:color w:val="auto"/>
              </w:rPr>
              <w:t>Copies to:</w:t>
            </w:r>
          </w:p>
        </w:tc>
        <w:tc>
          <w:tcPr>
            <w:tcW w:w="2540" w:type="dxa"/>
            <w:vAlign w:val="bottom"/>
          </w:tcPr>
          <w:p>
            <w:pPr>
              <w:spacing w:after="0"/>
              <w:rPr>
                <w:sz w:val="24"/>
                <w:szCs w:val="24"/>
                <w:color w:val="auto"/>
              </w:rPr>
            </w:pPr>
          </w:p>
        </w:tc>
      </w:tr>
      <w:tr>
        <w:trPr>
          <w:trHeight w:val="138"/>
        </w:trPr>
        <w:tc>
          <w:tcPr>
            <w:tcW w:w="3060" w:type="dxa"/>
            <w:vAlign w:val="bottom"/>
          </w:tcPr>
          <w:p>
            <w:pPr>
              <w:jc w:val="center"/>
              <w:ind w:left="614"/>
              <w:spacing w:after="0" w:line="138" w:lineRule="exact"/>
              <w:rPr>
                <w:sz w:val="20"/>
                <w:szCs w:val="20"/>
                <w:color w:val="auto"/>
              </w:rPr>
            </w:pPr>
            <w:r>
              <w:rPr>
                <w:rFonts w:ascii="Arial" w:cs="Arial" w:eastAsia="Arial" w:hAnsi="Arial"/>
                <w:sz w:val="13"/>
                <w:szCs w:val="13"/>
                <w:b w:val="1"/>
                <w:bCs w:val="1"/>
                <w:color w:val="auto"/>
              </w:rPr>
              <w:t>Caine Moss</w:t>
            </w:r>
          </w:p>
        </w:tc>
        <w:tc>
          <w:tcPr>
            <w:tcW w:w="1640" w:type="dxa"/>
            <w:vAlign w:val="bottom"/>
          </w:tcPr>
          <w:p>
            <w:pPr>
              <w:spacing w:after="0"/>
              <w:rPr>
                <w:sz w:val="12"/>
                <w:szCs w:val="12"/>
                <w:color w:val="auto"/>
              </w:rPr>
            </w:pPr>
          </w:p>
        </w:tc>
        <w:tc>
          <w:tcPr>
            <w:tcW w:w="3360" w:type="dxa"/>
            <w:vAlign w:val="bottom"/>
            <w:gridSpan w:val="2"/>
          </w:tcPr>
          <w:p>
            <w:pPr>
              <w:jc w:val="center"/>
              <w:ind w:right="1540"/>
              <w:spacing w:after="0" w:line="138" w:lineRule="exact"/>
              <w:rPr>
                <w:sz w:val="20"/>
                <w:szCs w:val="20"/>
                <w:color w:val="auto"/>
              </w:rPr>
            </w:pPr>
            <w:r>
              <w:rPr>
                <w:rFonts w:ascii="Arial" w:cs="Arial" w:eastAsia="Arial" w:hAnsi="Arial"/>
                <w:sz w:val="13"/>
                <w:szCs w:val="13"/>
                <w:b w:val="1"/>
                <w:bCs w:val="1"/>
                <w:color w:val="auto"/>
              </w:rPr>
              <w:t>Alon Rotem</w:t>
            </w:r>
          </w:p>
        </w:tc>
        <w:tc>
          <w:tcPr>
            <w:tcW w:w="2540" w:type="dxa"/>
            <w:vAlign w:val="bottom"/>
          </w:tcPr>
          <w:p>
            <w:pPr>
              <w:jc w:val="center"/>
              <w:ind w:left="14"/>
              <w:spacing w:after="0" w:line="138" w:lineRule="exact"/>
              <w:rPr>
                <w:sz w:val="20"/>
                <w:szCs w:val="20"/>
                <w:color w:val="auto"/>
              </w:rPr>
            </w:pPr>
            <w:r>
              <w:rPr>
                <w:rFonts w:ascii="Arial" w:cs="Arial" w:eastAsia="Arial" w:hAnsi="Arial"/>
                <w:sz w:val="13"/>
                <w:szCs w:val="13"/>
                <w:b w:val="1"/>
                <w:bCs w:val="1"/>
                <w:color w:val="auto"/>
              </w:rPr>
              <w:t>Rezwan D. Pavri</w:t>
            </w:r>
          </w:p>
        </w:tc>
      </w:tr>
      <w:tr>
        <w:trPr>
          <w:trHeight w:val="124"/>
        </w:trPr>
        <w:tc>
          <w:tcPr>
            <w:tcW w:w="3060" w:type="dxa"/>
            <w:vAlign w:val="bottom"/>
          </w:tcPr>
          <w:p>
            <w:pPr>
              <w:jc w:val="center"/>
              <w:ind w:left="614"/>
              <w:spacing w:after="0" w:line="124" w:lineRule="exact"/>
              <w:rPr>
                <w:sz w:val="20"/>
                <w:szCs w:val="20"/>
                <w:color w:val="auto"/>
              </w:rPr>
            </w:pPr>
            <w:r>
              <w:rPr>
                <w:rFonts w:ascii="Arial" w:cs="Arial" w:eastAsia="Arial" w:hAnsi="Arial"/>
                <w:sz w:val="13"/>
                <w:szCs w:val="13"/>
                <w:b w:val="1"/>
                <w:bCs w:val="1"/>
                <w:color w:val="auto"/>
              </w:rPr>
              <w:t>Bradley C. Weber</w:t>
            </w:r>
          </w:p>
        </w:tc>
        <w:tc>
          <w:tcPr>
            <w:tcW w:w="1640" w:type="dxa"/>
            <w:vAlign w:val="bottom"/>
          </w:tcPr>
          <w:p>
            <w:pPr>
              <w:spacing w:after="0"/>
              <w:rPr>
                <w:sz w:val="10"/>
                <w:szCs w:val="10"/>
                <w:color w:val="auto"/>
              </w:rPr>
            </w:pPr>
          </w:p>
        </w:tc>
        <w:tc>
          <w:tcPr>
            <w:tcW w:w="3360" w:type="dxa"/>
            <w:vAlign w:val="bottom"/>
            <w:gridSpan w:val="2"/>
          </w:tcPr>
          <w:p>
            <w:pPr>
              <w:jc w:val="center"/>
              <w:ind w:right="1520"/>
              <w:spacing w:after="0" w:line="124" w:lineRule="exact"/>
              <w:rPr>
                <w:sz w:val="20"/>
                <w:szCs w:val="20"/>
                <w:color w:val="auto"/>
              </w:rPr>
            </w:pPr>
            <w:r>
              <w:rPr>
                <w:rFonts w:ascii="Arial" w:cs="Arial" w:eastAsia="Arial" w:hAnsi="Arial"/>
                <w:sz w:val="13"/>
                <w:szCs w:val="13"/>
                <w:b w:val="1"/>
                <w:bCs w:val="1"/>
                <w:color w:val="auto"/>
              </w:rPr>
              <w:t>Brianna Humphreville</w:t>
            </w:r>
          </w:p>
        </w:tc>
        <w:tc>
          <w:tcPr>
            <w:tcW w:w="2540" w:type="dxa"/>
            <w:vAlign w:val="bottom"/>
          </w:tcPr>
          <w:p>
            <w:pPr>
              <w:jc w:val="center"/>
              <w:ind w:left="14"/>
              <w:spacing w:after="0" w:line="124" w:lineRule="exact"/>
              <w:rPr>
                <w:sz w:val="20"/>
                <w:szCs w:val="20"/>
                <w:color w:val="auto"/>
              </w:rPr>
            </w:pPr>
            <w:r>
              <w:rPr>
                <w:rFonts w:ascii="Arial" w:cs="Arial" w:eastAsia="Arial" w:hAnsi="Arial"/>
                <w:sz w:val="13"/>
                <w:szCs w:val="13"/>
                <w:b w:val="1"/>
                <w:bCs w:val="1"/>
                <w:color w:val="auto"/>
                <w:w w:val="99"/>
              </w:rPr>
              <w:t>Andrew T. Hill</w:t>
            </w:r>
          </w:p>
        </w:tc>
      </w:tr>
      <w:tr>
        <w:trPr>
          <w:trHeight w:val="124"/>
        </w:trPr>
        <w:tc>
          <w:tcPr>
            <w:tcW w:w="3060" w:type="dxa"/>
            <w:vAlign w:val="bottom"/>
          </w:tcPr>
          <w:p>
            <w:pPr>
              <w:jc w:val="center"/>
              <w:ind w:left="634"/>
              <w:spacing w:after="0" w:line="124" w:lineRule="exact"/>
              <w:rPr>
                <w:sz w:val="20"/>
                <w:szCs w:val="20"/>
                <w:color w:val="auto"/>
              </w:rPr>
            </w:pPr>
            <w:r>
              <w:rPr>
                <w:rFonts w:ascii="Arial" w:cs="Arial" w:eastAsia="Arial" w:hAnsi="Arial"/>
                <w:sz w:val="13"/>
                <w:szCs w:val="13"/>
                <w:b w:val="1"/>
                <w:bCs w:val="1"/>
                <w:color w:val="auto"/>
              </w:rPr>
              <w:t>Erica D. Kassman</w:t>
            </w:r>
          </w:p>
        </w:tc>
        <w:tc>
          <w:tcPr>
            <w:tcW w:w="1640" w:type="dxa"/>
            <w:vAlign w:val="bottom"/>
          </w:tcPr>
          <w:p>
            <w:pPr>
              <w:spacing w:after="0"/>
              <w:rPr>
                <w:sz w:val="10"/>
                <w:szCs w:val="10"/>
                <w:color w:val="auto"/>
              </w:rPr>
            </w:pPr>
          </w:p>
        </w:tc>
        <w:tc>
          <w:tcPr>
            <w:tcW w:w="3360" w:type="dxa"/>
            <w:vAlign w:val="bottom"/>
            <w:gridSpan w:val="2"/>
          </w:tcPr>
          <w:p>
            <w:pPr>
              <w:jc w:val="center"/>
              <w:ind w:right="1540"/>
              <w:spacing w:after="0" w:line="124" w:lineRule="exact"/>
              <w:rPr>
                <w:sz w:val="20"/>
                <w:szCs w:val="20"/>
                <w:color w:val="auto"/>
              </w:rPr>
            </w:pPr>
            <w:r>
              <w:rPr>
                <w:rFonts w:ascii="Arial" w:cs="Arial" w:eastAsia="Arial" w:hAnsi="Arial"/>
                <w:sz w:val="13"/>
                <w:szCs w:val="13"/>
                <w:b w:val="1"/>
                <w:bCs w:val="1"/>
                <w:color w:val="auto"/>
              </w:rPr>
              <w:t>Alex Tinucci</w:t>
            </w:r>
          </w:p>
        </w:tc>
        <w:tc>
          <w:tcPr>
            <w:tcW w:w="2540" w:type="dxa"/>
            <w:vAlign w:val="bottom"/>
          </w:tcPr>
          <w:p>
            <w:pPr>
              <w:jc w:val="center"/>
              <w:ind w:left="14"/>
              <w:spacing w:after="0" w:line="124" w:lineRule="exact"/>
              <w:rPr>
                <w:sz w:val="20"/>
                <w:szCs w:val="20"/>
                <w:color w:val="auto"/>
              </w:rPr>
            </w:pPr>
            <w:r>
              <w:rPr>
                <w:rFonts w:ascii="Arial" w:cs="Arial" w:eastAsia="Arial" w:hAnsi="Arial"/>
                <w:sz w:val="13"/>
                <w:szCs w:val="13"/>
                <w:b w:val="1"/>
                <w:bCs w:val="1"/>
                <w:color w:val="auto"/>
              </w:rPr>
              <w:t>Catherine D. Doxsee</w:t>
            </w:r>
          </w:p>
        </w:tc>
      </w:tr>
      <w:tr>
        <w:trPr>
          <w:trHeight w:val="124"/>
        </w:trPr>
        <w:tc>
          <w:tcPr>
            <w:tcW w:w="3060" w:type="dxa"/>
            <w:vAlign w:val="bottom"/>
          </w:tcPr>
          <w:p>
            <w:pPr>
              <w:jc w:val="center"/>
              <w:ind w:left="634"/>
              <w:spacing w:after="0" w:line="124" w:lineRule="exact"/>
              <w:rPr>
                <w:sz w:val="20"/>
                <w:szCs w:val="20"/>
                <w:color w:val="auto"/>
              </w:rPr>
            </w:pPr>
            <w:r>
              <w:rPr>
                <w:rFonts w:ascii="Arial" w:cs="Arial" w:eastAsia="Arial" w:hAnsi="Arial"/>
                <w:sz w:val="13"/>
                <w:szCs w:val="13"/>
                <w:b w:val="1"/>
                <w:bCs w:val="1"/>
                <w:color w:val="auto"/>
              </w:rPr>
              <w:t>Goodwin Procter LLP</w:t>
            </w:r>
          </w:p>
        </w:tc>
        <w:tc>
          <w:tcPr>
            <w:tcW w:w="1640" w:type="dxa"/>
            <w:vAlign w:val="bottom"/>
          </w:tcPr>
          <w:p>
            <w:pPr>
              <w:spacing w:after="0"/>
              <w:rPr>
                <w:sz w:val="10"/>
                <w:szCs w:val="10"/>
                <w:color w:val="auto"/>
              </w:rPr>
            </w:pPr>
          </w:p>
        </w:tc>
        <w:tc>
          <w:tcPr>
            <w:tcW w:w="3360" w:type="dxa"/>
            <w:vAlign w:val="bottom"/>
            <w:gridSpan w:val="2"/>
          </w:tcPr>
          <w:p>
            <w:pPr>
              <w:jc w:val="center"/>
              <w:ind w:right="1520"/>
              <w:spacing w:after="0" w:line="124" w:lineRule="exact"/>
              <w:rPr>
                <w:sz w:val="20"/>
                <w:szCs w:val="20"/>
                <w:color w:val="auto"/>
              </w:rPr>
            </w:pPr>
            <w:r>
              <w:rPr>
                <w:rFonts w:ascii="Arial" w:cs="Arial" w:eastAsia="Arial" w:hAnsi="Arial"/>
                <w:sz w:val="13"/>
                <w:szCs w:val="13"/>
                <w:b w:val="1"/>
                <w:bCs w:val="1"/>
                <w:color w:val="auto"/>
              </w:rPr>
              <w:t>ThredUp Inc.</w:t>
            </w:r>
          </w:p>
        </w:tc>
        <w:tc>
          <w:tcPr>
            <w:tcW w:w="2540" w:type="dxa"/>
            <w:vAlign w:val="bottom"/>
          </w:tcPr>
          <w:p>
            <w:pPr>
              <w:jc w:val="center"/>
              <w:ind w:left="14"/>
              <w:spacing w:after="0" w:line="124" w:lineRule="exact"/>
              <w:rPr>
                <w:sz w:val="20"/>
                <w:szCs w:val="20"/>
                <w:color w:val="auto"/>
              </w:rPr>
            </w:pPr>
            <w:r>
              <w:rPr>
                <w:rFonts w:ascii="Arial" w:cs="Arial" w:eastAsia="Arial" w:hAnsi="Arial"/>
                <w:sz w:val="13"/>
                <w:szCs w:val="13"/>
                <w:b w:val="1"/>
                <w:bCs w:val="1"/>
                <w:color w:val="auto"/>
              </w:rPr>
              <w:t>Wilson Sonsini Goodrich &amp; Rosati, P.C.</w:t>
            </w:r>
          </w:p>
        </w:tc>
      </w:tr>
      <w:tr>
        <w:trPr>
          <w:trHeight w:val="124"/>
        </w:trPr>
        <w:tc>
          <w:tcPr>
            <w:tcW w:w="3060" w:type="dxa"/>
            <w:vAlign w:val="bottom"/>
          </w:tcPr>
          <w:p>
            <w:pPr>
              <w:jc w:val="center"/>
              <w:ind w:left="614"/>
              <w:spacing w:after="0" w:line="124" w:lineRule="exact"/>
              <w:rPr>
                <w:sz w:val="20"/>
                <w:szCs w:val="20"/>
                <w:color w:val="auto"/>
              </w:rPr>
            </w:pPr>
            <w:r>
              <w:rPr>
                <w:rFonts w:ascii="Arial" w:cs="Arial" w:eastAsia="Arial" w:hAnsi="Arial"/>
                <w:sz w:val="13"/>
                <w:szCs w:val="13"/>
                <w:b w:val="1"/>
                <w:bCs w:val="1"/>
                <w:color w:val="auto"/>
              </w:rPr>
              <w:t>601 Marshall Street</w:t>
            </w:r>
          </w:p>
        </w:tc>
        <w:tc>
          <w:tcPr>
            <w:tcW w:w="1640" w:type="dxa"/>
            <w:vAlign w:val="bottom"/>
          </w:tcPr>
          <w:p>
            <w:pPr>
              <w:spacing w:after="0"/>
              <w:rPr>
                <w:sz w:val="10"/>
                <w:szCs w:val="10"/>
                <w:color w:val="auto"/>
              </w:rPr>
            </w:pPr>
          </w:p>
        </w:tc>
        <w:tc>
          <w:tcPr>
            <w:tcW w:w="3360" w:type="dxa"/>
            <w:vAlign w:val="bottom"/>
            <w:gridSpan w:val="2"/>
          </w:tcPr>
          <w:p>
            <w:pPr>
              <w:jc w:val="center"/>
              <w:ind w:right="1540"/>
              <w:spacing w:after="0" w:line="124" w:lineRule="exact"/>
              <w:rPr>
                <w:sz w:val="20"/>
                <w:szCs w:val="20"/>
                <w:color w:val="auto"/>
              </w:rPr>
            </w:pPr>
            <w:r>
              <w:rPr>
                <w:rFonts w:ascii="Arial" w:cs="Arial" w:eastAsia="Arial" w:hAnsi="Arial"/>
                <w:sz w:val="13"/>
                <w:szCs w:val="13"/>
                <w:b w:val="1"/>
                <w:bCs w:val="1"/>
                <w:color w:val="auto"/>
              </w:rPr>
              <w:t>969 Broadway, Suite 200</w:t>
            </w:r>
          </w:p>
        </w:tc>
        <w:tc>
          <w:tcPr>
            <w:tcW w:w="2540" w:type="dxa"/>
            <w:vAlign w:val="bottom"/>
          </w:tcPr>
          <w:p>
            <w:pPr>
              <w:jc w:val="center"/>
              <w:ind w:left="14"/>
              <w:spacing w:after="0" w:line="124" w:lineRule="exact"/>
              <w:rPr>
                <w:sz w:val="20"/>
                <w:szCs w:val="20"/>
                <w:color w:val="auto"/>
              </w:rPr>
            </w:pPr>
            <w:r>
              <w:rPr>
                <w:rFonts w:ascii="Arial" w:cs="Arial" w:eastAsia="Arial" w:hAnsi="Arial"/>
                <w:sz w:val="13"/>
                <w:szCs w:val="13"/>
                <w:b w:val="1"/>
                <w:bCs w:val="1"/>
                <w:color w:val="auto"/>
              </w:rPr>
              <w:t>650 Page Mill Road</w:t>
            </w:r>
          </w:p>
        </w:tc>
      </w:tr>
      <w:tr>
        <w:trPr>
          <w:trHeight w:val="124"/>
        </w:trPr>
        <w:tc>
          <w:tcPr>
            <w:tcW w:w="3060" w:type="dxa"/>
            <w:vAlign w:val="bottom"/>
          </w:tcPr>
          <w:p>
            <w:pPr>
              <w:jc w:val="center"/>
              <w:ind w:left="614"/>
              <w:spacing w:after="0" w:line="124" w:lineRule="exact"/>
              <w:rPr>
                <w:sz w:val="20"/>
                <w:szCs w:val="20"/>
                <w:color w:val="auto"/>
              </w:rPr>
            </w:pPr>
            <w:r>
              <w:rPr>
                <w:rFonts w:ascii="Arial" w:cs="Arial" w:eastAsia="Arial" w:hAnsi="Arial"/>
                <w:sz w:val="13"/>
                <w:szCs w:val="13"/>
                <w:b w:val="1"/>
                <w:bCs w:val="1"/>
                <w:color w:val="auto"/>
              </w:rPr>
              <w:t>Redwood City, California 94063</w:t>
            </w:r>
          </w:p>
        </w:tc>
        <w:tc>
          <w:tcPr>
            <w:tcW w:w="1640" w:type="dxa"/>
            <w:vAlign w:val="bottom"/>
          </w:tcPr>
          <w:p>
            <w:pPr>
              <w:spacing w:after="0"/>
              <w:rPr>
                <w:sz w:val="10"/>
                <w:szCs w:val="10"/>
                <w:color w:val="auto"/>
              </w:rPr>
            </w:pPr>
          </w:p>
        </w:tc>
        <w:tc>
          <w:tcPr>
            <w:tcW w:w="3360" w:type="dxa"/>
            <w:vAlign w:val="bottom"/>
            <w:gridSpan w:val="2"/>
          </w:tcPr>
          <w:p>
            <w:pPr>
              <w:jc w:val="center"/>
              <w:ind w:right="1520"/>
              <w:spacing w:after="0" w:line="124" w:lineRule="exact"/>
              <w:rPr>
                <w:sz w:val="20"/>
                <w:szCs w:val="20"/>
                <w:color w:val="auto"/>
              </w:rPr>
            </w:pPr>
            <w:r>
              <w:rPr>
                <w:rFonts w:ascii="Arial" w:cs="Arial" w:eastAsia="Arial" w:hAnsi="Arial"/>
                <w:sz w:val="13"/>
                <w:szCs w:val="13"/>
                <w:b w:val="1"/>
                <w:bCs w:val="1"/>
                <w:color w:val="auto"/>
              </w:rPr>
              <w:t>Oakland, California 94607</w:t>
            </w:r>
          </w:p>
        </w:tc>
        <w:tc>
          <w:tcPr>
            <w:tcW w:w="2540" w:type="dxa"/>
            <w:vAlign w:val="bottom"/>
          </w:tcPr>
          <w:p>
            <w:pPr>
              <w:jc w:val="center"/>
              <w:ind w:left="14"/>
              <w:spacing w:after="0" w:line="124" w:lineRule="exact"/>
              <w:rPr>
                <w:sz w:val="20"/>
                <w:szCs w:val="20"/>
                <w:color w:val="auto"/>
              </w:rPr>
            </w:pPr>
            <w:r>
              <w:rPr>
                <w:rFonts w:ascii="Arial" w:cs="Arial" w:eastAsia="Arial" w:hAnsi="Arial"/>
                <w:sz w:val="13"/>
                <w:szCs w:val="13"/>
                <w:b w:val="1"/>
                <w:bCs w:val="1"/>
                <w:color w:val="auto"/>
              </w:rPr>
              <w:t>Palo Alto, California 94304</w:t>
            </w:r>
          </w:p>
        </w:tc>
      </w:tr>
      <w:tr>
        <w:trPr>
          <w:trHeight w:val="186"/>
        </w:trPr>
        <w:tc>
          <w:tcPr>
            <w:tcW w:w="3060" w:type="dxa"/>
            <w:vAlign w:val="bottom"/>
          </w:tcPr>
          <w:p>
            <w:pPr>
              <w:jc w:val="center"/>
              <w:ind w:left="614"/>
              <w:spacing w:after="0"/>
              <w:rPr>
                <w:sz w:val="20"/>
                <w:szCs w:val="20"/>
                <w:color w:val="auto"/>
              </w:rPr>
            </w:pPr>
            <w:r>
              <w:rPr>
                <w:rFonts w:ascii="Arial" w:cs="Arial" w:eastAsia="Arial" w:hAnsi="Arial"/>
                <w:sz w:val="13"/>
                <w:szCs w:val="13"/>
                <w:b w:val="1"/>
                <w:bCs w:val="1"/>
                <w:color w:val="auto"/>
              </w:rPr>
              <w:t>(650) 752-3100</w:t>
            </w:r>
          </w:p>
        </w:tc>
        <w:tc>
          <w:tcPr>
            <w:tcW w:w="3500" w:type="dxa"/>
            <w:vAlign w:val="bottom"/>
            <w:gridSpan w:val="2"/>
          </w:tcPr>
          <w:p>
            <w:pPr>
              <w:jc w:val="center"/>
              <w:ind w:left="1554"/>
              <w:spacing w:after="0"/>
              <w:rPr>
                <w:sz w:val="20"/>
                <w:szCs w:val="20"/>
                <w:color w:val="auto"/>
              </w:rPr>
            </w:pPr>
            <w:r>
              <w:rPr>
                <w:rFonts w:ascii="Arial" w:cs="Arial" w:eastAsia="Arial" w:hAnsi="Arial"/>
                <w:sz w:val="13"/>
                <w:szCs w:val="13"/>
                <w:b w:val="1"/>
                <w:bCs w:val="1"/>
                <w:color w:val="auto"/>
              </w:rPr>
              <w:t>(415) 402-5202</w:t>
            </w:r>
          </w:p>
        </w:tc>
        <w:tc>
          <w:tcPr>
            <w:tcW w:w="1500" w:type="dxa"/>
            <w:vAlign w:val="bottom"/>
          </w:tcPr>
          <w:p>
            <w:pPr>
              <w:spacing w:after="0"/>
              <w:rPr>
                <w:sz w:val="16"/>
                <w:szCs w:val="16"/>
                <w:color w:val="auto"/>
              </w:rPr>
            </w:pPr>
          </w:p>
        </w:tc>
        <w:tc>
          <w:tcPr>
            <w:tcW w:w="2540" w:type="dxa"/>
            <w:vAlign w:val="bottom"/>
          </w:tcPr>
          <w:p>
            <w:pPr>
              <w:jc w:val="right"/>
              <w:ind w:right="714"/>
              <w:spacing w:after="0"/>
              <w:rPr>
                <w:sz w:val="20"/>
                <w:szCs w:val="20"/>
                <w:color w:val="auto"/>
              </w:rPr>
            </w:pPr>
            <w:r>
              <w:rPr>
                <w:rFonts w:ascii="Arial" w:cs="Arial" w:eastAsia="Arial" w:hAnsi="Arial"/>
                <w:sz w:val="13"/>
                <w:szCs w:val="13"/>
                <w:b w:val="1"/>
                <w:bCs w:val="1"/>
                <w:color w:val="auto"/>
              </w:rPr>
              <w:t>(650) 493-9300</w:t>
            </w:r>
          </w:p>
        </w:tc>
      </w:tr>
      <w:tr>
        <w:trPr>
          <w:trHeight w:val="186"/>
        </w:trPr>
        <w:tc>
          <w:tcPr>
            <w:tcW w:w="3060" w:type="dxa"/>
            <w:vAlign w:val="bottom"/>
          </w:tcPr>
          <w:p>
            <w:pPr>
              <w:spacing w:after="0"/>
              <w:rPr>
                <w:sz w:val="16"/>
                <w:szCs w:val="16"/>
                <w:color w:val="auto"/>
              </w:rPr>
            </w:pPr>
          </w:p>
        </w:tc>
        <w:tc>
          <w:tcPr>
            <w:tcW w:w="500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rPr>
              <w:t>Approximate date of commencement of proposed sale to the public:</w:t>
            </w:r>
          </w:p>
        </w:tc>
        <w:tc>
          <w:tcPr>
            <w:tcW w:w="2540" w:type="dxa"/>
            <w:vAlign w:val="bottom"/>
          </w:tcPr>
          <w:p>
            <w:pPr>
              <w:spacing w:after="0"/>
              <w:rPr>
                <w:sz w:val="16"/>
                <w:szCs w:val="16"/>
                <w:color w:val="auto"/>
              </w:rPr>
            </w:pPr>
          </w:p>
        </w:tc>
      </w:tr>
      <w:tr>
        <w:trPr>
          <w:trHeight w:val="138"/>
        </w:trPr>
        <w:tc>
          <w:tcPr>
            <w:tcW w:w="3060" w:type="dxa"/>
            <w:vAlign w:val="bottom"/>
          </w:tcPr>
          <w:p>
            <w:pPr>
              <w:spacing w:after="0"/>
              <w:rPr>
                <w:sz w:val="12"/>
                <w:szCs w:val="12"/>
                <w:color w:val="auto"/>
              </w:rPr>
            </w:pPr>
          </w:p>
        </w:tc>
        <w:tc>
          <w:tcPr>
            <w:tcW w:w="5000" w:type="dxa"/>
            <w:vAlign w:val="bottom"/>
            <w:gridSpan w:val="3"/>
          </w:tcPr>
          <w:p>
            <w:pPr>
              <w:jc w:val="center"/>
              <w:ind w:left="74"/>
              <w:spacing w:after="0" w:line="138" w:lineRule="exact"/>
              <w:rPr>
                <w:sz w:val="20"/>
                <w:szCs w:val="20"/>
                <w:color w:val="auto"/>
              </w:rPr>
            </w:pPr>
            <w:r>
              <w:rPr>
                <w:rFonts w:ascii="Arial" w:cs="Arial" w:eastAsia="Arial" w:hAnsi="Arial"/>
                <w:sz w:val="13"/>
                <w:szCs w:val="13"/>
                <w:b w:val="1"/>
                <w:bCs w:val="1"/>
                <w:color w:val="auto"/>
              </w:rPr>
              <w:t>As soon as practicable after this registration statement becomes effective.</w:t>
            </w:r>
          </w:p>
        </w:tc>
        <w:tc>
          <w:tcPr>
            <w:tcW w:w="2540" w:type="dxa"/>
            <w:vAlign w:val="bottom"/>
          </w:tcPr>
          <w:p>
            <w:pPr>
              <w:spacing w:after="0"/>
              <w:rPr>
                <w:sz w:val="12"/>
                <w:szCs w:val="12"/>
                <w:color w:val="auto"/>
              </w:rPr>
            </w:pPr>
          </w:p>
        </w:tc>
      </w:tr>
      <w:tr>
        <w:trPr>
          <w:trHeight w:val="179"/>
        </w:trPr>
        <w:tc>
          <w:tcPr>
            <w:tcW w:w="10600" w:type="dxa"/>
            <w:vAlign w:val="bottom"/>
            <w:gridSpan w:val="5"/>
          </w:tcPr>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tc>
      </w:tr>
    </w:tbl>
    <w:p>
      <w:pPr>
        <w:ind w:right="520"/>
        <w:spacing w:after="0" w:line="149"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149"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149"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22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5460" w:type="dxa"/>
            <w:vAlign w:val="bottom"/>
          </w:tcPr>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tc>
        <w:tc>
          <w:tcPr>
            <w:tcW w:w="574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tc>
      </w:tr>
      <w:tr>
        <w:trPr>
          <w:trHeight w:val="303"/>
        </w:trPr>
        <w:tc>
          <w:tcPr>
            <w:tcW w:w="5460" w:type="dxa"/>
            <w:vAlign w:val="bottom"/>
          </w:tcPr>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574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tc>
      </w:tr>
      <w:tr>
        <w:trPr>
          <w:trHeight w:val="207"/>
        </w:trPr>
        <w:tc>
          <w:tcPr>
            <w:tcW w:w="5460" w:type="dxa"/>
            <w:vAlign w:val="bottom"/>
          </w:tcPr>
          <w:p>
            <w:pPr>
              <w:spacing w:after="0"/>
              <w:rPr>
                <w:sz w:val="18"/>
                <w:szCs w:val="18"/>
                <w:color w:val="auto"/>
              </w:rPr>
            </w:pPr>
          </w:p>
        </w:tc>
        <w:tc>
          <w:tcPr>
            <w:tcW w:w="574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tc>
      </w:tr>
    </w:tbl>
    <w:p>
      <w:pPr>
        <w:spacing w:after="0" w:line="59" w:lineRule="exact"/>
        <w:rPr>
          <w:sz w:val="24"/>
          <w:szCs w:val="24"/>
          <w:color w:val="auto"/>
        </w:rPr>
      </w:pPr>
    </w:p>
    <w:p>
      <w:pPr>
        <w:ind w:right="480"/>
        <w:spacing w:after="0" w:line="17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-1905</wp:posOffset>
            </wp:positionV>
            <wp:extent cx="11931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7080" w:type="dxa"/>
            <w:vAlign w:val="bottom"/>
            <w:tcBorders>
              <w:top w:val="single" w:sz="8" w:color="auto"/>
              <w:right w:val="single" w:sz="8" w:color="auto"/>
            </w:tcBorders>
          </w:tcPr>
          <w:p>
            <w:pPr>
              <w:spacing w:after="0"/>
              <w:rPr>
                <w:sz w:val="11"/>
                <w:szCs w:val="11"/>
                <w:color w:val="auto"/>
              </w:rPr>
            </w:pPr>
          </w:p>
        </w:tc>
        <w:tc>
          <w:tcPr>
            <w:tcW w:w="210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rPr>
              <w:t>Proposed Maximum</w:t>
            </w:r>
          </w:p>
        </w:tc>
        <w:tc>
          <w:tcPr>
            <w:tcW w:w="2060" w:type="dxa"/>
            <w:vAlign w:val="bottom"/>
            <w:tcBorders>
              <w:top w:val="single" w:sz="8" w:color="auto"/>
            </w:tcBorders>
          </w:tcPr>
          <w:p>
            <w:pPr>
              <w:spacing w:after="0"/>
              <w:rPr>
                <w:sz w:val="11"/>
                <w:szCs w:val="11"/>
                <w:color w:val="auto"/>
              </w:rPr>
            </w:pPr>
          </w:p>
        </w:tc>
      </w:tr>
      <w:tr>
        <w:trPr>
          <w:trHeight w:val="199"/>
        </w:trPr>
        <w:tc>
          <w:tcPr>
            <w:tcW w:w="70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Title of Each Class of Securities</w:t>
            </w:r>
          </w:p>
        </w:tc>
        <w:tc>
          <w:tcPr>
            <w:tcW w:w="2100" w:type="dxa"/>
            <w:vAlign w:val="bottom"/>
            <w:tcBorders>
              <w:right w:val="single" w:sz="8" w:color="auto"/>
            </w:tcBorders>
          </w:tcPr>
          <w:p>
            <w:pPr>
              <w:ind w:left="720"/>
              <w:spacing w:after="0"/>
              <w:rPr>
                <w:sz w:val="20"/>
                <w:szCs w:val="20"/>
                <w:color w:val="auto"/>
              </w:rPr>
            </w:pPr>
            <w:r>
              <w:rPr>
                <w:rFonts w:ascii="Arial" w:cs="Arial" w:eastAsia="Arial" w:hAnsi="Arial"/>
                <w:sz w:val="13"/>
                <w:szCs w:val="13"/>
                <w:b w:val="1"/>
                <w:bCs w:val="1"/>
                <w:color w:val="auto"/>
              </w:rPr>
              <w:t>Aggregate</w:t>
            </w:r>
            <w:r>
              <w:rPr>
                <w:rFonts w:ascii="Arial" w:cs="Arial" w:eastAsia="Arial" w:hAnsi="Arial"/>
                <w:sz w:val="17"/>
                <w:szCs w:val="17"/>
                <w:b w:val="1"/>
                <w:bCs w:val="1"/>
                <w:color w:val="auto"/>
                <w:vertAlign w:val="subscript"/>
              </w:rPr>
              <w:t>(1)(2)</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rPr>
              <w:t>Amount of</w:t>
            </w:r>
          </w:p>
        </w:tc>
      </w:tr>
      <w:tr>
        <w:trPr>
          <w:trHeight w:val="87"/>
        </w:trPr>
        <w:tc>
          <w:tcPr>
            <w:tcW w:w="7080" w:type="dxa"/>
            <w:vAlign w:val="bottom"/>
            <w:tcBorders>
              <w:bottom w:val="single" w:sz="8" w:color="auto"/>
              <w:right w:val="single" w:sz="8" w:color="auto"/>
            </w:tcBorders>
          </w:tcPr>
          <w:p>
            <w:pPr>
              <w:jc w:val="center"/>
              <w:spacing w:after="0" w:line="87" w:lineRule="exact"/>
              <w:rPr>
                <w:sz w:val="20"/>
                <w:szCs w:val="20"/>
                <w:color w:val="auto"/>
              </w:rPr>
            </w:pPr>
            <w:r>
              <w:rPr>
                <w:rFonts w:ascii="Arial" w:cs="Arial" w:eastAsia="Arial" w:hAnsi="Arial"/>
                <w:sz w:val="10"/>
                <w:szCs w:val="10"/>
                <w:b w:val="1"/>
                <w:bCs w:val="1"/>
                <w:color w:val="auto"/>
              </w:rPr>
              <w:t>to be Registered</w:t>
            </w:r>
          </w:p>
        </w:tc>
        <w:tc>
          <w:tcPr>
            <w:tcW w:w="2100" w:type="dxa"/>
            <w:vAlign w:val="bottom"/>
            <w:tcBorders>
              <w:bottom w:val="single" w:sz="8" w:color="auto"/>
              <w:right w:val="single" w:sz="8" w:color="auto"/>
            </w:tcBorders>
          </w:tcPr>
          <w:p>
            <w:pPr>
              <w:ind w:left="500"/>
              <w:spacing w:after="0" w:line="87" w:lineRule="exact"/>
              <w:rPr>
                <w:sz w:val="20"/>
                <w:szCs w:val="20"/>
                <w:color w:val="auto"/>
              </w:rPr>
            </w:pPr>
            <w:r>
              <w:rPr>
                <w:rFonts w:ascii="Arial" w:cs="Arial" w:eastAsia="Arial" w:hAnsi="Arial"/>
                <w:sz w:val="10"/>
                <w:szCs w:val="10"/>
                <w:b w:val="1"/>
                <w:bCs w:val="1"/>
                <w:color w:val="auto"/>
              </w:rPr>
              <w:t>Offering Price</w:t>
            </w:r>
          </w:p>
        </w:tc>
        <w:tc>
          <w:tcPr>
            <w:tcW w:w="2060" w:type="dxa"/>
            <w:vAlign w:val="bottom"/>
            <w:tcBorders>
              <w:bottom w:val="single" w:sz="8" w:color="auto"/>
            </w:tcBorders>
          </w:tcPr>
          <w:p>
            <w:pPr>
              <w:jc w:val="center"/>
              <w:spacing w:after="0" w:line="87" w:lineRule="exact"/>
              <w:rPr>
                <w:sz w:val="20"/>
                <w:szCs w:val="20"/>
                <w:color w:val="auto"/>
              </w:rPr>
            </w:pPr>
            <w:r>
              <w:rPr>
                <w:rFonts w:ascii="Arial" w:cs="Arial" w:eastAsia="Arial" w:hAnsi="Arial"/>
                <w:sz w:val="10"/>
                <w:szCs w:val="10"/>
                <w:b w:val="1"/>
                <w:bCs w:val="1"/>
                <w:color w:val="auto"/>
              </w:rPr>
              <w:t>Registration Fee</w:t>
            </w:r>
          </w:p>
        </w:tc>
      </w:tr>
      <w:tr>
        <w:trPr>
          <w:trHeight w:val="167"/>
        </w:trPr>
        <w:tc>
          <w:tcPr>
            <w:tcW w:w="7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Class A Common Stock, $0.0001 par value per share</w:t>
            </w:r>
          </w:p>
        </w:tc>
        <w:tc>
          <w:tcPr>
            <w:tcW w:w="2100" w:type="dxa"/>
            <w:vAlign w:val="bottom"/>
            <w:tcBorders>
              <w:bottom w:val="single" w:sz="8" w:color="auto"/>
              <w:right w:val="single" w:sz="8" w:color="auto"/>
            </w:tcBorders>
          </w:tcPr>
          <w:p>
            <w:pPr>
              <w:jc w:val="right"/>
              <w:ind w:right="598"/>
              <w:spacing w:after="0"/>
              <w:rPr>
                <w:sz w:val="20"/>
                <w:szCs w:val="20"/>
                <w:color w:val="auto"/>
              </w:rPr>
            </w:pPr>
            <w:r>
              <w:rPr>
                <w:rFonts w:ascii="Arial" w:cs="Arial" w:eastAsia="Arial" w:hAnsi="Arial"/>
                <w:sz w:val="13"/>
                <w:szCs w:val="13"/>
                <w:color w:val="auto"/>
              </w:rPr>
              <w:t>$100,000,000</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$10,910</w:t>
            </w:r>
          </w:p>
        </w:tc>
      </w:tr>
    </w:tbl>
    <w:p>
      <w:pPr>
        <w:spacing w:after="0" w:line="75" w:lineRule="exact"/>
        <w:rPr>
          <w:sz w:val="24"/>
          <w:szCs w:val="24"/>
          <w:color w:val="auto"/>
        </w:rPr>
      </w:pPr>
    </w:p>
    <w:p>
      <w:pPr>
        <w:ind w:left="280" w:hanging="280"/>
        <w:spacing w:after="0"/>
        <w:tabs>
          <w:tab w:leader="none" w:pos="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w:t>
      </w:r>
    </w:p>
    <w:p>
      <w:pPr>
        <w:spacing w:after="0" w:line="15" w:lineRule="exact"/>
        <w:rPr>
          <w:rFonts w:ascii="Arial" w:cs="Arial" w:eastAsia="Arial" w:hAnsi="Arial"/>
          <w:sz w:val="13"/>
          <w:szCs w:val="13"/>
          <w:color w:val="auto"/>
        </w:rPr>
      </w:pPr>
    </w:p>
    <w:p>
      <w:pPr>
        <w:ind w:left="280" w:hanging="280"/>
        <w:spacing w:after="0"/>
        <w:tabs>
          <w:tab w:leader="none" w:pos="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20955</wp:posOffset>
            </wp:positionV>
            <wp:extent cx="11931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99" w:lineRule="exact"/>
        <w:rPr>
          <w:sz w:val="24"/>
          <w:szCs w:val="24"/>
          <w:color w:val="auto"/>
        </w:rPr>
      </w:pPr>
    </w:p>
    <w:p>
      <w:pPr>
        <w:ind w:right="280" w:firstLine="299"/>
        <w:spacing w:after="0" w:line="26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311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wp:posOffset>
            </wp:positionV>
            <wp:extent cx="71431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 w:lineRule="exact"/>
        <w:rPr>
          <w:sz w:val="20"/>
          <w:szCs w:val="20"/>
          <w:color w:val="auto"/>
        </w:rPr>
      </w:pPr>
    </w:p>
    <w:p>
      <w:pPr>
        <w:ind w:left="4280"/>
        <w:spacing w:after="0"/>
        <w:tabs>
          <w:tab w:leader="none" w:pos="6900" w:val="left"/>
        </w:tabs>
        <w:rPr>
          <w:sz w:val="20"/>
          <w:szCs w:val="20"/>
          <w:color w:val="auto"/>
        </w:rPr>
      </w:pPr>
      <w:r>
        <w:rPr>
          <w:rFonts w:ascii="Arial" w:cs="Arial" w:eastAsia="Arial" w:hAnsi="Arial"/>
          <w:sz w:val="17"/>
          <w:szCs w:val="17"/>
          <w:color w:val="DE1A1E"/>
        </w:rPr>
        <w:t>Subject To Completion. Dated</w:t>
      </w:r>
      <w:r>
        <w:rPr>
          <w:sz w:val="20"/>
          <w:szCs w:val="20"/>
          <w:color w:val="auto"/>
        </w:rPr>
        <w:tab/>
      </w:r>
      <w:r>
        <w:rPr>
          <w:rFonts w:ascii="Arial" w:cs="Arial" w:eastAsia="Arial" w:hAnsi="Arial"/>
          <w:sz w:val="17"/>
          <w:szCs w:val="17"/>
          <w:color w:val="DE1A1E"/>
        </w:rPr>
        <w:t>.</w:t>
      </w:r>
    </w:p>
    <w:p>
      <w:pPr>
        <w:spacing w:after="0" w:line="119" w:lineRule="exact"/>
        <w:rPr>
          <w:sz w:val="20"/>
          <w:szCs w:val="20"/>
          <w:color w:val="auto"/>
        </w:rPr>
      </w:pPr>
    </w:p>
    <w:p>
      <w:pPr>
        <w:ind w:left="5740"/>
        <w:spacing w:after="0"/>
        <w:rPr>
          <w:sz w:val="20"/>
          <w:szCs w:val="20"/>
          <w:color w:val="auto"/>
        </w:rPr>
      </w:pPr>
      <w:r>
        <w:rPr>
          <w:rFonts w:ascii="Arial" w:cs="Arial" w:eastAsia="Arial" w:hAnsi="Arial"/>
          <w:sz w:val="30"/>
          <w:szCs w:val="30"/>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55880</wp:posOffset>
            </wp:positionV>
            <wp:extent cx="1975485" cy="466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548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0"/>
        <w:spacing w:after="0"/>
        <w:rPr>
          <w:sz w:val="20"/>
          <w:szCs w:val="20"/>
          <w:color w:val="auto"/>
        </w:rPr>
      </w:pPr>
      <w:r>
        <w:rPr>
          <w:rFonts w:ascii="Arial" w:cs="Arial" w:eastAsia="Arial" w:hAnsi="Arial"/>
          <w:sz w:val="23"/>
          <w:szCs w:val="23"/>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71755</wp:posOffset>
            </wp:positionV>
            <wp:extent cx="13430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This is an initial public offering of shares of Class A common stock of ThredUp Inc.</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Prior to this offering, there has been no public market for our Class A common stock. It is currently estimated that the initial public offering price will be between $ and $ per share. We have applied to list our Class A common stock on the Nasdaq Global Select Market under the symbol “TDUP.”</w:t>
      </w:r>
    </w:p>
    <w:p>
      <w:pPr>
        <w:spacing w:after="0" w:line="4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ten votes and is convertible at any time into one share of Class A common stock. All shares of our capital stock outstanding immediately prior to this offering, including all shares held by our executive officers, employees and directors, and their respective affiliates, will be reclassified into shares of our Class B common stock immediately prior to the consummation of this offering. The holders of our outstanding Class B common stock will hold approximately % of the voting power of our outstanding capital stock following this offering.</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4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See the section titled “Risk Factors” beginning on page 20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-16510</wp:posOffset>
            </wp:positionV>
            <wp:extent cx="13430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spacing w:after="0" w:line="3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-17145</wp:posOffset>
            </wp:positionV>
            <wp:extent cx="13430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8360" w:type="dxa"/>
            <w:vAlign w:val="bottom"/>
            <w:vMerge w:val="restart"/>
          </w:tcPr>
          <w:p>
            <w:pPr>
              <w:spacing w:after="0"/>
              <w:rPr>
                <w:sz w:val="20"/>
                <w:szCs w:val="20"/>
                <w:color w:val="auto"/>
              </w:rPr>
            </w:pPr>
            <w:r>
              <w:rPr>
                <w:rFonts w:ascii="Arial" w:cs="Arial" w:eastAsia="Arial" w:hAnsi="Arial"/>
                <w:sz w:val="17"/>
                <w:szCs w:val="17"/>
                <w:color w:val="auto"/>
              </w:rPr>
              <w:t>Initial public offering price</w:t>
            </w:r>
          </w:p>
        </w:tc>
        <w:tc>
          <w:tcPr>
            <w:tcW w:w="1480" w:type="dxa"/>
            <w:vAlign w:val="bottom"/>
            <w:gridSpan w:val="2"/>
          </w:tcPr>
          <w:p>
            <w:pPr>
              <w:ind w:left="380"/>
              <w:spacing w:after="0"/>
              <w:rPr>
                <w:sz w:val="20"/>
                <w:szCs w:val="20"/>
                <w:color w:val="auto"/>
              </w:rPr>
            </w:pPr>
            <w:r>
              <w:rPr>
                <w:rFonts w:ascii="Arial" w:cs="Arial" w:eastAsia="Arial" w:hAnsi="Arial"/>
                <w:sz w:val="13"/>
                <w:szCs w:val="13"/>
                <w:b w:val="1"/>
                <w:bCs w:val="1"/>
                <w:color w:val="auto"/>
              </w:rPr>
              <w:t>Per Share</w:t>
            </w:r>
          </w:p>
        </w:tc>
        <w:tc>
          <w:tcPr>
            <w:tcW w:w="1380" w:type="dxa"/>
            <w:vAlign w:val="bottom"/>
          </w:tcPr>
          <w:p>
            <w:pPr>
              <w:jc w:val="right"/>
              <w:ind w:right="46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8360" w:type="dxa"/>
            <w:vAlign w:val="bottom"/>
            <w:vMerge w:val="continue"/>
          </w:tcPr>
          <w:p>
            <w:pPr>
              <w:spacing w:after="0"/>
              <w:rPr>
                <w:sz w:val="16"/>
                <w:szCs w:val="16"/>
                <w:color w:val="auto"/>
              </w:rPr>
            </w:pPr>
          </w:p>
        </w:tc>
        <w:tc>
          <w:tcPr>
            <w:tcW w:w="1380" w:type="dxa"/>
            <w:vAlign w:val="bottom"/>
            <w:tcBorders>
              <w:top w:val="single" w:sz="8" w:color="auto"/>
            </w:tcBorders>
          </w:tcPr>
          <w:p>
            <w:pPr>
              <w:jc w:val="right"/>
              <w:ind w:right="1201"/>
              <w:spacing w:after="0" w:line="192" w:lineRule="exact"/>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ind w:right="1201"/>
              <w:spacing w:after="0" w:line="192" w:lineRule="exact"/>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15"/>
        </w:trPr>
        <w:tc>
          <w:tcPr>
            <w:tcW w:w="8360" w:type="dxa"/>
            <w:vAlign w:val="bottom"/>
          </w:tcPr>
          <w:p>
            <w:pPr>
              <w:spacing w:after="0" w:line="215"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1"/>
                <w:szCs w:val="21"/>
                <w:color w:val="auto"/>
                <w:vertAlign w:val="superscript"/>
              </w:rPr>
              <w:t>(1)</w:t>
            </w:r>
          </w:p>
        </w:tc>
        <w:tc>
          <w:tcPr>
            <w:tcW w:w="1380" w:type="dxa"/>
            <w:vAlign w:val="bottom"/>
          </w:tcPr>
          <w:p>
            <w:pPr>
              <w:jc w:val="right"/>
              <w:ind w:right="1201"/>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1380" w:type="dxa"/>
            <w:vAlign w:val="bottom"/>
          </w:tcPr>
          <w:p>
            <w:pPr>
              <w:jc w:val="right"/>
              <w:ind w:right="1201"/>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7"/>
                <w:szCs w:val="17"/>
                <w:color w:val="auto"/>
              </w:rPr>
              <w:t>Proceeds, before expenses, to us</w:t>
            </w:r>
          </w:p>
        </w:tc>
        <w:tc>
          <w:tcPr>
            <w:tcW w:w="1380" w:type="dxa"/>
            <w:vAlign w:val="bottom"/>
          </w:tcPr>
          <w:p>
            <w:pPr>
              <w:jc w:val="right"/>
              <w:ind w:right="1201"/>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1380" w:type="dxa"/>
            <w:vAlign w:val="bottom"/>
          </w:tcPr>
          <w:p>
            <w:pPr>
              <w:jc w:val="right"/>
              <w:ind w:right="1201"/>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(1)  See the section titled “Underwriting” for additional information regarding compensation payable to the underwriters.</w:t>
      </w:r>
    </w:p>
    <w:p>
      <w:pPr>
        <w:spacing w:after="0" w:line="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At our request, the underwriters have reserved up to shares of Class A common stock, or up to 7.0% of the shares offered by us in this offering, for sale at the initial public offering price through a directed share program to certain individuals identified by our officers and directors. See the section titled “Underwriting—Directed Share Program” for additional information.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120" w:type="dxa"/>
            <w:vAlign w:val="bottom"/>
            <w:gridSpan w:val="2"/>
          </w:tcPr>
          <w:p>
            <w:pPr>
              <w:spacing w:after="0"/>
              <w:rPr>
                <w:sz w:val="20"/>
                <w:szCs w:val="20"/>
                <w:color w:val="auto"/>
              </w:rPr>
            </w:pPr>
            <w:r>
              <w:rPr>
                <w:rFonts w:ascii="Arial" w:cs="Arial" w:eastAsia="Arial" w:hAnsi="Arial"/>
                <w:sz w:val="17"/>
                <w:szCs w:val="17"/>
                <w:color w:val="auto"/>
              </w:rPr>
              <w:t>The underwriters have the option to purchase up to an additional</w:t>
            </w:r>
          </w:p>
        </w:tc>
        <w:tc>
          <w:tcPr>
            <w:tcW w:w="6120" w:type="dxa"/>
            <w:vAlign w:val="bottom"/>
            <w:gridSpan w:val="2"/>
          </w:tcPr>
          <w:p>
            <w:pPr>
              <w:jc w:val="right"/>
              <w:spacing w:after="0"/>
              <w:rPr>
                <w:sz w:val="20"/>
                <w:szCs w:val="20"/>
                <w:color w:val="auto"/>
              </w:rPr>
            </w:pPr>
            <w:r>
              <w:rPr>
                <w:rFonts w:ascii="Arial" w:cs="Arial" w:eastAsia="Arial" w:hAnsi="Arial"/>
                <w:sz w:val="17"/>
                <w:szCs w:val="17"/>
                <w:color w:val="auto"/>
              </w:rPr>
              <w:t>shares of Class A common stock from us at the initial public offering price less</w:t>
            </w:r>
          </w:p>
        </w:tc>
      </w:tr>
      <w:tr>
        <w:trPr>
          <w:trHeight w:val="222"/>
        </w:trPr>
        <w:tc>
          <w:tcPr>
            <w:tcW w:w="5120" w:type="dxa"/>
            <w:vAlign w:val="bottom"/>
            <w:gridSpan w:val="2"/>
          </w:tcPr>
          <w:p>
            <w:pPr>
              <w:spacing w:after="0"/>
              <w:rPr>
                <w:sz w:val="20"/>
                <w:szCs w:val="20"/>
                <w:color w:val="auto"/>
              </w:rPr>
            </w:pPr>
            <w:r>
              <w:rPr>
                <w:rFonts w:ascii="Arial" w:cs="Arial" w:eastAsia="Arial" w:hAnsi="Arial"/>
                <w:sz w:val="17"/>
                <w:szCs w:val="17"/>
                <w:color w:val="auto"/>
              </w:rPr>
              <w:t>the underwriting discount.</w:t>
            </w:r>
          </w:p>
        </w:tc>
        <w:tc>
          <w:tcPr>
            <w:tcW w:w="154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72"/>
        </w:trPr>
        <w:tc>
          <w:tcPr>
            <w:tcW w:w="4560" w:type="dxa"/>
            <w:vAlign w:val="bottom"/>
          </w:tcPr>
          <w:p>
            <w:pPr>
              <w:spacing w:after="0"/>
              <w:rPr>
                <w:sz w:val="6"/>
                <w:szCs w:val="6"/>
                <w:color w:val="auto"/>
              </w:rPr>
            </w:pPr>
          </w:p>
        </w:tc>
        <w:tc>
          <w:tcPr>
            <w:tcW w:w="2100" w:type="dxa"/>
            <w:vAlign w:val="bottom"/>
            <w:tcBorders>
              <w:bottom w:val="single" w:sz="8" w:color="auto"/>
            </w:tcBorders>
            <w:gridSpan w:val="2"/>
          </w:tcPr>
          <w:p>
            <w:pPr>
              <w:spacing w:after="0"/>
              <w:rPr>
                <w:sz w:val="6"/>
                <w:szCs w:val="6"/>
                <w:color w:val="auto"/>
              </w:rPr>
            </w:pPr>
          </w:p>
        </w:tc>
        <w:tc>
          <w:tcPr>
            <w:tcW w:w="4580" w:type="dxa"/>
            <w:vAlign w:val="bottom"/>
          </w:tcPr>
          <w:p>
            <w:pPr>
              <w:spacing w:after="0"/>
              <w:rPr>
                <w:sz w:val="6"/>
                <w:szCs w:val="6"/>
                <w:color w:val="auto"/>
              </w:rPr>
            </w:pPr>
          </w:p>
        </w:tc>
      </w:tr>
      <w:tr>
        <w:trPr>
          <w:trHeight w:val="331"/>
        </w:trPr>
        <w:tc>
          <w:tcPr>
            <w:tcW w:w="6660" w:type="dxa"/>
            <w:vAlign w:val="bottom"/>
            <w:gridSpan w:val="3"/>
          </w:tcPr>
          <w:p>
            <w:pPr>
              <w:spacing w:after="0"/>
              <w:rPr>
                <w:sz w:val="20"/>
                <w:szCs w:val="20"/>
                <w:color w:val="auto"/>
              </w:rPr>
            </w:pPr>
            <w:r>
              <w:rPr>
                <w:rFonts w:ascii="Arial" w:cs="Arial" w:eastAsia="Arial" w:hAnsi="Arial"/>
                <w:sz w:val="17"/>
                <w:szCs w:val="17"/>
                <w:color w:val="auto"/>
                <w:w w:val="98"/>
              </w:rPr>
              <w:t>The underwriters expect to deliver the shares against payment in New York, New York on</w:t>
            </w:r>
          </w:p>
        </w:tc>
        <w:tc>
          <w:tcPr>
            <w:tcW w:w="4580" w:type="dxa"/>
            <w:vAlign w:val="bottom"/>
          </w:tcPr>
          <w:p>
            <w:pPr>
              <w:jc w:val="right"/>
              <w:ind w:right="3129"/>
              <w:spacing w:after="0"/>
              <w:rPr>
                <w:sz w:val="20"/>
                <w:szCs w:val="20"/>
                <w:color w:val="auto"/>
              </w:rPr>
            </w:pPr>
            <w:r>
              <w:rPr>
                <w:rFonts w:ascii="Arial" w:cs="Arial" w:eastAsia="Arial" w:hAnsi="Arial"/>
                <w:sz w:val="17"/>
                <w:szCs w:val="17"/>
                <w:color w:val="auto"/>
              </w:rPr>
              <w:t>, 2021.</w:t>
            </w:r>
          </w:p>
        </w:tc>
      </w:tr>
      <w:tr>
        <w:trPr>
          <w:trHeight w:val="403"/>
        </w:trPr>
        <w:tc>
          <w:tcPr>
            <w:tcW w:w="5120" w:type="dxa"/>
            <w:vAlign w:val="bottom"/>
            <w:gridSpan w:val="2"/>
          </w:tcPr>
          <w:p>
            <w:pPr>
              <w:ind w:left="20"/>
              <w:spacing w:after="0"/>
              <w:rPr>
                <w:sz w:val="20"/>
                <w:szCs w:val="20"/>
                <w:color w:val="auto"/>
              </w:rPr>
            </w:pPr>
            <w:r>
              <w:rPr>
                <w:rFonts w:ascii="Arial" w:cs="Arial" w:eastAsia="Arial" w:hAnsi="Arial"/>
                <w:sz w:val="27"/>
                <w:szCs w:val="27"/>
                <w:b w:val="1"/>
                <w:bCs w:val="1"/>
                <w:color w:val="auto"/>
              </w:rPr>
              <w:t>Goldman Sachs &amp; Co. LLC</w:t>
            </w:r>
          </w:p>
        </w:tc>
        <w:tc>
          <w:tcPr>
            <w:tcW w:w="1540" w:type="dxa"/>
            <w:vAlign w:val="bottom"/>
          </w:tcPr>
          <w:p>
            <w:pPr>
              <w:spacing w:after="0"/>
              <w:rPr>
                <w:sz w:val="24"/>
                <w:szCs w:val="24"/>
                <w:color w:val="auto"/>
              </w:rPr>
            </w:pPr>
          </w:p>
        </w:tc>
        <w:tc>
          <w:tcPr>
            <w:tcW w:w="4580" w:type="dxa"/>
            <w:vAlign w:val="bottom"/>
          </w:tcPr>
          <w:p>
            <w:pPr>
              <w:jc w:val="right"/>
              <w:spacing w:after="0"/>
              <w:rPr>
                <w:sz w:val="20"/>
                <w:szCs w:val="20"/>
                <w:color w:val="auto"/>
              </w:rPr>
            </w:pPr>
            <w:r>
              <w:rPr>
                <w:rFonts w:ascii="Arial" w:cs="Arial" w:eastAsia="Arial" w:hAnsi="Arial"/>
                <w:sz w:val="27"/>
                <w:szCs w:val="27"/>
                <w:b w:val="1"/>
                <w:bCs w:val="1"/>
                <w:color w:val="auto"/>
              </w:rPr>
              <w:t>Morgan Stanley</w:t>
            </w:r>
          </w:p>
        </w:tc>
      </w:tr>
      <w:tr>
        <w:trPr>
          <w:trHeight w:val="328"/>
        </w:trPr>
        <w:tc>
          <w:tcPr>
            <w:tcW w:w="5120" w:type="dxa"/>
            <w:vAlign w:val="bottom"/>
            <w:gridSpan w:val="2"/>
          </w:tcPr>
          <w:p>
            <w:pPr>
              <w:ind w:left="20"/>
              <w:spacing w:after="0"/>
              <w:rPr>
                <w:sz w:val="20"/>
                <w:szCs w:val="20"/>
                <w:color w:val="auto"/>
              </w:rPr>
            </w:pPr>
            <w:r>
              <w:rPr>
                <w:rFonts w:ascii="Arial" w:cs="Arial" w:eastAsia="Arial" w:hAnsi="Arial"/>
                <w:sz w:val="23"/>
                <w:szCs w:val="23"/>
                <w:b w:val="1"/>
                <w:bCs w:val="1"/>
                <w:color w:val="auto"/>
              </w:rPr>
              <w:t>Barclays</w:t>
            </w:r>
          </w:p>
        </w:tc>
        <w:tc>
          <w:tcPr>
            <w:tcW w:w="1540" w:type="dxa"/>
            <w:vAlign w:val="bottom"/>
          </w:tcPr>
          <w:p>
            <w:pPr>
              <w:spacing w:after="0"/>
              <w:rPr>
                <w:sz w:val="24"/>
                <w:szCs w:val="24"/>
                <w:color w:val="auto"/>
              </w:rPr>
            </w:pPr>
          </w:p>
        </w:tc>
        <w:tc>
          <w:tcPr>
            <w:tcW w:w="4580" w:type="dxa"/>
            <w:vAlign w:val="bottom"/>
          </w:tcPr>
          <w:p>
            <w:pPr>
              <w:jc w:val="right"/>
              <w:spacing w:after="0"/>
              <w:rPr>
                <w:sz w:val="20"/>
                <w:szCs w:val="20"/>
                <w:color w:val="auto"/>
              </w:rPr>
            </w:pPr>
            <w:r>
              <w:rPr>
                <w:rFonts w:ascii="Arial" w:cs="Arial" w:eastAsia="Arial" w:hAnsi="Arial"/>
                <w:sz w:val="23"/>
                <w:szCs w:val="23"/>
                <w:b w:val="1"/>
                <w:bCs w:val="1"/>
                <w:color w:val="auto"/>
              </w:rPr>
              <w:t>William Blair</w:t>
            </w:r>
          </w:p>
        </w:tc>
      </w:tr>
    </w:tbl>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Wells Fargo Securities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Arial" w:cs="Arial" w:eastAsia="Arial" w:hAnsi="Arial"/>
                <w:sz w:val="17"/>
                <w:szCs w:val="17"/>
                <w:b w:val="1"/>
                <w:bCs w:val="1"/>
                <w:color w:val="auto"/>
              </w:rPr>
              <w:t>KeyBanc Capital Markets</w:t>
            </w:r>
          </w:p>
        </w:tc>
        <w:tc>
          <w:tcPr>
            <w:tcW w:w="3260" w:type="dxa"/>
            <w:vAlign w:val="bottom"/>
            <w:gridSpan w:val="2"/>
          </w:tcPr>
          <w:p>
            <w:pPr>
              <w:ind w:left="780"/>
              <w:spacing w:after="0"/>
              <w:rPr>
                <w:sz w:val="20"/>
                <w:szCs w:val="20"/>
                <w:color w:val="auto"/>
              </w:rPr>
            </w:pPr>
            <w:r>
              <w:rPr>
                <w:rFonts w:ascii="Arial" w:cs="Arial" w:eastAsia="Arial" w:hAnsi="Arial"/>
                <w:sz w:val="17"/>
                <w:szCs w:val="17"/>
                <w:b w:val="1"/>
                <w:bCs w:val="1"/>
                <w:color w:val="auto"/>
              </w:rPr>
              <w:t>Needham &amp; Company</w:t>
            </w:r>
          </w:p>
        </w:tc>
        <w:tc>
          <w:tcPr>
            <w:tcW w:w="2500" w:type="dxa"/>
            <w:vAlign w:val="bottom"/>
            <w:gridSpan w:val="2"/>
          </w:tcPr>
          <w:p>
            <w:pPr>
              <w:jc w:val="right"/>
              <w:ind w:right="880"/>
              <w:spacing w:after="0"/>
              <w:rPr>
                <w:sz w:val="20"/>
                <w:szCs w:val="20"/>
                <w:color w:val="auto"/>
              </w:rPr>
            </w:pPr>
            <w:r>
              <w:rPr>
                <w:rFonts w:ascii="Arial" w:cs="Arial" w:eastAsia="Arial" w:hAnsi="Arial"/>
                <w:sz w:val="17"/>
                <w:szCs w:val="17"/>
                <w:b w:val="1"/>
                <w:bCs w:val="1"/>
                <w:color w:val="auto"/>
              </w:rPr>
              <w:t>Piper Sandler</w:t>
            </w:r>
          </w:p>
        </w:tc>
        <w:tc>
          <w:tcPr>
            <w:tcW w:w="2700" w:type="dxa"/>
            <w:vAlign w:val="bottom"/>
          </w:tcPr>
          <w:p>
            <w:pPr>
              <w:ind w:left="880"/>
              <w:spacing w:after="0"/>
              <w:rPr>
                <w:sz w:val="20"/>
                <w:szCs w:val="20"/>
                <w:color w:val="auto"/>
              </w:rPr>
            </w:pPr>
            <w:r>
              <w:rPr>
                <w:rFonts w:ascii="Arial" w:cs="Arial" w:eastAsia="Arial" w:hAnsi="Arial"/>
                <w:sz w:val="17"/>
                <w:szCs w:val="17"/>
                <w:b w:val="1"/>
                <w:bCs w:val="1"/>
                <w:color w:val="auto"/>
                <w:w w:val="96"/>
              </w:rPr>
              <w:t>Telsey Advisory Group</w:t>
            </w:r>
          </w:p>
        </w:tc>
      </w:tr>
      <w:tr>
        <w:trPr>
          <w:trHeight w:val="112"/>
        </w:trPr>
        <w:tc>
          <w:tcPr>
            <w:tcW w:w="27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2700" w:type="dxa"/>
            <w:vAlign w:val="bottom"/>
          </w:tcPr>
          <w:p>
            <w:pPr>
              <w:spacing w:after="0"/>
              <w:rPr>
                <w:sz w:val="9"/>
                <w:szCs w:val="9"/>
                <w:color w:val="auto"/>
              </w:rPr>
            </w:pPr>
          </w:p>
        </w:tc>
      </w:tr>
      <w:tr>
        <w:trPr>
          <w:trHeight w:val="331"/>
        </w:trPr>
        <w:tc>
          <w:tcPr>
            <w:tcW w:w="2760" w:type="dxa"/>
            <w:vAlign w:val="bottom"/>
          </w:tcPr>
          <w:p>
            <w:pPr>
              <w:spacing w:after="0"/>
              <w:rPr>
                <w:sz w:val="24"/>
                <w:szCs w:val="24"/>
                <w:color w:val="auto"/>
              </w:rPr>
            </w:pPr>
          </w:p>
        </w:tc>
        <w:tc>
          <w:tcPr>
            <w:tcW w:w="3260" w:type="dxa"/>
            <w:vAlign w:val="bottom"/>
            <w:gridSpan w:val="2"/>
          </w:tcPr>
          <w:p>
            <w:pPr>
              <w:ind w:left="1480"/>
              <w:spacing w:after="0"/>
              <w:rPr>
                <w:sz w:val="20"/>
                <w:szCs w:val="20"/>
                <w:color w:val="auto"/>
              </w:rPr>
            </w:pPr>
            <w:r>
              <w:rPr>
                <w:rFonts w:ascii="Arial" w:cs="Arial" w:eastAsia="Arial" w:hAnsi="Arial"/>
                <w:sz w:val="17"/>
                <w:szCs w:val="17"/>
                <w:color w:val="auto"/>
              </w:rPr>
              <w:t>Prospectus dated</w:t>
            </w:r>
          </w:p>
        </w:tc>
        <w:tc>
          <w:tcPr>
            <w:tcW w:w="2500" w:type="dxa"/>
            <w:vAlign w:val="bottom"/>
            <w:gridSpan w:val="2"/>
          </w:tcPr>
          <w:p>
            <w:pPr>
              <w:jc w:val="right"/>
              <w:ind w:right="1560"/>
              <w:spacing w:after="0"/>
              <w:rPr>
                <w:sz w:val="20"/>
                <w:szCs w:val="20"/>
                <w:color w:val="auto"/>
              </w:rPr>
            </w:pPr>
            <w:r>
              <w:rPr>
                <w:rFonts w:ascii="Arial" w:cs="Arial" w:eastAsia="Arial" w:hAnsi="Arial"/>
                <w:sz w:val="17"/>
                <w:szCs w:val="17"/>
                <w:color w:val="auto"/>
              </w:rPr>
              <w:t>, 2021</w:t>
            </w:r>
          </w:p>
        </w:tc>
        <w:tc>
          <w:tcPr>
            <w:tcW w:w="270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550545</wp:posOffset>
            </wp:positionH>
            <wp:positionV relativeFrom="page">
              <wp:posOffset>325755</wp:posOffset>
            </wp:positionV>
            <wp:extent cx="6447790" cy="8343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44779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550545</wp:posOffset>
            </wp:positionH>
            <wp:positionV relativeFrom="page">
              <wp:posOffset>325755</wp:posOffset>
            </wp:positionV>
            <wp:extent cx="6447790" cy="8343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44779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550545</wp:posOffset>
            </wp:positionH>
            <wp:positionV relativeFrom="page">
              <wp:posOffset>325755</wp:posOffset>
            </wp:positionV>
            <wp:extent cx="6447790" cy="8343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44779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550545</wp:posOffset>
            </wp:positionH>
            <wp:positionV relativeFrom="page">
              <wp:posOffset>325755</wp:posOffset>
            </wp:positionV>
            <wp:extent cx="6447790" cy="8343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44779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550545</wp:posOffset>
            </wp:positionH>
            <wp:positionV relativeFrom="page">
              <wp:posOffset>325755</wp:posOffset>
            </wp:positionV>
            <wp:extent cx="6447790" cy="8343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44779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340" w:type="dxa"/>
            <w:vAlign w:val="bottom"/>
            <w:gridSpan w:val="2"/>
          </w:tcPr>
          <w:p>
            <w:pPr>
              <w:jc w:val="center"/>
              <w:ind w:right="2077"/>
              <w:spacing w:after="0"/>
              <w:rPr>
                <w:sz w:val="20"/>
                <w:szCs w:val="20"/>
                <w:color w:val="auto"/>
              </w:rPr>
            </w:pPr>
            <w:r>
              <w:rPr>
                <w:rFonts w:ascii="Arial" w:cs="Arial" w:eastAsia="Arial" w:hAnsi="Arial"/>
                <w:sz w:val="17"/>
                <w:szCs w:val="17"/>
                <w:b w:val="1"/>
                <w:bCs w:val="1"/>
                <w:color w:val="auto"/>
                <w:w w:val="97"/>
              </w:rPr>
              <w:t>TABLE OF CONTENTS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320" w:type="dxa"/>
            <w:vAlign w:val="bottom"/>
          </w:tcPr>
          <w:p>
            <w:pPr>
              <w:jc w:val="center"/>
              <w:ind w:right="4097"/>
              <w:spacing w:after="0"/>
              <w:rPr>
                <w:sz w:val="20"/>
                <w:szCs w:val="20"/>
                <w:color w:val="auto"/>
              </w:rPr>
            </w:pPr>
            <w:r>
              <w:rPr>
                <w:rFonts w:ascii="Arial" w:cs="Arial" w:eastAsia="Arial" w:hAnsi="Arial"/>
                <w:sz w:val="17"/>
                <w:szCs w:val="17"/>
                <w:b w:val="1"/>
                <w:bCs w:val="1"/>
                <w:color w:val="auto"/>
                <w:w w:val="97"/>
              </w:rPr>
              <w:t>Prospectus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0360" w:type="dxa"/>
            <w:vAlign w:val="bottom"/>
            <w:gridSpan w:val="4"/>
            <w:vMerge w:val="restart"/>
          </w:tcPr>
          <w:p>
            <w:pPr>
              <w:spacing w:after="0"/>
              <w:rPr>
                <w:rFonts w:ascii="Arial" w:cs="Arial" w:eastAsia="Arial" w:hAnsi="Arial"/>
                <w:sz w:val="17"/>
                <w:szCs w:val="17"/>
                <w:u w:val="single" w:color="auto"/>
                <w:color w:val="0000FF"/>
              </w:rPr>
            </w:pPr>
            <w:hyperlink w:anchor="page9">
              <w:r>
                <w:rPr>
                  <w:rFonts w:ascii="Arial" w:cs="Arial" w:eastAsia="Arial" w:hAnsi="Arial"/>
                  <w:sz w:val="17"/>
                  <w:szCs w:val="17"/>
                  <w:u w:val="single" w:color="auto"/>
                  <w:color w:val="0000FF"/>
                </w:rPr>
                <w:t>Prospectus Summary</w:t>
              </w:r>
            </w:hyperlink>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96"/>
        </w:trPr>
        <w:tc>
          <w:tcPr>
            <w:tcW w:w="10360" w:type="dxa"/>
            <w:vAlign w:val="bottom"/>
            <w:gridSpan w:val="4"/>
            <w:vMerge w:val="continue"/>
          </w:tcPr>
          <w:p>
            <w:pPr>
              <w:spacing w:after="0"/>
              <w:rPr>
                <w:sz w:val="17"/>
                <w:szCs w:val="17"/>
                <w:color w:val="auto"/>
              </w:rPr>
            </w:pPr>
          </w:p>
        </w:tc>
        <w:tc>
          <w:tcPr>
            <w:tcW w:w="560" w:type="dxa"/>
            <w:vAlign w:val="bottom"/>
            <w:gridSpan w:val="2"/>
          </w:tcPr>
          <w:p>
            <w:pPr>
              <w:jc w:val="center"/>
              <w:ind w:left="238"/>
              <w:spacing w:after="0"/>
              <w:rPr>
                <w:rFonts w:ascii="Arial" w:cs="Arial" w:eastAsia="Arial" w:hAnsi="Arial"/>
                <w:sz w:val="17"/>
                <w:szCs w:val="17"/>
                <w:u w:val="single" w:color="auto"/>
                <w:color w:val="0000FF"/>
                <w:w w:val="84"/>
              </w:rPr>
            </w:pPr>
            <w:hyperlink w:anchor="page9">
              <w:r>
                <w:rPr>
                  <w:rFonts w:ascii="Arial" w:cs="Arial" w:eastAsia="Arial" w:hAnsi="Arial"/>
                  <w:sz w:val="17"/>
                  <w:szCs w:val="17"/>
                  <w:u w:val="single" w:color="auto"/>
                  <w:color w:val="0000FF"/>
                  <w:w w:val="84"/>
                </w:rPr>
                <w:t>1</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Risk Factors</w:t>
              </w:r>
            </w:hyperlink>
          </w:p>
        </w:tc>
        <w:tc>
          <w:tcPr>
            <w:tcW w:w="560" w:type="dxa"/>
            <w:vAlign w:val="bottom"/>
            <w:gridSpan w:val="2"/>
          </w:tcPr>
          <w:p>
            <w:pPr>
              <w:jc w:val="center"/>
              <w:ind w:left="238"/>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20</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Special Note Regarding Forward-Looking Statements</w:t>
              </w:r>
            </w:hyperlink>
          </w:p>
        </w:tc>
        <w:tc>
          <w:tcPr>
            <w:tcW w:w="560" w:type="dxa"/>
            <w:vAlign w:val="bottom"/>
            <w:gridSpan w:val="2"/>
          </w:tcPr>
          <w:p>
            <w:pPr>
              <w:jc w:val="center"/>
              <w:ind w:left="238"/>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59</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Market and Industry Data</w:t>
              </w:r>
            </w:hyperlink>
          </w:p>
        </w:tc>
        <w:tc>
          <w:tcPr>
            <w:tcW w:w="560" w:type="dxa"/>
            <w:vAlign w:val="bottom"/>
            <w:gridSpan w:val="2"/>
          </w:tcPr>
          <w:p>
            <w:pPr>
              <w:jc w:val="center"/>
              <w:ind w:left="238"/>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61</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Use of Proceeds</w:t>
              </w:r>
            </w:hyperlink>
          </w:p>
        </w:tc>
        <w:tc>
          <w:tcPr>
            <w:tcW w:w="560" w:type="dxa"/>
            <w:vAlign w:val="bottom"/>
            <w:gridSpan w:val="2"/>
          </w:tcPr>
          <w:p>
            <w:pPr>
              <w:jc w:val="center"/>
              <w:ind w:left="238"/>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62</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71">
              <w:r>
                <w:rPr>
                  <w:rFonts w:ascii="Arial" w:cs="Arial" w:eastAsia="Arial" w:hAnsi="Arial"/>
                  <w:sz w:val="17"/>
                  <w:szCs w:val="17"/>
                  <w:u w:val="single" w:color="auto"/>
                  <w:color w:val="0000FF"/>
                </w:rPr>
                <w:t>Dividend Policy</w:t>
              </w:r>
            </w:hyperlink>
          </w:p>
        </w:tc>
        <w:tc>
          <w:tcPr>
            <w:tcW w:w="560" w:type="dxa"/>
            <w:vAlign w:val="bottom"/>
            <w:gridSpan w:val="2"/>
          </w:tcPr>
          <w:p>
            <w:pPr>
              <w:jc w:val="center"/>
              <w:ind w:left="238"/>
              <w:spacing w:after="0"/>
              <w:rPr>
                <w:rFonts w:ascii="Arial" w:cs="Arial" w:eastAsia="Arial" w:hAnsi="Arial"/>
                <w:sz w:val="17"/>
                <w:szCs w:val="17"/>
                <w:u w:val="single" w:color="auto"/>
                <w:color w:val="0000FF"/>
              </w:rPr>
            </w:pPr>
            <w:hyperlink w:anchor="page71">
              <w:r>
                <w:rPr>
                  <w:rFonts w:ascii="Arial" w:cs="Arial" w:eastAsia="Arial" w:hAnsi="Arial"/>
                  <w:sz w:val="17"/>
                  <w:szCs w:val="17"/>
                  <w:u w:val="single" w:color="auto"/>
                  <w:color w:val="0000FF"/>
                </w:rPr>
                <w:t>63</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72">
              <w:r>
                <w:rPr>
                  <w:rFonts w:ascii="Arial" w:cs="Arial" w:eastAsia="Arial" w:hAnsi="Arial"/>
                  <w:sz w:val="17"/>
                  <w:szCs w:val="17"/>
                  <w:u w:val="single" w:color="auto"/>
                  <w:color w:val="0000FF"/>
                </w:rPr>
                <w:t>Capitalization</w:t>
              </w:r>
            </w:hyperlink>
          </w:p>
        </w:tc>
        <w:tc>
          <w:tcPr>
            <w:tcW w:w="560" w:type="dxa"/>
            <w:vAlign w:val="bottom"/>
            <w:gridSpan w:val="2"/>
          </w:tcPr>
          <w:p>
            <w:pPr>
              <w:jc w:val="center"/>
              <w:ind w:left="238"/>
              <w:spacing w:after="0"/>
              <w:rPr>
                <w:rFonts w:ascii="Arial" w:cs="Arial" w:eastAsia="Arial" w:hAnsi="Arial"/>
                <w:sz w:val="17"/>
                <w:szCs w:val="17"/>
                <w:u w:val="single" w:color="auto"/>
                <w:color w:val="0000FF"/>
              </w:rPr>
            </w:pPr>
            <w:hyperlink w:anchor="page72">
              <w:r>
                <w:rPr>
                  <w:rFonts w:ascii="Arial" w:cs="Arial" w:eastAsia="Arial" w:hAnsi="Arial"/>
                  <w:sz w:val="17"/>
                  <w:szCs w:val="17"/>
                  <w:u w:val="single" w:color="auto"/>
                  <w:color w:val="0000FF"/>
                </w:rPr>
                <w:t>64</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75">
              <w:r>
                <w:rPr>
                  <w:rFonts w:ascii="Arial" w:cs="Arial" w:eastAsia="Arial" w:hAnsi="Arial"/>
                  <w:sz w:val="17"/>
                  <w:szCs w:val="17"/>
                  <w:u w:val="single" w:color="auto"/>
                  <w:color w:val="0000FF"/>
                </w:rPr>
                <w:t>Dilution</w:t>
              </w:r>
            </w:hyperlink>
          </w:p>
        </w:tc>
        <w:tc>
          <w:tcPr>
            <w:tcW w:w="560" w:type="dxa"/>
            <w:vAlign w:val="bottom"/>
            <w:gridSpan w:val="2"/>
          </w:tcPr>
          <w:p>
            <w:pPr>
              <w:jc w:val="center"/>
              <w:ind w:left="238"/>
              <w:spacing w:after="0"/>
              <w:rPr>
                <w:rFonts w:ascii="Arial" w:cs="Arial" w:eastAsia="Arial" w:hAnsi="Arial"/>
                <w:sz w:val="17"/>
                <w:szCs w:val="17"/>
                <w:u w:val="single" w:color="auto"/>
                <w:color w:val="0000FF"/>
              </w:rPr>
            </w:pPr>
            <w:hyperlink w:anchor="page75">
              <w:r>
                <w:rPr>
                  <w:rFonts w:ascii="Arial" w:cs="Arial" w:eastAsia="Arial" w:hAnsi="Arial"/>
                  <w:sz w:val="17"/>
                  <w:szCs w:val="17"/>
                  <w:u w:val="single" w:color="auto"/>
                  <w:color w:val="0000FF"/>
                </w:rPr>
                <w:t>67</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78">
              <w:r>
                <w:rPr>
                  <w:rFonts w:ascii="Arial" w:cs="Arial" w:eastAsia="Arial" w:hAnsi="Arial"/>
                  <w:sz w:val="17"/>
                  <w:szCs w:val="17"/>
                  <w:u w:val="single" w:color="auto"/>
                  <w:color w:val="0000FF"/>
                </w:rPr>
                <w:t>Management’s Discussion and Analysis of Financial Condition and Results of Operations</w:t>
              </w:r>
            </w:hyperlink>
          </w:p>
        </w:tc>
        <w:tc>
          <w:tcPr>
            <w:tcW w:w="560" w:type="dxa"/>
            <w:vAlign w:val="bottom"/>
            <w:gridSpan w:val="2"/>
          </w:tcPr>
          <w:p>
            <w:pPr>
              <w:jc w:val="center"/>
              <w:ind w:left="238"/>
              <w:spacing w:after="0"/>
              <w:rPr>
                <w:rFonts w:ascii="Arial" w:cs="Arial" w:eastAsia="Arial" w:hAnsi="Arial"/>
                <w:sz w:val="17"/>
                <w:szCs w:val="17"/>
                <w:u w:val="single" w:color="auto"/>
                <w:color w:val="0000FF"/>
              </w:rPr>
            </w:pPr>
            <w:hyperlink w:anchor="page78">
              <w:r>
                <w:rPr>
                  <w:rFonts w:ascii="Arial" w:cs="Arial" w:eastAsia="Arial" w:hAnsi="Arial"/>
                  <w:sz w:val="17"/>
                  <w:szCs w:val="17"/>
                  <w:u w:val="single" w:color="auto"/>
                  <w:color w:val="0000FF"/>
                </w:rPr>
                <w:t>70</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360" w:type="dxa"/>
            <w:vAlign w:val="bottom"/>
            <w:gridSpan w:val="4"/>
          </w:tcPr>
          <w:p>
            <w:pPr>
              <w:spacing w:after="0" w:line="183" w:lineRule="exact"/>
              <w:rPr>
                <w:rFonts w:ascii="Arial" w:cs="Arial" w:eastAsia="Arial" w:hAnsi="Arial"/>
                <w:sz w:val="17"/>
                <w:szCs w:val="17"/>
                <w:color w:val="0000FF"/>
              </w:rPr>
            </w:pPr>
            <w:hyperlink w:anchor="page117">
              <w:r>
                <w:rPr>
                  <w:rFonts w:ascii="Arial" w:cs="Arial" w:eastAsia="Arial" w:hAnsi="Arial"/>
                  <w:sz w:val="17"/>
                  <w:szCs w:val="17"/>
                  <w:color w:val="0000FF"/>
                </w:rPr>
                <w:t xml:space="preserve">Letter from </w:t>
              </w:r>
              <w:r>
                <w:rPr>
                  <w:rFonts w:ascii="Arial" w:cs="Arial" w:eastAsia="Arial" w:hAnsi="Arial"/>
                  <w:sz w:val="17"/>
                  <w:szCs w:val="17"/>
                  <w:u w:val="single" w:color="auto"/>
                  <w:color w:val="0000FF"/>
                </w:rPr>
                <w:t>James Reinhart, Co-Founder</w:t>
              </w:r>
              <w:r>
                <w:rPr>
                  <w:rFonts w:ascii="Arial" w:cs="Arial" w:eastAsia="Arial" w:hAnsi="Arial"/>
                  <w:sz w:val="17"/>
                  <w:szCs w:val="17"/>
                  <w:color w:val="0000FF"/>
                </w:rPr>
                <w:t xml:space="preserve"> and Chief Executive Officer</w:t>
              </w:r>
            </w:hyperlink>
          </w:p>
        </w:tc>
        <w:tc>
          <w:tcPr>
            <w:tcW w:w="860" w:type="dxa"/>
            <w:vAlign w:val="bottom"/>
            <w:gridSpan w:val="3"/>
          </w:tcPr>
          <w:p>
            <w:pPr>
              <w:jc w:val="center"/>
              <w:spacing w:after="0" w:line="183" w:lineRule="exact"/>
              <w:rPr>
                <w:rFonts w:ascii="Arial" w:cs="Arial" w:eastAsia="Arial" w:hAnsi="Arial"/>
                <w:sz w:val="17"/>
                <w:szCs w:val="17"/>
                <w:u w:val="single" w:color="auto"/>
                <w:color w:val="0000FF"/>
                <w:w w:val="98"/>
              </w:rPr>
            </w:pPr>
            <w:hyperlink w:anchor="page117">
              <w:r>
                <w:rPr>
                  <w:rFonts w:ascii="Arial" w:cs="Arial" w:eastAsia="Arial" w:hAnsi="Arial"/>
                  <w:sz w:val="17"/>
                  <w:szCs w:val="17"/>
                  <w:u w:val="single" w:color="auto"/>
                  <w:color w:val="0000FF"/>
                  <w:w w:val="98"/>
                </w:rPr>
                <w:t>109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360" w:type="dxa"/>
            <w:vAlign w:val="bottom"/>
            <w:gridSpan w:val="4"/>
          </w:tcPr>
          <w:p>
            <w:pPr>
              <w:spacing w:after="0"/>
              <w:rPr>
                <w:rFonts w:ascii="Arial" w:cs="Arial" w:eastAsia="Arial" w:hAnsi="Arial"/>
                <w:sz w:val="17"/>
                <w:szCs w:val="17"/>
                <w:u w:val="single" w:color="auto"/>
                <w:color w:val="0000FF"/>
              </w:rPr>
            </w:pPr>
            <w:hyperlink w:anchor="page119">
              <w:r>
                <w:rPr>
                  <w:rFonts w:ascii="Arial" w:cs="Arial" w:eastAsia="Arial" w:hAnsi="Arial"/>
                  <w:sz w:val="17"/>
                  <w:szCs w:val="17"/>
                  <w:u w:val="single" w:color="auto"/>
                  <w:color w:val="0000FF"/>
                </w:rPr>
                <w:t>Business</w:t>
              </w:r>
            </w:hyperlink>
          </w:p>
        </w:tc>
        <w:tc>
          <w:tcPr>
            <w:tcW w:w="860" w:type="dxa"/>
            <w:vAlign w:val="bottom"/>
            <w:gridSpan w:val="3"/>
          </w:tcPr>
          <w:p>
            <w:pPr>
              <w:jc w:val="center"/>
              <w:spacing w:after="0"/>
              <w:rPr>
                <w:rFonts w:ascii="Arial" w:cs="Arial" w:eastAsia="Arial" w:hAnsi="Arial"/>
                <w:sz w:val="17"/>
                <w:szCs w:val="17"/>
                <w:u w:val="single" w:color="auto"/>
                <w:color w:val="0000FF"/>
                <w:w w:val="84"/>
              </w:rPr>
            </w:pPr>
            <w:hyperlink w:anchor="page119">
              <w:r>
                <w:rPr>
                  <w:rFonts w:ascii="Arial" w:cs="Arial" w:eastAsia="Arial" w:hAnsi="Arial"/>
                  <w:sz w:val="17"/>
                  <w:szCs w:val="17"/>
                  <w:u w:val="single" w:color="auto"/>
                  <w:color w:val="0000FF"/>
                  <w:w w:val="84"/>
                </w:rPr>
                <w:t>111</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144">
              <w:r>
                <w:rPr>
                  <w:rFonts w:ascii="Arial" w:cs="Arial" w:eastAsia="Arial" w:hAnsi="Arial"/>
                  <w:sz w:val="17"/>
                  <w:szCs w:val="17"/>
                  <w:u w:val="single" w:color="auto"/>
                  <w:color w:val="0000FF"/>
                </w:rPr>
                <w:t>Our ESG (Environmental, Social and Governance) Efforts</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144">
              <w:r>
                <w:rPr>
                  <w:rFonts w:ascii="Arial" w:cs="Arial" w:eastAsia="Arial" w:hAnsi="Arial"/>
                  <w:sz w:val="17"/>
                  <w:szCs w:val="17"/>
                  <w:u w:val="single" w:color="auto"/>
                  <w:color w:val="0000FF"/>
                  <w:w w:val="98"/>
                </w:rPr>
                <w:t>136</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147">
              <w:r>
                <w:rPr>
                  <w:rFonts w:ascii="Arial" w:cs="Arial" w:eastAsia="Arial" w:hAnsi="Arial"/>
                  <w:sz w:val="17"/>
                  <w:szCs w:val="17"/>
                  <w:u w:val="single" w:color="auto"/>
                  <w:color w:val="0000FF"/>
                </w:rPr>
                <w:t>Management</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147">
              <w:r>
                <w:rPr>
                  <w:rFonts w:ascii="Arial" w:cs="Arial" w:eastAsia="Arial" w:hAnsi="Arial"/>
                  <w:sz w:val="17"/>
                  <w:szCs w:val="17"/>
                  <w:u w:val="single" w:color="auto"/>
                  <w:color w:val="0000FF"/>
                  <w:w w:val="98"/>
                </w:rPr>
                <w:t>139</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158">
              <w:r>
                <w:rPr>
                  <w:rFonts w:ascii="Arial" w:cs="Arial" w:eastAsia="Arial" w:hAnsi="Arial"/>
                  <w:sz w:val="17"/>
                  <w:szCs w:val="17"/>
                  <w:u w:val="single" w:color="auto"/>
                  <w:color w:val="0000FF"/>
                </w:rPr>
                <w:t>Executive Compensation</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158">
              <w:r>
                <w:rPr>
                  <w:rFonts w:ascii="Arial" w:cs="Arial" w:eastAsia="Arial" w:hAnsi="Arial"/>
                  <w:sz w:val="17"/>
                  <w:szCs w:val="17"/>
                  <w:u w:val="single" w:color="auto"/>
                  <w:color w:val="0000FF"/>
                  <w:w w:val="98"/>
                </w:rPr>
                <w:t>150</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169">
              <w:r>
                <w:rPr>
                  <w:rFonts w:ascii="Arial" w:cs="Arial" w:eastAsia="Arial" w:hAnsi="Arial"/>
                  <w:sz w:val="17"/>
                  <w:szCs w:val="17"/>
                  <w:u w:val="single" w:color="auto"/>
                  <w:color w:val="0000FF"/>
                </w:rPr>
                <w:t>Certain Relationships and Related Party Transactions</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169">
              <w:r>
                <w:rPr>
                  <w:rFonts w:ascii="Arial" w:cs="Arial" w:eastAsia="Arial" w:hAnsi="Arial"/>
                  <w:sz w:val="17"/>
                  <w:szCs w:val="17"/>
                  <w:u w:val="single" w:color="auto"/>
                  <w:color w:val="0000FF"/>
                  <w:w w:val="98"/>
                </w:rPr>
                <w:t>161</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175">
              <w:r>
                <w:rPr>
                  <w:rFonts w:ascii="Arial" w:cs="Arial" w:eastAsia="Arial" w:hAnsi="Arial"/>
                  <w:sz w:val="17"/>
                  <w:szCs w:val="17"/>
                  <w:u w:val="single" w:color="auto"/>
                  <w:color w:val="0000FF"/>
                </w:rPr>
                <w:t>Principal Stockholders</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175">
              <w:r>
                <w:rPr>
                  <w:rFonts w:ascii="Arial" w:cs="Arial" w:eastAsia="Arial" w:hAnsi="Arial"/>
                  <w:sz w:val="17"/>
                  <w:szCs w:val="17"/>
                  <w:u w:val="single" w:color="auto"/>
                  <w:color w:val="0000FF"/>
                  <w:w w:val="98"/>
                </w:rPr>
                <w:t>167</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179">
              <w:r>
                <w:rPr>
                  <w:rFonts w:ascii="Arial" w:cs="Arial" w:eastAsia="Arial" w:hAnsi="Arial"/>
                  <w:sz w:val="17"/>
                  <w:szCs w:val="17"/>
                  <w:u w:val="single" w:color="auto"/>
                  <w:color w:val="0000FF"/>
                </w:rPr>
                <w:t>Description of Capital Stock</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179">
              <w:r>
                <w:rPr>
                  <w:rFonts w:ascii="Arial" w:cs="Arial" w:eastAsia="Arial" w:hAnsi="Arial"/>
                  <w:sz w:val="17"/>
                  <w:szCs w:val="17"/>
                  <w:u w:val="single" w:color="auto"/>
                  <w:color w:val="0000FF"/>
                  <w:w w:val="98"/>
                </w:rPr>
                <w:t>171</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185">
              <w:r>
                <w:rPr>
                  <w:rFonts w:ascii="Arial" w:cs="Arial" w:eastAsia="Arial" w:hAnsi="Arial"/>
                  <w:sz w:val="17"/>
                  <w:szCs w:val="17"/>
                  <w:u w:val="single" w:color="auto"/>
                  <w:color w:val="0000FF"/>
                </w:rPr>
                <w:t>Shares Eligible for Future Sale</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185">
              <w:r>
                <w:rPr>
                  <w:rFonts w:ascii="Arial" w:cs="Arial" w:eastAsia="Arial" w:hAnsi="Arial"/>
                  <w:sz w:val="17"/>
                  <w:szCs w:val="17"/>
                  <w:u w:val="single" w:color="auto"/>
                  <w:color w:val="0000FF"/>
                  <w:w w:val="98"/>
                </w:rPr>
                <w:t>177</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190">
              <w:r>
                <w:rPr>
                  <w:rFonts w:ascii="Arial" w:cs="Arial" w:eastAsia="Arial" w:hAnsi="Arial"/>
                  <w:sz w:val="17"/>
                  <w:szCs w:val="17"/>
                  <w:u w:val="single" w:color="auto"/>
                  <w:color w:val="0000FF"/>
                </w:rPr>
                <w:t>Material U.S. Federal Income Tax Consequences to Non-U.S. Holders</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190">
              <w:r>
                <w:rPr>
                  <w:rFonts w:ascii="Arial" w:cs="Arial" w:eastAsia="Arial" w:hAnsi="Arial"/>
                  <w:sz w:val="17"/>
                  <w:szCs w:val="17"/>
                  <w:u w:val="single" w:color="auto"/>
                  <w:color w:val="0000FF"/>
                  <w:w w:val="98"/>
                </w:rPr>
                <w:t>182</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195">
              <w:r>
                <w:rPr>
                  <w:rFonts w:ascii="Arial" w:cs="Arial" w:eastAsia="Arial" w:hAnsi="Arial"/>
                  <w:sz w:val="17"/>
                  <w:szCs w:val="17"/>
                  <w:u w:val="single" w:color="auto"/>
                  <w:color w:val="0000FF"/>
                </w:rPr>
                <w:t>Underwriting</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195">
              <w:r>
                <w:rPr>
                  <w:rFonts w:ascii="Arial" w:cs="Arial" w:eastAsia="Arial" w:hAnsi="Arial"/>
                  <w:sz w:val="17"/>
                  <w:szCs w:val="17"/>
                  <w:u w:val="single" w:color="auto"/>
                  <w:color w:val="0000FF"/>
                  <w:w w:val="98"/>
                </w:rPr>
                <w:t>187</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201">
              <w:r>
                <w:rPr>
                  <w:rFonts w:ascii="Arial" w:cs="Arial" w:eastAsia="Arial" w:hAnsi="Arial"/>
                  <w:sz w:val="17"/>
                  <w:szCs w:val="17"/>
                  <w:u w:val="single" w:color="auto"/>
                  <w:color w:val="0000FF"/>
                </w:rPr>
                <w:t>Legal Matters</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201">
              <w:r>
                <w:rPr>
                  <w:rFonts w:ascii="Arial" w:cs="Arial" w:eastAsia="Arial" w:hAnsi="Arial"/>
                  <w:sz w:val="17"/>
                  <w:szCs w:val="17"/>
                  <w:u w:val="single" w:color="auto"/>
                  <w:color w:val="0000FF"/>
                  <w:w w:val="98"/>
                </w:rPr>
                <w:t>193</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202">
              <w:r>
                <w:rPr>
                  <w:rFonts w:ascii="Arial" w:cs="Arial" w:eastAsia="Arial" w:hAnsi="Arial"/>
                  <w:sz w:val="17"/>
                  <w:szCs w:val="17"/>
                  <w:u w:val="single" w:color="auto"/>
                  <w:color w:val="0000FF"/>
                </w:rPr>
                <w:t>Experts</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202">
              <w:r>
                <w:rPr>
                  <w:rFonts w:ascii="Arial" w:cs="Arial" w:eastAsia="Arial" w:hAnsi="Arial"/>
                  <w:sz w:val="17"/>
                  <w:szCs w:val="17"/>
                  <w:u w:val="single" w:color="auto"/>
                  <w:color w:val="0000FF"/>
                  <w:w w:val="98"/>
                </w:rPr>
                <w:t>193</w:t>
              </w:r>
            </w:hyperlink>
          </w:p>
        </w:tc>
        <w:tc>
          <w:tcPr>
            <w:tcW w:w="0" w:type="dxa"/>
            <w:vAlign w:val="bottom"/>
          </w:tcPr>
          <w:p>
            <w:pPr>
              <w:spacing w:after="0"/>
              <w:rPr>
                <w:sz w:val="1"/>
                <w:szCs w:val="1"/>
                <w:color w:val="auto"/>
              </w:rPr>
            </w:pPr>
          </w:p>
        </w:tc>
      </w:tr>
      <w:tr>
        <w:trPr>
          <w:trHeight w:val="212"/>
        </w:trPr>
        <w:tc>
          <w:tcPr>
            <w:tcW w:w="10360" w:type="dxa"/>
            <w:vAlign w:val="bottom"/>
            <w:gridSpan w:val="4"/>
          </w:tcPr>
          <w:p>
            <w:pPr>
              <w:spacing w:after="0"/>
              <w:rPr>
                <w:rFonts w:ascii="Arial" w:cs="Arial" w:eastAsia="Arial" w:hAnsi="Arial"/>
                <w:sz w:val="17"/>
                <w:szCs w:val="17"/>
                <w:u w:val="single" w:color="auto"/>
                <w:color w:val="0000FF"/>
              </w:rPr>
            </w:pPr>
            <w:hyperlink w:anchor="page202">
              <w:r>
                <w:rPr>
                  <w:rFonts w:ascii="Arial" w:cs="Arial" w:eastAsia="Arial" w:hAnsi="Arial"/>
                  <w:sz w:val="17"/>
                  <w:szCs w:val="17"/>
                  <w:u w:val="single" w:color="auto"/>
                  <w:color w:val="0000FF"/>
                </w:rPr>
                <w:t>Additional Information</w:t>
              </w:r>
            </w:hyperlink>
          </w:p>
        </w:tc>
        <w:tc>
          <w:tcPr>
            <w:tcW w:w="860" w:type="dxa"/>
            <w:vAlign w:val="bottom"/>
            <w:gridSpan w:val="3"/>
          </w:tcPr>
          <w:p>
            <w:pPr>
              <w:jc w:val="center"/>
              <w:spacing w:after="0"/>
              <w:rPr>
                <w:rFonts w:ascii="Arial" w:cs="Arial" w:eastAsia="Arial" w:hAnsi="Arial"/>
                <w:sz w:val="17"/>
                <w:szCs w:val="17"/>
                <w:u w:val="single" w:color="auto"/>
                <w:color w:val="0000FF"/>
                <w:w w:val="98"/>
              </w:rPr>
            </w:pPr>
            <w:hyperlink w:anchor="page202">
              <w:r>
                <w:rPr>
                  <w:rFonts w:ascii="Arial" w:cs="Arial" w:eastAsia="Arial" w:hAnsi="Arial"/>
                  <w:sz w:val="17"/>
                  <w:szCs w:val="17"/>
                  <w:u w:val="single" w:color="auto"/>
                  <w:color w:val="0000FF"/>
                  <w:w w:val="98"/>
                </w:rPr>
                <w:t>193</w:t>
              </w:r>
            </w:hyperlink>
          </w:p>
        </w:tc>
        <w:tc>
          <w:tcPr>
            <w:tcW w:w="0" w:type="dxa"/>
            <w:vAlign w:val="bottom"/>
          </w:tcPr>
          <w:p>
            <w:pPr>
              <w:spacing w:after="0"/>
              <w:rPr>
                <w:sz w:val="1"/>
                <w:szCs w:val="1"/>
                <w:color w:val="auto"/>
              </w:rPr>
            </w:pPr>
          </w:p>
        </w:tc>
      </w:tr>
      <w:tr>
        <w:trPr>
          <w:trHeight w:val="183"/>
        </w:trPr>
        <w:tc>
          <w:tcPr>
            <w:tcW w:w="10360" w:type="dxa"/>
            <w:vAlign w:val="bottom"/>
            <w:gridSpan w:val="4"/>
          </w:tcPr>
          <w:p>
            <w:pPr>
              <w:spacing w:after="0" w:line="183" w:lineRule="exact"/>
              <w:rPr>
                <w:rFonts w:ascii="Arial" w:cs="Arial" w:eastAsia="Arial" w:hAnsi="Arial"/>
                <w:sz w:val="17"/>
                <w:szCs w:val="17"/>
                <w:u w:val="single" w:color="auto"/>
                <w:color w:val="0000FF"/>
              </w:rPr>
            </w:pPr>
            <w:hyperlink w:anchor="page202">
              <w:r>
                <w:rPr>
                  <w:rFonts w:ascii="Arial" w:cs="Arial" w:eastAsia="Arial" w:hAnsi="Arial"/>
                  <w:sz w:val="17"/>
                  <w:szCs w:val="17"/>
                  <w:u w:val="single" w:color="auto"/>
                  <w:color w:val="0000FF"/>
                </w:rPr>
                <w:t>Index to Consolidated Financial Statements</w:t>
              </w:r>
            </w:hyperlink>
          </w:p>
        </w:tc>
        <w:tc>
          <w:tcPr>
            <w:tcW w:w="320" w:type="dxa"/>
            <w:vAlign w:val="bottom"/>
          </w:tcPr>
          <w:p>
            <w:pPr>
              <w:spacing w:after="0"/>
              <w:rPr>
                <w:sz w:val="15"/>
                <w:szCs w:val="15"/>
                <w:color w:val="auto"/>
              </w:rPr>
            </w:pPr>
          </w:p>
        </w:tc>
        <w:tc>
          <w:tcPr>
            <w:tcW w:w="540" w:type="dxa"/>
            <w:vAlign w:val="bottom"/>
            <w:gridSpan w:val="2"/>
          </w:tcPr>
          <w:p>
            <w:pPr>
              <w:jc w:val="center"/>
              <w:ind w:right="300"/>
              <w:spacing w:after="0" w:line="183" w:lineRule="exact"/>
              <w:rPr>
                <w:rFonts w:ascii="Arial" w:cs="Arial" w:eastAsia="Arial" w:hAnsi="Arial"/>
                <w:sz w:val="17"/>
                <w:szCs w:val="17"/>
                <w:color w:val="0000FF"/>
                <w:w w:val="93"/>
              </w:rPr>
            </w:pPr>
            <w:hyperlink w:anchor="page202">
              <w:r>
                <w:rPr>
                  <w:rFonts w:ascii="Arial" w:cs="Arial" w:eastAsia="Arial" w:hAnsi="Arial"/>
                  <w:sz w:val="17"/>
                  <w:szCs w:val="17"/>
                  <w:color w:val="0000FF"/>
                  <w:w w:val="93"/>
                </w:rPr>
                <w:t>F-1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126365</wp:posOffset>
            </wp:positionV>
            <wp:extent cx="151701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015" cy="7620"/>
                    </a:xfrm>
                    <a:prstGeom prst="rect">
                      <a:avLst/>
                    </a:prstGeom>
                    <a:noFill/>
                  </pic:spPr>
                </pic:pic>
              </a:graphicData>
            </a:graphic>
          </wp:anchor>
        </w:drawing>
      </w:r>
    </w:p>
    <w:p>
      <w:pPr>
        <w:spacing w:after="0" w:line="256"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7"/>
          <w:szCs w:val="17"/>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25400</wp:posOffset>
            </wp:positionV>
            <wp:extent cx="15170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7620"/>
                    </a:xfrm>
                    <a:prstGeom prst="rect">
                      <a:avLst/>
                    </a:prstGeom>
                    <a:noFill/>
                  </pic:spPr>
                </pic:pic>
              </a:graphicData>
            </a:graphic>
          </wp:anchor>
        </w:drawing>
      </w:r>
    </w:p>
    <w:p>
      <w:pPr>
        <w:spacing w:after="0" w:line="99"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or the SEC. Neither we nor any of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results of operations, financial condition and prospects may have changed since such date.</w:t>
      </w:r>
    </w:p>
    <w:p>
      <w:pPr>
        <w:spacing w:after="0" w:line="12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5633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7560" cy="656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PROSPECTUS SUMMARY</w:t>
      </w:r>
    </w:p>
    <w:p>
      <w:pPr>
        <w:spacing w:after="0" w:line="157" w:lineRule="exact"/>
        <w:rPr>
          <w:sz w:val="20"/>
          <w:szCs w:val="20"/>
          <w:color w:val="auto"/>
        </w:rPr>
      </w:pPr>
    </w:p>
    <w:p>
      <w:pPr>
        <w:jc w:val="both"/>
        <w:ind w:left="620" w:firstLine="299"/>
        <w:spacing w:after="0" w:line="249"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in this prospectus. This summary does not contain all of the information you should consider before investing in our Class A common stock and is qualified in its entirety by, and should be read in conjunction with, the more detailed information appearing elsewhere in this prospectus.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“thredUP,” “the company,” “we,” “us” and “our” in this prospectus refer to ThredUp Inc. and its consolidated subsidiaries.</w:t>
      </w:r>
    </w:p>
    <w:p>
      <w:pPr>
        <w:spacing w:after="0" w:line="119"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THREDUP INC.</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Mission</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mission is to inspire a new generation of consumers to think secondhand first.</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That means…</w:t>
      </w:r>
    </w:p>
    <w:p>
      <w:pPr>
        <w:spacing w:after="0" w:line="153" w:lineRule="exact"/>
        <w:rPr>
          <w:sz w:val="20"/>
          <w:szCs w:val="20"/>
          <w:color w:val="auto"/>
        </w:rPr>
      </w:pPr>
    </w:p>
    <w:p>
      <w:pPr>
        <w:ind w:left="1220" w:right="20" w:hanging="308"/>
        <w:spacing w:after="0" w:line="277" w:lineRule="auto"/>
        <w:tabs>
          <w:tab w:leader="none" w:pos="1216" w:val="left"/>
        </w:tabs>
        <w:numPr>
          <w:ilvl w:val="0"/>
          <w:numId w:val="2"/>
        </w:numPr>
        <w:rPr>
          <w:rFonts w:ascii="Arial" w:cs="Arial" w:eastAsia="Arial" w:hAnsi="Arial"/>
          <w:sz w:val="17"/>
          <w:szCs w:val="17"/>
          <w:color w:val="auto"/>
        </w:rPr>
      </w:pPr>
      <w:r>
        <w:rPr>
          <w:rFonts w:ascii="Arial" w:cs="Arial" w:eastAsia="Arial" w:hAnsi="Arial"/>
          <w:sz w:val="17"/>
          <w:szCs w:val="17"/>
          <w:color w:val="auto"/>
        </w:rPr>
        <w:t>Enabling a generation of new buyers to effortlessly find high-quality secondhand items from brands they love at incredible prices, while delivering the joy, selection and engagement of online shopping;</w:t>
      </w:r>
    </w:p>
    <w:p>
      <w:pPr>
        <w:spacing w:after="0" w:line="96"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2"/>
        </w:numPr>
        <w:rPr>
          <w:rFonts w:ascii="Arial" w:cs="Arial" w:eastAsia="Arial" w:hAnsi="Arial"/>
          <w:sz w:val="17"/>
          <w:szCs w:val="17"/>
          <w:color w:val="auto"/>
        </w:rPr>
      </w:pPr>
      <w:r>
        <w:rPr>
          <w:rFonts w:ascii="Arial" w:cs="Arial" w:eastAsia="Arial" w:hAnsi="Arial"/>
          <w:sz w:val="17"/>
          <w:szCs w:val="17"/>
          <w:color w:val="auto"/>
        </w:rPr>
        <w:t>Enabling a generation of new sellers to participate in the resale economy by helping sellers conveniently clean out their closets and earn a payout or a charitable donation receipt for the items they no longer wear; and</w:t>
      </w:r>
    </w:p>
    <w:p>
      <w:pPr>
        <w:spacing w:after="0" w:line="96"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2"/>
        </w:numPr>
        <w:rPr>
          <w:rFonts w:ascii="Arial" w:cs="Arial" w:eastAsia="Arial" w:hAnsi="Arial"/>
          <w:sz w:val="17"/>
          <w:szCs w:val="17"/>
          <w:color w:val="auto"/>
        </w:rPr>
      </w:pPr>
      <w:r>
        <w:rPr>
          <w:rFonts w:ascii="Arial" w:cs="Arial" w:eastAsia="Arial" w:hAnsi="Arial"/>
          <w:sz w:val="17"/>
          <w:szCs w:val="17"/>
          <w:color w:val="auto"/>
        </w:rPr>
        <w:t>Enabling brands and retailers to deliver modern resale experiences that help their consumers shop in more environmentally sustainable ways.</w:t>
      </w:r>
    </w:p>
    <w:p>
      <w:pPr>
        <w:spacing w:after="0" w:line="96" w:lineRule="exact"/>
        <w:rPr>
          <w:sz w:val="20"/>
          <w:szCs w:val="20"/>
          <w:color w:val="auto"/>
        </w:rPr>
      </w:pPr>
    </w:p>
    <w:p>
      <w:pPr>
        <w:jc w:val="both"/>
        <w:ind w:left="620" w:firstLine="299"/>
        <w:spacing w:after="0" w:line="255" w:lineRule="auto"/>
        <w:rPr>
          <w:sz w:val="20"/>
          <w:szCs w:val="20"/>
          <w:color w:val="auto"/>
        </w:rPr>
      </w:pPr>
      <w:r>
        <w:rPr>
          <w:rFonts w:ascii="Arial" w:cs="Arial" w:eastAsia="Arial" w:hAnsi="Arial"/>
          <w:sz w:val="17"/>
          <w:szCs w:val="17"/>
          <w:color w:val="auto"/>
        </w:rPr>
        <w:t>We are a mission-driven company. Our core business creates a positive impact to the benefit of our buyers, sellers, partners, employees, investors and the environment. Our management team – with an average tenure of nearly seven years – lives our mission every day while maintaining a focus on our long-term vision. This commitment and the transformation of resale are central to our continuing success.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Overview</w:t>
      </w:r>
    </w:p>
    <w:p>
      <w:pPr>
        <w:spacing w:after="0" w:line="155" w:lineRule="exact"/>
        <w:rPr>
          <w:sz w:val="20"/>
          <w:szCs w:val="20"/>
          <w:color w:val="auto"/>
        </w:rPr>
      </w:pPr>
    </w:p>
    <w:p>
      <w:pPr>
        <w:jc w:val="both"/>
        <w:ind w:left="620" w:firstLine="299"/>
        <w:spacing w:after="0" w:line="229" w:lineRule="auto"/>
        <w:rPr>
          <w:sz w:val="20"/>
          <w:szCs w:val="20"/>
          <w:color w:val="auto"/>
        </w:rPr>
      </w:pPr>
      <w:r>
        <w:rPr>
          <w:rFonts w:ascii="Arial" w:cs="Arial" w:eastAsia="Arial" w:hAnsi="Arial"/>
          <w:sz w:val="17"/>
          <w:szCs w:val="17"/>
          <w:color w:val="auto"/>
        </w:rPr>
        <w:t>thredUP is one of the world’s largest online resale platforms for women’s and kids’ apparel, shoes and accessories.</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Our custom-built operating platform is powering the rapidly emerging resale economy, the fastest growing sector in retail, according to the GlobalData Market Survey. As of December 31, 2020, we had 1.24 million Active Buyers and 428,000 Active Sellers. thredUP’s platform consists of distributed processing infrastructure, proprietary software and systems and data science expertise. Since our founding in 2009, we have processed over 100 million unique secondhand items from 35,000 brands across 100 categories, saving our buyers an estimated $3.3 billion off estimated retail price.</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We estimate that we have positively impacted the environment by saving 1.0 billion pounds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2.0 billion kWh of energy and 4.4 billion gallons of water simply by empowering consumers to buy and sell secondhand. The traditional fashion industry is one of the most environmentally damaging sectors in the global economy and we believe our scalable resale business model is a powerful solution to the fashion industry’s wastefulness.</w:t>
      </w:r>
    </w:p>
    <w:p>
      <w:pPr>
        <w:spacing w:after="0" w:line="221" w:lineRule="exact"/>
        <w:rPr>
          <w:sz w:val="20"/>
          <w:szCs w:val="20"/>
          <w:color w:val="auto"/>
        </w:rPr>
      </w:pPr>
    </w:p>
    <w:p>
      <w:pPr>
        <w:ind w:left="880" w:hanging="267"/>
        <w:spacing w:after="0"/>
        <w:tabs>
          <w:tab w:leader="none" w:pos="8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Based primarily on items processed, items sold and the capacity of our distribution centers.</w:t>
      </w:r>
    </w:p>
    <w:p>
      <w:pPr>
        <w:spacing w:after="0" w:line="7" w:lineRule="exact"/>
        <w:rPr>
          <w:sz w:val="20"/>
          <w:szCs w:val="20"/>
          <w:color w:val="auto"/>
        </w:rPr>
      </w:pPr>
    </w:p>
    <w:p>
      <w:pPr>
        <w:jc w:val="both"/>
        <w:ind w:left="920" w:right="20" w:hanging="307"/>
        <w:spacing w:after="0" w:line="225" w:lineRule="auto"/>
        <w:tabs>
          <w:tab w:leader="none" w:pos="869" w:val="left"/>
        </w:tabs>
        <w:numPr>
          <w:ilvl w:val="0"/>
          <w:numId w:val="4"/>
        </w:numPr>
        <w:rPr>
          <w:rFonts w:ascii="Arial" w:cs="Arial" w:eastAsia="Arial" w:hAnsi="Arial"/>
          <w:sz w:val="22"/>
          <w:szCs w:val="22"/>
          <w:color w:val="auto"/>
          <w:vertAlign w:val="superscript"/>
        </w:rPr>
      </w:pPr>
      <w:r>
        <w:rPr>
          <w:rFonts w:ascii="Arial" w:cs="Arial" w:eastAsia="Arial" w:hAnsi="Arial"/>
          <w:sz w:val="15"/>
          <w:szCs w:val="15"/>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40"/>
          </w:cols>
          <w:pgMar w:left="320" w:top="118" w:right="9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508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7560" cy="650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620" w:firstLine="299"/>
        <w:spacing w:after="0" w:line="248" w:lineRule="auto"/>
        <w:rPr>
          <w:sz w:val="20"/>
          <w:szCs w:val="20"/>
          <w:color w:val="auto"/>
        </w:rPr>
      </w:pPr>
      <w:r>
        <w:rPr>
          <w:rFonts w:ascii="Arial" w:cs="Arial" w:eastAsia="Arial" w:hAnsi="Arial"/>
          <w:sz w:val="17"/>
          <w:szCs w:val="17"/>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Resale-as-a-Service, or RaaS, offering. We believe RaaS will accelerate the growth of this emerging category and form the backbone of the modern resale experience.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built a differentiated and defensible operating platform to enable resale at scale, combining:</w:t>
      </w:r>
    </w:p>
    <w:p>
      <w:pPr>
        <w:spacing w:after="0" w:line="151" w:lineRule="exact"/>
        <w:rPr>
          <w:sz w:val="20"/>
          <w:szCs w:val="20"/>
          <w:color w:val="auto"/>
        </w:rPr>
      </w:pPr>
    </w:p>
    <w:p>
      <w:pPr>
        <w:jc w:val="both"/>
        <w:ind w:left="1220" w:hanging="308"/>
        <w:spacing w:after="0" w:line="250" w:lineRule="auto"/>
        <w:tabs>
          <w:tab w:leader="none" w:pos="121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Distributed Processing Infrastructure. </w:t>
      </w:r>
      <w:r>
        <w:rPr>
          <w:rFonts w:ascii="Arial" w:cs="Arial" w:eastAsia="Arial" w:hAnsi="Arial"/>
          <w:sz w:val="17"/>
          <w:szCs w:val="17"/>
          <w:color w:val="auto"/>
        </w:rPr>
        <w:t>Our infrastructure is purpose-built for “single SKU” logistics, meaning that every item</w:t>
      </w:r>
      <w:r>
        <w:rPr>
          <w:rFonts w:ascii="Arial" w:cs="Arial" w:eastAsia="Arial" w:hAnsi="Arial"/>
          <w:sz w:val="17"/>
          <w:szCs w:val="17"/>
          <w:b w:val="1"/>
          <w:bCs w:val="1"/>
          <w:color w:val="auto"/>
        </w:rPr>
        <w:t xml:space="preserve"> </w:t>
      </w:r>
      <w:r>
        <w:rPr>
          <w:rFonts w:ascii="Arial" w:cs="Arial" w:eastAsia="Arial" w:hAnsi="Arial"/>
          <w:sz w:val="17"/>
          <w:szCs w:val="17"/>
          <w:color w:val="auto"/>
        </w:rPr>
        <w:t>processed is unique, came from or belongs to an individual seller and is individually tracked using its own stock keeping unit, or SKU. We believe our logistics and infrastructure have never been executed at our scale in the online resale market. We operate distribution centers that can collectively hold 5.5 million items in three strategic locations across the country. Our operations are highly scalable, and we have the ability to process more than 100,000 unique SKUs per day across our existing distribution footprint. We drive continuous operational efficiency through proprietary technology and ongoing automation of our infrastructure.</w:t>
      </w:r>
    </w:p>
    <w:p>
      <w:pPr>
        <w:spacing w:after="0" w:line="117" w:lineRule="exact"/>
        <w:rPr>
          <w:rFonts w:ascii="Arial" w:cs="Arial" w:eastAsia="Arial" w:hAnsi="Arial"/>
          <w:sz w:val="17"/>
          <w:szCs w:val="17"/>
          <w:color w:val="auto"/>
        </w:rPr>
      </w:pPr>
    </w:p>
    <w:p>
      <w:pPr>
        <w:jc w:val="both"/>
        <w:ind w:left="1220" w:hanging="308"/>
        <w:spacing w:after="0" w:line="253" w:lineRule="auto"/>
        <w:tabs>
          <w:tab w:leader="none" w:pos="121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Proprietary Software and Systems. </w:t>
      </w:r>
      <w:r>
        <w:rPr>
          <w:rFonts w:ascii="Arial" w:cs="Arial" w:eastAsia="Arial" w:hAnsi="Arial"/>
          <w:sz w:val="17"/>
          <w:szCs w:val="17"/>
          <w:color w:val="auto"/>
        </w:rPr>
        <w:t>Our facilities run on a suite of our custom-built applications designed for “single SKU”</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Our engineering team has implemented large-scale, innovative and patented automation for put-away, storage, picking and packing at scale. This automation results in reduced labor and fixed costs while increasing storage density and throughput capacity. Our proprietary software, systems and processes enable efficient quality assurance, item-attribution, sizing and photography.</w:t>
      </w:r>
    </w:p>
    <w:p>
      <w:pPr>
        <w:spacing w:after="0" w:line="114" w:lineRule="exact"/>
        <w:rPr>
          <w:rFonts w:ascii="Arial" w:cs="Arial" w:eastAsia="Arial" w:hAnsi="Arial"/>
          <w:sz w:val="17"/>
          <w:szCs w:val="17"/>
          <w:color w:val="auto"/>
        </w:rPr>
      </w:pPr>
    </w:p>
    <w:p>
      <w:pPr>
        <w:jc w:val="both"/>
        <w:ind w:left="1220" w:hanging="308"/>
        <w:spacing w:after="0" w:line="251" w:lineRule="auto"/>
        <w:tabs>
          <w:tab w:leader="none" w:pos="121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Data Science Expertise. </w:t>
      </w:r>
      <w:r>
        <w:rPr>
          <w:rFonts w:ascii="Arial" w:cs="Arial" w:eastAsia="Arial" w:hAnsi="Arial"/>
          <w:sz w:val="17"/>
          <w:szCs w:val="17"/>
          <w:color w:val="auto"/>
        </w:rPr>
        <w:t>There are no barcodes on clothing, so we invented a real-time database to identify, categorize and</w:t>
      </w:r>
      <w:r>
        <w:rPr>
          <w:rFonts w:ascii="Arial" w:cs="Arial" w:eastAsia="Arial" w:hAnsi="Arial"/>
          <w:sz w:val="17"/>
          <w:szCs w:val="17"/>
          <w:b w:val="1"/>
          <w:bCs w:val="1"/>
          <w:color w:val="auto"/>
        </w:rPr>
        <w:t xml:space="preserve"> </w:t>
      </w:r>
      <w:r>
        <w:rPr>
          <w:rFonts w:ascii="Arial" w:cs="Arial" w:eastAsia="Arial" w:hAnsi="Arial"/>
          <w:sz w:val="17"/>
          <w:szCs w:val="17"/>
          <w:color w:val="auto"/>
        </w:rPr>
        <w:t>value each secondhand clothing item that we receive. We continue to expand our proprietary data set that spans over 100 million unique secondhand items processed across 35,000 brands and 100 categories. We harness this robust, structured data set across our business to optimize economic decisions, such as pricing, seller payouts, item acceptance, merchandising and sell-through. We also leverage data to power efficient customer acquisition and lifetime engagement, and to provide a personalized shopping experience.</w:t>
      </w:r>
    </w:p>
    <w:p>
      <w:pPr>
        <w:spacing w:after="0" w:line="119" w:lineRule="exact"/>
        <w:rPr>
          <w:sz w:val="20"/>
          <w:szCs w:val="20"/>
          <w:color w:val="auto"/>
        </w:rPr>
      </w:pPr>
    </w:p>
    <w:p>
      <w:pPr>
        <w:jc w:val="both"/>
        <w:ind w:left="620" w:firstLine="299"/>
        <w:spacing w:after="0" w:line="249" w:lineRule="auto"/>
        <w:rPr>
          <w:sz w:val="20"/>
          <w:szCs w:val="20"/>
          <w:color w:val="auto"/>
        </w:rPr>
      </w:pPr>
      <w:r>
        <w:rPr>
          <w:rFonts w:ascii="Arial" w:cs="Arial" w:eastAsia="Arial" w:hAnsi="Arial"/>
          <w:sz w:val="17"/>
          <w:szCs w:val="17"/>
          <w:color w:val="auto"/>
        </w:rPr>
        <w:t>We generate revenue from items that are sold to buyers on our website and mobile app and through our RaaS partners. We operate with consignment sales and direct product sales. In 2019, we shifted to primarily consignment sales. With consignment sales, we recognize revenue net of seller payouts, and cost of revenue includes outbound shipping, outbound labor and packaging costs. With direct product sales, we recognize revenue on a gross basis, and cost of revenue includes inventory cost, inbound shipping and inventory write-downs, as well as outbound shipping, outbound labor and packaging costs. With both consignment sales and direct product sales, we optimize for gross profit dollar growth, which was 43% in 2018, 44% in 2019 and 14% in 2020. 2020 gross profit dollar growth slowed primarily due to the overall impact of the COVID-19 pandemic, including lower demand for apparel in general, higher discounts and incentives plus fewer secondhand items being listed for sale on our marketplace.</w:t>
      </w:r>
    </w:p>
    <w:p>
      <w:pPr>
        <w:spacing w:after="0" w:line="120" w:lineRule="exact"/>
        <w:rPr>
          <w:sz w:val="20"/>
          <w:szCs w:val="20"/>
          <w:color w:val="auto"/>
        </w:rPr>
      </w:pPr>
    </w:p>
    <w:p>
      <w:pPr>
        <w:jc w:val="both"/>
        <w:ind w:left="620" w:right="20" w:firstLine="299"/>
        <w:spacing w:after="0" w:line="260" w:lineRule="auto"/>
        <w:rPr>
          <w:sz w:val="20"/>
          <w:szCs w:val="20"/>
          <w:color w:val="auto"/>
        </w:rPr>
      </w:pPr>
      <w:r>
        <w:rPr>
          <w:rFonts w:ascii="Arial" w:cs="Arial" w:eastAsia="Arial" w:hAnsi="Arial"/>
          <w:sz w:val="17"/>
          <w:szCs w:val="17"/>
          <w:color w:val="auto"/>
        </w:rPr>
        <w:t>Our buyers pay us upfront when they purchase an item. For items held on consignment, after the end of the 14-day return window for buyers, we credit our sellers’ accounts with their seller payout. Our sellers then take an average of more than 60 days to use their funds, which results in a working capital dynamic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0"/>
          </w:cols>
          <w:pgMar w:left="320" w:top="118" w:right="9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412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7560" cy="641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 w:right="20"/>
        <w:spacing w:after="0" w:line="277" w:lineRule="auto"/>
        <w:rPr>
          <w:sz w:val="20"/>
          <w:szCs w:val="20"/>
          <w:color w:val="auto"/>
        </w:rPr>
      </w:pPr>
      <w:r>
        <w:rPr>
          <w:rFonts w:ascii="Arial" w:cs="Arial" w:eastAsia="Arial" w:hAnsi="Arial"/>
          <w:sz w:val="17"/>
          <w:szCs w:val="17"/>
          <w:color w:val="auto"/>
        </w:rPr>
        <w:t>that is favorable for our business given that the buyers pay us upon purchase. We have methodically scaled operating capacity and revenue, while increasing gross profit and improving our operating performance.</w:t>
      </w:r>
    </w:p>
    <w:p>
      <w:pPr>
        <w:spacing w:after="0" w:line="96" w:lineRule="exact"/>
        <w:rPr>
          <w:sz w:val="20"/>
          <w:szCs w:val="20"/>
          <w:color w:val="auto"/>
        </w:rPr>
      </w:pPr>
    </w:p>
    <w:p>
      <w:pPr>
        <w:ind w:left="1220" w:hanging="308"/>
        <w:spacing w:after="0" w:line="277" w:lineRule="auto"/>
        <w:tabs>
          <w:tab w:leader="none" w:pos="12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December 31, 2020, we had 1.24 million Active Buyers, up 24% over December 31, 2019, and 428,000 Active Sellers, down 4% from December 31, 2019.</w:t>
      </w:r>
    </w:p>
    <w:p>
      <w:pPr>
        <w:spacing w:after="0" w:line="96" w:lineRule="exact"/>
        <w:rPr>
          <w:rFonts w:ascii="Arial" w:cs="Arial" w:eastAsia="Arial" w:hAnsi="Arial"/>
          <w:sz w:val="17"/>
          <w:szCs w:val="17"/>
          <w:color w:val="auto"/>
        </w:rPr>
      </w:pPr>
    </w:p>
    <w:p>
      <w:pPr>
        <w:ind w:left="1200" w:hanging="288"/>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December 31, 2020, our distribution centers could hold 5.5 million items.</w:t>
      </w:r>
    </w:p>
    <w:p>
      <w:pPr>
        <w:spacing w:after="0" w:line="152"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revenue was $186.0 million in 2020, up 14% over 2019. Our consignment revenue was $138.1 million in 2020, up 41% over 2019.</w:t>
      </w:r>
    </w:p>
    <w:p>
      <w:pPr>
        <w:spacing w:after="0" w:line="96" w:lineRule="exact"/>
        <w:rPr>
          <w:rFonts w:ascii="Arial" w:cs="Arial" w:eastAsia="Arial" w:hAnsi="Arial"/>
          <w:sz w:val="17"/>
          <w:szCs w:val="17"/>
          <w:color w:val="auto"/>
        </w:rPr>
      </w:pPr>
    </w:p>
    <w:p>
      <w:pPr>
        <w:ind w:left="1220" w:hanging="308"/>
        <w:spacing w:after="0" w:line="277" w:lineRule="auto"/>
        <w:tabs>
          <w:tab w:leader="none" w:pos="1216"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gross profit was $128.1 million in 2020, up 14% over 2019. Our overall gross margin was 69% in 2020 and 2019. Our consignment gross margin was 75% in 2020, as compared to 77% in 2019.</w:t>
      </w:r>
    </w:p>
    <w:p>
      <w:pPr>
        <w:spacing w:after="0" w:line="96" w:lineRule="exact"/>
        <w:rPr>
          <w:rFonts w:ascii="Arial" w:cs="Arial" w:eastAsia="Arial" w:hAnsi="Arial"/>
          <w:sz w:val="17"/>
          <w:szCs w:val="17"/>
          <w:color w:val="auto"/>
        </w:rPr>
      </w:pPr>
    </w:p>
    <w:p>
      <w:pPr>
        <w:ind w:left="1200" w:hanging="288"/>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net loss was $47.9 million in 2020 and $38.2 million in 2019. Our net loss margin was 26% in 2020 and 23% in 2019.</w:t>
      </w:r>
    </w:p>
    <w:p>
      <w:pPr>
        <w:spacing w:after="0" w:line="152"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2020, our Adjusted EBITDA was $(33.4) million with an Adjusted EBITDA margin of (18)%. In 2019, our Adjusted EBITDA was $(24.3) million with an Adjusted EBITDA margin of (15)%.</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Market Opportunity</w:t>
      </w:r>
    </w:p>
    <w:p>
      <w:pPr>
        <w:spacing w:after="0" w:line="155" w:lineRule="exact"/>
        <w:rPr>
          <w:sz w:val="20"/>
          <w:szCs w:val="20"/>
          <w:color w:val="auto"/>
        </w:rPr>
      </w:pPr>
    </w:p>
    <w:p>
      <w:pPr>
        <w:jc w:val="both"/>
        <w:ind w:left="620" w:right="20" w:firstLine="299"/>
        <w:spacing w:after="0" w:line="260" w:lineRule="auto"/>
        <w:rPr>
          <w:sz w:val="20"/>
          <w:szCs w:val="20"/>
          <w:color w:val="auto"/>
        </w:rPr>
      </w:pPr>
      <w:r>
        <w:rPr>
          <w:rFonts w:ascii="Arial" w:cs="Arial" w:eastAsia="Arial" w:hAnsi="Arial"/>
          <w:sz w:val="17"/>
          <w:szCs w:val="17"/>
          <w:color w:val="auto"/>
        </w:rPr>
        <w:t>We believe that we are in the early stages of capitalizing on a large and growing market opportunity in secondhand clothing. Our market benefits from, and we are helping to drive, powerful consumer trends in our favor. Our addressable opportunity is represented by the following demand and supply-side market sizing:</w:t>
      </w:r>
    </w:p>
    <w:p>
      <w:pPr>
        <w:spacing w:after="0" w:line="109" w:lineRule="exact"/>
        <w:rPr>
          <w:sz w:val="20"/>
          <w:szCs w:val="20"/>
          <w:color w:val="auto"/>
        </w:rPr>
      </w:pPr>
    </w:p>
    <w:p>
      <w:pPr>
        <w:jc w:val="both"/>
        <w:ind w:left="1220" w:hanging="308"/>
        <w:spacing w:after="0" w:line="267" w:lineRule="auto"/>
        <w:tabs>
          <w:tab w:leader="none" w:pos="1216"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U.S. Demand-Side Secondhand Total Addressable Market</w:t>
      </w:r>
      <w:r>
        <w:rPr>
          <w:rFonts w:ascii="Arial" w:cs="Arial" w:eastAsia="Arial" w:hAnsi="Arial"/>
          <w:sz w:val="16"/>
          <w:szCs w:val="16"/>
          <w:color w:val="auto"/>
        </w:rPr>
        <w:t>. According to the GlobalData Market Survey, the demand-side</w:t>
      </w:r>
      <w:r>
        <w:rPr>
          <w:rFonts w:ascii="Arial" w:cs="Arial" w:eastAsia="Arial" w:hAnsi="Arial"/>
          <w:sz w:val="16"/>
          <w:szCs w:val="16"/>
          <w:b w:val="1"/>
          <w:bCs w:val="1"/>
          <w:color w:val="auto"/>
        </w:rPr>
        <w:t xml:space="preserve"> </w:t>
      </w:r>
      <w:r>
        <w:rPr>
          <w:rFonts w:ascii="Arial" w:cs="Arial" w:eastAsia="Arial" w:hAnsi="Arial"/>
          <w:sz w:val="16"/>
          <w:szCs w:val="16"/>
          <w:color w:val="auto"/>
        </w:rPr>
        <w:t>market for all U.S. secondhand clothing, footwear and accessories was estimated to be $28 billion in 2019. The secondhand market consists of resale and thrift apparel, footwear and accessories. The primary difference between resale and thrift is that resale items are selectively sorted, processed and curated for sale by sellers. Resale represents the fastest growing segment in the total retail clothing market and is our core addressable market today. According to the GlobalData Market Survey, the resale market is expected to grow from $7 billion in 2019 to $36 billion by 2024, representing a compound annual growth rate of 39%. We believe resale is driving a significant expansion of the secondhand market because it unlocks dormant, high-quality supply by taking the friction out of selling, and provides a buying experience for consumers that is similar to shopping new.</w:t>
      </w:r>
    </w:p>
    <w:p>
      <w:pPr>
        <w:spacing w:after="0" w:line="104" w:lineRule="exact"/>
        <w:rPr>
          <w:rFonts w:ascii="Arial" w:cs="Arial" w:eastAsia="Arial" w:hAnsi="Arial"/>
          <w:sz w:val="16"/>
          <w:szCs w:val="16"/>
          <w:color w:val="auto"/>
        </w:rPr>
      </w:pPr>
    </w:p>
    <w:p>
      <w:pPr>
        <w:jc w:val="both"/>
        <w:ind w:left="1220" w:hanging="308"/>
        <w:spacing w:after="0" w:line="253" w:lineRule="auto"/>
        <w:tabs>
          <w:tab w:leader="none" w:pos="121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U.S. Supply-Side Secondhand Total Addressable Market</w:t>
      </w:r>
      <w:r>
        <w:rPr>
          <w:rFonts w:ascii="Arial" w:cs="Arial" w:eastAsia="Arial" w:hAnsi="Arial"/>
          <w:sz w:val="17"/>
          <w:szCs w:val="17"/>
          <w:color w:val="auto"/>
        </w:rPr>
        <w:t>. We believe there is a massive opportunity to unlock secondhand</w:t>
      </w:r>
      <w:r>
        <w:rPr>
          <w:rFonts w:ascii="Arial" w:cs="Arial" w:eastAsia="Arial" w:hAnsi="Arial"/>
          <w:sz w:val="17"/>
          <w:szCs w:val="17"/>
          <w:b w:val="1"/>
          <w:bCs w:val="1"/>
          <w:color w:val="auto"/>
        </w:rPr>
        <w:t xml:space="preserve"> </w:t>
      </w:r>
      <w:r>
        <w:rPr>
          <w:rFonts w:ascii="Arial" w:cs="Arial" w:eastAsia="Arial" w:hAnsi="Arial"/>
          <w:sz w:val="17"/>
          <w:szCs w:val="17"/>
          <w:color w:val="auto"/>
        </w:rPr>
        <w:t>supply and increase the lifecycle of existing apparel that sits unworn in closets. We estimate that 16.9 billion pounds of the apparel thrown away in the United States could be recycled and reused, which we estimate is enough supply to fill approximately one billion thredUP Clean Out bags every year. In 2020, we processed just over one million bags through our platform, which represents less than 0.1% of this potential supply we could unlock from closets in the United States.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Consumer Trends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secondhand market opportunity is underpinned by the convergence of the following consumer trends:</w:t>
      </w:r>
    </w:p>
    <w:p>
      <w:pPr>
        <w:spacing w:after="0" w:line="151" w:lineRule="exact"/>
        <w:rPr>
          <w:sz w:val="20"/>
          <w:szCs w:val="20"/>
          <w:color w:val="auto"/>
        </w:rPr>
      </w:pPr>
    </w:p>
    <w:p>
      <w:pPr>
        <w:jc w:val="both"/>
        <w:ind w:left="1220" w:hanging="308"/>
        <w:spacing w:after="0" w:line="262" w:lineRule="auto"/>
        <w:tabs>
          <w:tab w:leader="none" w:pos="1216"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Generational Shift. </w:t>
      </w:r>
      <w:r>
        <w:rPr>
          <w:rFonts w:ascii="Arial" w:cs="Arial" w:eastAsia="Arial" w:hAnsi="Arial"/>
          <w:sz w:val="17"/>
          <w:szCs w:val="17"/>
          <w:color w:val="auto"/>
        </w:rPr>
        <w:t>More Millennial and Generation Z consumers are driving the shift to secondhand each year. As these</w:t>
      </w:r>
      <w:r>
        <w:rPr>
          <w:rFonts w:ascii="Arial" w:cs="Arial" w:eastAsia="Arial" w:hAnsi="Arial"/>
          <w:sz w:val="17"/>
          <w:szCs w:val="17"/>
          <w:b w:val="1"/>
          <w:bCs w:val="1"/>
          <w:color w:val="auto"/>
        </w:rPr>
        <w:t xml:space="preserve"> </w:t>
      </w:r>
      <w:r>
        <w:rPr>
          <w:rFonts w:ascii="Arial" w:cs="Arial" w:eastAsia="Arial" w:hAnsi="Arial"/>
          <w:sz w:val="17"/>
          <w:szCs w:val="17"/>
          <w:color w:val="auto"/>
        </w:rPr>
        <w:t>consumers mature, generate more disposable income and become a larger portion of consumer wallet share, we expect that secondhand will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320" w:top="118" w:right="9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539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7560" cy="653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20"/>
        <w:spacing w:after="0" w:line="260" w:lineRule="auto"/>
        <w:rPr>
          <w:sz w:val="20"/>
          <w:szCs w:val="20"/>
          <w:color w:val="auto"/>
        </w:rPr>
      </w:pPr>
      <w:r>
        <w:rPr>
          <w:rFonts w:ascii="Arial" w:cs="Arial" w:eastAsia="Arial" w:hAnsi="Arial"/>
          <w:sz w:val="17"/>
          <w:szCs w:val="17"/>
          <w:color w:val="auto"/>
        </w:rPr>
        <w:t>According to the GlobalData January 2020 Consumer Survey, Millennial and Generation Z consumers are adopting secondhand faster than any other age group. 40% of Generation Z and 30% of Millennials purchased secondhand in 2019, which is 14 percentage points and 9 percentage points more, respectively, than in 2016.</w:t>
      </w:r>
    </w:p>
    <w:p>
      <w:pPr>
        <w:spacing w:after="0" w:line="109" w:lineRule="exact"/>
        <w:rPr>
          <w:sz w:val="20"/>
          <w:szCs w:val="20"/>
          <w:color w:val="auto"/>
        </w:rPr>
      </w:pPr>
    </w:p>
    <w:p>
      <w:pPr>
        <w:jc w:val="both"/>
        <w:ind w:left="1220" w:hanging="308"/>
        <w:spacing w:after="0" w:line="256" w:lineRule="auto"/>
        <w:tabs>
          <w:tab w:leader="none" w:pos="121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Sustainability Matters. </w:t>
      </w:r>
      <w:r>
        <w:rPr>
          <w:rFonts w:ascii="Arial" w:cs="Arial" w:eastAsia="Arial" w:hAnsi="Arial"/>
          <w:sz w:val="17"/>
          <w:szCs w:val="17"/>
          <w:color w:val="auto"/>
        </w:rPr>
        <w:t>Conscious consumerism is on the rise. We believe that thredUP will help drive a habit shift among</w:t>
      </w:r>
      <w:r>
        <w:rPr>
          <w:rFonts w:ascii="Arial" w:cs="Arial" w:eastAsia="Arial" w:hAnsi="Arial"/>
          <w:sz w:val="17"/>
          <w:szCs w:val="17"/>
          <w:b w:val="1"/>
          <w:bCs w:val="1"/>
          <w:color w:val="auto"/>
        </w:rPr>
        <w:t xml:space="preserve"> </w:t>
      </w:r>
      <w:r>
        <w:rPr>
          <w:rFonts w:ascii="Arial" w:cs="Arial" w:eastAsia="Arial" w:hAnsi="Arial"/>
          <w:sz w:val="17"/>
          <w:szCs w:val="17"/>
          <w:color w:val="auto"/>
        </w:rPr>
        <w:t>consumers to think secondhand first. According to the GlobalData April 2020 and January 2019 Consumer Surveys, 43% of consumers in 2020 said they plan to spend more with sustainable brands within the next five years, a 2.4 times increase from 2019.</w:t>
      </w:r>
    </w:p>
    <w:p>
      <w:pPr>
        <w:spacing w:after="0" w:line="111" w:lineRule="exact"/>
        <w:rPr>
          <w:rFonts w:ascii="Arial" w:cs="Arial" w:eastAsia="Arial" w:hAnsi="Arial"/>
          <w:sz w:val="17"/>
          <w:szCs w:val="17"/>
          <w:color w:val="auto"/>
        </w:rPr>
      </w:pPr>
    </w:p>
    <w:p>
      <w:pPr>
        <w:jc w:val="both"/>
        <w:ind w:left="1220" w:hanging="308"/>
        <w:spacing w:after="0" w:line="256" w:lineRule="auto"/>
        <w:tabs>
          <w:tab w:leader="none" w:pos="1216"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Secondhand Becomes Mainstream. </w:t>
      </w:r>
      <w:r>
        <w:rPr>
          <w:rFonts w:ascii="Arial" w:cs="Arial" w:eastAsia="Arial" w:hAnsi="Arial"/>
          <w:sz w:val="17"/>
          <w:szCs w:val="17"/>
          <w:color w:val="auto"/>
        </w:rPr>
        <w:t>Secondhand is gaining share of wallet at the expense of fast fashion brands, department</w:t>
      </w:r>
      <w:r>
        <w:rPr>
          <w:rFonts w:ascii="Arial" w:cs="Arial" w:eastAsia="Arial" w:hAnsi="Arial"/>
          <w:sz w:val="17"/>
          <w:szCs w:val="17"/>
          <w:b w:val="1"/>
          <w:bCs w:val="1"/>
          <w:color w:val="auto"/>
        </w:rPr>
        <w:t xml:space="preserve"> </w:t>
      </w:r>
      <w:r>
        <w:rPr>
          <w:rFonts w:ascii="Arial" w:cs="Arial" w:eastAsia="Arial" w:hAnsi="Arial"/>
          <w:sz w:val="17"/>
          <w:szCs w:val="17"/>
          <w:color w:val="auto"/>
        </w:rPr>
        <w:t>stores and luxury brands. According to the GlobalData January 2020 Consumer Survey, 62 million women bought secondhand products in 2019, up from 56 million in 2018. In addition, 70% of those surveyed said that they have or are open to shopping secondhand.</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Buyers, Sellers and Resale-as-a-Service (RaaS) Partners</w:t>
      </w:r>
    </w:p>
    <w:p>
      <w:pPr>
        <w:spacing w:after="0" w:line="155" w:lineRule="exact"/>
        <w:rPr>
          <w:sz w:val="20"/>
          <w:szCs w:val="20"/>
          <w:color w:val="auto"/>
        </w:rPr>
      </w:pPr>
    </w:p>
    <w:p>
      <w:pPr>
        <w:jc w:val="both"/>
        <w:ind w:left="620" w:firstLine="299"/>
        <w:spacing w:after="0" w:line="260" w:lineRule="auto"/>
        <w:rPr>
          <w:sz w:val="20"/>
          <w:szCs w:val="20"/>
          <w:color w:val="auto"/>
        </w:rPr>
      </w:pPr>
      <w:r>
        <w:rPr>
          <w:rFonts w:ascii="Arial" w:cs="Arial" w:eastAsia="Arial" w:hAnsi="Arial"/>
          <w:sz w:val="17"/>
          <w:szCs w:val="17"/>
          <w:color w:val="auto"/>
        </w:rPr>
        <w:t>As of December 31, 2020, we had 1.24 million Active Buyers and 428,000 Active Sellers on our platform. In the year ended December 31, 2020, our buyers placed 3.96 million Orders. Additionally, as of December 31, 2020, we worked with 21 RaaS partners, including GAP, Madewell, Reformation and Walmart.</w:t>
      </w:r>
    </w:p>
    <w:p>
      <w:pPr>
        <w:spacing w:after="0" w:line="109" w:lineRule="exact"/>
        <w:rPr>
          <w:sz w:val="20"/>
          <w:szCs w:val="20"/>
          <w:color w:val="auto"/>
        </w:rPr>
      </w:pPr>
    </w:p>
    <w:p>
      <w:pPr>
        <w:jc w:val="both"/>
        <w:ind w:left="620" w:firstLine="299"/>
        <w:spacing w:after="0" w:line="279" w:lineRule="auto"/>
        <w:rPr>
          <w:sz w:val="20"/>
          <w:szCs w:val="20"/>
          <w:color w:val="auto"/>
        </w:rPr>
      </w:pPr>
      <w:r>
        <w:rPr>
          <w:rFonts w:ascii="Arial" w:cs="Arial" w:eastAsia="Arial" w:hAnsi="Arial"/>
          <w:sz w:val="17"/>
          <w:szCs w:val="17"/>
          <w:b w:val="1"/>
          <w:bCs w:val="1"/>
          <w:color w:val="auto"/>
        </w:rPr>
        <w:t xml:space="preserve">Benefits for thredUP Buyers. </w:t>
      </w:r>
      <w:r>
        <w:rPr>
          <w:rFonts w:ascii="Arial" w:cs="Arial" w:eastAsia="Arial" w:hAnsi="Arial"/>
          <w:sz w:val="17"/>
          <w:szCs w:val="17"/>
          <w:color w:val="auto"/>
        </w:rPr>
        <w:t>When our 1.24 million Active Buyers shop on thredUP they are making a stylish choice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themselves and a smart choice for their wallets and for the environment.</w:t>
      </w:r>
    </w:p>
    <w:p>
      <w:pPr>
        <w:spacing w:after="0" w:line="93" w:lineRule="exact"/>
        <w:rPr>
          <w:sz w:val="20"/>
          <w:szCs w:val="20"/>
          <w:color w:val="auto"/>
        </w:rPr>
      </w:pPr>
    </w:p>
    <w:p>
      <w:pPr>
        <w:ind w:left="1220" w:hanging="308"/>
        <w:spacing w:after="0" w:line="279" w:lineRule="auto"/>
        <w:tabs>
          <w:tab w:leader="none" w:pos="12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Value. </w:t>
      </w:r>
      <w:r>
        <w:rPr>
          <w:rFonts w:ascii="Arial" w:cs="Arial" w:eastAsia="Arial" w:hAnsi="Arial"/>
          <w:sz w:val="17"/>
          <w:szCs w:val="17"/>
          <w:color w:val="auto"/>
        </w:rPr>
        <w:t>Buyers love shopping value, premium and luxury brands all in one place, at up to 90% off estimated retail price. Since</w:t>
      </w:r>
      <w:r>
        <w:rPr>
          <w:rFonts w:ascii="Arial" w:cs="Arial" w:eastAsia="Arial" w:hAnsi="Arial"/>
          <w:sz w:val="17"/>
          <w:szCs w:val="17"/>
          <w:b w:val="1"/>
          <w:bCs w:val="1"/>
          <w:color w:val="auto"/>
        </w:rPr>
        <w:t xml:space="preserve"> </w:t>
      </w:r>
      <w:r>
        <w:rPr>
          <w:rFonts w:ascii="Arial" w:cs="Arial" w:eastAsia="Arial" w:hAnsi="Arial"/>
          <w:sz w:val="17"/>
          <w:szCs w:val="17"/>
          <w:color w:val="auto"/>
        </w:rPr>
        <w:t>our founding, we estimate that we have saved our buyers $3.3 billion off retail price.</w:t>
      </w:r>
    </w:p>
    <w:p>
      <w:pPr>
        <w:spacing w:after="0" w:line="93" w:lineRule="exact"/>
        <w:rPr>
          <w:rFonts w:ascii="Arial" w:cs="Arial" w:eastAsia="Arial" w:hAnsi="Arial"/>
          <w:sz w:val="17"/>
          <w:szCs w:val="17"/>
          <w:color w:val="auto"/>
        </w:rPr>
      </w:pPr>
    </w:p>
    <w:p>
      <w:pPr>
        <w:jc w:val="both"/>
        <w:ind w:left="1220" w:hanging="308"/>
        <w:spacing w:after="0" w:line="262" w:lineRule="auto"/>
        <w:tabs>
          <w:tab w:leader="none" w:pos="12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Selection. </w:t>
      </w:r>
      <w:r>
        <w:rPr>
          <w:rFonts w:ascii="Arial" w:cs="Arial" w:eastAsia="Arial" w:hAnsi="Arial"/>
          <w:sz w:val="17"/>
          <w:szCs w:val="17"/>
          <w:color w:val="auto"/>
        </w:rPr>
        <w:t>Our assortment is unique and ever-changing, with an average of over 280,000 new secondhand items listed each</w:t>
      </w:r>
      <w:r>
        <w:rPr>
          <w:rFonts w:ascii="Arial" w:cs="Arial" w:eastAsia="Arial" w:hAnsi="Arial"/>
          <w:sz w:val="17"/>
          <w:szCs w:val="17"/>
          <w:b w:val="1"/>
          <w:bCs w:val="1"/>
          <w:color w:val="auto"/>
        </w:rPr>
        <w:t xml:space="preserve"> </w:t>
      </w:r>
      <w:r>
        <w:rPr>
          <w:rFonts w:ascii="Arial" w:cs="Arial" w:eastAsia="Arial" w:hAnsi="Arial"/>
          <w:sz w:val="17"/>
          <w:szCs w:val="17"/>
          <w:color w:val="auto"/>
        </w:rPr>
        <w:t>week in the year ended December 31, 2020. We have an incredible breadth of assortment with over 35,000 brands across 100 categories and across price points.</w:t>
      </w:r>
    </w:p>
    <w:p>
      <w:pPr>
        <w:spacing w:after="0" w:line="106" w:lineRule="exact"/>
        <w:rPr>
          <w:rFonts w:ascii="Arial" w:cs="Arial" w:eastAsia="Arial" w:hAnsi="Arial"/>
          <w:sz w:val="17"/>
          <w:szCs w:val="17"/>
          <w:color w:val="auto"/>
        </w:rPr>
      </w:pPr>
    </w:p>
    <w:p>
      <w:pPr>
        <w:jc w:val="both"/>
        <w:ind w:left="1220" w:hanging="308"/>
        <w:spacing w:after="0" w:line="262" w:lineRule="auto"/>
        <w:tabs>
          <w:tab w:leader="none" w:pos="12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Engagement. </w:t>
      </w:r>
      <w:r>
        <w:rPr>
          <w:rFonts w:ascii="Arial" w:cs="Arial" w:eastAsia="Arial" w:hAnsi="Arial"/>
          <w:sz w:val="17"/>
          <w:szCs w:val="17"/>
          <w:color w:val="auto"/>
        </w:rPr>
        <w:t>We have created an online resale shopping experience that is fun and convenient. In the past, shopping</w:t>
      </w:r>
      <w:r>
        <w:rPr>
          <w:rFonts w:ascii="Arial" w:cs="Arial" w:eastAsia="Arial" w:hAnsi="Arial"/>
          <w:sz w:val="17"/>
          <w:szCs w:val="17"/>
          <w:b w:val="1"/>
          <w:bCs w:val="1"/>
          <w:color w:val="auto"/>
        </w:rPr>
        <w:t xml:space="preserve"> </w:t>
      </w:r>
      <w:r>
        <w:rPr>
          <w:rFonts w:ascii="Arial" w:cs="Arial" w:eastAsia="Arial" w:hAnsi="Arial"/>
          <w:sz w:val="17"/>
          <w:szCs w:val="17"/>
          <w:color w:val="auto"/>
        </w:rPr>
        <w:t>secondhand often meant sifting through piles of random clothing at thrift stores. In the year ended December 31, 2020, on average, our Active Buyers visited our website six times per month.</w:t>
      </w:r>
    </w:p>
    <w:p>
      <w:pPr>
        <w:spacing w:after="0" w:line="106" w:lineRule="exact"/>
        <w:rPr>
          <w:rFonts w:ascii="Arial" w:cs="Arial" w:eastAsia="Arial" w:hAnsi="Arial"/>
          <w:sz w:val="17"/>
          <w:szCs w:val="17"/>
          <w:color w:val="auto"/>
        </w:rPr>
      </w:pPr>
    </w:p>
    <w:p>
      <w:pPr>
        <w:jc w:val="both"/>
        <w:ind w:left="1220" w:hanging="308"/>
        <w:spacing w:after="0" w:line="256" w:lineRule="auto"/>
        <w:tabs>
          <w:tab w:leader="none" w:pos="12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Personalization. </w:t>
      </w:r>
      <w:r>
        <w:rPr>
          <w:rFonts w:ascii="Arial" w:cs="Arial" w:eastAsia="Arial" w:hAnsi="Arial"/>
          <w:sz w:val="17"/>
          <w:szCs w:val="17"/>
          <w:color w:val="auto"/>
        </w:rPr>
        <w:t>We use our data science capabilities to enable our buyers to navigate the breadth of items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a more personalized shopping experience. We also are able to customize our assortment based on the time of year and the location of our buyers, including allowing buyers to shop only from their closest distribution center for faster delivery, lower prices and decreased environmental impact.</w:t>
      </w:r>
    </w:p>
    <w:p>
      <w:pPr>
        <w:spacing w:after="0" w:line="111" w:lineRule="exact"/>
        <w:rPr>
          <w:rFonts w:ascii="Arial" w:cs="Arial" w:eastAsia="Arial" w:hAnsi="Arial"/>
          <w:sz w:val="17"/>
          <w:szCs w:val="17"/>
          <w:color w:val="auto"/>
        </w:rPr>
      </w:pPr>
    </w:p>
    <w:p>
      <w:pPr>
        <w:jc w:val="both"/>
        <w:ind w:left="1220" w:hanging="308"/>
        <w:spacing w:after="0" w:line="256" w:lineRule="auto"/>
        <w:tabs>
          <w:tab w:leader="none" w:pos="12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Quality. </w:t>
      </w:r>
      <w:r>
        <w:rPr>
          <w:rFonts w:ascii="Arial" w:cs="Arial" w:eastAsia="Arial" w:hAnsi="Arial"/>
          <w:sz w:val="17"/>
          <w:szCs w:val="17"/>
          <w:color w:val="auto"/>
        </w:rPr>
        <w:t>Each item in our marketplace has undergone a rigorous twelve-point quality inspection. In the year ended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31, 2020, we listed only 59% of the items that we received from sellers on our marketplace after curation and processing. As evidence of the high quality of items on our marketplace, in the year ended December 31, 2020, we had a return rate of 12% of items sold and returns due to quality accounted for less than 2% of items sold.</w:t>
      </w:r>
    </w:p>
    <w:p>
      <w:pPr>
        <w:spacing w:after="0" w:line="111" w:lineRule="exact"/>
        <w:rPr>
          <w:rFonts w:ascii="Arial" w:cs="Arial" w:eastAsia="Arial" w:hAnsi="Arial"/>
          <w:sz w:val="17"/>
          <w:szCs w:val="17"/>
          <w:color w:val="auto"/>
        </w:rPr>
      </w:pPr>
    </w:p>
    <w:p>
      <w:pPr>
        <w:jc w:val="both"/>
        <w:ind w:left="1220" w:hanging="308"/>
        <w:spacing w:after="0" w:line="238" w:lineRule="auto"/>
        <w:tabs>
          <w:tab w:leader="none" w:pos="12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Sustainable. </w:t>
      </w:r>
      <w:r>
        <w:rPr>
          <w:rFonts w:ascii="Arial" w:cs="Arial" w:eastAsia="Arial" w:hAnsi="Arial"/>
          <w:sz w:val="17"/>
          <w:szCs w:val="17"/>
          <w:color w:val="auto"/>
        </w:rPr>
        <w:t>Buyers feel good about buying secondhand because they are reducing waste. Since our founding, based in part</w:t>
      </w:r>
      <w:r>
        <w:rPr>
          <w:rFonts w:ascii="Arial" w:cs="Arial" w:eastAsia="Arial" w:hAnsi="Arial"/>
          <w:sz w:val="17"/>
          <w:szCs w:val="17"/>
          <w:b w:val="1"/>
          <w:bCs w:val="1"/>
          <w:color w:val="auto"/>
        </w:rPr>
        <w:t xml:space="preserve"> </w:t>
      </w:r>
      <w:r>
        <w:rPr>
          <w:rFonts w:ascii="Arial" w:cs="Arial" w:eastAsia="Arial" w:hAnsi="Arial"/>
          <w:sz w:val="17"/>
          <w:szCs w:val="17"/>
          <w:color w:val="auto"/>
        </w:rPr>
        <w:t>on information provided by Green Story, we estimate our buyers have positively impacted the environment by saving 1.0 billion pounds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2.0 billion kWh of energy and 4.4 billion gallons of water by shopping secondhand.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40"/>
          </w:cols>
          <w:pgMar w:left="320" w:top="118" w:right="9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697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7560" cy="669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0" w:firstLine="299"/>
        <w:spacing w:after="0" w:line="279" w:lineRule="auto"/>
        <w:rPr>
          <w:sz w:val="20"/>
          <w:szCs w:val="20"/>
          <w:color w:val="auto"/>
        </w:rPr>
      </w:pPr>
      <w:r>
        <w:rPr>
          <w:rFonts w:ascii="Arial" w:cs="Arial" w:eastAsia="Arial" w:hAnsi="Arial"/>
          <w:sz w:val="17"/>
          <w:szCs w:val="17"/>
          <w:b w:val="1"/>
          <w:bCs w:val="1"/>
          <w:color w:val="auto"/>
        </w:rPr>
        <w:t xml:space="preserve">Benefits for thredUP Sellers. </w:t>
      </w:r>
      <w:r>
        <w:rPr>
          <w:rFonts w:ascii="Arial" w:cs="Arial" w:eastAsia="Arial" w:hAnsi="Arial"/>
          <w:sz w:val="17"/>
          <w:szCs w:val="17"/>
          <w:color w:val="auto"/>
        </w:rPr>
        <w:t>We enable our 428,000 Active Sellers to conveniently clean out their closets and unlock value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themselves or for the charity of their choice while doing good for the environment at the same time.</w:t>
      </w:r>
    </w:p>
    <w:p>
      <w:pPr>
        <w:spacing w:after="0" w:line="93" w:lineRule="exact"/>
        <w:rPr>
          <w:sz w:val="20"/>
          <w:szCs w:val="20"/>
          <w:color w:val="auto"/>
        </w:rPr>
      </w:pPr>
    </w:p>
    <w:p>
      <w:pPr>
        <w:jc w:val="both"/>
        <w:ind w:left="1220" w:hanging="308"/>
        <w:spacing w:after="0" w:line="262" w:lineRule="auto"/>
        <w:tabs>
          <w:tab w:leader="none" w:pos="121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Convenient Clean Out. </w:t>
      </w:r>
      <w:r>
        <w:rPr>
          <w:rFonts w:ascii="Arial" w:cs="Arial" w:eastAsia="Arial" w:hAnsi="Arial"/>
          <w:sz w:val="17"/>
          <w:szCs w:val="17"/>
          <w:color w:val="auto"/>
        </w:rPr>
        <w:t>We make it easy for sellers to clean out their closets using our prepaid bag, prepaid label and pick-up</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Sellers fill the bag and leave it on their doorsteps for mail carrier pick up. Sellers can also drop bags off at a retail location of one of our RaaS partners, at the post office or at a location of one of our logistics partners.</w:t>
      </w:r>
    </w:p>
    <w:p>
      <w:pPr>
        <w:spacing w:after="0" w:line="106" w:lineRule="exact"/>
        <w:rPr>
          <w:rFonts w:ascii="Arial" w:cs="Arial" w:eastAsia="Arial" w:hAnsi="Arial"/>
          <w:sz w:val="17"/>
          <w:szCs w:val="17"/>
          <w:color w:val="auto"/>
        </w:rPr>
      </w:pPr>
    </w:p>
    <w:p>
      <w:pPr>
        <w:ind w:left="1220" w:hanging="308"/>
        <w:spacing w:after="0" w:line="279" w:lineRule="auto"/>
        <w:tabs>
          <w:tab w:leader="none" w:pos="121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No Active Management. </w:t>
      </w:r>
      <w:r>
        <w:rPr>
          <w:rFonts w:ascii="Arial" w:cs="Arial" w:eastAsia="Arial" w:hAnsi="Arial"/>
          <w:sz w:val="17"/>
          <w:szCs w:val="17"/>
          <w:color w:val="auto"/>
        </w:rPr>
        <w:t>We provide end-to-end resale services for sellers using our platform, including managing item</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and pricing, merchandising, fulfillment, payments and customer service.</w:t>
      </w:r>
    </w:p>
    <w:p>
      <w:pPr>
        <w:spacing w:after="0" w:line="93" w:lineRule="exact"/>
        <w:rPr>
          <w:rFonts w:ascii="Arial" w:cs="Arial" w:eastAsia="Arial" w:hAnsi="Arial"/>
          <w:sz w:val="17"/>
          <w:szCs w:val="17"/>
          <w:color w:val="auto"/>
        </w:rPr>
      </w:pPr>
    </w:p>
    <w:p>
      <w:pPr>
        <w:jc w:val="both"/>
        <w:ind w:left="1220" w:hanging="308"/>
        <w:spacing w:after="0" w:line="262" w:lineRule="auto"/>
        <w:tabs>
          <w:tab w:leader="none" w:pos="121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Unlocking Value. </w:t>
      </w:r>
      <w:r>
        <w:rPr>
          <w:rFonts w:ascii="Arial" w:cs="Arial" w:eastAsia="Arial" w:hAnsi="Arial"/>
          <w:sz w:val="17"/>
          <w:szCs w:val="17"/>
          <w:color w:val="auto"/>
        </w:rPr>
        <w:t>There are multiple ways to unlock value on thredUP. We offer sellers cash, thredUP online credits, select</w:t>
      </w:r>
      <w:r>
        <w:rPr>
          <w:rFonts w:ascii="Arial" w:cs="Arial" w:eastAsia="Arial" w:hAnsi="Arial"/>
          <w:sz w:val="17"/>
          <w:szCs w:val="17"/>
          <w:b w:val="1"/>
          <w:bCs w:val="1"/>
          <w:color w:val="auto"/>
        </w:rPr>
        <w:t xml:space="preserve"> </w:t>
      </w:r>
      <w:r>
        <w:rPr>
          <w:rFonts w:ascii="Arial" w:cs="Arial" w:eastAsia="Arial" w:hAnsi="Arial"/>
          <w:sz w:val="17"/>
          <w:szCs w:val="17"/>
          <w:color w:val="auto"/>
        </w:rPr>
        <w:t>RaaS partner credits or charitable donation receipts for items that sell on our marketplace. Sellers select their payout method with a simple click on our site.</w:t>
      </w:r>
    </w:p>
    <w:p>
      <w:pPr>
        <w:spacing w:after="0" w:line="106" w:lineRule="exact"/>
        <w:rPr>
          <w:rFonts w:ascii="Arial" w:cs="Arial" w:eastAsia="Arial" w:hAnsi="Arial"/>
          <w:sz w:val="17"/>
          <w:szCs w:val="17"/>
          <w:color w:val="auto"/>
        </w:rPr>
      </w:pPr>
    </w:p>
    <w:p>
      <w:pPr>
        <w:ind w:left="1220" w:right="20" w:hanging="308"/>
        <w:spacing w:after="0" w:line="279" w:lineRule="auto"/>
        <w:tabs>
          <w:tab w:leader="none" w:pos="121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Magic of Cleaning Out. </w:t>
      </w:r>
      <w:r>
        <w:rPr>
          <w:rFonts w:ascii="Arial" w:cs="Arial" w:eastAsia="Arial" w:hAnsi="Arial"/>
          <w:sz w:val="17"/>
          <w:szCs w:val="17"/>
          <w:color w:val="auto"/>
        </w:rPr>
        <w:t>Like a sparkling clean house or a sparkling clean car, an organized closet full of clothes you love just</w:t>
      </w:r>
      <w:r>
        <w:rPr>
          <w:rFonts w:ascii="Arial" w:cs="Arial" w:eastAsia="Arial" w:hAnsi="Arial"/>
          <w:sz w:val="17"/>
          <w:szCs w:val="17"/>
          <w:b w:val="1"/>
          <w:bCs w:val="1"/>
          <w:color w:val="auto"/>
        </w:rPr>
        <w:t xml:space="preserve"> </w:t>
      </w:r>
      <w:r>
        <w:rPr>
          <w:rFonts w:ascii="Arial" w:cs="Arial" w:eastAsia="Arial" w:hAnsi="Arial"/>
          <w:sz w:val="17"/>
          <w:szCs w:val="17"/>
          <w:color w:val="auto"/>
        </w:rPr>
        <w:t>feels good.</w:t>
      </w:r>
    </w:p>
    <w:p>
      <w:pPr>
        <w:spacing w:after="0" w:line="93" w:lineRule="exact"/>
        <w:rPr>
          <w:rFonts w:ascii="Arial" w:cs="Arial" w:eastAsia="Arial" w:hAnsi="Arial"/>
          <w:sz w:val="17"/>
          <w:szCs w:val="17"/>
          <w:color w:val="auto"/>
        </w:rPr>
      </w:pPr>
    </w:p>
    <w:p>
      <w:pPr>
        <w:jc w:val="both"/>
        <w:ind w:left="1220" w:hanging="308"/>
        <w:spacing w:after="0" w:line="262" w:lineRule="auto"/>
        <w:tabs>
          <w:tab w:leader="none" w:pos="121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Sustainability. </w:t>
      </w:r>
      <w:r>
        <w:rPr>
          <w:rFonts w:ascii="Arial" w:cs="Arial" w:eastAsia="Arial" w:hAnsi="Arial"/>
          <w:sz w:val="17"/>
          <w:szCs w:val="17"/>
          <w:color w:val="auto"/>
        </w:rPr>
        <w:t>According to the Environmental Protection Agency, 8.9 million tons of clothing and footwear went to landfill in</w:t>
      </w:r>
      <w:r>
        <w:rPr>
          <w:rFonts w:ascii="Arial" w:cs="Arial" w:eastAsia="Arial" w:hAnsi="Arial"/>
          <w:sz w:val="17"/>
          <w:szCs w:val="17"/>
          <w:b w:val="1"/>
          <w:bCs w:val="1"/>
          <w:color w:val="auto"/>
        </w:rPr>
        <w:t xml:space="preserve"> </w:t>
      </w:r>
      <w:r>
        <w:rPr>
          <w:rFonts w:ascii="Arial" w:cs="Arial" w:eastAsia="Arial" w:hAnsi="Arial"/>
          <w:sz w:val="17"/>
          <w:szCs w:val="17"/>
          <w:color w:val="auto"/>
        </w:rPr>
        <w:t>2017. Sellers feel good when they choose to be sustainable with thredUP. Not only do sellers find the process convenient, but they like knowing that their clothing is being reused or recycled.</w:t>
      </w:r>
    </w:p>
    <w:p>
      <w:pPr>
        <w:spacing w:after="0" w:line="106" w:lineRule="exact"/>
        <w:rPr>
          <w:sz w:val="20"/>
          <w:szCs w:val="20"/>
          <w:color w:val="auto"/>
        </w:rPr>
      </w:pPr>
    </w:p>
    <w:p>
      <w:pPr>
        <w:jc w:val="both"/>
        <w:ind w:left="620" w:right="20" w:firstLine="299"/>
        <w:spacing w:after="0" w:line="262" w:lineRule="auto"/>
        <w:rPr>
          <w:sz w:val="20"/>
          <w:szCs w:val="20"/>
          <w:color w:val="auto"/>
        </w:rPr>
      </w:pPr>
      <w:r>
        <w:rPr>
          <w:rFonts w:ascii="Arial" w:cs="Arial" w:eastAsia="Arial" w:hAnsi="Arial"/>
          <w:sz w:val="17"/>
          <w:szCs w:val="17"/>
          <w:b w:val="1"/>
          <w:bCs w:val="1"/>
          <w:color w:val="auto"/>
        </w:rPr>
        <w:t xml:space="preserve">Benefits for Resale-as-a-Service (RaaS) Partners. </w:t>
      </w:r>
      <w:r>
        <w:rPr>
          <w:rFonts w:ascii="Arial" w:cs="Arial" w:eastAsia="Arial" w:hAnsi="Arial"/>
          <w:sz w:val="17"/>
          <w:szCs w:val="17"/>
          <w:color w:val="auto"/>
        </w:rPr>
        <w:t>According to the GlobalData Fashion Retailer Survey, 72% of retail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surveyed said they are interested in testing resale within the next 10 years as they look to increase foot traffic to their stores, drive sustainability for the apparel ecosystem, reach a younger consumer and build brand loyalty with their consumers.</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By partnering with us, RaaS partners are able to:</w:t>
      </w:r>
    </w:p>
    <w:p>
      <w:pPr>
        <w:spacing w:after="0" w:line="101" w:lineRule="exact"/>
        <w:rPr>
          <w:sz w:val="20"/>
          <w:szCs w:val="20"/>
          <w:color w:val="auto"/>
        </w:rPr>
      </w:pPr>
    </w:p>
    <w:p>
      <w:pPr>
        <w:jc w:val="both"/>
        <w:ind w:left="1220" w:right="20" w:hanging="308"/>
        <w:spacing w:after="0" w:line="262" w:lineRule="auto"/>
        <w:tabs>
          <w:tab w:leader="none" w:pos="121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Resale Operating Platform. </w:t>
      </w:r>
      <w:r>
        <w:rPr>
          <w:rFonts w:ascii="Arial" w:cs="Arial" w:eastAsia="Arial" w:hAnsi="Arial"/>
          <w:sz w:val="17"/>
          <w:szCs w:val="17"/>
          <w:color w:val="auto"/>
        </w:rPr>
        <w:t>We enable brands and retailers to plug into our operating platform and unlock the</w:t>
      </w:r>
      <w:r>
        <w:rPr>
          <w:rFonts w:ascii="Arial" w:cs="Arial" w:eastAsia="Arial" w:hAnsi="Arial"/>
          <w:sz w:val="17"/>
          <w:szCs w:val="17"/>
          <w:b w:val="1"/>
          <w:bCs w:val="1"/>
          <w:color w:val="auto"/>
        </w:rPr>
        <w:t xml:space="preserve"> </w:t>
      </w:r>
      <w:r>
        <w:rPr>
          <w:rFonts w:ascii="Arial" w:cs="Arial" w:eastAsia="Arial" w:hAnsi="Arial"/>
          <w:sz w:val="17"/>
          <w:szCs w:val="17"/>
          <w:color w:val="auto"/>
        </w:rPr>
        <w:t>resale value in the closets of their customers. Traditional retail and e-commerce models are not set up to intake, process, price and sell millions of unique resale items at scale in a predominantly online marketplace.</w:t>
      </w:r>
    </w:p>
    <w:p>
      <w:pPr>
        <w:spacing w:after="0" w:line="106" w:lineRule="exact"/>
        <w:rPr>
          <w:rFonts w:ascii="Arial" w:cs="Arial" w:eastAsia="Arial" w:hAnsi="Arial"/>
          <w:sz w:val="17"/>
          <w:szCs w:val="17"/>
          <w:color w:val="auto"/>
        </w:rPr>
      </w:pPr>
    </w:p>
    <w:p>
      <w:pPr>
        <w:ind w:left="1220" w:hanging="308"/>
        <w:spacing w:after="0" w:line="279" w:lineRule="auto"/>
        <w:tabs>
          <w:tab w:leader="none" w:pos="121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Drive Incremental Revenue. </w:t>
      </w:r>
      <w:r>
        <w:rPr>
          <w:rFonts w:ascii="Arial" w:cs="Arial" w:eastAsia="Arial" w:hAnsi="Arial"/>
          <w:sz w:val="17"/>
          <w:szCs w:val="17"/>
          <w:color w:val="auto"/>
        </w:rPr>
        <w:t>We have developed multiple initiatives to drive incremental revenue for our partners. For some</w:t>
      </w:r>
      <w:r>
        <w:rPr>
          <w:rFonts w:ascii="Arial" w:cs="Arial" w:eastAsia="Arial" w:hAnsi="Arial"/>
          <w:sz w:val="17"/>
          <w:szCs w:val="17"/>
          <w:b w:val="1"/>
          <w:bCs w:val="1"/>
          <w:color w:val="auto"/>
        </w:rPr>
        <w:t xml:space="preserve"> </w:t>
      </w:r>
      <w:r>
        <w:rPr>
          <w:rFonts w:ascii="Arial" w:cs="Arial" w:eastAsia="Arial" w:hAnsi="Arial"/>
          <w:sz w:val="17"/>
          <w:szCs w:val="17"/>
          <w:color w:val="auto"/>
        </w:rPr>
        <w:t>RaaS partners, we power clean out services that enable them to sell worn, returned inventory through our marketplace.</w:t>
      </w:r>
    </w:p>
    <w:p>
      <w:pPr>
        <w:spacing w:after="0" w:line="93" w:lineRule="exact"/>
        <w:rPr>
          <w:rFonts w:ascii="Arial" w:cs="Arial" w:eastAsia="Arial" w:hAnsi="Arial"/>
          <w:sz w:val="17"/>
          <w:szCs w:val="17"/>
          <w:color w:val="auto"/>
        </w:rPr>
      </w:pPr>
    </w:p>
    <w:p>
      <w:pPr>
        <w:jc w:val="both"/>
        <w:ind w:left="1220" w:right="20" w:hanging="308"/>
        <w:spacing w:after="0" w:line="262" w:lineRule="auto"/>
        <w:tabs>
          <w:tab w:leader="none" w:pos="121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Access New Consumers. </w:t>
      </w:r>
      <w:r>
        <w:rPr>
          <w:rFonts w:ascii="Arial" w:cs="Arial" w:eastAsia="Arial" w:hAnsi="Arial"/>
          <w:sz w:val="17"/>
          <w:szCs w:val="17"/>
          <w:color w:val="auto"/>
        </w:rPr>
        <w:t>We enable brands and retailers that partner with us to build brand awareness with an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consumer demographic and increase wallet share by expanding their retail proposition into the high growth resale segment. This access is increasingly important as resale becomes mainstream for shoppers of all price points.</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The thredUP Operating Platform</w:t>
      </w:r>
    </w:p>
    <w:p>
      <w:pPr>
        <w:spacing w:after="0" w:line="155" w:lineRule="exact"/>
        <w:rPr>
          <w:sz w:val="20"/>
          <w:szCs w:val="20"/>
          <w:color w:val="auto"/>
        </w:rPr>
      </w:pPr>
    </w:p>
    <w:p>
      <w:pPr>
        <w:ind w:left="620" w:firstLine="299"/>
        <w:spacing w:after="0" w:line="277" w:lineRule="auto"/>
        <w:rPr>
          <w:sz w:val="20"/>
          <w:szCs w:val="20"/>
          <w:color w:val="auto"/>
        </w:rPr>
      </w:pPr>
      <w:r>
        <w:rPr>
          <w:rFonts w:ascii="Arial" w:cs="Arial" w:eastAsia="Arial" w:hAnsi="Arial"/>
          <w:sz w:val="17"/>
          <w:szCs w:val="17"/>
          <w:color w:val="auto"/>
        </w:rPr>
        <w:t>To address the complexities of resale, we have built a platform consisting of distributed processing infrastructure, proprietary software and systems and data science expertise.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Distributed Processing Infrastructure</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Differentiating features of our processing infrastructure include:</w:t>
      </w:r>
    </w:p>
    <w:p>
      <w:pPr>
        <w:spacing w:after="0" w:line="151" w:lineRule="exact"/>
        <w:rPr>
          <w:sz w:val="20"/>
          <w:szCs w:val="20"/>
          <w:color w:val="auto"/>
        </w:rPr>
      </w:pPr>
    </w:p>
    <w:p>
      <w:pPr>
        <w:jc w:val="both"/>
        <w:ind w:left="1220" w:hanging="308"/>
        <w:spacing w:after="0" w:line="262" w:lineRule="auto"/>
        <w:tabs>
          <w:tab w:leader="none" w:pos="121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Proven Scalability. </w:t>
      </w:r>
      <w:r>
        <w:rPr>
          <w:rFonts w:ascii="Arial" w:cs="Arial" w:eastAsia="Arial" w:hAnsi="Arial"/>
          <w:sz w:val="17"/>
          <w:szCs w:val="17"/>
          <w:color w:val="auto"/>
        </w:rPr>
        <w:t>Our infrastructure is highly scalable. Our distribution centers can currently hold 5.5 million items and we</w:t>
      </w:r>
      <w:r>
        <w:rPr>
          <w:rFonts w:ascii="Arial" w:cs="Arial" w:eastAsia="Arial" w:hAnsi="Arial"/>
          <w:sz w:val="17"/>
          <w:szCs w:val="17"/>
          <w:b w:val="1"/>
          <w:bCs w:val="1"/>
          <w:color w:val="auto"/>
        </w:rPr>
        <w:t xml:space="preserve"> </w:t>
      </w:r>
      <w:r>
        <w:rPr>
          <w:rFonts w:ascii="Arial" w:cs="Arial" w:eastAsia="Arial" w:hAnsi="Arial"/>
          <w:sz w:val="17"/>
          <w:szCs w:val="17"/>
          <w:color w:val="auto"/>
        </w:rPr>
        <w:t>expect this to increase to 6.5 million items by the end of 2021. We currently have the ability to process more than 100,000 unique SKUs per day, and we expect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40"/>
          </w:cols>
          <w:pgMar w:left="320" w:top="118" w:right="9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634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7560" cy="663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right="20"/>
        <w:spacing w:after="0" w:line="277" w:lineRule="auto"/>
        <w:rPr>
          <w:sz w:val="20"/>
          <w:szCs w:val="20"/>
          <w:color w:val="auto"/>
        </w:rPr>
      </w:pPr>
      <w:r>
        <w:rPr>
          <w:rFonts w:ascii="Arial" w:cs="Arial" w:eastAsia="Arial" w:hAnsi="Arial"/>
          <w:sz w:val="17"/>
          <w:szCs w:val="17"/>
          <w:color w:val="auto"/>
        </w:rPr>
        <w:t>daily processing capacity to increase over time. Since our founding, we have processed over 100 million unique secondhand items, and we are rapidly expanding our capacity to serve our buyers, sellers and RaaS partners.</w:t>
      </w:r>
    </w:p>
    <w:p>
      <w:pPr>
        <w:spacing w:after="0" w:line="94" w:lineRule="exact"/>
        <w:rPr>
          <w:sz w:val="20"/>
          <w:szCs w:val="20"/>
          <w:color w:val="auto"/>
        </w:rPr>
      </w:pPr>
    </w:p>
    <w:p>
      <w:pPr>
        <w:jc w:val="both"/>
        <w:ind w:left="1220" w:hanging="308"/>
        <w:spacing w:after="0" w:line="262" w:lineRule="auto"/>
        <w:tabs>
          <w:tab w:leader="none" w:pos="1216"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Technology-Driven Processing, Storage and Fulfillment. </w:t>
      </w:r>
      <w:r>
        <w:rPr>
          <w:rFonts w:ascii="Arial" w:cs="Arial" w:eastAsia="Arial" w:hAnsi="Arial"/>
          <w:sz w:val="17"/>
          <w:szCs w:val="17"/>
          <w:color w:val="auto"/>
        </w:rPr>
        <w:t>We drive operational efficiency through proprietary technology and</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automation of our infrastructure. Key processes that involve technology and automation include visual recognition of items, supply acceptance and itemization, pricing and merchandising, photography, and storage and fulfillment.</w:t>
      </w:r>
    </w:p>
    <w:p>
      <w:pPr>
        <w:spacing w:after="0" w:line="106" w:lineRule="exact"/>
        <w:rPr>
          <w:rFonts w:ascii="Arial" w:cs="Arial" w:eastAsia="Arial" w:hAnsi="Arial"/>
          <w:sz w:val="17"/>
          <w:szCs w:val="17"/>
          <w:color w:val="auto"/>
        </w:rPr>
      </w:pPr>
    </w:p>
    <w:p>
      <w:pPr>
        <w:jc w:val="both"/>
        <w:ind w:left="1220" w:hanging="308"/>
        <w:spacing w:after="0" w:line="253" w:lineRule="auto"/>
        <w:tabs>
          <w:tab w:leader="none" w:pos="1216"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Strategic Distribution. </w:t>
      </w:r>
      <w:r>
        <w:rPr>
          <w:rFonts w:ascii="Arial" w:cs="Arial" w:eastAsia="Arial" w:hAnsi="Arial"/>
          <w:sz w:val="17"/>
          <w:szCs w:val="17"/>
          <w:color w:val="auto"/>
        </w:rPr>
        <w:t>Our distribution centers are located in Arizona, Georgia and Pennsylvania. By locating our facilities in</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locations across the country we can be closer to our buyers and sellers, which allows us to reduce shipping times in transit, and lower our inbound and outbound shipping costs. We rank Clean Out Kits that we receive from repeat sellers using a supplier score matrix, which enables us to strategically direct Clean Out Kits to optimize for a facility’s assortment, based on localized supply and demand. We also do the same for buyers’ returns.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Proprietary Software and Systems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Key automated processes in all of our distribution centers include:</w:t>
      </w:r>
    </w:p>
    <w:p>
      <w:pPr>
        <w:spacing w:after="0" w:line="151" w:lineRule="exact"/>
        <w:rPr>
          <w:sz w:val="20"/>
          <w:szCs w:val="20"/>
          <w:color w:val="auto"/>
        </w:rPr>
      </w:pPr>
    </w:p>
    <w:p>
      <w:pPr>
        <w:jc w:val="both"/>
        <w:ind w:left="1220" w:hanging="308"/>
        <w:spacing w:after="0" w:line="262" w:lineRule="auto"/>
        <w:tabs>
          <w:tab w:leader="none" w:pos="1216"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Intelligent Item Acceptance and Listing. </w:t>
      </w:r>
      <w:r>
        <w:rPr>
          <w:rFonts w:ascii="Arial" w:cs="Arial" w:eastAsia="Arial" w:hAnsi="Arial"/>
          <w:sz w:val="17"/>
          <w:szCs w:val="17"/>
          <w:color w:val="auto"/>
        </w:rPr>
        <w:t>We use multi-layered algorithms to predict demand and pricing for an item, along</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optimal payout rate to the seller. As such, after our quality review, we make our decision of accepting or rejecting an item based on a framework that balances sell-through, unit economics and the seller’s payout rate.</w:t>
      </w:r>
    </w:p>
    <w:p>
      <w:pPr>
        <w:spacing w:after="0" w:line="106" w:lineRule="exact"/>
        <w:rPr>
          <w:rFonts w:ascii="Arial" w:cs="Arial" w:eastAsia="Arial" w:hAnsi="Arial"/>
          <w:sz w:val="17"/>
          <w:szCs w:val="17"/>
          <w:color w:val="auto"/>
        </w:rPr>
      </w:pPr>
    </w:p>
    <w:p>
      <w:pPr>
        <w:ind w:left="1220" w:hanging="308"/>
        <w:spacing w:after="0" w:line="279" w:lineRule="auto"/>
        <w:tabs>
          <w:tab w:leader="none" w:pos="1216"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Visual Recognition. </w:t>
      </w:r>
      <w:r>
        <w:rPr>
          <w:rFonts w:ascii="Arial" w:cs="Arial" w:eastAsia="Arial" w:hAnsi="Arial"/>
          <w:sz w:val="17"/>
          <w:szCs w:val="17"/>
          <w:color w:val="auto"/>
        </w:rPr>
        <w:t>We utilize machine learning and artificial intelligence to power visual recognition of items we receive from</w:t>
      </w:r>
      <w:r>
        <w:rPr>
          <w:rFonts w:ascii="Arial" w:cs="Arial" w:eastAsia="Arial" w:hAnsi="Arial"/>
          <w:sz w:val="17"/>
          <w:szCs w:val="17"/>
          <w:b w:val="1"/>
          <w:bCs w:val="1"/>
          <w:color w:val="auto"/>
        </w:rPr>
        <w:t xml:space="preserve"> </w:t>
      </w:r>
      <w:r>
        <w:rPr>
          <w:rFonts w:ascii="Arial" w:cs="Arial" w:eastAsia="Arial" w:hAnsi="Arial"/>
          <w:sz w:val="17"/>
          <w:szCs w:val="17"/>
          <w:color w:val="auto"/>
        </w:rPr>
        <w:t>sellers to automate inspection and item attribution.</w:t>
      </w:r>
    </w:p>
    <w:p>
      <w:pPr>
        <w:spacing w:after="0" w:line="93" w:lineRule="exact"/>
        <w:rPr>
          <w:rFonts w:ascii="Arial" w:cs="Arial" w:eastAsia="Arial" w:hAnsi="Arial"/>
          <w:sz w:val="17"/>
          <w:szCs w:val="17"/>
          <w:color w:val="auto"/>
        </w:rPr>
      </w:pPr>
    </w:p>
    <w:p>
      <w:pPr>
        <w:jc w:val="both"/>
        <w:ind w:left="1220" w:right="20" w:hanging="308"/>
        <w:spacing w:after="0" w:line="253" w:lineRule="auto"/>
        <w:tabs>
          <w:tab w:leader="none" w:pos="1216"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Photo Selection. </w:t>
      </w:r>
      <w:r>
        <w:rPr>
          <w:rFonts w:ascii="Arial" w:cs="Arial" w:eastAsia="Arial" w:hAnsi="Arial"/>
          <w:sz w:val="17"/>
          <w:szCs w:val="17"/>
          <w:color w:val="auto"/>
        </w:rPr>
        <w:t>We have developed software that automatically selects the optimum photo to drive buyer engagement,</w:t>
      </w:r>
      <w:r>
        <w:rPr>
          <w:rFonts w:ascii="Arial" w:cs="Arial" w:eastAsia="Arial" w:hAnsi="Arial"/>
          <w:sz w:val="17"/>
          <w:szCs w:val="17"/>
          <w:b w:val="1"/>
          <w:bCs w:val="1"/>
          <w:color w:val="auto"/>
        </w:rPr>
        <w:t xml:space="preserve"> </w:t>
      </w:r>
      <w:r>
        <w:rPr>
          <w:rFonts w:ascii="Arial" w:cs="Arial" w:eastAsia="Arial" w:hAnsi="Arial"/>
          <w:sz w:val="17"/>
          <w:szCs w:val="17"/>
          <w:color w:val="auto"/>
        </w:rPr>
        <w:t>balanced against the cost of photography, which is one of the largest expenses when prepping an item for sale online. This specialized photo selection capability enables us to produce hundreds of thousands of high-quality photos a day without a professional photographer. We can automatically sharpen, color correct and enhance photos as needed, before uploading to our marketplace in a continuous flow, 24 hours a day, 7 days a week.</w:t>
      </w:r>
    </w:p>
    <w:p>
      <w:pPr>
        <w:spacing w:after="0" w:line="114" w:lineRule="exact"/>
        <w:rPr>
          <w:rFonts w:ascii="Arial" w:cs="Arial" w:eastAsia="Arial" w:hAnsi="Arial"/>
          <w:sz w:val="17"/>
          <w:szCs w:val="17"/>
          <w:color w:val="auto"/>
        </w:rPr>
      </w:pPr>
    </w:p>
    <w:p>
      <w:pPr>
        <w:jc w:val="both"/>
        <w:ind w:left="1220" w:right="20" w:hanging="308"/>
        <w:spacing w:after="0" w:line="262" w:lineRule="auto"/>
        <w:tabs>
          <w:tab w:leader="none" w:pos="1216"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Location-Based Assortment. </w:t>
      </w:r>
      <w:r>
        <w:rPr>
          <w:rFonts w:ascii="Arial" w:cs="Arial" w:eastAsia="Arial" w:hAnsi="Arial"/>
          <w:sz w:val="17"/>
          <w:szCs w:val="17"/>
          <w:color w:val="auto"/>
        </w:rPr>
        <w:t>We match buyers to the closest distribution center and personalize the assortment that they see</w:t>
      </w:r>
      <w:r>
        <w:rPr>
          <w:rFonts w:ascii="Arial" w:cs="Arial" w:eastAsia="Arial" w:hAnsi="Arial"/>
          <w:sz w:val="17"/>
          <w:szCs w:val="17"/>
          <w:b w:val="1"/>
          <w:bCs w:val="1"/>
          <w:color w:val="auto"/>
        </w:rPr>
        <w:t xml:space="preserve"> </w:t>
      </w:r>
      <w:r>
        <w:rPr>
          <w:rFonts w:ascii="Arial" w:cs="Arial" w:eastAsia="Arial" w:hAnsi="Arial"/>
          <w:sz w:val="17"/>
          <w:szCs w:val="17"/>
          <w:color w:val="auto"/>
        </w:rPr>
        <w:t>on our marketplace to items that are physically closest to them. Our geographical personalization enables buyers to find items that are lower priced (the closer the item, the lower the price) and more likely to arrive quickly.</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Data Science Expertise</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Key ways in which we utilize data include:</w:t>
      </w:r>
    </w:p>
    <w:p>
      <w:pPr>
        <w:spacing w:after="0" w:line="151" w:lineRule="exact"/>
        <w:rPr>
          <w:sz w:val="20"/>
          <w:szCs w:val="20"/>
          <w:color w:val="auto"/>
        </w:rPr>
      </w:pPr>
    </w:p>
    <w:p>
      <w:pPr>
        <w:jc w:val="both"/>
        <w:ind w:left="1220" w:right="20" w:hanging="308"/>
        <w:spacing w:after="0" w:line="253" w:lineRule="auto"/>
        <w:tabs>
          <w:tab w:leader="none" w:pos="1216"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Supply Quality Management. </w:t>
      </w:r>
      <w:r>
        <w:rPr>
          <w:rFonts w:ascii="Arial" w:cs="Arial" w:eastAsia="Arial" w:hAnsi="Arial"/>
          <w:sz w:val="17"/>
          <w:szCs w:val="17"/>
          <w:color w:val="auto"/>
        </w:rPr>
        <w:t>We aim to increase the yield from items processed to items listed from each Clean Out Kit by</w:t>
      </w:r>
      <w:r>
        <w:rPr>
          <w:rFonts w:ascii="Arial" w:cs="Arial" w:eastAsia="Arial" w:hAnsi="Arial"/>
          <w:sz w:val="17"/>
          <w:szCs w:val="17"/>
          <w:b w:val="1"/>
          <w:bCs w:val="1"/>
          <w:color w:val="auto"/>
        </w:rPr>
        <w:t xml:space="preserve"> </w:t>
      </w:r>
      <w:r>
        <w:rPr>
          <w:rFonts w:ascii="Arial" w:cs="Arial" w:eastAsia="Arial" w:hAnsi="Arial"/>
          <w:sz w:val="17"/>
          <w:szCs w:val="17"/>
          <w:color w:val="auto"/>
        </w:rPr>
        <w:t>encouraging repeat sellers that have high-quality secondhand items to continue consigning and engaging with thredUP. Given that the majority of our supply comes from repeat sellers, we track transactional and behavioral data that enables us to prioritize sellers with high-quality secondhand items and de-prioritize items that are not as suitable for our marketplace, based on their historical track record.</w:t>
      </w:r>
    </w:p>
    <w:p>
      <w:pPr>
        <w:spacing w:after="0" w:line="114" w:lineRule="exact"/>
        <w:rPr>
          <w:rFonts w:ascii="Arial" w:cs="Arial" w:eastAsia="Arial" w:hAnsi="Arial"/>
          <w:sz w:val="17"/>
          <w:szCs w:val="17"/>
          <w:color w:val="auto"/>
        </w:rPr>
      </w:pPr>
    </w:p>
    <w:p>
      <w:pPr>
        <w:jc w:val="both"/>
        <w:ind w:left="1220" w:hanging="308"/>
        <w:spacing w:after="0" w:line="256" w:lineRule="auto"/>
        <w:tabs>
          <w:tab w:leader="none" w:pos="1216"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Item Pricing. </w:t>
      </w:r>
      <w:r>
        <w:rPr>
          <w:rFonts w:ascii="Arial" w:cs="Arial" w:eastAsia="Arial" w:hAnsi="Arial"/>
          <w:sz w:val="17"/>
          <w:szCs w:val="17"/>
          <w:color w:val="auto"/>
        </w:rPr>
        <w:t>Our software algorithms ingest millions of data points each day to determine how we price items. We set pricing</w:t>
      </w:r>
      <w:r>
        <w:rPr>
          <w:rFonts w:ascii="Arial" w:cs="Arial" w:eastAsia="Arial" w:hAnsi="Arial"/>
          <w:sz w:val="17"/>
          <w:szCs w:val="17"/>
          <w:b w:val="1"/>
          <w:bCs w:val="1"/>
          <w:color w:val="auto"/>
        </w:rPr>
        <w:t xml:space="preserve"> </w:t>
      </w:r>
      <w:r>
        <w:rPr>
          <w:rFonts w:ascii="Arial" w:cs="Arial" w:eastAsia="Arial" w:hAnsi="Arial"/>
          <w:sz w:val="17"/>
          <w:szCs w:val="17"/>
          <w:color w:val="auto"/>
        </w:rPr>
        <w:t>at the item level because each item is unique. Our approach is layered, leveraging machine vision as well as dozens of attributes such as brand, category, style, color and materials. We combine these data points with information about similar items, aggregate marketplace supply and demand data and human-driven pricing research.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40"/>
          </w:cols>
          <w:pgMar w:left="320" w:top="118" w:right="9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508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7560" cy="650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right="20"/>
        <w:spacing w:after="0" w:line="277" w:lineRule="auto"/>
        <w:rPr>
          <w:sz w:val="20"/>
          <w:szCs w:val="20"/>
          <w:color w:val="auto"/>
        </w:rPr>
      </w:pPr>
      <w:r>
        <w:rPr>
          <w:rFonts w:ascii="Arial" w:cs="Arial" w:eastAsia="Arial" w:hAnsi="Arial"/>
          <w:sz w:val="17"/>
          <w:szCs w:val="17"/>
          <w:color w:val="auto"/>
        </w:rPr>
        <w:t>each item, these layers of algorithms are combined in different ways to set our reference prices and listing price and to accelerate sell-through with intelligent, targeted discounting.</w:t>
      </w:r>
    </w:p>
    <w:p>
      <w:pPr>
        <w:spacing w:after="0" w:line="94" w:lineRule="exact"/>
        <w:rPr>
          <w:sz w:val="20"/>
          <w:szCs w:val="20"/>
          <w:color w:val="auto"/>
        </w:rPr>
      </w:pPr>
    </w:p>
    <w:p>
      <w:pPr>
        <w:jc w:val="both"/>
        <w:ind w:left="1220" w:hanging="308"/>
        <w:spacing w:after="0" w:line="256" w:lineRule="auto"/>
        <w:tabs>
          <w:tab w:leader="none" w:pos="1216"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Seller Payouts. </w:t>
      </w:r>
      <w:r>
        <w:rPr>
          <w:rFonts w:ascii="Arial" w:cs="Arial" w:eastAsia="Arial" w:hAnsi="Arial"/>
          <w:sz w:val="17"/>
          <w:szCs w:val="17"/>
          <w:color w:val="auto"/>
        </w:rPr>
        <w:t>Once we have identified the target selling price for an item to maximize its sell-through and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margin, we then set the payout rate for sellers. Similar to our pricing algorithms, we refine our seller payouts on a regular basis to be competitive relative to the market for resale. For example, if we know that an item has strong potential demand with buyers, we are able to calibrate our payout to incentivize sellers to choose thredUP over other managed platforms.</w:t>
      </w:r>
    </w:p>
    <w:p>
      <w:pPr>
        <w:spacing w:after="0" w:line="111" w:lineRule="exact"/>
        <w:rPr>
          <w:rFonts w:ascii="Arial" w:cs="Arial" w:eastAsia="Arial" w:hAnsi="Arial"/>
          <w:sz w:val="17"/>
          <w:szCs w:val="17"/>
          <w:color w:val="auto"/>
        </w:rPr>
      </w:pPr>
    </w:p>
    <w:p>
      <w:pPr>
        <w:jc w:val="both"/>
        <w:ind w:left="1220" w:right="20" w:hanging="308"/>
        <w:spacing w:after="0" w:line="256" w:lineRule="auto"/>
        <w:tabs>
          <w:tab w:leader="none" w:pos="1216"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Personalization. </w:t>
      </w:r>
      <w:r>
        <w:rPr>
          <w:rFonts w:ascii="Arial" w:cs="Arial" w:eastAsia="Arial" w:hAnsi="Arial"/>
          <w:sz w:val="17"/>
          <w:szCs w:val="17"/>
          <w:color w:val="auto"/>
        </w:rPr>
        <w:t>We use data to help buyers better navigate millions of unique items and tens of thousands of new items</w:t>
      </w:r>
      <w:r>
        <w:rPr>
          <w:rFonts w:ascii="Arial" w:cs="Arial" w:eastAsia="Arial" w:hAnsi="Arial"/>
          <w:sz w:val="17"/>
          <w:szCs w:val="17"/>
          <w:b w:val="1"/>
          <w:bCs w:val="1"/>
          <w:color w:val="auto"/>
        </w:rPr>
        <w:t xml:space="preserve"> </w:t>
      </w:r>
      <w:r>
        <w:rPr>
          <w:rFonts w:ascii="Arial" w:cs="Arial" w:eastAsia="Arial" w:hAnsi="Arial"/>
          <w:sz w:val="17"/>
          <w:szCs w:val="17"/>
          <w:color w:val="auto"/>
        </w:rPr>
        <w:t>posted daily so that they are able to have a more personalized shopping experience. We help buyers save items, sign-up for alerts on new items and hear about price drops on products they are in the market to buy. These inputs are then cycled back into our data-driven consumer models to personalize the shopping experience for buyers.</w:t>
      </w:r>
    </w:p>
    <w:p>
      <w:pPr>
        <w:spacing w:after="0" w:line="111" w:lineRule="exact"/>
        <w:rPr>
          <w:rFonts w:ascii="Arial" w:cs="Arial" w:eastAsia="Arial" w:hAnsi="Arial"/>
          <w:sz w:val="17"/>
          <w:szCs w:val="17"/>
          <w:color w:val="auto"/>
        </w:rPr>
      </w:pPr>
    </w:p>
    <w:p>
      <w:pPr>
        <w:jc w:val="both"/>
        <w:ind w:left="1220" w:hanging="308"/>
        <w:spacing w:after="0" w:line="248" w:lineRule="auto"/>
        <w:tabs>
          <w:tab w:leader="none" w:pos="1216"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Marketing Automation. </w:t>
      </w:r>
      <w:r>
        <w:rPr>
          <w:rFonts w:ascii="Arial" w:cs="Arial" w:eastAsia="Arial" w:hAnsi="Arial"/>
          <w:sz w:val="17"/>
          <w:szCs w:val="17"/>
          <w:color w:val="auto"/>
        </w:rPr>
        <w:t>We have built proprietary in-house software, managed by our marketing automation team, to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compelling, scalable buyer acquisition results. In practice, that means our data pipelines have been built to help our teams identify which advertising activities are performing, and to calibrate our marketing spend across channels and campaigns to drive return on investment. We also use browsing and engagement data in our models that help us estimate (i) the future value of a potential buyer in terms of potential contribution profit for their first order and (ii) the future value of an existing buyer in terms of potential contribution profit for the next twelve months. We ingest and calibrate multiple data points including the advertising unit viewed by the potential buyer, sign-on method, search or filter keywords and add-to-cart behavior, amongst others, to predict the quality of this potential buyer and the expected lifetime value and payback on marketing over time. We calculate marketing payback as the time it takes for the cumulative contribution profit of a buyer to equal the marketing dollars spent to acquire such buyer.</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Strengths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believe the following strengths contribute to our success:</w:t>
      </w:r>
    </w:p>
    <w:p>
      <w:pPr>
        <w:spacing w:after="0" w:line="151" w:lineRule="exact"/>
        <w:rPr>
          <w:sz w:val="20"/>
          <w:szCs w:val="20"/>
          <w:color w:val="auto"/>
        </w:rPr>
      </w:pPr>
    </w:p>
    <w:p>
      <w:pPr>
        <w:jc w:val="both"/>
        <w:ind w:left="1220" w:right="20" w:hanging="308"/>
        <w:spacing w:after="0" w:line="256" w:lineRule="auto"/>
        <w:tabs>
          <w:tab w:leader="none" w:pos="1216"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Powerful, Extensible Operating Platform. </w:t>
      </w:r>
      <w:r>
        <w:rPr>
          <w:rFonts w:ascii="Arial" w:cs="Arial" w:eastAsia="Arial" w:hAnsi="Arial"/>
          <w:sz w:val="17"/>
          <w:szCs w:val="17"/>
          <w:color w:val="auto"/>
        </w:rPr>
        <w:t>We designed our platform with the goal of making buying and selling secondhand</w:t>
      </w:r>
      <w:r>
        <w:rPr>
          <w:rFonts w:ascii="Arial" w:cs="Arial" w:eastAsia="Arial" w:hAnsi="Arial"/>
          <w:sz w:val="17"/>
          <w:szCs w:val="17"/>
          <w:b w:val="1"/>
          <w:bCs w:val="1"/>
          <w:color w:val="auto"/>
        </w:rPr>
        <w:t xml:space="preserve"> </w:t>
      </w:r>
      <w:r>
        <w:rPr>
          <w:rFonts w:ascii="Arial" w:cs="Arial" w:eastAsia="Arial" w:hAnsi="Arial"/>
          <w:sz w:val="17"/>
          <w:szCs w:val="17"/>
          <w:color w:val="auto"/>
        </w:rPr>
        <w:t>convenient for consumers, and we extended it to support brand and retail experiences via our RaaS offering. As a result of our investments in our platform, we expect that buyers, sellers, brands, retailers and other partners will continue to seek out thredUP as their resale partner, providing us with the opportunity to extend our platform further.</w:t>
      </w:r>
    </w:p>
    <w:p>
      <w:pPr>
        <w:spacing w:after="0" w:line="111" w:lineRule="exact"/>
        <w:rPr>
          <w:rFonts w:ascii="Arial" w:cs="Arial" w:eastAsia="Arial" w:hAnsi="Arial"/>
          <w:sz w:val="17"/>
          <w:szCs w:val="17"/>
          <w:color w:val="auto"/>
        </w:rPr>
      </w:pPr>
    </w:p>
    <w:p>
      <w:pPr>
        <w:jc w:val="both"/>
        <w:ind w:left="1220" w:hanging="308"/>
        <w:spacing w:after="0" w:line="256" w:lineRule="auto"/>
        <w:tabs>
          <w:tab w:leader="none" w:pos="1216"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Data Driven Model. </w:t>
      </w:r>
      <w:r>
        <w:rPr>
          <w:rFonts w:ascii="Arial" w:cs="Arial" w:eastAsia="Arial" w:hAnsi="Arial"/>
          <w:sz w:val="17"/>
          <w:szCs w:val="17"/>
          <w:color w:val="auto"/>
        </w:rPr>
        <w:t>Our business model allows us to capture and utilize large volumes of data from touch points throughout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resale process, including transactional and pricing data across more than 35,000 brands and 100 categories, along with behavioral data from our buyers and sellers. We believe that our data gives us unparalleled insight into the entire resale economy and allows us to enhance our operating platform.</w:t>
      </w:r>
    </w:p>
    <w:p>
      <w:pPr>
        <w:spacing w:after="0" w:line="111" w:lineRule="exact"/>
        <w:rPr>
          <w:rFonts w:ascii="Arial" w:cs="Arial" w:eastAsia="Arial" w:hAnsi="Arial"/>
          <w:sz w:val="17"/>
          <w:szCs w:val="17"/>
          <w:color w:val="auto"/>
        </w:rPr>
      </w:pPr>
    </w:p>
    <w:p>
      <w:pPr>
        <w:jc w:val="both"/>
        <w:ind w:left="1220" w:hanging="308"/>
        <w:spacing w:after="0" w:line="249" w:lineRule="auto"/>
        <w:tabs>
          <w:tab w:leader="none" w:pos="1216"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Managed Marketplace. </w:t>
      </w:r>
      <w:r>
        <w:rPr>
          <w:rFonts w:ascii="Arial" w:cs="Arial" w:eastAsia="Arial" w:hAnsi="Arial"/>
          <w:sz w:val="17"/>
          <w:szCs w:val="17"/>
          <w:color w:val="auto"/>
        </w:rPr>
        <w:t>We provide end-to-end resale services for sellers using our platform, including managing item selection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pricing, merchandising, fulfillment, payments and customer service. As a result, we can offer a broad selection of secondhand items across more than 35,000 brands and 100 categories. Our buyers and sellers trust thredUP to deliver value, selection and quality. We believe that operating primarily on consignment also gives us the ability to drive stronger future margins than traditional inventory-taking business models because we incur minimal inventory risk and benefit from favorable working capital dynamics. Our buyers pay us upfront when they purchase an item. For items held on consignment, after the end of the 14-day return window for buyers, we credit our sellers’ accounts with their seller payout. Our sellers then take an average of more than 60 days to use their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40"/>
          </w:cols>
          <w:pgMar w:left="320" w:top="118" w:right="9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6973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7560" cy="669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20" w:hanging="308"/>
        <w:spacing w:after="0" w:line="251" w:lineRule="auto"/>
        <w:tabs>
          <w:tab w:leader="none" w:pos="1216"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Strong Network Effects. </w:t>
      </w:r>
      <w:r>
        <w:rPr>
          <w:rFonts w:ascii="Arial" w:cs="Arial" w:eastAsia="Arial" w:hAnsi="Arial"/>
          <w:sz w:val="17"/>
          <w:szCs w:val="17"/>
          <w:color w:val="auto"/>
        </w:rPr>
        <w:t>The growth of buyers and sellers on our marketplace generates strong network effects. More</w:t>
      </w:r>
      <w:r>
        <w:rPr>
          <w:rFonts w:ascii="Arial" w:cs="Arial" w:eastAsia="Arial" w:hAnsi="Arial"/>
          <w:sz w:val="17"/>
          <w:szCs w:val="17"/>
          <w:b w:val="1"/>
          <w:bCs w:val="1"/>
          <w:color w:val="auto"/>
        </w:rPr>
        <w:t xml:space="preserve"> </w:t>
      </w:r>
      <w:r>
        <w:rPr>
          <w:rFonts w:ascii="Arial" w:cs="Arial" w:eastAsia="Arial" w:hAnsi="Arial"/>
          <w:sz w:val="17"/>
          <w:szCs w:val="17"/>
          <w:color w:val="auto"/>
        </w:rPr>
        <w:t>assortment on our marketplace increases the choices available to buyers, and more buyers on our marketplace increases potential sales for our sellers through a self-reinforcing, mutually beneficial network effect. Our network effects grow as we scale due to our ability to harness a larger trove of proprietary pricing, transactional and behavioral data to optimize our marketplace. In addition, converting buyers into sellers and vice versa amplifies the flywheel that drives user acquisition, engagement and retention in our marketplace.</w:t>
      </w:r>
    </w:p>
    <w:p>
      <w:pPr>
        <w:spacing w:after="0" w:line="117" w:lineRule="exact"/>
        <w:rPr>
          <w:rFonts w:ascii="Arial" w:cs="Arial" w:eastAsia="Arial" w:hAnsi="Arial"/>
          <w:sz w:val="17"/>
          <w:szCs w:val="17"/>
          <w:color w:val="auto"/>
        </w:rPr>
      </w:pPr>
    </w:p>
    <w:p>
      <w:pPr>
        <w:jc w:val="both"/>
        <w:ind w:left="1220" w:hanging="308"/>
        <w:spacing w:after="0" w:line="256" w:lineRule="auto"/>
        <w:tabs>
          <w:tab w:leader="none" w:pos="1216"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Founder-Led Management Team. </w:t>
      </w:r>
      <w:r>
        <w:rPr>
          <w:rFonts w:ascii="Arial" w:cs="Arial" w:eastAsia="Arial" w:hAnsi="Arial"/>
          <w:sz w:val="17"/>
          <w:szCs w:val="17"/>
          <w:color w:val="auto"/>
        </w:rPr>
        <w:t>We are led by our co-founders James Reinhart and Chris Homer. Our management team’s</w:t>
      </w:r>
      <w:r>
        <w:rPr>
          <w:rFonts w:ascii="Arial" w:cs="Arial" w:eastAsia="Arial" w:hAnsi="Arial"/>
          <w:sz w:val="17"/>
          <w:szCs w:val="17"/>
          <w:b w:val="1"/>
          <w:bCs w:val="1"/>
          <w:color w:val="auto"/>
        </w:rPr>
        <w:t xml:space="preserve"> </w:t>
      </w:r>
      <w:r>
        <w:rPr>
          <w:rFonts w:ascii="Arial" w:cs="Arial" w:eastAsia="Arial" w:hAnsi="Arial"/>
          <w:sz w:val="17"/>
          <w:szCs w:val="17"/>
          <w:color w:val="auto"/>
        </w:rPr>
        <w:t>clear sense of mission, commitment to our values and long-term focus on transforming resale through technology are central to our success. Members of our team have created and grown leading technology, retail and consumer businesses, and they retain a strong entrepreneurial spirit.</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Growth Strategy</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key elements of our growth strategy include:</w:t>
      </w:r>
    </w:p>
    <w:p>
      <w:pPr>
        <w:spacing w:after="0" w:line="151" w:lineRule="exact"/>
        <w:rPr>
          <w:sz w:val="20"/>
          <w:szCs w:val="20"/>
          <w:color w:val="auto"/>
        </w:rPr>
      </w:pPr>
    </w:p>
    <w:p>
      <w:pPr>
        <w:jc w:val="both"/>
        <w:ind w:left="1220" w:hanging="308"/>
        <w:spacing w:after="0" w:line="256" w:lineRule="auto"/>
        <w:tabs>
          <w:tab w:leader="none" w:pos="1216"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Expand Our Operating Platform. </w:t>
      </w:r>
      <w:r>
        <w:rPr>
          <w:rFonts w:ascii="Arial" w:cs="Arial" w:eastAsia="Arial" w:hAnsi="Arial"/>
          <w:sz w:val="17"/>
          <w:szCs w:val="17"/>
          <w:color w:val="auto"/>
        </w:rPr>
        <w:t>We will continue to invest in our operating platform by expanding and optimizing our</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distributed processing infrastructure and automation capabilities, including increasing automated distribution centers, and improving our proprietary software and systems and data science capabilities. We expect to drive operating leverage and higher margins as we grow and scale our business.</w:t>
      </w:r>
    </w:p>
    <w:p>
      <w:pPr>
        <w:spacing w:after="0" w:line="111" w:lineRule="exact"/>
        <w:rPr>
          <w:rFonts w:ascii="Arial" w:cs="Arial" w:eastAsia="Arial" w:hAnsi="Arial"/>
          <w:sz w:val="17"/>
          <w:szCs w:val="17"/>
          <w:color w:val="auto"/>
        </w:rPr>
      </w:pPr>
    </w:p>
    <w:p>
      <w:pPr>
        <w:jc w:val="both"/>
        <w:ind w:left="1220" w:hanging="308"/>
        <w:spacing w:after="0" w:line="250" w:lineRule="auto"/>
        <w:tabs>
          <w:tab w:leader="none" w:pos="1216"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Increase Selection of High-Quality Items. </w:t>
      </w:r>
      <w:r>
        <w:rPr>
          <w:rFonts w:ascii="Arial" w:cs="Arial" w:eastAsia="Arial" w:hAnsi="Arial"/>
          <w:sz w:val="17"/>
          <w:szCs w:val="17"/>
          <w:color w:val="auto"/>
        </w:rPr>
        <w:t>Having a vast selection of high-quality secondhand items is core to the growth of</w:t>
      </w:r>
      <w:r>
        <w:rPr>
          <w:rFonts w:ascii="Arial" w:cs="Arial" w:eastAsia="Arial" w:hAnsi="Arial"/>
          <w:sz w:val="17"/>
          <w:szCs w:val="17"/>
          <w:b w:val="1"/>
          <w:bCs w:val="1"/>
          <w:color w:val="auto"/>
        </w:rPr>
        <w:t xml:space="preserve"> </w:t>
      </w:r>
      <w:r>
        <w:rPr>
          <w:rFonts w:ascii="Arial" w:cs="Arial" w:eastAsia="Arial" w:hAnsi="Arial"/>
          <w:sz w:val="17"/>
          <w:szCs w:val="17"/>
          <w:color w:val="auto"/>
        </w:rPr>
        <w:t>our business, and we plan to continue to attract additional sellers and engage with our RaaS partners to bring an ongoing, high-quality assortment to our marketplace.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retail locations, our RaaS partnership programs, referral programs, organic word-of-mouth and other methods of discovery, such as mentions in the press.</w:t>
      </w:r>
    </w:p>
    <w:p>
      <w:pPr>
        <w:spacing w:after="0" w:line="117" w:lineRule="exact"/>
        <w:rPr>
          <w:rFonts w:ascii="Arial" w:cs="Arial" w:eastAsia="Arial" w:hAnsi="Arial"/>
          <w:sz w:val="17"/>
          <w:szCs w:val="17"/>
          <w:color w:val="auto"/>
        </w:rPr>
      </w:pPr>
    </w:p>
    <w:p>
      <w:pPr>
        <w:ind w:left="1200" w:hanging="288"/>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Increase Lifetime Value of Existing Buyers and Attract New Buyers.</w:t>
      </w:r>
    </w:p>
    <w:p>
      <w:pPr>
        <w:spacing w:after="0" w:line="154" w:lineRule="exact"/>
        <w:rPr>
          <w:rFonts w:ascii="Arial" w:cs="Arial" w:eastAsia="Arial" w:hAnsi="Arial"/>
          <w:sz w:val="17"/>
          <w:szCs w:val="17"/>
          <w:color w:val="auto"/>
        </w:rPr>
      </w:pPr>
    </w:p>
    <w:p>
      <w:pPr>
        <w:jc w:val="both"/>
        <w:ind w:left="1500" w:hanging="289"/>
        <w:spacing w:after="0" w:line="255" w:lineRule="auto"/>
        <w:tabs>
          <w:tab w:leader="none" w:pos="1496"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Increasing the lifetime value of existing buyers. </w:t>
      </w:r>
      <w:r>
        <w:rPr>
          <w:rFonts w:ascii="Arial" w:cs="Arial" w:eastAsia="Arial" w:hAnsi="Arial"/>
          <w:sz w:val="17"/>
          <w:szCs w:val="17"/>
          <w:color w:val="auto"/>
        </w:rPr>
        <w:t>For buyers, we intend to drive repeat purchases by enhancing our</w:t>
      </w:r>
      <w:r>
        <w:rPr>
          <w:rFonts w:ascii="Arial" w:cs="Arial" w:eastAsia="Arial" w:hAnsi="Arial"/>
          <w:sz w:val="17"/>
          <w:szCs w:val="17"/>
          <w:i w:val="1"/>
          <w:iCs w:val="1"/>
          <w:color w:val="auto"/>
        </w:rPr>
        <w:t xml:space="preserve"> </w:t>
      </w:r>
      <w:r>
        <w:rPr>
          <w:rFonts w:ascii="Arial" w:cs="Arial" w:eastAsia="Arial" w:hAnsi="Arial"/>
          <w:sz w:val="17"/>
          <w:szCs w:val="17"/>
          <w:color w:val="auto"/>
        </w:rPr>
        <w:t>assortment and leveraging our data insights to improve personalization and increase conversion. In addition, converting buyers into sellers and vice versa accelerates the powerful flywheel that drives our marketplace and leads to greater value per customer.</w:t>
      </w:r>
    </w:p>
    <w:p>
      <w:pPr>
        <w:spacing w:after="0" w:line="114" w:lineRule="exact"/>
        <w:rPr>
          <w:rFonts w:ascii="Arial" w:cs="Arial" w:eastAsia="Arial" w:hAnsi="Arial"/>
          <w:sz w:val="17"/>
          <w:szCs w:val="17"/>
          <w:color w:val="auto"/>
        </w:rPr>
      </w:pPr>
    </w:p>
    <w:p>
      <w:pPr>
        <w:jc w:val="both"/>
        <w:ind w:left="1500" w:hanging="289"/>
        <w:spacing w:after="0" w:line="255" w:lineRule="auto"/>
        <w:tabs>
          <w:tab w:leader="none" w:pos="1496"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Attracting new buyers. </w:t>
      </w:r>
      <w:r>
        <w:rPr>
          <w:rFonts w:ascii="Arial" w:cs="Arial" w:eastAsia="Arial" w:hAnsi="Arial"/>
          <w:sz w:val="17"/>
          <w:szCs w:val="17"/>
          <w:color w:val="auto"/>
        </w:rPr>
        <w:t>We are focused on growing our buyer base, and we believe we are in the early stages of our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As of December 31, 2020, we had 1.24 million Active Buyers, which represents less than 1% penetration of the U.S. total population. Through our targeted, data-driven marketing efforts we aim to generate meaningful returns on our buyer acquisition investments.</w:t>
      </w:r>
    </w:p>
    <w:p>
      <w:pPr>
        <w:spacing w:after="0" w:line="112" w:lineRule="exact"/>
        <w:rPr>
          <w:rFonts w:ascii="Arial" w:cs="Arial" w:eastAsia="Arial" w:hAnsi="Arial"/>
          <w:sz w:val="17"/>
          <w:szCs w:val="17"/>
          <w:color w:val="auto"/>
        </w:rPr>
      </w:pPr>
    </w:p>
    <w:p>
      <w:pPr>
        <w:jc w:val="both"/>
        <w:ind w:left="1220" w:hanging="308"/>
        <w:spacing w:after="0" w:line="262" w:lineRule="auto"/>
        <w:tabs>
          <w:tab w:leader="none" w:pos="1216"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Expand our Resale-as-a-Service (RaaS) Offering. </w:t>
      </w:r>
      <w:r>
        <w:rPr>
          <w:rFonts w:ascii="Arial" w:cs="Arial" w:eastAsia="Arial" w:hAnsi="Arial"/>
          <w:sz w:val="17"/>
          <w:szCs w:val="17"/>
          <w:color w:val="auto"/>
        </w:rPr>
        <w:t>We plan to invest in and extend our RaaS offering to power resale for more</w:t>
      </w:r>
      <w:r>
        <w:rPr>
          <w:rFonts w:ascii="Arial" w:cs="Arial" w:eastAsia="Arial" w:hAnsi="Arial"/>
          <w:sz w:val="17"/>
          <w:szCs w:val="17"/>
          <w:b w:val="1"/>
          <w:bCs w:val="1"/>
          <w:color w:val="auto"/>
        </w:rPr>
        <w:t xml:space="preserve"> </w:t>
      </w:r>
      <w:r>
        <w:rPr>
          <w:rFonts w:ascii="Arial" w:cs="Arial" w:eastAsia="Arial" w:hAnsi="Arial"/>
          <w:sz w:val="17"/>
          <w:szCs w:val="17"/>
          <w:color w:val="auto"/>
        </w:rPr>
        <w:t>brands and retailers. More brand and retail partners on our platform drives more supply for our marketplace and creates brand awareness with buyers for thredUP and our partners.</w:t>
      </w:r>
    </w:p>
    <w:p>
      <w:pPr>
        <w:spacing w:after="0" w:line="106" w:lineRule="exact"/>
        <w:rPr>
          <w:rFonts w:ascii="Arial" w:cs="Arial" w:eastAsia="Arial" w:hAnsi="Arial"/>
          <w:sz w:val="17"/>
          <w:szCs w:val="17"/>
          <w:color w:val="auto"/>
        </w:rPr>
      </w:pPr>
    </w:p>
    <w:p>
      <w:pPr>
        <w:jc w:val="both"/>
        <w:ind w:left="1220" w:hanging="308"/>
        <w:spacing w:after="0" w:line="262" w:lineRule="auto"/>
        <w:tabs>
          <w:tab w:leader="none" w:pos="1216"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Increase Brand Awareness. </w:t>
      </w:r>
      <w:r>
        <w:rPr>
          <w:rFonts w:ascii="Arial" w:cs="Arial" w:eastAsia="Arial" w:hAnsi="Arial"/>
          <w:sz w:val="17"/>
          <w:szCs w:val="17"/>
          <w:color w:val="auto"/>
        </w:rPr>
        <w:t>We have an opportunity to increase our brand awareness, as our unaided brand awareness was</w:t>
      </w:r>
      <w:r>
        <w:rPr>
          <w:rFonts w:ascii="Arial" w:cs="Arial" w:eastAsia="Arial" w:hAnsi="Arial"/>
          <w:sz w:val="17"/>
          <w:szCs w:val="17"/>
          <w:b w:val="1"/>
          <w:bCs w:val="1"/>
          <w:color w:val="auto"/>
        </w:rPr>
        <w:t xml:space="preserve"> </w:t>
      </w:r>
      <w:r>
        <w:rPr>
          <w:rFonts w:ascii="Arial" w:cs="Arial" w:eastAsia="Arial" w:hAnsi="Arial"/>
          <w:sz w:val="17"/>
          <w:szCs w:val="17"/>
          <w:color w:val="auto"/>
        </w:rPr>
        <w:t>13.8% as of January 2021, based on a first quarter 2021 survey of over 2,000 women in the United States of ages 18 - 65. In the survey, 13.8% of participants 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320" w:top="118" w:right="9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508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7560" cy="650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20" w:right="20"/>
        <w:spacing w:after="0" w:line="260" w:lineRule="auto"/>
        <w:rPr>
          <w:sz w:val="20"/>
          <w:szCs w:val="20"/>
          <w:color w:val="auto"/>
        </w:rPr>
      </w:pPr>
      <w:r>
        <w:rPr>
          <w:rFonts w:ascii="Arial" w:cs="Arial" w:eastAsia="Arial" w:hAnsi="Arial"/>
          <w:sz w:val="17"/>
          <w:szCs w:val="17"/>
          <w:color w:val="auto"/>
        </w:rPr>
        <w:t>they think of thredUP when they think of online clothing resale (buying or selling secondhand clothes online) websites. We believe that with continued investment in brand marketing, data-led insights and effective consumer targeting, we can expand and strengthen our reach.</w:t>
      </w:r>
    </w:p>
    <w:p>
      <w:pPr>
        <w:spacing w:after="0" w:line="109" w:lineRule="exact"/>
        <w:rPr>
          <w:sz w:val="20"/>
          <w:szCs w:val="20"/>
          <w:color w:val="auto"/>
        </w:rPr>
      </w:pPr>
    </w:p>
    <w:p>
      <w:pPr>
        <w:ind w:left="1220" w:right="20" w:hanging="308"/>
        <w:spacing w:after="0" w:line="279" w:lineRule="auto"/>
        <w:tabs>
          <w:tab w:leader="none" w:pos="1216"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Expand into New Categories and Offerings. </w:t>
      </w:r>
      <w:r>
        <w:rPr>
          <w:rFonts w:ascii="Arial" w:cs="Arial" w:eastAsia="Arial" w:hAnsi="Arial"/>
          <w:sz w:val="17"/>
          <w:szCs w:val="17"/>
          <w:color w:val="auto"/>
        </w:rPr>
        <w:t>We aim to enhance our product offering for buyers and unlock more supply from</w:t>
      </w:r>
      <w:r>
        <w:rPr>
          <w:rFonts w:ascii="Arial" w:cs="Arial" w:eastAsia="Arial" w:hAnsi="Arial"/>
          <w:sz w:val="17"/>
          <w:szCs w:val="17"/>
          <w:b w:val="1"/>
          <w:bCs w:val="1"/>
          <w:color w:val="auto"/>
        </w:rPr>
        <w:t xml:space="preserve"> </w:t>
      </w:r>
      <w:r>
        <w:rPr>
          <w:rFonts w:ascii="Arial" w:cs="Arial" w:eastAsia="Arial" w:hAnsi="Arial"/>
          <w:sz w:val="17"/>
          <w:szCs w:val="17"/>
          <w:color w:val="auto"/>
        </w:rPr>
        <w:t>sellers by expanding into new categories and offerings that can leverage our conveyor and item on-hanger systems.</w:t>
      </w:r>
    </w:p>
    <w:p>
      <w:pPr>
        <w:spacing w:after="0" w:line="93" w:lineRule="exact"/>
        <w:rPr>
          <w:rFonts w:ascii="Arial" w:cs="Arial" w:eastAsia="Arial" w:hAnsi="Arial"/>
          <w:sz w:val="17"/>
          <w:szCs w:val="17"/>
          <w:color w:val="auto"/>
        </w:rPr>
      </w:pPr>
    </w:p>
    <w:p>
      <w:pPr>
        <w:jc w:val="both"/>
        <w:ind w:left="1220" w:hanging="308"/>
        <w:spacing w:after="0" w:line="262" w:lineRule="auto"/>
        <w:tabs>
          <w:tab w:leader="none" w:pos="1216"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Expand Internationally. </w:t>
      </w:r>
      <w:r>
        <w:rPr>
          <w:rFonts w:ascii="Arial" w:cs="Arial" w:eastAsia="Arial" w:hAnsi="Arial"/>
          <w:sz w:val="17"/>
          <w:szCs w:val="17"/>
          <w:color w:val="auto"/>
        </w:rPr>
        <w:t>Our operating platform and data science expertise have enabled us to expand our offering into RaaS</w:t>
      </w:r>
      <w:r>
        <w:rPr>
          <w:rFonts w:ascii="Arial" w:cs="Arial" w:eastAsia="Arial" w:hAnsi="Arial"/>
          <w:sz w:val="17"/>
          <w:szCs w:val="17"/>
          <w:b w:val="1"/>
          <w:bCs w:val="1"/>
          <w:color w:val="auto"/>
        </w:rPr>
        <w:t xml:space="preserve"> </w:t>
      </w:r>
      <w:r>
        <w:rPr>
          <w:rFonts w:ascii="Arial" w:cs="Arial" w:eastAsia="Arial" w:hAnsi="Arial"/>
          <w:sz w:val="17"/>
          <w:szCs w:val="17"/>
          <w:color w:val="auto"/>
        </w:rPr>
        <w:t>and new apparel categories successfully. We may choose to expand into new geographies and invest strategically in international operations and marketing in the future.</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Risk Factors Summary</w:t>
      </w:r>
    </w:p>
    <w:p>
      <w:pPr>
        <w:spacing w:after="0" w:line="155" w:lineRule="exact"/>
        <w:rPr>
          <w:sz w:val="20"/>
          <w:szCs w:val="20"/>
          <w:color w:val="auto"/>
        </w:rPr>
      </w:pPr>
    </w:p>
    <w:p>
      <w:pPr>
        <w:jc w:val="both"/>
        <w:ind w:left="620" w:firstLine="299"/>
        <w:spacing w:after="0" w:line="248" w:lineRule="auto"/>
        <w:rPr>
          <w:sz w:val="20"/>
          <w:szCs w:val="20"/>
          <w:color w:val="auto"/>
        </w:rPr>
      </w:pPr>
      <w:r>
        <w:rPr>
          <w:rFonts w:ascii="Arial" w:cs="Arial" w:eastAsia="Arial" w:hAnsi="Arial"/>
          <w:sz w:val="17"/>
          <w:szCs w:val="17"/>
          <w:color w:val="auto"/>
        </w:rPr>
        <w:t>Our business is subject to numerous risks and uncertainties, including, but not limited to, those highlighted in the section titled “Risk Factors” and summarized below. We have various categories of risks, including risks relating to our business and industry; risks relating to information technology, intellectual property and data security and privacy; risks relating to legal, regulatory, accounting and tax matters; risks relating to our indebtedness and liquidity; and risks relating to our initial public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Additional risks, beyond those summarized below or discussed elsewhere in this prospectus, may apply to our business, activities or operations as currently conducted or as we may conduct them in the future or in the markets in which we operate or may in the future operate.</w:t>
      </w:r>
    </w:p>
    <w:p>
      <w:pPr>
        <w:spacing w:after="0" w:line="123" w:lineRule="exact"/>
        <w:rPr>
          <w:sz w:val="20"/>
          <w:szCs w:val="20"/>
          <w:color w:val="auto"/>
        </w:rPr>
      </w:pPr>
    </w:p>
    <w:p>
      <w:pPr>
        <w:ind w:left="1200" w:hanging="288"/>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continued growth depends on attracting new, and retaining existing, buyers.</w:t>
      </w:r>
    </w:p>
    <w:p>
      <w:pPr>
        <w:spacing w:after="0" w:line="152"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96" w:lineRule="exact"/>
        <w:rPr>
          <w:rFonts w:ascii="Arial" w:cs="Arial" w:eastAsia="Arial" w:hAnsi="Arial"/>
          <w:sz w:val="17"/>
          <w:szCs w:val="17"/>
          <w:color w:val="auto"/>
        </w:rPr>
      </w:pPr>
    </w:p>
    <w:p>
      <w:pPr>
        <w:ind w:left="1220" w:hanging="308"/>
        <w:spacing w:after="0" w:line="277"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business, including our costs and supply of secondhand items, is subject to risks associated with sourcing, itemizing, warehousing and shipping.</w:t>
      </w:r>
    </w:p>
    <w:p>
      <w:pPr>
        <w:spacing w:after="0" w:line="96" w:lineRule="exact"/>
        <w:rPr>
          <w:rFonts w:ascii="Arial" w:cs="Arial" w:eastAsia="Arial" w:hAnsi="Arial"/>
          <w:sz w:val="17"/>
          <w:szCs w:val="17"/>
          <w:color w:val="auto"/>
        </w:rPr>
      </w:pPr>
    </w:p>
    <w:p>
      <w:pPr>
        <w:jc w:val="both"/>
        <w:ind w:left="1220" w:hanging="308"/>
        <w:spacing w:after="0" w:line="260"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111" w:lineRule="exact"/>
        <w:rPr>
          <w:rFonts w:ascii="Arial" w:cs="Arial" w:eastAsia="Arial" w:hAnsi="Arial"/>
          <w:sz w:val="17"/>
          <w:szCs w:val="17"/>
          <w:color w:val="auto"/>
        </w:rPr>
      </w:pPr>
    </w:p>
    <w:p>
      <w:pPr>
        <w:ind w:left="1220" w:hanging="308"/>
        <w:spacing w:after="0" w:line="277"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have a limited operating history in an evolving industry, which makes it difficult to forecast our revenue, plan our expenses and evaluate our business and future prospects.</w:t>
      </w:r>
    </w:p>
    <w:p>
      <w:pPr>
        <w:spacing w:after="0" w:line="96"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have a history of losses, we anticipate increasing operating expenses in the future and we may not be able to achieve and, if achieved, maintain profitability.</w:t>
      </w:r>
    </w:p>
    <w:p>
      <w:pPr>
        <w:spacing w:after="0" w:line="96"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96" w:lineRule="exact"/>
        <w:rPr>
          <w:rFonts w:ascii="Arial" w:cs="Arial" w:eastAsia="Arial" w:hAnsi="Arial"/>
          <w:sz w:val="17"/>
          <w:szCs w:val="17"/>
          <w:color w:val="auto"/>
        </w:rPr>
      </w:pPr>
    </w:p>
    <w:p>
      <w:pPr>
        <w:jc w:val="both"/>
        <w:ind w:left="1220" w:hanging="308"/>
        <w:spacing w:after="0" w:line="260"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0"/>
          </w:cols>
          <w:pgMar w:left="320" w:top="118" w:right="9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729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7560" cy="672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right="20" w:hanging="308"/>
        <w:spacing w:after="0" w:line="277" w:lineRule="auto"/>
        <w:tabs>
          <w:tab w:leader="none" w:pos="12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96"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global COVID-19 pandemic has had and may continue to have an adverse impact on our business, results of operations and financial condition.</w:t>
      </w:r>
    </w:p>
    <w:p>
      <w:pPr>
        <w:spacing w:after="0" w:line="96" w:lineRule="exact"/>
        <w:rPr>
          <w:rFonts w:ascii="Arial" w:cs="Arial" w:eastAsia="Arial" w:hAnsi="Arial"/>
          <w:sz w:val="17"/>
          <w:szCs w:val="17"/>
          <w:color w:val="auto"/>
        </w:rPr>
      </w:pPr>
    </w:p>
    <w:p>
      <w:pPr>
        <w:jc w:val="both"/>
        <w:ind w:left="1220" w:right="20" w:hanging="308"/>
        <w:spacing w:after="0" w:line="260" w:lineRule="auto"/>
        <w:tabs>
          <w:tab w:leader="none" w:pos="12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There has been no prior public market for our Class A common stock, the stock price of our Class A common stock may be volatile or may decline regardless of our operating performance and you may not be able to resell your shares at or above the initial public offering price.</w:t>
      </w:r>
    </w:p>
    <w:p>
      <w:pPr>
        <w:spacing w:after="0" w:line="111" w:lineRule="exact"/>
        <w:rPr>
          <w:rFonts w:ascii="Arial" w:cs="Arial" w:eastAsia="Arial" w:hAnsi="Arial"/>
          <w:sz w:val="17"/>
          <w:szCs w:val="17"/>
          <w:color w:val="auto"/>
        </w:rPr>
      </w:pPr>
    </w:p>
    <w:p>
      <w:pPr>
        <w:jc w:val="both"/>
        <w:ind w:left="1220" w:right="20" w:hanging="308"/>
        <w:spacing w:after="0" w:line="252" w:lineRule="auto"/>
        <w:tabs>
          <w:tab w:leader="none" w:pos="12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19" w:lineRule="exact"/>
        <w:rPr>
          <w:sz w:val="20"/>
          <w:szCs w:val="20"/>
          <w:color w:val="auto"/>
        </w:rPr>
      </w:pPr>
    </w:p>
    <w:p>
      <w:pPr>
        <w:jc w:val="both"/>
        <w:ind w:left="620" w:right="20" w:firstLine="299"/>
        <w:spacing w:after="0" w:line="277" w:lineRule="auto"/>
        <w:rPr>
          <w:sz w:val="20"/>
          <w:szCs w:val="20"/>
          <w:color w:val="auto"/>
        </w:rPr>
      </w:pPr>
      <w:r>
        <w:rPr>
          <w:rFonts w:ascii="Arial" w:cs="Arial" w:eastAsia="Arial" w:hAnsi="Arial"/>
          <w:sz w:val="17"/>
          <w:szCs w:val="17"/>
          <w:color w:val="auto"/>
        </w:rPr>
        <w:t>If we are unable to adequately address these and other risks we face, our business, results of operations, financial condition and prospects may be harmed.</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Channels for Disclosure of Information</w:t>
      </w:r>
    </w:p>
    <w:p>
      <w:pPr>
        <w:spacing w:after="0" w:line="155" w:lineRule="exact"/>
        <w:rPr>
          <w:sz w:val="20"/>
          <w:szCs w:val="20"/>
          <w:color w:val="auto"/>
        </w:rPr>
      </w:pPr>
    </w:p>
    <w:p>
      <w:pPr>
        <w:jc w:val="both"/>
        <w:ind w:left="620" w:firstLine="299"/>
        <w:spacing w:after="0" w:line="260" w:lineRule="auto"/>
        <w:rPr>
          <w:sz w:val="20"/>
          <w:szCs w:val="20"/>
          <w:color w:val="auto"/>
        </w:rPr>
      </w:pPr>
      <w:r>
        <w:rPr>
          <w:rFonts w:ascii="Arial" w:cs="Arial" w:eastAsia="Arial" w:hAnsi="Arial"/>
          <w:sz w:val="17"/>
          <w:szCs w:val="17"/>
          <w:color w:val="auto"/>
        </w:rPr>
        <w:t>Following the completion of this offering, we intend to announce material information to the public through filings with the SEC, the investor relations page on our website, blog posts on our website, press releases, public conference calls, webcasts, our twitter feed (@thredUP) and our Instagram account.</w:t>
      </w:r>
    </w:p>
    <w:p>
      <w:pPr>
        <w:spacing w:after="0" w:line="111" w:lineRule="exact"/>
        <w:rPr>
          <w:sz w:val="20"/>
          <w:szCs w:val="20"/>
          <w:color w:val="auto"/>
        </w:rPr>
      </w:pPr>
    </w:p>
    <w:p>
      <w:pPr>
        <w:jc w:val="both"/>
        <w:ind w:left="620" w:right="20" w:firstLine="299"/>
        <w:spacing w:after="0" w:line="277" w:lineRule="auto"/>
        <w:rPr>
          <w:sz w:val="20"/>
          <w:szCs w:val="20"/>
          <w:color w:val="auto"/>
        </w:rPr>
      </w:pPr>
      <w:r>
        <w:rPr>
          <w:rFonts w:ascii="Arial" w:cs="Arial" w:eastAsia="Arial" w:hAnsi="Arial"/>
          <w:sz w:val="17"/>
          <w:szCs w:val="17"/>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96" w:lineRule="exact"/>
        <w:rPr>
          <w:sz w:val="20"/>
          <w:szCs w:val="20"/>
          <w:color w:val="auto"/>
        </w:rPr>
      </w:pPr>
    </w:p>
    <w:p>
      <w:pPr>
        <w:jc w:val="both"/>
        <w:ind w:left="620" w:right="20" w:firstLine="299"/>
        <w:spacing w:after="0" w:line="276" w:lineRule="auto"/>
        <w:rPr>
          <w:sz w:val="20"/>
          <w:szCs w:val="20"/>
          <w:color w:val="auto"/>
        </w:rPr>
      </w:pPr>
      <w:r>
        <w:rPr>
          <w:rFonts w:ascii="Arial" w:cs="Arial" w:eastAsia="Arial" w:hAnsi="Arial"/>
          <w:sz w:val="16"/>
          <w:szCs w:val="16"/>
          <w:color w:val="auto"/>
        </w:rPr>
        <w:t>Any updates to the list of disclosure channels through which we will announce information will be posted on the investor relations page on our website. Information contained on or accessible through our website is not incorporated by reference into this prospectus, and inclusion of our website address in this prospectus is an inactive textual reference only. You should not consider information contained on our website to be part of this prospectus or in deciding whether to purchase shares of our Class A common stock.</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Corporate Information</w:t>
      </w:r>
    </w:p>
    <w:p>
      <w:pPr>
        <w:spacing w:after="0" w:line="155" w:lineRule="exact"/>
        <w:rPr>
          <w:sz w:val="20"/>
          <w:szCs w:val="20"/>
          <w:color w:val="auto"/>
        </w:rPr>
      </w:pPr>
    </w:p>
    <w:p>
      <w:pPr>
        <w:jc w:val="both"/>
        <w:ind w:left="620" w:firstLine="299"/>
        <w:spacing w:after="0" w:line="255" w:lineRule="auto"/>
        <w:rPr>
          <w:sz w:val="20"/>
          <w:szCs w:val="20"/>
          <w:color w:val="auto"/>
        </w:rPr>
      </w:pPr>
      <w:r>
        <w:rPr>
          <w:rFonts w:ascii="Arial" w:cs="Arial" w:eastAsia="Arial" w:hAnsi="Arial"/>
          <w:sz w:val="17"/>
          <w:szCs w:val="17"/>
          <w:color w:val="auto"/>
        </w:rPr>
        <w:t>We were incorporated in 2009 under the name ThredUp Inc. as a Delaware corporation. Our principal executive offices are located at 969 Broadway, Suite 200, Oakland, CA 94607, and our telephone number is (415) 402-5202. Our website address is www.thredup.com. Information contained on or that can be accessed through our website does not constitute part of this prospectus and the inclusion of our website address in this prospectus is an inactive textual reference only.</w:t>
      </w:r>
    </w:p>
    <w:p>
      <w:pPr>
        <w:spacing w:after="0" w:line="115" w:lineRule="exact"/>
        <w:rPr>
          <w:sz w:val="20"/>
          <w:szCs w:val="20"/>
          <w:color w:val="auto"/>
        </w:rPr>
      </w:pPr>
    </w:p>
    <w:p>
      <w:pPr>
        <w:jc w:val="both"/>
        <w:ind w:left="620" w:firstLine="299"/>
        <w:spacing w:after="0" w:line="260" w:lineRule="auto"/>
        <w:rPr>
          <w:sz w:val="20"/>
          <w:szCs w:val="20"/>
          <w:color w:val="auto"/>
        </w:rPr>
      </w:pPr>
      <w:r>
        <w:rPr>
          <w:rFonts w:ascii="Arial" w:cs="Arial" w:eastAsia="Arial" w:hAnsi="Arial"/>
          <w:sz w:val="17"/>
          <w:szCs w:val="17"/>
          <w:color w:val="auto"/>
        </w:rPr>
        <w:t>“THREDUP” and “Think Secondhand First” are our registered trademarks in the United States. We have additional registered trademarks in the United States and “THREDUP” is registered in certain other non-U.S. jurisdictions. Other trademarks and trade names referred to in this prospectus are the property of their respective owners.</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Emerging Growth Company</w:t>
      </w:r>
    </w:p>
    <w:p>
      <w:pPr>
        <w:spacing w:after="0" w:line="155" w:lineRule="exact"/>
        <w:rPr>
          <w:sz w:val="20"/>
          <w:szCs w:val="20"/>
          <w:color w:val="auto"/>
        </w:rPr>
      </w:pPr>
    </w:p>
    <w:p>
      <w:pPr>
        <w:jc w:val="both"/>
        <w:ind w:left="620" w:firstLine="299"/>
        <w:spacing w:after="0" w:line="260" w:lineRule="auto"/>
        <w:rPr>
          <w:sz w:val="20"/>
          <w:szCs w:val="20"/>
          <w:color w:val="auto"/>
        </w:rPr>
      </w:pPr>
      <w:r>
        <w:rPr>
          <w:rFonts w:ascii="Arial" w:cs="Arial" w:eastAsia="Arial" w:hAnsi="Arial"/>
          <w:sz w:val="17"/>
          <w:szCs w:val="17"/>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40"/>
          </w:cols>
          <w:pgMar w:left="320" w:top="118" w:right="9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3568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7560" cy="356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620"/>
        <w:spacing w:after="0" w:line="269" w:lineRule="auto"/>
        <w:rPr>
          <w:sz w:val="20"/>
          <w:szCs w:val="20"/>
          <w:color w:val="auto"/>
        </w:rPr>
      </w:pPr>
      <w:r>
        <w:rPr>
          <w:rFonts w:ascii="Arial" w:cs="Arial" w:eastAsia="Arial" w:hAnsi="Arial"/>
          <w:sz w:val="16"/>
          <w:szCs w:val="16"/>
          <w:color w:val="auto"/>
        </w:rPr>
        <w:t>company within the meaning of the JOBS Act. As an emerging growth company, we may take advantage of certain exemptions from various public reporting requirements, including not being required to have our internal control over financial reporting be audited by our independent registered public accounting firm pursuant to Section 404 of the Sarbanes-Oxley Act of 2002, or the Sarbanes-Oxley Act, certain reduced disclosure requirements related to the disclosure of executive compensation in this prospectus and in our periodic reports and proxy statements and exemptions from the requirement that we hold a nonbinding advisory vote on executive compensation and any golden parachute payments. We may take advantage of these exemptions until we are no longer an emerging growth company.</w:t>
      </w:r>
    </w:p>
    <w:p>
      <w:pPr>
        <w:spacing w:after="0" w:line="107" w:lineRule="exact"/>
        <w:rPr>
          <w:sz w:val="20"/>
          <w:szCs w:val="20"/>
          <w:color w:val="auto"/>
        </w:rPr>
      </w:pPr>
    </w:p>
    <w:p>
      <w:pPr>
        <w:jc w:val="both"/>
        <w:ind w:left="620" w:right="20" w:firstLine="299"/>
        <w:spacing w:after="0" w:line="252"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spacing w:after="0" w:line="119" w:lineRule="exact"/>
        <w:rPr>
          <w:sz w:val="20"/>
          <w:szCs w:val="20"/>
          <w:color w:val="auto"/>
        </w:rPr>
      </w:pPr>
    </w:p>
    <w:p>
      <w:pPr>
        <w:jc w:val="both"/>
        <w:ind w:left="620" w:firstLine="299"/>
        <w:spacing w:after="0" w:line="255" w:lineRule="auto"/>
        <w:rPr>
          <w:sz w:val="20"/>
          <w:szCs w:val="20"/>
          <w:color w:val="auto"/>
        </w:rPr>
      </w:pPr>
      <w:r>
        <w:rPr>
          <w:rFonts w:ascii="Arial" w:cs="Arial" w:eastAsia="Arial" w:hAnsi="Arial"/>
          <w:sz w:val="17"/>
          <w:szCs w:val="17"/>
          <w:color w:val="auto"/>
        </w:rPr>
        <w:t>We will remain an emerging growth company until the earliest to occur of (i) the last day of the fiscal year in which we have more than $1.07 billion in annual revenue; (ii) the date we qualify as a “large accelerated filer,” with at least $ 700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15" w:lineRule="exact"/>
        <w:rPr>
          <w:sz w:val="20"/>
          <w:szCs w:val="20"/>
          <w:color w:val="auto"/>
        </w:rPr>
      </w:pPr>
    </w:p>
    <w:p>
      <w:pPr>
        <w:jc w:val="both"/>
        <w:ind w:left="620" w:firstLine="299"/>
        <w:spacing w:after="0" w:line="255" w:lineRule="auto"/>
        <w:rPr>
          <w:sz w:val="20"/>
          <w:szCs w:val="20"/>
          <w:color w:val="auto"/>
        </w:rPr>
      </w:pPr>
      <w:r>
        <w:rPr>
          <w:rFonts w:ascii="Arial" w:cs="Arial" w:eastAsia="Arial" w:hAnsi="Arial"/>
          <w:sz w:val="17"/>
          <w:szCs w:val="17"/>
          <w:color w:val="auto"/>
        </w:rPr>
        <w:t>For certain risks related to our status as an emerging growth company, see the section titled “Risk Factors—Risks Relating to Legal, Regulatory, Accounting and Tax Matters—We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40"/>
          </w:cols>
          <w:pgMar w:left="320" w:top="118" w:right="9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5852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7560" cy="585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38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620"/>
          </w:cols>
          <w:pgMar w:left="320" w:top="118" w:right="959" w:bottom="1440" w:gutter="0" w:footer="0" w:header="0"/>
        </w:sectPr>
      </w:pP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Class A common stock offered by us</w:t>
      </w:r>
    </w:p>
    <w:p>
      <w:pPr>
        <w:spacing w:after="0" w:line="66" w:lineRule="exact"/>
        <w:rPr>
          <w:sz w:val="20"/>
          <w:szCs w:val="20"/>
          <w:color w:val="auto"/>
        </w:rPr>
      </w:pPr>
    </w:p>
    <w:p>
      <w:pPr>
        <w:ind w:left="780" w:right="20" w:hanging="148"/>
        <w:spacing w:after="0" w:line="235" w:lineRule="auto"/>
        <w:rPr>
          <w:sz w:val="20"/>
          <w:szCs w:val="20"/>
          <w:color w:val="auto"/>
        </w:rPr>
      </w:pPr>
      <w:r>
        <w:rPr>
          <w:rFonts w:ascii="Arial" w:cs="Arial" w:eastAsia="Arial" w:hAnsi="Arial"/>
          <w:sz w:val="17"/>
          <w:szCs w:val="17"/>
          <w:color w:val="auto"/>
        </w:rPr>
        <w:t>Class A common stock to be outstanding after this offering</w:t>
      </w:r>
    </w:p>
    <w:p>
      <w:pPr>
        <w:spacing w:after="0" w:line="40" w:lineRule="exact"/>
        <w:rPr>
          <w:sz w:val="20"/>
          <w:szCs w:val="20"/>
          <w:color w:val="auto"/>
        </w:rPr>
      </w:pPr>
    </w:p>
    <w:p>
      <w:pPr>
        <w:ind w:left="780" w:right="20" w:hanging="148"/>
        <w:spacing w:after="0" w:line="235" w:lineRule="auto"/>
        <w:rPr>
          <w:sz w:val="20"/>
          <w:szCs w:val="20"/>
          <w:color w:val="auto"/>
        </w:rPr>
      </w:pPr>
      <w:r>
        <w:rPr>
          <w:rFonts w:ascii="Arial" w:cs="Arial" w:eastAsia="Arial" w:hAnsi="Arial"/>
          <w:sz w:val="17"/>
          <w:szCs w:val="17"/>
          <w:color w:val="auto"/>
        </w:rPr>
        <w:t>Class B common stock to be outstanding after this offering</w:t>
      </w:r>
    </w:p>
    <w:p>
      <w:pPr>
        <w:spacing w:after="0" w:line="40" w:lineRule="exact"/>
        <w:rPr>
          <w:sz w:val="20"/>
          <w:szCs w:val="20"/>
          <w:color w:val="auto"/>
        </w:rPr>
      </w:pPr>
    </w:p>
    <w:p>
      <w:pPr>
        <w:ind w:left="780" w:right="200" w:hanging="148"/>
        <w:spacing w:after="0" w:line="235" w:lineRule="auto"/>
        <w:rPr>
          <w:sz w:val="20"/>
          <w:szCs w:val="20"/>
          <w:color w:val="auto"/>
        </w:rPr>
      </w:pPr>
      <w:r>
        <w:rPr>
          <w:rFonts w:ascii="Arial" w:cs="Arial" w:eastAsia="Arial" w:hAnsi="Arial"/>
          <w:sz w:val="17"/>
          <w:szCs w:val="17"/>
          <w:color w:val="auto"/>
        </w:rPr>
        <w:t>Option to purchase additional shares of Class A common stock from us</w:t>
      </w:r>
    </w:p>
    <w:p>
      <w:pPr>
        <w:spacing w:after="0" w:line="202" w:lineRule="exact"/>
        <w:rPr>
          <w:sz w:val="20"/>
          <w:szCs w:val="20"/>
          <w:color w:val="auto"/>
        </w:rPr>
      </w:pPr>
    </w:p>
    <w:p>
      <w:pPr>
        <w:ind w:left="780" w:hanging="148"/>
        <w:spacing w:after="0" w:line="260" w:lineRule="auto"/>
        <w:rPr>
          <w:sz w:val="20"/>
          <w:szCs w:val="20"/>
          <w:color w:val="auto"/>
        </w:rPr>
      </w:pPr>
      <w:r>
        <w:rPr>
          <w:rFonts w:ascii="Arial" w:cs="Arial" w:eastAsia="Arial" w:hAnsi="Arial"/>
          <w:sz w:val="16"/>
          <w:szCs w:val="16"/>
          <w:color w:val="auto"/>
        </w:rPr>
        <w:t>Total Class A common stock and Class B common stock to be outstanding after this offering</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Voting rights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682"/>
        <w:spacing w:after="0"/>
        <w:rPr>
          <w:sz w:val="20"/>
          <w:szCs w:val="20"/>
          <w:color w:val="auto"/>
        </w:rPr>
      </w:pPr>
      <w:r>
        <w:rPr>
          <w:rFonts w:ascii="Arial" w:cs="Arial" w:eastAsia="Arial" w:hAnsi="Arial"/>
          <w:sz w:val="17"/>
          <w:szCs w:val="17"/>
          <w:color w:val="auto"/>
        </w:rPr>
        <w:t>shares</w:t>
      </w:r>
    </w:p>
    <w:p>
      <w:pPr>
        <w:spacing w:after="0" w:line="228" w:lineRule="exact"/>
        <w:rPr>
          <w:sz w:val="20"/>
          <w:szCs w:val="20"/>
          <w:color w:val="auto"/>
        </w:rPr>
      </w:pPr>
    </w:p>
    <w:p>
      <w:pPr>
        <w:ind w:left="682"/>
        <w:spacing w:after="0"/>
        <w:rPr>
          <w:sz w:val="20"/>
          <w:szCs w:val="20"/>
          <w:color w:val="auto"/>
        </w:rPr>
      </w:pPr>
      <w:r>
        <w:rPr>
          <w:rFonts w:ascii="Arial" w:cs="Arial" w:eastAsia="Arial" w:hAnsi="Arial"/>
          <w:sz w:val="17"/>
          <w:szCs w:val="17"/>
          <w:color w:val="auto"/>
        </w:rPr>
        <w:t>shares</w:t>
      </w:r>
    </w:p>
    <w:p>
      <w:pPr>
        <w:spacing w:after="0" w:line="228" w:lineRule="exact"/>
        <w:rPr>
          <w:sz w:val="20"/>
          <w:szCs w:val="20"/>
          <w:color w:val="auto"/>
        </w:rPr>
      </w:pPr>
    </w:p>
    <w:p>
      <w:pPr>
        <w:ind w:left="682"/>
        <w:spacing w:after="0"/>
        <w:rPr>
          <w:sz w:val="20"/>
          <w:szCs w:val="20"/>
          <w:color w:val="auto"/>
        </w:rPr>
      </w:pPr>
      <w:r>
        <w:rPr>
          <w:rFonts w:ascii="Arial" w:cs="Arial" w:eastAsia="Arial" w:hAnsi="Arial"/>
          <w:sz w:val="17"/>
          <w:szCs w:val="17"/>
          <w:color w:val="auto"/>
        </w:rPr>
        <w:t>shares</w:t>
      </w:r>
    </w:p>
    <w:p>
      <w:pPr>
        <w:spacing w:after="0" w:line="64"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have granted the underwriters an option, exercisable for 30 days after the</w:t>
      </w:r>
    </w:p>
    <w:p>
      <w:pPr>
        <w:jc w:val="both"/>
        <w:ind w:left="2" w:right="20"/>
        <w:spacing w:after="0"/>
        <w:rPr>
          <w:sz w:val="20"/>
          <w:szCs w:val="20"/>
          <w:color w:val="auto"/>
        </w:rPr>
      </w:pPr>
      <w:r>
        <w:rPr>
          <w:rFonts w:ascii="Arial" w:cs="Arial" w:eastAsia="Arial" w:hAnsi="Arial"/>
          <w:sz w:val="17"/>
          <w:szCs w:val="17"/>
          <w:color w:val="auto"/>
        </w:rPr>
        <w:t>date of this prospectus, to purchase up to an additional shares from us.</w:t>
      </w:r>
    </w:p>
    <w:p>
      <w:pPr>
        <w:spacing w:after="0" w:line="208" w:lineRule="exact"/>
        <w:rPr>
          <w:sz w:val="20"/>
          <w:szCs w:val="20"/>
          <w:color w:val="auto"/>
        </w:rPr>
      </w:pPr>
    </w:p>
    <w:p>
      <w:pPr>
        <w:jc w:val="both"/>
        <w:ind w:left="2" w:firstLine="843"/>
        <w:spacing w:after="0" w:line="235" w:lineRule="auto"/>
        <w:rPr>
          <w:sz w:val="20"/>
          <w:szCs w:val="20"/>
          <w:color w:val="auto"/>
        </w:rPr>
      </w:pPr>
      <w:r>
        <w:rPr>
          <w:rFonts w:ascii="Arial" w:cs="Arial" w:eastAsia="Arial" w:hAnsi="Arial"/>
          <w:sz w:val="17"/>
          <w:szCs w:val="17"/>
          <w:color w:val="auto"/>
        </w:rPr>
        <w:t>shares (or shares if the underwriters’ option to purchase additional shares in this offering is exercised in full).</w:t>
      </w:r>
    </w:p>
    <w:p>
      <w:pPr>
        <w:spacing w:after="0" w:line="40" w:lineRule="exact"/>
        <w:rPr>
          <w:sz w:val="20"/>
          <w:szCs w:val="20"/>
          <w:color w:val="auto"/>
        </w:rPr>
      </w:pPr>
    </w:p>
    <w:p>
      <w:pPr>
        <w:jc w:val="both"/>
        <w:ind w:left="2"/>
        <w:spacing w:after="0" w:line="216" w:lineRule="auto"/>
        <w:rPr>
          <w:sz w:val="20"/>
          <w:szCs w:val="20"/>
          <w:color w:val="auto"/>
        </w:rPr>
      </w:pPr>
      <w:r>
        <w:rPr>
          <w:rFonts w:ascii="Arial" w:cs="Arial" w:eastAsia="Arial" w:hAnsi="Arial"/>
          <w:sz w:val="16"/>
          <w:szCs w:val="16"/>
          <w:color w:val="auto"/>
        </w:rPr>
        <w:t>The principal purposes of this offering are to increase our capitalization, increase our financial flexibility, create a public market for our Class A common stock and enable access to the public equity markets for our stockholders and us. We estimate that the net proceeds from the sale of shares of our Class A common stock that we are selling in this offering will be approximately</w:t>
      </w:r>
    </w:p>
    <w:p>
      <w:pPr>
        <w:spacing w:after="0" w:line="1" w:lineRule="exact"/>
        <w:rPr>
          <w:sz w:val="20"/>
          <w:szCs w:val="20"/>
          <w:color w:val="auto"/>
        </w:rPr>
      </w:pPr>
    </w:p>
    <w:p>
      <w:pPr>
        <w:jc w:val="both"/>
        <w:ind w:left="2" w:right="20" w:hanging="2"/>
        <w:spacing w:after="0" w:line="198" w:lineRule="auto"/>
        <w:tabs>
          <w:tab w:leader="none" w:pos="3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million (or approximately $ million if the underwriters’ option to purchase additional shares in this offering is exercised in full), based upon an assumed</w:t>
      </w:r>
    </w:p>
    <w:p>
      <w:pPr>
        <w:jc w:val="both"/>
        <w:ind w:left="2"/>
        <w:spacing w:after="0" w:line="210" w:lineRule="auto"/>
        <w:rPr>
          <w:rFonts w:ascii="Arial" w:cs="Arial" w:eastAsia="Arial" w:hAnsi="Arial"/>
          <w:sz w:val="17"/>
          <w:szCs w:val="17"/>
          <w:color w:val="auto"/>
        </w:rPr>
      </w:pPr>
      <w:r>
        <w:rPr>
          <w:rFonts w:ascii="Arial" w:cs="Arial" w:eastAsia="Arial" w:hAnsi="Arial"/>
          <w:sz w:val="17"/>
          <w:szCs w:val="17"/>
          <w:color w:val="auto"/>
        </w:rPr>
        <w:t>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42" w:lineRule="exact"/>
        <w:rPr>
          <w:sz w:val="20"/>
          <w:szCs w:val="20"/>
          <w:color w:val="auto"/>
        </w:rPr>
      </w:pPr>
    </w:p>
    <w:p>
      <w:pPr>
        <w:jc w:val="both"/>
        <w:ind w:left="2"/>
        <w:spacing w:after="0" w:line="224" w:lineRule="auto"/>
        <w:rPr>
          <w:sz w:val="20"/>
          <w:szCs w:val="20"/>
          <w:color w:val="auto"/>
        </w:rPr>
      </w:pPr>
      <w:r>
        <w:rPr>
          <w:rFonts w:ascii="Arial" w:cs="Arial" w:eastAsia="Arial" w:hAnsi="Arial"/>
          <w:sz w:val="16"/>
          <w:szCs w:val="16"/>
          <w:color w:val="auto"/>
        </w:rPr>
        <w:t>We currently intend to use the net proceeds of this offering for working capital and other general corporate purposes and to fund our growth strategies discussed in this prospectus. We may also use a portion of the net proceeds to acquire or invest in complementary businesses, products, services, technologies or other assets. We do not, however, have agreements or commitments to enter into any acquisitions or investments at this time.</w:t>
      </w:r>
    </w:p>
    <w:p>
      <w:pPr>
        <w:spacing w:after="0" w:line="164" w:lineRule="exact"/>
        <w:rPr>
          <w:sz w:val="20"/>
          <w:szCs w:val="20"/>
          <w:color w:val="auto"/>
        </w:rPr>
      </w:pPr>
    </w:p>
    <w:p>
      <w:pPr>
        <w:jc w:val="both"/>
        <w:ind w:left="2" w:right="20"/>
        <w:spacing w:after="0" w:line="223" w:lineRule="auto"/>
        <w:rPr>
          <w:sz w:val="20"/>
          <w:szCs w:val="20"/>
          <w:color w:val="auto"/>
        </w:rPr>
      </w:pPr>
      <w:r>
        <w:rPr>
          <w:rFonts w:ascii="Arial" w:cs="Arial" w:eastAsia="Arial" w:hAnsi="Arial"/>
          <w:sz w:val="17"/>
          <w:szCs w:val="17"/>
          <w:color w:val="auto"/>
        </w:rPr>
        <w:t>Additionally, we are allocating $500,000 from the proceeds of this offering to start an environmental policy function. For additional information, see the section titled “Our ESG (Environmental, Social and Governance) Efforts.”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7"/>
          <w:szCs w:val="17"/>
          <w:color w:val="auto"/>
        </w:rPr>
        <w:t>See the section titled “Use of Proceeds” for additional information.</w:t>
      </w:r>
    </w:p>
    <w:p>
      <w:pPr>
        <w:spacing w:after="0" w:line="66" w:lineRule="exact"/>
        <w:rPr>
          <w:sz w:val="20"/>
          <w:szCs w:val="20"/>
          <w:color w:val="auto"/>
        </w:rPr>
      </w:pPr>
    </w:p>
    <w:p>
      <w:pPr>
        <w:jc w:val="both"/>
        <w:ind w:left="2"/>
        <w:spacing w:after="0" w:line="235" w:lineRule="auto"/>
        <w:rPr>
          <w:sz w:val="20"/>
          <w:szCs w:val="20"/>
          <w:color w:val="auto"/>
        </w:rPr>
      </w:pPr>
      <w:r>
        <w:rPr>
          <w:rFonts w:ascii="Arial" w:cs="Arial" w:eastAsia="Arial" w:hAnsi="Arial"/>
          <w:sz w:val="17"/>
          <w:szCs w:val="17"/>
          <w:color w:val="auto"/>
        </w:rPr>
        <w:t>We will have two classes of common stock: Class A common stock and Class B common stock.</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7"/>
          <w:szCs w:val="17"/>
          <w:color w:val="auto"/>
        </w:rPr>
        <w:t>Shares of our Class A common stock are entitled to one vote per share.</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7"/>
          <w:szCs w:val="17"/>
          <w:color w:val="auto"/>
        </w:rPr>
        <w:t>Shares of our Class B common stock are entitled to ten votes per share.</w:t>
      </w:r>
    </w:p>
    <w:p>
      <w:pPr>
        <w:spacing w:after="0" w:line="200" w:lineRule="exact"/>
        <w:rPr>
          <w:sz w:val="20"/>
          <w:szCs w:val="20"/>
          <w:color w:val="auto"/>
        </w:rPr>
      </w:pPr>
    </w:p>
    <w:p>
      <w:pPr>
        <w:sectPr>
          <w:pgSz w:w="11900" w:h="16838" w:orient="portrait"/>
          <w:cols w:equalWidth="0" w:num="2">
            <w:col w:w="4340" w:space="458"/>
            <w:col w:w="5822"/>
          </w:cols>
          <w:pgMar w:left="320" w:top="118"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20"/>
          </w:cols>
          <w:pgMar w:left="320" w:top="118" w:right="959" w:bottom="1440" w:gutter="0" w:footer="0" w:header="0"/>
          <w:type w:val="continuous"/>
        </w:sectPr>
      </w:pPr>
    </w:p>
    <w:bookmarkStart w:id="21" w:name="page22"/>
    <w:bookmarkEnd w:id="2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5986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7560" cy="598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5880" w:type="dxa"/>
            <w:vAlign w:val="bottom"/>
            <w:gridSpan w:val="4"/>
          </w:tcPr>
          <w:p>
            <w:pPr>
              <w:ind w:left="60"/>
              <w:spacing w:after="0"/>
              <w:rPr>
                <w:sz w:val="20"/>
                <w:szCs w:val="20"/>
                <w:color w:val="auto"/>
              </w:rPr>
            </w:pPr>
            <w:r>
              <w:rPr>
                <w:rFonts w:ascii="Arial" w:cs="Arial" w:eastAsia="Arial" w:hAnsi="Arial"/>
                <w:sz w:val="17"/>
                <w:szCs w:val="17"/>
                <w:color w:val="auto"/>
              </w:rPr>
              <w:t>Holders of our Class A common stock and Class B common stock will</w:t>
            </w:r>
          </w:p>
        </w:tc>
      </w:tr>
      <w:tr>
        <w:trPr>
          <w:trHeight w:val="162"/>
        </w:trPr>
        <w:tc>
          <w:tcPr>
            <w:tcW w:w="4120" w:type="dxa"/>
            <w:vAlign w:val="bottom"/>
          </w:tcPr>
          <w:p>
            <w:pPr>
              <w:spacing w:after="0"/>
              <w:rPr>
                <w:sz w:val="14"/>
                <w:szCs w:val="14"/>
                <w:color w:val="auto"/>
              </w:rPr>
            </w:pPr>
          </w:p>
        </w:tc>
        <w:tc>
          <w:tcPr>
            <w:tcW w:w="5880" w:type="dxa"/>
            <w:vAlign w:val="bottom"/>
            <w:gridSpan w:val="4"/>
          </w:tcPr>
          <w:p>
            <w:pPr>
              <w:ind w:left="60"/>
              <w:spacing w:after="0" w:line="162" w:lineRule="exact"/>
              <w:rPr>
                <w:sz w:val="20"/>
                <w:szCs w:val="20"/>
                <w:color w:val="auto"/>
              </w:rPr>
            </w:pPr>
            <w:r>
              <w:rPr>
                <w:rFonts w:ascii="Arial" w:cs="Arial" w:eastAsia="Arial" w:hAnsi="Arial"/>
                <w:sz w:val="17"/>
                <w:szCs w:val="17"/>
                <w:color w:val="auto"/>
              </w:rPr>
              <w:t>generally vote together as a single class, unless otherwise required by law or</w:t>
            </w:r>
          </w:p>
        </w:tc>
      </w:tr>
      <w:tr>
        <w:trPr>
          <w:trHeight w:val="162"/>
        </w:trPr>
        <w:tc>
          <w:tcPr>
            <w:tcW w:w="4120" w:type="dxa"/>
            <w:vAlign w:val="bottom"/>
          </w:tcPr>
          <w:p>
            <w:pPr>
              <w:spacing w:after="0"/>
              <w:rPr>
                <w:sz w:val="14"/>
                <w:szCs w:val="14"/>
                <w:color w:val="auto"/>
              </w:rPr>
            </w:pPr>
          </w:p>
        </w:tc>
        <w:tc>
          <w:tcPr>
            <w:tcW w:w="5880" w:type="dxa"/>
            <w:vAlign w:val="bottom"/>
            <w:gridSpan w:val="4"/>
          </w:tcPr>
          <w:p>
            <w:pPr>
              <w:ind w:left="60"/>
              <w:spacing w:after="0" w:line="162" w:lineRule="exact"/>
              <w:rPr>
                <w:sz w:val="20"/>
                <w:szCs w:val="20"/>
                <w:color w:val="auto"/>
              </w:rPr>
            </w:pPr>
            <w:r>
              <w:rPr>
                <w:rFonts w:ascii="Arial" w:cs="Arial" w:eastAsia="Arial" w:hAnsi="Arial"/>
                <w:sz w:val="17"/>
                <w:szCs w:val="17"/>
                <w:color w:val="auto"/>
              </w:rPr>
              <w:t>our amended and restated certificate of incorporation that will be in effect on</w:t>
            </w:r>
          </w:p>
        </w:tc>
      </w:tr>
      <w:tr>
        <w:trPr>
          <w:trHeight w:val="162"/>
        </w:trPr>
        <w:tc>
          <w:tcPr>
            <w:tcW w:w="4120" w:type="dxa"/>
            <w:vAlign w:val="bottom"/>
          </w:tcPr>
          <w:p>
            <w:pPr>
              <w:spacing w:after="0"/>
              <w:rPr>
                <w:sz w:val="14"/>
                <w:szCs w:val="14"/>
                <w:color w:val="auto"/>
              </w:rPr>
            </w:pPr>
          </w:p>
        </w:tc>
        <w:tc>
          <w:tcPr>
            <w:tcW w:w="5880" w:type="dxa"/>
            <w:vAlign w:val="bottom"/>
            <w:gridSpan w:val="4"/>
          </w:tcPr>
          <w:p>
            <w:pPr>
              <w:ind w:left="60"/>
              <w:spacing w:after="0" w:line="162" w:lineRule="exact"/>
              <w:rPr>
                <w:sz w:val="20"/>
                <w:szCs w:val="20"/>
                <w:color w:val="auto"/>
              </w:rPr>
            </w:pPr>
            <w:r>
              <w:rPr>
                <w:rFonts w:ascii="Arial" w:cs="Arial" w:eastAsia="Arial" w:hAnsi="Arial"/>
                <w:sz w:val="17"/>
                <w:szCs w:val="17"/>
                <w:color w:val="auto"/>
                <w:w w:val="97"/>
              </w:rPr>
              <w:t>the completion of this offering. The holders of our outstanding Class B common</w:t>
            </w:r>
          </w:p>
        </w:tc>
      </w:tr>
      <w:tr>
        <w:trPr>
          <w:trHeight w:val="162"/>
        </w:trPr>
        <w:tc>
          <w:tcPr>
            <w:tcW w:w="4120" w:type="dxa"/>
            <w:vAlign w:val="bottom"/>
          </w:tcPr>
          <w:p>
            <w:pPr>
              <w:spacing w:after="0"/>
              <w:rPr>
                <w:sz w:val="14"/>
                <w:szCs w:val="14"/>
                <w:color w:val="auto"/>
              </w:rPr>
            </w:pPr>
          </w:p>
        </w:tc>
        <w:tc>
          <w:tcPr>
            <w:tcW w:w="2460" w:type="dxa"/>
            <w:vAlign w:val="bottom"/>
          </w:tcPr>
          <w:p>
            <w:pPr>
              <w:ind w:left="60"/>
              <w:spacing w:after="0" w:line="162" w:lineRule="exact"/>
              <w:rPr>
                <w:sz w:val="20"/>
                <w:szCs w:val="20"/>
                <w:color w:val="auto"/>
              </w:rPr>
            </w:pPr>
            <w:r>
              <w:rPr>
                <w:rFonts w:ascii="Arial" w:cs="Arial" w:eastAsia="Arial" w:hAnsi="Arial"/>
                <w:sz w:val="17"/>
                <w:szCs w:val="17"/>
                <w:color w:val="auto"/>
              </w:rPr>
              <w:t>stock will hold approximately</w:t>
            </w:r>
          </w:p>
        </w:tc>
        <w:tc>
          <w:tcPr>
            <w:tcW w:w="342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 of the voting power of our outstanding</w:t>
            </w:r>
          </w:p>
        </w:tc>
      </w:tr>
      <w:tr>
        <w:trPr>
          <w:trHeight w:val="162"/>
        </w:trPr>
        <w:tc>
          <w:tcPr>
            <w:tcW w:w="4120" w:type="dxa"/>
            <w:vAlign w:val="bottom"/>
          </w:tcPr>
          <w:p>
            <w:pPr>
              <w:spacing w:after="0"/>
              <w:rPr>
                <w:sz w:val="14"/>
                <w:szCs w:val="14"/>
                <w:color w:val="auto"/>
              </w:rPr>
            </w:pPr>
          </w:p>
        </w:tc>
        <w:tc>
          <w:tcPr>
            <w:tcW w:w="5880" w:type="dxa"/>
            <w:vAlign w:val="bottom"/>
            <w:gridSpan w:val="4"/>
          </w:tcPr>
          <w:p>
            <w:pPr>
              <w:ind w:left="60"/>
              <w:spacing w:after="0" w:line="162" w:lineRule="exact"/>
              <w:rPr>
                <w:sz w:val="20"/>
                <w:szCs w:val="20"/>
                <w:color w:val="auto"/>
              </w:rPr>
            </w:pPr>
            <w:r>
              <w:rPr>
                <w:rFonts w:ascii="Arial" w:cs="Arial" w:eastAsia="Arial" w:hAnsi="Arial"/>
                <w:sz w:val="17"/>
                <w:szCs w:val="17"/>
                <w:color w:val="auto"/>
                <w:w w:val="98"/>
              </w:rPr>
              <w:t>capital stock following the completion of this offering and will have the ability to</w:t>
            </w:r>
          </w:p>
        </w:tc>
      </w:tr>
      <w:tr>
        <w:trPr>
          <w:trHeight w:val="162"/>
        </w:trPr>
        <w:tc>
          <w:tcPr>
            <w:tcW w:w="4120" w:type="dxa"/>
            <w:vAlign w:val="bottom"/>
          </w:tcPr>
          <w:p>
            <w:pPr>
              <w:spacing w:after="0"/>
              <w:rPr>
                <w:sz w:val="14"/>
                <w:szCs w:val="14"/>
                <w:color w:val="auto"/>
              </w:rPr>
            </w:pPr>
          </w:p>
        </w:tc>
        <w:tc>
          <w:tcPr>
            <w:tcW w:w="5880" w:type="dxa"/>
            <w:vAlign w:val="bottom"/>
            <w:gridSpan w:val="4"/>
          </w:tcPr>
          <w:p>
            <w:pPr>
              <w:ind w:left="60"/>
              <w:spacing w:after="0" w:line="162" w:lineRule="exact"/>
              <w:rPr>
                <w:sz w:val="20"/>
                <w:szCs w:val="20"/>
                <w:color w:val="auto"/>
              </w:rPr>
            </w:pPr>
            <w:r>
              <w:rPr>
                <w:rFonts w:ascii="Arial" w:cs="Arial" w:eastAsia="Arial" w:hAnsi="Arial"/>
                <w:sz w:val="17"/>
                <w:szCs w:val="17"/>
                <w:color w:val="auto"/>
              </w:rPr>
              <w:t>control the outcome of matters submitted to our stockholders for approval,</w:t>
            </w:r>
          </w:p>
        </w:tc>
      </w:tr>
      <w:tr>
        <w:trPr>
          <w:trHeight w:val="162"/>
        </w:trPr>
        <w:tc>
          <w:tcPr>
            <w:tcW w:w="4120" w:type="dxa"/>
            <w:vAlign w:val="bottom"/>
          </w:tcPr>
          <w:p>
            <w:pPr>
              <w:spacing w:after="0"/>
              <w:rPr>
                <w:sz w:val="14"/>
                <w:szCs w:val="14"/>
                <w:color w:val="auto"/>
              </w:rPr>
            </w:pPr>
          </w:p>
        </w:tc>
        <w:tc>
          <w:tcPr>
            <w:tcW w:w="5880" w:type="dxa"/>
            <w:vAlign w:val="bottom"/>
            <w:gridSpan w:val="4"/>
          </w:tcPr>
          <w:p>
            <w:pPr>
              <w:ind w:left="60"/>
              <w:spacing w:after="0" w:line="162" w:lineRule="exact"/>
              <w:rPr>
                <w:sz w:val="20"/>
                <w:szCs w:val="20"/>
                <w:color w:val="auto"/>
              </w:rPr>
            </w:pPr>
            <w:r>
              <w:rPr>
                <w:rFonts w:ascii="Arial" w:cs="Arial" w:eastAsia="Arial" w:hAnsi="Arial"/>
                <w:sz w:val="17"/>
                <w:szCs w:val="17"/>
                <w:color w:val="auto"/>
                <w:w w:val="97"/>
              </w:rPr>
              <w:t>including the election of our directors and the approval of any change in control</w:t>
            </w:r>
          </w:p>
        </w:tc>
      </w:tr>
      <w:tr>
        <w:trPr>
          <w:trHeight w:val="162"/>
        </w:trPr>
        <w:tc>
          <w:tcPr>
            <w:tcW w:w="4120" w:type="dxa"/>
            <w:vAlign w:val="bottom"/>
          </w:tcPr>
          <w:p>
            <w:pPr>
              <w:spacing w:after="0"/>
              <w:rPr>
                <w:sz w:val="14"/>
                <w:szCs w:val="14"/>
                <w:color w:val="auto"/>
              </w:rPr>
            </w:pPr>
          </w:p>
        </w:tc>
        <w:tc>
          <w:tcPr>
            <w:tcW w:w="5880" w:type="dxa"/>
            <w:vAlign w:val="bottom"/>
            <w:gridSpan w:val="4"/>
          </w:tcPr>
          <w:p>
            <w:pPr>
              <w:ind w:left="60"/>
              <w:spacing w:after="0" w:line="162" w:lineRule="exact"/>
              <w:rPr>
                <w:sz w:val="20"/>
                <w:szCs w:val="20"/>
                <w:color w:val="auto"/>
              </w:rPr>
            </w:pPr>
            <w:r>
              <w:rPr>
                <w:rFonts w:ascii="Arial" w:cs="Arial" w:eastAsia="Arial" w:hAnsi="Arial"/>
                <w:sz w:val="17"/>
                <w:szCs w:val="17"/>
                <w:color w:val="auto"/>
                <w:w w:val="98"/>
              </w:rPr>
              <w:t>transaction. See the sections titled “Principal Stockholders” and “Description of</w:t>
            </w:r>
          </w:p>
        </w:tc>
      </w:tr>
      <w:tr>
        <w:trPr>
          <w:trHeight w:val="222"/>
        </w:trPr>
        <w:tc>
          <w:tcPr>
            <w:tcW w:w="4120" w:type="dxa"/>
            <w:vAlign w:val="bottom"/>
          </w:tcPr>
          <w:p>
            <w:pPr>
              <w:spacing w:after="0"/>
              <w:rPr>
                <w:sz w:val="19"/>
                <w:szCs w:val="19"/>
                <w:color w:val="auto"/>
              </w:rPr>
            </w:pPr>
          </w:p>
        </w:tc>
        <w:tc>
          <w:tcPr>
            <w:tcW w:w="4380" w:type="dxa"/>
            <w:vAlign w:val="bottom"/>
            <w:gridSpan w:val="2"/>
          </w:tcPr>
          <w:p>
            <w:pPr>
              <w:ind w:left="60"/>
              <w:spacing w:after="0"/>
              <w:rPr>
                <w:sz w:val="20"/>
                <w:szCs w:val="20"/>
                <w:color w:val="auto"/>
              </w:rPr>
            </w:pPr>
            <w:r>
              <w:rPr>
                <w:rFonts w:ascii="Arial" w:cs="Arial" w:eastAsia="Arial" w:hAnsi="Arial"/>
                <w:sz w:val="17"/>
                <w:szCs w:val="17"/>
                <w:color w:val="auto"/>
              </w:rPr>
              <w:t>Capital Stock” for additional information.</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1"/>
        </w:trPr>
        <w:tc>
          <w:tcPr>
            <w:tcW w:w="4120" w:type="dxa"/>
            <w:vAlign w:val="bottom"/>
          </w:tcPr>
          <w:p>
            <w:pPr>
              <w:spacing w:after="0"/>
              <w:rPr>
                <w:sz w:val="20"/>
                <w:szCs w:val="20"/>
                <w:color w:val="auto"/>
              </w:rPr>
            </w:pPr>
            <w:r>
              <w:rPr>
                <w:rFonts w:ascii="Arial" w:cs="Arial" w:eastAsia="Arial" w:hAnsi="Arial"/>
                <w:sz w:val="17"/>
                <w:szCs w:val="17"/>
                <w:color w:val="auto"/>
              </w:rPr>
              <w:t>Concentration of ownership</w:t>
            </w:r>
          </w:p>
        </w:tc>
        <w:tc>
          <w:tcPr>
            <w:tcW w:w="5880" w:type="dxa"/>
            <w:vAlign w:val="bottom"/>
            <w:gridSpan w:val="4"/>
          </w:tcPr>
          <w:p>
            <w:pPr>
              <w:ind w:left="60"/>
              <w:spacing w:after="0"/>
              <w:rPr>
                <w:sz w:val="20"/>
                <w:szCs w:val="20"/>
                <w:color w:val="auto"/>
              </w:rPr>
            </w:pPr>
            <w:r>
              <w:rPr>
                <w:rFonts w:ascii="Arial" w:cs="Arial" w:eastAsia="Arial" w:hAnsi="Arial"/>
                <w:sz w:val="17"/>
                <w:szCs w:val="17"/>
                <w:color w:val="auto"/>
              </w:rPr>
              <w:t>Upon the completion of this offering, our executive officers and directors, and</w:t>
            </w:r>
          </w:p>
        </w:tc>
      </w:tr>
      <w:tr>
        <w:trPr>
          <w:trHeight w:val="162"/>
        </w:trPr>
        <w:tc>
          <w:tcPr>
            <w:tcW w:w="4120" w:type="dxa"/>
            <w:vAlign w:val="bottom"/>
          </w:tcPr>
          <w:p>
            <w:pPr>
              <w:spacing w:after="0"/>
              <w:rPr>
                <w:sz w:val="14"/>
                <w:szCs w:val="14"/>
                <w:color w:val="auto"/>
              </w:rPr>
            </w:pPr>
          </w:p>
        </w:tc>
        <w:tc>
          <w:tcPr>
            <w:tcW w:w="5120" w:type="dxa"/>
            <w:vAlign w:val="bottom"/>
            <w:gridSpan w:val="3"/>
          </w:tcPr>
          <w:p>
            <w:pPr>
              <w:ind w:left="60"/>
              <w:spacing w:after="0" w:line="162" w:lineRule="exact"/>
              <w:rPr>
                <w:sz w:val="20"/>
                <w:szCs w:val="20"/>
                <w:color w:val="auto"/>
              </w:rPr>
            </w:pPr>
            <w:r>
              <w:rPr>
                <w:rFonts w:ascii="Arial" w:cs="Arial" w:eastAsia="Arial" w:hAnsi="Arial"/>
                <w:sz w:val="17"/>
                <w:szCs w:val="17"/>
                <w:color w:val="auto"/>
                <w:w w:val="99"/>
              </w:rPr>
              <w:t>their affiliates, will beneficially own, in the aggregate, approximately</w:t>
            </w:r>
          </w:p>
        </w:tc>
        <w:tc>
          <w:tcPr>
            <w:tcW w:w="760" w:type="dxa"/>
            <w:vAlign w:val="bottom"/>
          </w:tcPr>
          <w:p>
            <w:pPr>
              <w:jc w:val="right"/>
              <w:spacing w:after="0" w:line="162" w:lineRule="exact"/>
              <w:rPr>
                <w:sz w:val="20"/>
                <w:szCs w:val="20"/>
                <w:color w:val="auto"/>
              </w:rPr>
            </w:pPr>
            <w:r>
              <w:rPr>
                <w:rFonts w:ascii="Arial" w:cs="Arial" w:eastAsia="Arial" w:hAnsi="Arial"/>
                <w:sz w:val="17"/>
                <w:szCs w:val="17"/>
                <w:color w:val="auto"/>
              </w:rPr>
              <w:t>% of our</w:t>
            </w:r>
          </w:p>
        </w:tc>
      </w:tr>
      <w:tr>
        <w:trPr>
          <w:trHeight w:val="162"/>
        </w:trPr>
        <w:tc>
          <w:tcPr>
            <w:tcW w:w="4120" w:type="dxa"/>
            <w:vAlign w:val="bottom"/>
          </w:tcPr>
          <w:p>
            <w:pPr>
              <w:spacing w:after="0"/>
              <w:rPr>
                <w:sz w:val="14"/>
                <w:szCs w:val="14"/>
                <w:color w:val="auto"/>
              </w:rPr>
            </w:pPr>
          </w:p>
        </w:tc>
        <w:tc>
          <w:tcPr>
            <w:tcW w:w="5120" w:type="dxa"/>
            <w:vAlign w:val="bottom"/>
            <w:gridSpan w:val="3"/>
          </w:tcPr>
          <w:p>
            <w:pPr>
              <w:ind w:left="60"/>
              <w:spacing w:after="0" w:line="162" w:lineRule="exact"/>
              <w:rPr>
                <w:sz w:val="20"/>
                <w:szCs w:val="20"/>
                <w:color w:val="auto"/>
              </w:rPr>
            </w:pPr>
            <w:r>
              <w:rPr>
                <w:rFonts w:ascii="Arial" w:cs="Arial" w:eastAsia="Arial" w:hAnsi="Arial"/>
                <w:sz w:val="17"/>
                <w:szCs w:val="17"/>
                <w:color w:val="auto"/>
              </w:rPr>
              <w:t>outstanding shares of common stock, representing approximately</w:t>
            </w:r>
          </w:p>
        </w:tc>
        <w:tc>
          <w:tcPr>
            <w:tcW w:w="760" w:type="dxa"/>
            <w:vAlign w:val="bottom"/>
          </w:tcPr>
          <w:p>
            <w:pPr>
              <w:jc w:val="right"/>
              <w:spacing w:after="0" w:line="162" w:lineRule="exact"/>
              <w:rPr>
                <w:sz w:val="20"/>
                <w:szCs w:val="20"/>
                <w:color w:val="auto"/>
              </w:rPr>
            </w:pPr>
            <w:r>
              <w:rPr>
                <w:rFonts w:ascii="Arial" w:cs="Arial" w:eastAsia="Arial" w:hAnsi="Arial"/>
                <w:sz w:val="17"/>
                <w:szCs w:val="17"/>
                <w:color w:val="auto"/>
              </w:rPr>
              <w:t>% of the</w:t>
            </w:r>
          </w:p>
        </w:tc>
      </w:tr>
      <w:tr>
        <w:trPr>
          <w:trHeight w:val="222"/>
        </w:trPr>
        <w:tc>
          <w:tcPr>
            <w:tcW w:w="4120" w:type="dxa"/>
            <w:vAlign w:val="bottom"/>
          </w:tcPr>
          <w:p>
            <w:pPr>
              <w:spacing w:after="0"/>
              <w:rPr>
                <w:sz w:val="19"/>
                <w:szCs w:val="19"/>
                <w:color w:val="auto"/>
              </w:rPr>
            </w:pPr>
          </w:p>
        </w:tc>
        <w:tc>
          <w:tcPr>
            <w:tcW w:w="4380" w:type="dxa"/>
            <w:vAlign w:val="bottom"/>
            <w:gridSpan w:val="2"/>
          </w:tcPr>
          <w:p>
            <w:pPr>
              <w:ind w:left="60"/>
              <w:spacing w:after="0"/>
              <w:rPr>
                <w:sz w:val="20"/>
                <w:szCs w:val="20"/>
                <w:color w:val="auto"/>
              </w:rPr>
            </w:pPr>
            <w:r>
              <w:rPr>
                <w:rFonts w:ascii="Arial" w:cs="Arial" w:eastAsia="Arial" w:hAnsi="Arial"/>
                <w:sz w:val="17"/>
                <w:szCs w:val="17"/>
                <w:color w:val="auto"/>
                <w:w w:val="99"/>
              </w:rPr>
              <w:t>voting power of our outstanding shares of common stock.</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1"/>
        </w:trPr>
        <w:tc>
          <w:tcPr>
            <w:tcW w:w="4120" w:type="dxa"/>
            <w:vAlign w:val="bottom"/>
          </w:tcPr>
          <w:p>
            <w:pPr>
              <w:spacing w:after="0"/>
              <w:rPr>
                <w:sz w:val="20"/>
                <w:szCs w:val="20"/>
                <w:color w:val="auto"/>
              </w:rPr>
            </w:pPr>
            <w:r>
              <w:rPr>
                <w:rFonts w:ascii="Arial" w:cs="Arial" w:eastAsia="Arial" w:hAnsi="Arial"/>
                <w:sz w:val="17"/>
                <w:szCs w:val="17"/>
                <w:color w:val="auto"/>
              </w:rPr>
              <w:t>Risk factors</w:t>
            </w:r>
          </w:p>
        </w:tc>
        <w:tc>
          <w:tcPr>
            <w:tcW w:w="5880" w:type="dxa"/>
            <w:vAlign w:val="bottom"/>
            <w:gridSpan w:val="4"/>
          </w:tcPr>
          <w:p>
            <w:pPr>
              <w:ind w:left="60"/>
              <w:spacing w:after="0"/>
              <w:rPr>
                <w:sz w:val="20"/>
                <w:szCs w:val="20"/>
                <w:color w:val="auto"/>
              </w:rPr>
            </w:pPr>
            <w:r>
              <w:rPr>
                <w:rFonts w:ascii="Arial" w:cs="Arial" w:eastAsia="Arial" w:hAnsi="Arial"/>
                <w:sz w:val="17"/>
                <w:szCs w:val="17"/>
                <w:color w:val="auto"/>
              </w:rPr>
              <w:t>See the section titled “Risk Factors” for a discussion of factors you should</w:t>
            </w:r>
          </w:p>
        </w:tc>
      </w:tr>
      <w:tr>
        <w:trPr>
          <w:trHeight w:val="222"/>
        </w:trPr>
        <w:tc>
          <w:tcPr>
            <w:tcW w:w="4120" w:type="dxa"/>
            <w:vAlign w:val="bottom"/>
          </w:tcPr>
          <w:p>
            <w:pPr>
              <w:spacing w:after="0"/>
              <w:rPr>
                <w:sz w:val="19"/>
                <w:szCs w:val="19"/>
                <w:color w:val="auto"/>
              </w:rPr>
            </w:pPr>
          </w:p>
        </w:tc>
        <w:tc>
          <w:tcPr>
            <w:tcW w:w="5880" w:type="dxa"/>
            <w:vAlign w:val="bottom"/>
            <w:gridSpan w:val="4"/>
          </w:tcPr>
          <w:p>
            <w:pPr>
              <w:ind w:left="60"/>
              <w:spacing w:after="0"/>
              <w:rPr>
                <w:sz w:val="20"/>
                <w:szCs w:val="20"/>
                <w:color w:val="auto"/>
              </w:rPr>
            </w:pPr>
            <w:r>
              <w:rPr>
                <w:rFonts w:ascii="Arial" w:cs="Arial" w:eastAsia="Arial" w:hAnsi="Arial"/>
                <w:sz w:val="17"/>
                <w:szCs w:val="17"/>
                <w:color w:val="auto"/>
              </w:rPr>
              <w:t>carefully consider before deciding to invest in our Class A common stock.</w:t>
            </w:r>
          </w:p>
        </w:tc>
      </w:tr>
      <w:tr>
        <w:trPr>
          <w:trHeight w:val="242"/>
        </w:trPr>
        <w:tc>
          <w:tcPr>
            <w:tcW w:w="4120" w:type="dxa"/>
            <w:vAlign w:val="bottom"/>
          </w:tcPr>
          <w:p>
            <w:pPr>
              <w:spacing w:after="0"/>
              <w:rPr>
                <w:sz w:val="20"/>
                <w:szCs w:val="20"/>
                <w:color w:val="auto"/>
              </w:rPr>
            </w:pPr>
            <w:r>
              <w:rPr>
                <w:rFonts w:ascii="Arial" w:cs="Arial" w:eastAsia="Arial" w:hAnsi="Arial"/>
                <w:sz w:val="17"/>
                <w:szCs w:val="17"/>
                <w:color w:val="auto"/>
              </w:rPr>
              <w:t>Directed share program</w:t>
            </w:r>
          </w:p>
        </w:tc>
        <w:tc>
          <w:tcPr>
            <w:tcW w:w="4380" w:type="dxa"/>
            <w:vAlign w:val="bottom"/>
            <w:gridSpan w:val="2"/>
          </w:tcPr>
          <w:p>
            <w:pPr>
              <w:ind w:left="60"/>
              <w:spacing w:after="0"/>
              <w:rPr>
                <w:sz w:val="20"/>
                <w:szCs w:val="20"/>
                <w:color w:val="auto"/>
              </w:rPr>
            </w:pPr>
            <w:r>
              <w:rPr>
                <w:rFonts w:ascii="Arial" w:cs="Arial" w:eastAsia="Arial" w:hAnsi="Arial"/>
                <w:sz w:val="17"/>
                <w:szCs w:val="17"/>
                <w:color w:val="auto"/>
              </w:rPr>
              <w:t>At our request, the underwriters have reserved up to</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shares of Class A</w:t>
            </w:r>
          </w:p>
        </w:tc>
      </w:tr>
      <w:tr>
        <w:trPr>
          <w:trHeight w:val="199"/>
        </w:trPr>
        <w:tc>
          <w:tcPr>
            <w:tcW w:w="4120" w:type="dxa"/>
            <w:vAlign w:val="bottom"/>
          </w:tcPr>
          <w:p>
            <w:pPr>
              <w:spacing w:after="0"/>
              <w:rPr>
                <w:sz w:val="17"/>
                <w:szCs w:val="17"/>
                <w:color w:val="auto"/>
              </w:rPr>
            </w:pPr>
          </w:p>
        </w:tc>
        <w:tc>
          <w:tcPr>
            <w:tcW w:w="5880" w:type="dxa"/>
            <w:vAlign w:val="bottom"/>
            <w:gridSpan w:val="4"/>
          </w:tcPr>
          <w:p>
            <w:pPr>
              <w:ind w:left="60"/>
              <w:spacing w:after="0"/>
              <w:rPr>
                <w:sz w:val="20"/>
                <w:szCs w:val="20"/>
                <w:color w:val="auto"/>
              </w:rPr>
            </w:pPr>
            <w:r>
              <w:rPr>
                <w:rFonts w:ascii="Arial" w:cs="Arial" w:eastAsia="Arial" w:hAnsi="Arial"/>
                <w:sz w:val="17"/>
                <w:szCs w:val="17"/>
                <w:color w:val="auto"/>
              </w:rPr>
              <w:t>common stock, or up to 7.0% of the shares offered by us in this offering, for</w:t>
            </w:r>
          </w:p>
        </w:tc>
      </w:tr>
      <w:tr>
        <w:trPr>
          <w:trHeight w:val="199"/>
        </w:trPr>
        <w:tc>
          <w:tcPr>
            <w:tcW w:w="4120" w:type="dxa"/>
            <w:vAlign w:val="bottom"/>
          </w:tcPr>
          <w:p>
            <w:pPr>
              <w:spacing w:after="0"/>
              <w:rPr>
                <w:sz w:val="17"/>
                <w:szCs w:val="17"/>
                <w:color w:val="auto"/>
              </w:rPr>
            </w:pPr>
          </w:p>
        </w:tc>
        <w:tc>
          <w:tcPr>
            <w:tcW w:w="5880" w:type="dxa"/>
            <w:vAlign w:val="bottom"/>
            <w:gridSpan w:val="4"/>
          </w:tcPr>
          <w:p>
            <w:pPr>
              <w:ind w:left="60"/>
              <w:spacing w:after="0"/>
              <w:rPr>
                <w:sz w:val="20"/>
                <w:szCs w:val="20"/>
                <w:color w:val="auto"/>
              </w:rPr>
            </w:pPr>
            <w:r>
              <w:rPr>
                <w:rFonts w:ascii="Arial" w:cs="Arial" w:eastAsia="Arial" w:hAnsi="Arial"/>
                <w:sz w:val="17"/>
                <w:szCs w:val="17"/>
                <w:color w:val="auto"/>
              </w:rPr>
              <w:t>sale at the initial public offering price through a directed share program to</w:t>
            </w:r>
          </w:p>
        </w:tc>
      </w:tr>
      <w:tr>
        <w:trPr>
          <w:trHeight w:val="199"/>
        </w:trPr>
        <w:tc>
          <w:tcPr>
            <w:tcW w:w="4120" w:type="dxa"/>
            <w:vAlign w:val="bottom"/>
          </w:tcPr>
          <w:p>
            <w:pPr>
              <w:spacing w:after="0"/>
              <w:rPr>
                <w:sz w:val="17"/>
                <w:szCs w:val="17"/>
                <w:color w:val="auto"/>
              </w:rPr>
            </w:pPr>
          </w:p>
        </w:tc>
        <w:tc>
          <w:tcPr>
            <w:tcW w:w="5880" w:type="dxa"/>
            <w:vAlign w:val="bottom"/>
            <w:gridSpan w:val="4"/>
          </w:tcPr>
          <w:p>
            <w:pPr>
              <w:ind w:left="60"/>
              <w:spacing w:after="0"/>
              <w:rPr>
                <w:sz w:val="20"/>
                <w:szCs w:val="20"/>
                <w:color w:val="auto"/>
              </w:rPr>
            </w:pPr>
            <w:r>
              <w:rPr>
                <w:rFonts w:ascii="Arial" w:cs="Arial" w:eastAsia="Arial" w:hAnsi="Arial"/>
                <w:sz w:val="17"/>
                <w:szCs w:val="17"/>
                <w:color w:val="auto"/>
              </w:rPr>
              <w:t>certain individuals identified by our officers and directors. If these persons</w:t>
            </w:r>
          </w:p>
        </w:tc>
      </w:tr>
      <w:tr>
        <w:trPr>
          <w:trHeight w:val="199"/>
        </w:trPr>
        <w:tc>
          <w:tcPr>
            <w:tcW w:w="4120" w:type="dxa"/>
            <w:vAlign w:val="bottom"/>
          </w:tcPr>
          <w:p>
            <w:pPr>
              <w:spacing w:after="0"/>
              <w:rPr>
                <w:sz w:val="17"/>
                <w:szCs w:val="17"/>
                <w:color w:val="auto"/>
              </w:rPr>
            </w:pPr>
          </w:p>
        </w:tc>
        <w:tc>
          <w:tcPr>
            <w:tcW w:w="5880" w:type="dxa"/>
            <w:vAlign w:val="bottom"/>
            <w:gridSpan w:val="4"/>
          </w:tcPr>
          <w:p>
            <w:pPr>
              <w:ind w:left="60"/>
              <w:spacing w:after="0"/>
              <w:rPr>
                <w:sz w:val="20"/>
                <w:szCs w:val="20"/>
                <w:color w:val="auto"/>
              </w:rPr>
            </w:pPr>
            <w:r>
              <w:rPr>
                <w:rFonts w:ascii="Arial" w:cs="Arial" w:eastAsia="Arial" w:hAnsi="Arial"/>
                <w:sz w:val="17"/>
                <w:szCs w:val="17"/>
                <w:color w:val="auto"/>
                <w:w w:val="98"/>
              </w:rPr>
              <w:t>purchase the reserved shares, it will reduce the number of shares available for</w:t>
            </w:r>
          </w:p>
        </w:tc>
      </w:tr>
      <w:tr>
        <w:trPr>
          <w:trHeight w:val="199"/>
        </w:trPr>
        <w:tc>
          <w:tcPr>
            <w:tcW w:w="4120" w:type="dxa"/>
            <w:vAlign w:val="bottom"/>
          </w:tcPr>
          <w:p>
            <w:pPr>
              <w:spacing w:after="0"/>
              <w:rPr>
                <w:sz w:val="17"/>
                <w:szCs w:val="17"/>
                <w:color w:val="auto"/>
              </w:rPr>
            </w:pPr>
          </w:p>
        </w:tc>
        <w:tc>
          <w:tcPr>
            <w:tcW w:w="5880" w:type="dxa"/>
            <w:vAlign w:val="bottom"/>
            <w:gridSpan w:val="4"/>
          </w:tcPr>
          <w:p>
            <w:pPr>
              <w:ind w:left="60"/>
              <w:spacing w:after="0"/>
              <w:rPr>
                <w:sz w:val="20"/>
                <w:szCs w:val="20"/>
                <w:color w:val="auto"/>
              </w:rPr>
            </w:pPr>
            <w:r>
              <w:rPr>
                <w:rFonts w:ascii="Arial" w:cs="Arial" w:eastAsia="Arial" w:hAnsi="Arial"/>
                <w:sz w:val="17"/>
                <w:szCs w:val="17"/>
                <w:color w:val="auto"/>
                <w:w w:val="99"/>
              </w:rPr>
              <w:t>sale to the general public. Any reserved shares that are not so purchased will</w:t>
            </w:r>
          </w:p>
        </w:tc>
      </w:tr>
      <w:tr>
        <w:trPr>
          <w:trHeight w:val="199"/>
        </w:trPr>
        <w:tc>
          <w:tcPr>
            <w:tcW w:w="4120" w:type="dxa"/>
            <w:vAlign w:val="bottom"/>
          </w:tcPr>
          <w:p>
            <w:pPr>
              <w:spacing w:after="0"/>
              <w:rPr>
                <w:sz w:val="17"/>
                <w:szCs w:val="17"/>
                <w:color w:val="auto"/>
              </w:rPr>
            </w:pPr>
          </w:p>
        </w:tc>
        <w:tc>
          <w:tcPr>
            <w:tcW w:w="5880" w:type="dxa"/>
            <w:vAlign w:val="bottom"/>
            <w:gridSpan w:val="4"/>
          </w:tcPr>
          <w:p>
            <w:pPr>
              <w:ind w:left="60"/>
              <w:spacing w:after="0"/>
              <w:rPr>
                <w:sz w:val="20"/>
                <w:szCs w:val="20"/>
                <w:color w:val="auto"/>
              </w:rPr>
            </w:pPr>
            <w:r>
              <w:rPr>
                <w:rFonts w:ascii="Arial" w:cs="Arial" w:eastAsia="Arial" w:hAnsi="Arial"/>
                <w:sz w:val="17"/>
                <w:szCs w:val="17"/>
                <w:color w:val="auto"/>
                <w:w w:val="99"/>
              </w:rPr>
              <w:t>be offered by the underwriters to the general public on the same terms as the</w:t>
            </w:r>
          </w:p>
        </w:tc>
      </w:tr>
      <w:tr>
        <w:trPr>
          <w:trHeight w:val="222"/>
        </w:trPr>
        <w:tc>
          <w:tcPr>
            <w:tcW w:w="4120" w:type="dxa"/>
            <w:vAlign w:val="bottom"/>
          </w:tcPr>
          <w:p>
            <w:pPr>
              <w:spacing w:after="0"/>
              <w:rPr>
                <w:sz w:val="19"/>
                <w:szCs w:val="19"/>
                <w:color w:val="auto"/>
              </w:rPr>
            </w:pPr>
          </w:p>
        </w:tc>
        <w:tc>
          <w:tcPr>
            <w:tcW w:w="4380" w:type="dxa"/>
            <w:vAlign w:val="bottom"/>
            <w:gridSpan w:val="2"/>
          </w:tcPr>
          <w:p>
            <w:pPr>
              <w:ind w:left="60"/>
              <w:spacing w:after="0"/>
              <w:rPr>
                <w:sz w:val="20"/>
                <w:szCs w:val="20"/>
                <w:color w:val="auto"/>
              </w:rPr>
            </w:pPr>
            <w:r>
              <w:rPr>
                <w:rFonts w:ascii="Arial" w:cs="Arial" w:eastAsia="Arial" w:hAnsi="Arial"/>
                <w:sz w:val="17"/>
                <w:szCs w:val="17"/>
                <w:color w:val="auto"/>
              </w:rPr>
              <w:t>other shares offered by this prospectus.</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84"/>
        </w:trPr>
        <w:tc>
          <w:tcPr>
            <w:tcW w:w="4120" w:type="dxa"/>
            <w:vAlign w:val="bottom"/>
          </w:tcPr>
          <w:p>
            <w:pPr>
              <w:spacing w:after="0"/>
              <w:rPr>
                <w:sz w:val="24"/>
                <w:szCs w:val="24"/>
                <w:color w:val="auto"/>
              </w:rPr>
            </w:pPr>
          </w:p>
        </w:tc>
        <w:tc>
          <w:tcPr>
            <w:tcW w:w="5880" w:type="dxa"/>
            <w:vAlign w:val="bottom"/>
            <w:gridSpan w:val="4"/>
          </w:tcPr>
          <w:p>
            <w:pPr>
              <w:ind w:left="60"/>
              <w:spacing w:after="0"/>
              <w:rPr>
                <w:sz w:val="20"/>
                <w:szCs w:val="20"/>
                <w:color w:val="auto"/>
              </w:rPr>
            </w:pPr>
            <w:r>
              <w:rPr>
                <w:rFonts w:ascii="Arial" w:cs="Arial" w:eastAsia="Arial" w:hAnsi="Arial"/>
                <w:sz w:val="17"/>
                <w:szCs w:val="17"/>
                <w:color w:val="auto"/>
                <w:w w:val="98"/>
              </w:rPr>
              <w:t>See the sections titled “Certain Relationships and Related Party Transactions,”</w:t>
            </w:r>
          </w:p>
        </w:tc>
      </w:tr>
      <w:tr>
        <w:trPr>
          <w:trHeight w:val="162"/>
        </w:trPr>
        <w:tc>
          <w:tcPr>
            <w:tcW w:w="4120" w:type="dxa"/>
            <w:vAlign w:val="bottom"/>
          </w:tcPr>
          <w:p>
            <w:pPr>
              <w:spacing w:after="0"/>
              <w:rPr>
                <w:sz w:val="14"/>
                <w:szCs w:val="14"/>
                <w:color w:val="auto"/>
              </w:rPr>
            </w:pPr>
          </w:p>
        </w:tc>
        <w:tc>
          <w:tcPr>
            <w:tcW w:w="5880" w:type="dxa"/>
            <w:vAlign w:val="bottom"/>
            <w:gridSpan w:val="4"/>
          </w:tcPr>
          <w:p>
            <w:pPr>
              <w:ind w:left="60"/>
              <w:spacing w:after="0" w:line="162" w:lineRule="exact"/>
              <w:rPr>
                <w:sz w:val="20"/>
                <w:szCs w:val="20"/>
                <w:color w:val="auto"/>
              </w:rPr>
            </w:pPr>
            <w:r>
              <w:rPr>
                <w:rFonts w:ascii="Arial" w:cs="Arial" w:eastAsia="Arial" w:hAnsi="Arial"/>
                <w:sz w:val="17"/>
                <w:szCs w:val="17"/>
                <w:color w:val="auto"/>
                <w:w w:val="98"/>
              </w:rPr>
              <w:t>“Shares Eligible for Future Sale” and “Underwriting—Directed Share Program”</w:t>
            </w:r>
          </w:p>
        </w:tc>
      </w:tr>
      <w:tr>
        <w:trPr>
          <w:trHeight w:val="222"/>
        </w:trPr>
        <w:tc>
          <w:tcPr>
            <w:tcW w:w="4120" w:type="dxa"/>
            <w:vAlign w:val="bottom"/>
          </w:tcPr>
          <w:p>
            <w:pPr>
              <w:spacing w:after="0"/>
              <w:rPr>
                <w:sz w:val="19"/>
                <w:szCs w:val="19"/>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auto"/>
              </w:rPr>
              <w:t>for additional information.</w:t>
            </w:r>
          </w:p>
        </w:tc>
        <w:tc>
          <w:tcPr>
            <w:tcW w:w="1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3"/>
        </w:trPr>
        <w:tc>
          <w:tcPr>
            <w:tcW w:w="4120" w:type="dxa"/>
            <w:vAlign w:val="bottom"/>
          </w:tcPr>
          <w:p>
            <w:pPr>
              <w:spacing w:after="0"/>
              <w:rPr>
                <w:sz w:val="20"/>
                <w:szCs w:val="20"/>
                <w:color w:val="auto"/>
              </w:rPr>
            </w:pPr>
            <w:r>
              <w:rPr>
                <w:rFonts w:ascii="Arial" w:cs="Arial" w:eastAsia="Arial" w:hAnsi="Arial"/>
                <w:sz w:val="17"/>
                <w:szCs w:val="17"/>
                <w:color w:val="auto"/>
                <w:w w:val="99"/>
              </w:rPr>
              <w:t>Proposed Nasdaq Global Select Market trading symbol</w:t>
            </w:r>
          </w:p>
        </w:tc>
        <w:tc>
          <w:tcPr>
            <w:tcW w:w="2460" w:type="dxa"/>
            <w:vAlign w:val="bottom"/>
          </w:tcPr>
          <w:p>
            <w:pPr>
              <w:ind w:left="60"/>
              <w:spacing w:after="0"/>
              <w:rPr>
                <w:sz w:val="20"/>
                <w:szCs w:val="20"/>
                <w:color w:val="auto"/>
              </w:rPr>
            </w:pPr>
            <w:r>
              <w:rPr>
                <w:rFonts w:ascii="Arial" w:cs="Arial" w:eastAsia="Arial" w:hAnsi="Arial"/>
                <w:sz w:val="17"/>
                <w:szCs w:val="17"/>
                <w:color w:val="auto"/>
              </w:rPr>
              <w:t>“TDUP.”</w:t>
            </w:r>
          </w:p>
        </w:tc>
        <w:tc>
          <w:tcPr>
            <w:tcW w:w="1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126" w:lineRule="exact"/>
        <w:rPr>
          <w:sz w:val="20"/>
          <w:szCs w:val="20"/>
          <w:color w:val="auto"/>
        </w:rPr>
      </w:pPr>
    </w:p>
    <w:p>
      <w:pPr>
        <w:jc w:val="both"/>
        <w:ind w:left="620" w:right="20" w:firstLine="299"/>
        <w:spacing w:after="0" w:line="260" w:lineRule="auto"/>
        <w:rPr>
          <w:sz w:val="20"/>
          <w:szCs w:val="20"/>
          <w:color w:val="auto"/>
        </w:rPr>
      </w:pPr>
      <w:r>
        <w:rPr>
          <w:rFonts w:ascii="Arial" w:cs="Arial" w:eastAsia="Arial" w:hAnsi="Arial"/>
          <w:sz w:val="17"/>
          <w:szCs w:val="17"/>
          <w:color w:val="auto"/>
        </w:rPr>
        <w:t>The number of shares of Class A common stock and Class B common stock that will be outstanding after this offering is based on no shares of our Class A common stock and 78,860,698 shares of our Class B common stock outstanding as of December 31, 2020 and excludes:</w:t>
      </w:r>
    </w:p>
    <w:p>
      <w:pPr>
        <w:spacing w:after="0" w:line="111" w:lineRule="exact"/>
        <w:rPr>
          <w:sz w:val="20"/>
          <w:szCs w:val="20"/>
          <w:color w:val="auto"/>
        </w:rPr>
      </w:pPr>
    </w:p>
    <w:p>
      <w:pPr>
        <w:ind w:left="1220" w:right="20" w:hanging="308"/>
        <w:spacing w:after="0" w:line="277" w:lineRule="auto"/>
        <w:tabs>
          <w:tab w:leader="none" w:pos="12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22,774,949 shares of our Class B common stock issuable upon the exercise of options to purchase shares of our Class B common stock that were outstanding as of December 31, 2020, with a weighted-average exercise price of $1.81 per share;</w:t>
      </w:r>
    </w:p>
    <w:p>
      <w:pPr>
        <w:spacing w:after="0" w:line="96"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923,291 shares of our Class B common stock issuable upon the exercise of options to purchase shares of our Class B common stock granted after December 31, 2020, with a weighted-average exercise price of $6.54 per share;</w:t>
      </w:r>
    </w:p>
    <w:p>
      <w:pPr>
        <w:spacing w:after="0" w:line="96" w:lineRule="exact"/>
        <w:rPr>
          <w:rFonts w:ascii="Arial" w:cs="Arial" w:eastAsia="Arial" w:hAnsi="Arial"/>
          <w:sz w:val="17"/>
          <w:szCs w:val="17"/>
          <w:color w:val="auto"/>
        </w:rPr>
      </w:pPr>
    </w:p>
    <w:p>
      <w:pPr>
        <w:jc w:val="both"/>
        <w:ind w:left="1220" w:hanging="308"/>
        <w:spacing w:after="0" w:line="260" w:lineRule="auto"/>
        <w:tabs>
          <w:tab w:leader="none" w:pos="12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148,994 shares of Class B common stock issuable pursuant to warrants to purchase shares of our convertible preferred stock outstanding as of December 31, 2020, with a weighted-average exercise price of $5.58 per share on a common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0"/>
          </w:cols>
          <w:pgMar w:left="320" w:top="118" w:right="9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5274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7560" cy="527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right="20" w:hanging="308"/>
        <w:spacing w:after="0" w:line="277" w:lineRule="auto"/>
        <w:tabs>
          <w:tab w:leader="none" w:pos="12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15,979 shares of Class B common stock issuable pursuant to warrants to purchase shares of our convertible preferred stock issued since December 31, 2020, with a weighted-average exercise price of $6.26 per share on a common equivalent basis;</w:t>
      </w:r>
    </w:p>
    <w:p>
      <w:pPr>
        <w:spacing w:after="0" w:line="96" w:lineRule="exact"/>
        <w:rPr>
          <w:rFonts w:ascii="Arial" w:cs="Arial" w:eastAsia="Arial" w:hAnsi="Arial"/>
          <w:sz w:val="17"/>
          <w:szCs w:val="17"/>
          <w:color w:val="auto"/>
        </w:rPr>
      </w:pPr>
    </w:p>
    <w:p>
      <w:pPr>
        <w:jc w:val="both"/>
        <w:ind w:left="1220" w:hanging="308"/>
        <w:spacing w:after="0" w:line="260" w:lineRule="auto"/>
        <w:tabs>
          <w:tab w:leader="none" w:pos="12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201,582 shares of our Class B common stock reserved for future issuance pursuant to our Second Amended and Restated 2010 Stock Plan, or our 2010 Plan, which shares will be added to the shares of our Class A common stock reserved for future issuance under our 2021 Equity Incentive Plan, or our 2021 Plan; and</w:t>
      </w:r>
    </w:p>
    <w:p>
      <w:pPr>
        <w:spacing w:after="0" w:line="111" w:lineRule="exact"/>
        <w:rPr>
          <w:rFonts w:ascii="Arial" w:cs="Arial" w:eastAsia="Arial" w:hAnsi="Arial"/>
          <w:sz w:val="17"/>
          <w:szCs w:val="17"/>
          <w:color w:val="auto"/>
        </w:rPr>
      </w:pPr>
    </w:p>
    <w:p>
      <w:pPr>
        <w:ind w:left="1220" w:hanging="308"/>
        <w:spacing w:after="0" w:line="277" w:lineRule="auto"/>
        <w:tabs>
          <w:tab w:leader="none" w:pos="20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share-based compensation plans, to be adopted in connection with this offering, consisting of:</w:t>
      </w:r>
    </w:p>
    <w:p>
      <w:pPr>
        <w:spacing w:after="0" w:line="96" w:lineRule="exact"/>
        <w:rPr>
          <w:rFonts w:ascii="Arial" w:cs="Arial" w:eastAsia="Arial" w:hAnsi="Arial"/>
          <w:sz w:val="17"/>
          <w:szCs w:val="17"/>
          <w:color w:val="auto"/>
        </w:rPr>
      </w:pPr>
    </w:p>
    <w:p>
      <w:pPr>
        <w:ind w:left="1900" w:hanging="988"/>
        <w:spacing w:after="0"/>
        <w:tabs>
          <w:tab w:leader="none" w:pos="1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2021 Plan; and</w:t>
      </w:r>
    </w:p>
    <w:p>
      <w:pPr>
        <w:spacing w:after="0" w:line="152" w:lineRule="exact"/>
        <w:rPr>
          <w:rFonts w:ascii="Arial" w:cs="Arial" w:eastAsia="Arial" w:hAnsi="Arial"/>
          <w:sz w:val="17"/>
          <w:szCs w:val="17"/>
          <w:color w:val="auto"/>
        </w:rPr>
      </w:pPr>
    </w:p>
    <w:p>
      <w:pPr>
        <w:ind w:left="1960" w:hanging="1048"/>
        <w:spacing w:after="0"/>
        <w:tabs>
          <w:tab w:leader="none" w:pos="1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Employee Stock Purchase Plan, or</w:t>
      </w:r>
    </w:p>
    <w:p>
      <w:pPr>
        <w:spacing w:after="0" w:line="35"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7"/>
          <w:szCs w:val="17"/>
          <w:color w:val="auto"/>
        </w:rPr>
        <w:t>our ESPP.</w:t>
      </w:r>
    </w:p>
    <w:p>
      <w:pPr>
        <w:spacing w:after="0" w:line="133" w:lineRule="exact"/>
        <w:rPr>
          <w:sz w:val="20"/>
          <w:szCs w:val="20"/>
          <w:color w:val="auto"/>
        </w:rPr>
      </w:pPr>
    </w:p>
    <w:p>
      <w:pPr>
        <w:jc w:val="both"/>
        <w:ind w:left="620" w:firstLine="299"/>
        <w:spacing w:after="0" w:line="255" w:lineRule="auto"/>
        <w:rPr>
          <w:sz w:val="20"/>
          <w:szCs w:val="20"/>
          <w:color w:val="auto"/>
        </w:rPr>
      </w:pPr>
      <w:r>
        <w:rPr>
          <w:rFonts w:ascii="Arial" w:cs="Arial" w:eastAsia="Arial" w:hAnsi="Arial"/>
          <w:sz w:val="17"/>
          <w:szCs w:val="17"/>
          <w:color w:val="auto"/>
        </w:rPr>
        <w:t>Each of our 2021 Plan and ESPP provides for annual automatic increases in the number of shares of our Class A common stock reserved thereunder, and our 2021 Plan also provides for increases to the number of shares of Class A common stock that may be granted thereunder based on shares underlying any awards under our 2010 Plan that expire, are forfeited or are otherwise terminated, as more fully described in the section titled “Executive Compensation—Employee Benefit and Stock Plans.”</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Except as otherwise indicated, all information in this prospectus assumes:</w:t>
      </w:r>
    </w:p>
    <w:p>
      <w:pPr>
        <w:spacing w:after="0" w:line="153" w:lineRule="exact"/>
        <w:rPr>
          <w:sz w:val="20"/>
          <w:szCs w:val="20"/>
          <w:color w:val="auto"/>
        </w:rPr>
      </w:pPr>
    </w:p>
    <w:p>
      <w:pPr>
        <w:ind w:left="1220" w:right="20" w:hanging="308"/>
        <w:spacing w:after="0" w:line="277" w:lineRule="auto"/>
        <w:tabs>
          <w:tab w:leader="none" w:pos="12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96" w:lineRule="exact"/>
        <w:rPr>
          <w:rFonts w:ascii="Arial" w:cs="Arial" w:eastAsia="Arial" w:hAnsi="Arial"/>
          <w:sz w:val="17"/>
          <w:szCs w:val="17"/>
          <w:color w:val="auto"/>
        </w:rPr>
      </w:pPr>
    </w:p>
    <w:p>
      <w:pPr>
        <w:ind w:left="1220" w:right="20" w:hanging="308"/>
        <w:spacing w:after="0" w:line="277" w:lineRule="auto"/>
        <w:tabs>
          <w:tab w:leader="none" w:pos="12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into an aggregate of 65,970,938 shares of our Class B common stock, the conversion of which will occur immediately prior to the completion of this offering;</w:t>
      </w:r>
    </w:p>
    <w:p>
      <w:pPr>
        <w:spacing w:after="0" w:line="96" w:lineRule="exact"/>
        <w:rPr>
          <w:rFonts w:ascii="Arial" w:cs="Arial" w:eastAsia="Arial" w:hAnsi="Arial"/>
          <w:sz w:val="17"/>
          <w:szCs w:val="17"/>
          <w:color w:val="auto"/>
        </w:rPr>
      </w:pPr>
    </w:p>
    <w:p>
      <w:pPr>
        <w:ind w:left="1220" w:right="20" w:hanging="308"/>
        <w:spacing w:after="0" w:line="309" w:lineRule="auto"/>
        <w:tabs>
          <w:tab w:leader="none" w:pos="121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reclassification of our outstanding existing common stock into an equivalent number of shares of our Class B common stock and the authorization of our Class A common stock, which will occur immediately prior to the completion of this offering;</w:t>
      </w:r>
    </w:p>
    <w:p>
      <w:pPr>
        <w:spacing w:after="0" w:line="73" w:lineRule="exact"/>
        <w:rPr>
          <w:rFonts w:ascii="Arial" w:cs="Arial" w:eastAsia="Arial" w:hAnsi="Arial"/>
          <w:sz w:val="16"/>
          <w:szCs w:val="16"/>
          <w:color w:val="auto"/>
        </w:rPr>
      </w:pPr>
    </w:p>
    <w:p>
      <w:pPr>
        <w:jc w:val="both"/>
        <w:ind w:left="1220" w:hanging="308"/>
        <w:spacing w:after="0" w:line="260" w:lineRule="auto"/>
        <w:tabs>
          <w:tab w:leader="none" w:pos="12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automatic conversion of the convertible preferred stock warrants to Class B common stock warrants and the resulting remeasurement and reclassification of the convertible preferred stock warrant liability to additional paid-in capital, which will occur immediately prior to the completion of this offering; and</w:t>
      </w:r>
    </w:p>
    <w:p>
      <w:pPr>
        <w:sectPr>
          <w:pgSz w:w="11900" w:h="16838" w:orient="portrait"/>
          <w:cols w:equalWidth="0" w:num="1">
            <w:col w:w="10640"/>
          </w:cols>
          <w:pgMar w:left="320" w:top="118" w:right="939" w:bottom="1440" w:gutter="0" w:footer="0" w:header="0"/>
        </w:sectPr>
      </w:pPr>
    </w:p>
    <w:p>
      <w:pPr>
        <w:spacing w:after="0" w:line="1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40" w:hanging="3"/>
        <w:spacing w:after="0" w:line="277" w:lineRule="auto"/>
        <w:rPr>
          <w:sz w:val="20"/>
          <w:szCs w:val="20"/>
          <w:color w:val="auto"/>
        </w:rPr>
      </w:pPr>
      <w:r>
        <w:rPr>
          <w:rFonts w:ascii="Arial" w:cs="Arial" w:eastAsia="Arial" w:hAnsi="Arial"/>
          <w:sz w:val="17"/>
          <w:szCs w:val="17"/>
          <w:color w:val="auto"/>
        </w:rPr>
        <w:t>no exercise by the underwriters of their option to purchase up to an additional in this offering.</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from us</w:t>
      </w:r>
    </w:p>
    <w:p>
      <w:pPr>
        <w:spacing w:after="0" w:line="467" w:lineRule="exact"/>
        <w:rPr>
          <w:sz w:val="20"/>
          <w:szCs w:val="20"/>
          <w:color w:val="auto"/>
        </w:rPr>
      </w:pPr>
    </w:p>
    <w:p>
      <w:pPr>
        <w:sectPr>
          <w:pgSz w:w="11900" w:h="16838" w:orient="portrait"/>
          <w:cols w:equalWidth="0" w:num="3">
            <w:col w:w="980" w:space="240"/>
            <w:col w:w="5700" w:space="720"/>
            <w:col w:w="3000"/>
          </w:cols>
          <w:pgMar w:left="320" w:top="118"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640"/>
          </w:cols>
          <w:pgMar w:left="320" w:top="118" w:right="939" w:bottom="1440" w:gutter="0" w:footer="0" w:header="0"/>
          <w:type w:val="continuous"/>
        </w:sectPr>
      </w:pPr>
    </w:p>
    <w:bookmarkStart w:id="23" w:name="page24"/>
    <w:bookmarkEnd w:id="2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144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7560" cy="614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SUMMARY CONSOLIDATED FINANCIAL AND OTHER DATA</w:t>
      </w:r>
    </w:p>
    <w:p>
      <w:pPr>
        <w:spacing w:after="0" w:line="155" w:lineRule="exact"/>
        <w:rPr>
          <w:sz w:val="20"/>
          <w:szCs w:val="20"/>
          <w:color w:val="auto"/>
        </w:rPr>
      </w:pPr>
    </w:p>
    <w:p>
      <w:pPr>
        <w:jc w:val="both"/>
        <w:ind w:left="620" w:firstLine="299"/>
        <w:spacing w:after="0" w:line="250" w:lineRule="auto"/>
        <w:rPr>
          <w:sz w:val="20"/>
          <w:szCs w:val="20"/>
          <w:color w:val="auto"/>
        </w:rPr>
      </w:pPr>
      <w:r>
        <w:rPr>
          <w:rFonts w:ascii="Arial" w:cs="Arial" w:eastAsia="Arial" w:hAnsi="Arial"/>
          <w:sz w:val="17"/>
          <w:szCs w:val="17"/>
          <w:color w:val="auto"/>
        </w:rPr>
        <w:t>The following tables summarize our consolidated financial and other data. We derived the summary consolidated statements of operations data for the years ended December 31, 2018, 2019 and 2020 and consolidated balance sheet data as of December 31, 2020 from our audited consolidated financial statements included elsewhere in this prospectus. Our historical results are not necessarily indicative of the results that may be expected in the future. The following summary consolidated financial and other data should be read in conjunction with the section titled “Management’s Discussion and Analysis of Financial Condition and Results of Operations” and our consolidated financial statements and related notes included elsewhere in this prospectus.</w:t>
      </w:r>
    </w:p>
    <w:p>
      <w:pPr>
        <w:spacing w:after="0" w:line="192"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3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gridSpan w:val="9"/>
          </w:tcPr>
          <w:p>
            <w:pPr>
              <w:jc w:val="center"/>
              <w:ind w:right="238"/>
              <w:spacing w:after="0"/>
              <w:rPr>
                <w:sz w:val="20"/>
                <w:szCs w:val="20"/>
                <w:color w:val="auto"/>
              </w:rPr>
            </w:pPr>
            <w:r>
              <w:rPr>
                <w:rFonts w:ascii="Arial" w:cs="Arial" w:eastAsia="Arial" w:hAnsi="Arial"/>
                <w:sz w:val="13"/>
                <w:szCs w:val="13"/>
                <w:b w:val="1"/>
                <w:bCs w:val="1"/>
                <w:color w:val="auto"/>
              </w:rPr>
              <w:t>(in thousands, except share and per share data)</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20"/>
              <w:spacing w:after="0"/>
              <w:rPr>
                <w:sz w:val="20"/>
                <w:szCs w:val="20"/>
                <w:color w:val="auto"/>
              </w:rPr>
            </w:pPr>
            <w:r>
              <w:rPr>
                <w:rFonts w:ascii="Arial" w:cs="Arial" w:eastAsia="Arial" w:hAnsi="Arial"/>
                <w:sz w:val="17"/>
                <w:szCs w:val="17"/>
                <w:color w:val="auto"/>
              </w:rPr>
              <w:t>Consignment</w:t>
            </w: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39,415</w:t>
            </w:r>
          </w:p>
        </w:tc>
        <w:tc>
          <w:tcPr>
            <w:tcW w:w="420" w:type="dxa"/>
            <w:vAlign w:val="bottom"/>
            <w:gridSpan w:val="3"/>
          </w:tcPr>
          <w:p>
            <w:pPr>
              <w:jc w:val="right"/>
              <w:ind w:right="11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97,763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138,096</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90,136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66,049</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47,919</w:t>
            </w:r>
          </w:p>
        </w:tc>
        <w:tc>
          <w:tcPr>
            <w:tcW w:w="0" w:type="dxa"/>
            <w:vAlign w:val="bottom"/>
          </w:tcPr>
          <w:p>
            <w:pPr>
              <w:spacing w:after="0"/>
              <w:rPr>
                <w:sz w:val="1"/>
                <w:szCs w:val="1"/>
                <w:color w:val="auto"/>
              </w:rPr>
            </w:pPr>
          </w:p>
        </w:tc>
      </w:tr>
      <w:tr>
        <w:trPr>
          <w:trHeight w:val="204"/>
        </w:trPr>
        <w:tc>
          <w:tcPr>
            <w:tcW w:w="540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129,551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163,812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186,015</w:t>
            </w:r>
          </w:p>
        </w:tc>
        <w:tc>
          <w:tcPr>
            <w:tcW w:w="0" w:type="dxa"/>
            <w:vAlign w:val="bottom"/>
          </w:tcPr>
          <w:p>
            <w:pPr>
              <w:spacing w:after="0"/>
              <w:rPr>
                <w:sz w:val="1"/>
                <w:szCs w:val="1"/>
                <w:color w:val="auto"/>
              </w:rPr>
            </w:pPr>
          </w:p>
        </w:tc>
      </w:tr>
      <w:tr>
        <w:trPr>
          <w:trHeight w:val="192"/>
        </w:trPr>
        <w:tc>
          <w:tcPr>
            <w:tcW w:w="540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Cost of revenue: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20"/>
              <w:spacing w:after="0"/>
              <w:rPr>
                <w:sz w:val="20"/>
                <w:szCs w:val="20"/>
                <w:color w:val="auto"/>
              </w:rPr>
            </w:pPr>
            <w:r>
              <w:rPr>
                <w:rFonts w:ascii="Arial" w:cs="Arial" w:eastAsia="Arial" w:hAnsi="Arial"/>
                <w:sz w:val="17"/>
                <w:szCs w:val="17"/>
                <w:color w:val="auto"/>
              </w:rPr>
              <w:t>Consignment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22,764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34,184</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41,563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28,544</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23,683</w:t>
            </w:r>
          </w:p>
        </w:tc>
        <w:tc>
          <w:tcPr>
            <w:tcW w:w="0" w:type="dxa"/>
            <w:vAlign w:val="bottom"/>
          </w:tcPr>
          <w:p>
            <w:pPr>
              <w:spacing w:after="0"/>
              <w:rPr>
                <w:sz w:val="1"/>
                <w:szCs w:val="1"/>
                <w:color w:val="auto"/>
              </w:rPr>
            </w:pPr>
          </w:p>
        </w:tc>
      </w:tr>
      <w:tr>
        <w:trPr>
          <w:trHeight w:val="204"/>
        </w:trPr>
        <w:tc>
          <w:tcPr>
            <w:tcW w:w="540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cost of revenue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51,541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51,308</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57,867</w:t>
            </w:r>
          </w:p>
        </w:tc>
        <w:tc>
          <w:tcPr>
            <w:tcW w:w="0" w:type="dxa"/>
            <w:vAlign w:val="bottom"/>
          </w:tcPr>
          <w:p>
            <w:pPr>
              <w:spacing w:after="0"/>
              <w:rPr>
                <w:sz w:val="1"/>
                <w:szCs w:val="1"/>
                <w:color w:val="auto"/>
              </w:rPr>
            </w:pPr>
          </w:p>
        </w:tc>
      </w:tr>
      <w:tr>
        <w:trPr>
          <w:trHeight w:val="204"/>
        </w:trPr>
        <w:tc>
          <w:tcPr>
            <w:tcW w:w="5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Gross profit</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78,010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112,504</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128,148</w:t>
            </w:r>
          </w:p>
        </w:tc>
        <w:tc>
          <w:tcPr>
            <w:tcW w:w="0" w:type="dxa"/>
            <w:vAlign w:val="bottom"/>
          </w:tcPr>
          <w:p>
            <w:pPr>
              <w:spacing w:after="0"/>
              <w:rPr>
                <w:sz w:val="1"/>
                <w:szCs w:val="1"/>
                <w:color w:val="auto"/>
              </w:rPr>
            </w:pPr>
          </w:p>
        </w:tc>
      </w:tr>
      <w:tr>
        <w:trPr>
          <w:trHeight w:val="192"/>
        </w:trPr>
        <w:tc>
          <w:tcPr>
            <w:tcW w:w="5400" w:type="dxa"/>
            <w:vAlign w:val="bottom"/>
          </w:tcPr>
          <w:p>
            <w:pPr>
              <w:ind w:left="20"/>
              <w:spacing w:after="0" w:line="19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1"/>
                <w:szCs w:val="21"/>
                <w:color w:val="auto"/>
                <w:vertAlign w:val="superscript"/>
              </w:rPr>
              <w:t>(1)</w:t>
            </w: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Operations, product and technology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101,408</w:t>
            </w:r>
          </w:p>
        </w:tc>
        <w:tc>
          <w:tcPr>
            <w:tcW w:w="0" w:type="dxa"/>
            <w:vAlign w:val="bottom"/>
          </w:tcPr>
          <w:p>
            <w:pPr>
              <w:spacing w:after="0"/>
              <w:rPr>
                <w:sz w:val="1"/>
                <w:szCs w:val="1"/>
                <w:color w:val="auto"/>
              </w:rPr>
            </w:pPr>
          </w:p>
        </w:tc>
      </w:tr>
      <w:tr>
        <w:trPr>
          <w:trHeight w:val="212"/>
        </w:trPr>
        <w:tc>
          <w:tcPr>
            <w:tcW w:w="5400" w:type="dxa"/>
            <w:vAlign w:val="bottom"/>
          </w:tcPr>
          <w:p>
            <w:pPr>
              <w:ind w:left="220"/>
              <w:spacing w:after="0"/>
              <w:rPr>
                <w:sz w:val="20"/>
                <w:szCs w:val="20"/>
                <w:color w:val="auto"/>
              </w:rPr>
            </w:pPr>
            <w:r>
              <w:rPr>
                <w:rFonts w:ascii="Arial" w:cs="Arial" w:eastAsia="Arial" w:hAnsi="Arial"/>
                <w:sz w:val="17"/>
                <w:szCs w:val="17"/>
                <w:color w:val="auto"/>
              </w:rPr>
              <w:t>Marketing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27,235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44,980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44,765</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22,253</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28,564</w:t>
            </w:r>
          </w:p>
        </w:tc>
        <w:tc>
          <w:tcPr>
            <w:tcW w:w="0" w:type="dxa"/>
            <w:vAlign w:val="bottom"/>
          </w:tcPr>
          <w:p>
            <w:pPr>
              <w:spacing w:after="0"/>
              <w:rPr>
                <w:sz w:val="1"/>
                <w:szCs w:val="1"/>
                <w:color w:val="auto"/>
              </w:rPr>
            </w:pPr>
          </w:p>
        </w:tc>
      </w:tr>
      <w:tr>
        <w:trPr>
          <w:trHeight w:val="204"/>
        </w:trPr>
        <w:tc>
          <w:tcPr>
            <w:tcW w:w="540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112,266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149,311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174,737</w:t>
            </w:r>
          </w:p>
        </w:tc>
        <w:tc>
          <w:tcPr>
            <w:tcW w:w="0" w:type="dxa"/>
            <w:vAlign w:val="bottom"/>
          </w:tcPr>
          <w:p>
            <w:pPr>
              <w:spacing w:after="0"/>
              <w:rPr>
                <w:sz w:val="1"/>
                <w:szCs w:val="1"/>
                <w:color w:val="auto"/>
              </w:rPr>
            </w:pPr>
          </w:p>
        </w:tc>
      </w:tr>
      <w:tr>
        <w:trPr>
          <w:trHeight w:val="204"/>
        </w:trPr>
        <w:tc>
          <w:tcPr>
            <w:tcW w:w="5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 loss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(34,256)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(36,807)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(46,589)</w:t>
            </w: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4"/>
        </w:trPr>
        <w:tc>
          <w:tcPr>
            <w:tcW w:w="5400" w:type="dxa"/>
            <w:vAlign w:val="bottom"/>
          </w:tcPr>
          <w:p>
            <w:pPr>
              <w:ind w:left="420"/>
              <w:spacing w:after="0"/>
              <w:rPr>
                <w:sz w:val="20"/>
                <w:szCs w:val="20"/>
                <w:color w:val="auto"/>
              </w:rPr>
            </w:pPr>
            <w:r>
              <w:rPr>
                <w:rFonts w:ascii="Arial" w:cs="Arial" w:eastAsia="Arial" w:hAnsi="Arial"/>
                <w:sz w:val="17"/>
                <w:szCs w:val="17"/>
                <w:color w:val="auto"/>
              </w:rPr>
              <w:t>Loss before provision for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(34,144)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(38,161)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(47,821)</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4"/>
        </w:trPr>
        <w:tc>
          <w:tcPr>
            <w:tcW w:w="5400" w:type="dxa"/>
            <w:vAlign w:val="bottom"/>
          </w:tcPr>
          <w:p>
            <w:pPr>
              <w:ind w:left="4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(34,181)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(38,197)</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(47,877)</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400" w:type="dxa"/>
            <w:vAlign w:val="bottom"/>
            <w:shd w:val="clear" w:color="auto" w:fill="CCEEFF"/>
          </w:tcPr>
          <w:p>
            <w:pPr>
              <w:ind w:left="20"/>
              <w:spacing w:after="0" w:line="127" w:lineRule="exact"/>
              <w:rPr>
                <w:sz w:val="20"/>
                <w:szCs w:val="20"/>
                <w:color w:val="auto"/>
              </w:rPr>
            </w:pPr>
            <w:r>
              <w:rPr>
                <w:rFonts w:ascii="Arial" w:cs="Arial" w:eastAsia="Arial" w:hAnsi="Arial"/>
                <w:sz w:val="13"/>
                <w:szCs w:val="13"/>
                <w:color w:val="auto"/>
              </w:rPr>
              <w:t>Net loss per share attributable to common stockholders, basic and</w:t>
            </w:r>
          </w:p>
        </w:tc>
        <w:tc>
          <w:tcPr>
            <w:tcW w:w="320" w:type="dxa"/>
            <w:vAlign w:val="bottom"/>
            <w:vMerge w:val="restart"/>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420" w:type="dxa"/>
            <w:vAlign w:val="bottom"/>
            <w:gridSpan w:val="3"/>
            <w:vMerge w:val="restart"/>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diluted</w:t>
            </w:r>
            <w:r>
              <w:rPr>
                <w:rFonts w:ascii="Arial" w:cs="Arial" w:eastAsia="Arial" w:hAnsi="Arial"/>
                <w:sz w:val="21"/>
                <w:szCs w:val="21"/>
                <w:color w:val="auto"/>
                <w:vertAlign w:val="superscript"/>
              </w:rPr>
              <w:t>(2)</w:t>
            </w:r>
          </w:p>
        </w:tc>
        <w:tc>
          <w:tcPr>
            <w:tcW w:w="3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420" w:type="dxa"/>
            <w:vAlign w:val="bottom"/>
            <w:gridSpan w:val="3"/>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20"/>
              <w:spacing w:after="0" w:line="147" w:lineRule="exact"/>
              <w:rPr>
                <w:sz w:val="20"/>
                <w:szCs w:val="20"/>
                <w:color w:val="auto"/>
              </w:rPr>
            </w:pPr>
            <w:r>
              <w:rPr>
                <w:rFonts w:ascii="Arial" w:cs="Arial" w:eastAsia="Arial" w:hAnsi="Arial"/>
                <w:sz w:val="17"/>
                <w:szCs w:val="17"/>
                <w:color w:val="auto"/>
              </w:rPr>
              <w:t>Weighted-average shares used in computing net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4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10,027,177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10,265,004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11,565,443</w:t>
            </w:r>
          </w:p>
        </w:tc>
        <w:tc>
          <w:tcPr>
            <w:tcW w:w="0" w:type="dxa"/>
            <w:vAlign w:val="bottom"/>
          </w:tcPr>
          <w:p>
            <w:pPr>
              <w:spacing w:after="0"/>
              <w:rPr>
                <w:sz w:val="1"/>
                <w:szCs w:val="1"/>
                <w:color w:val="auto"/>
              </w:rPr>
            </w:pPr>
          </w:p>
        </w:tc>
      </w:tr>
      <w:tr>
        <w:trPr>
          <w:trHeight w:val="187"/>
        </w:trPr>
        <w:tc>
          <w:tcPr>
            <w:tcW w:w="5400" w:type="dxa"/>
            <w:vAlign w:val="bottom"/>
          </w:tcPr>
          <w:p>
            <w:pPr>
              <w:ind w:left="380"/>
              <w:spacing w:after="0" w:line="187" w:lineRule="exact"/>
              <w:rPr>
                <w:sz w:val="20"/>
                <w:szCs w:val="20"/>
                <w:color w:val="auto"/>
              </w:rPr>
            </w:pPr>
            <w:r>
              <w:rPr>
                <w:rFonts w:ascii="Arial" w:cs="Arial" w:eastAsia="Arial" w:hAnsi="Arial"/>
                <w:sz w:val="17"/>
                <w:szCs w:val="17"/>
                <w:color w:val="auto"/>
              </w:rPr>
              <w:t>attributable to common stockholders, basic and diluted</w:t>
            </w:r>
            <w:r>
              <w:rPr>
                <w:rFonts w:ascii="Arial" w:cs="Arial" w:eastAsia="Arial" w:hAnsi="Arial"/>
                <w:sz w:val="21"/>
                <w:szCs w:val="21"/>
                <w:color w:val="auto"/>
                <w:vertAlign w:val="superscript"/>
              </w:rPr>
              <w:t>(2)</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400" w:type="dxa"/>
            <w:vAlign w:val="bottom"/>
            <w:shd w:val="clear" w:color="auto" w:fill="CCEEFF"/>
          </w:tcPr>
          <w:p>
            <w:pPr>
              <w:ind w:left="220"/>
              <w:spacing w:after="0" w:line="127" w:lineRule="exact"/>
              <w:rPr>
                <w:sz w:val="20"/>
                <w:szCs w:val="20"/>
                <w:color w:val="auto"/>
              </w:rPr>
            </w:pPr>
            <w:r>
              <w:rPr>
                <w:rFonts w:ascii="Arial" w:cs="Arial" w:eastAsia="Arial" w:hAnsi="Arial"/>
                <w:sz w:val="13"/>
                <w:szCs w:val="13"/>
                <w:color w:val="auto"/>
              </w:rPr>
              <w:t>Pro forma net loss per share attributable to common stockholders,</w:t>
            </w: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207"/>
        </w:trPr>
        <w:tc>
          <w:tcPr>
            <w:tcW w:w="5400" w:type="dxa"/>
            <w:vAlign w:val="bottom"/>
            <w:tcBorders>
              <w:bottom w:val="single" w:sz="8" w:color="CCEEFF"/>
            </w:tcBorders>
            <w:shd w:val="clear" w:color="auto" w:fill="CCEEFF"/>
          </w:tcPr>
          <w:p>
            <w:pPr>
              <w:ind w:left="380"/>
              <w:spacing w:after="0" w:line="187" w:lineRule="exact"/>
              <w:rPr>
                <w:sz w:val="20"/>
                <w:szCs w:val="20"/>
                <w:color w:val="auto"/>
              </w:rPr>
            </w:pPr>
            <w:r>
              <w:rPr>
                <w:rFonts w:ascii="Arial" w:cs="Arial" w:eastAsia="Arial" w:hAnsi="Arial"/>
                <w:sz w:val="17"/>
                <w:szCs w:val="17"/>
                <w:color w:val="auto"/>
              </w:rPr>
              <w:t>basic and diluted (unaudited)</w:t>
            </w:r>
            <w:r>
              <w:rPr>
                <w:rFonts w:ascii="Arial" w:cs="Arial" w:eastAsia="Arial" w:hAnsi="Arial"/>
                <w:sz w:val="21"/>
                <w:szCs w:val="21"/>
                <w:color w:val="auto"/>
                <w:vertAlign w:val="superscript"/>
              </w:rPr>
              <w:t>(2)</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20"/>
              <w:spacing w:after="0" w:line="147" w:lineRule="exact"/>
              <w:rPr>
                <w:sz w:val="20"/>
                <w:szCs w:val="20"/>
                <w:color w:val="auto"/>
              </w:rPr>
            </w:pPr>
            <w:r>
              <w:rPr>
                <w:rFonts w:ascii="Arial" w:cs="Arial" w:eastAsia="Arial" w:hAnsi="Arial"/>
                <w:sz w:val="17"/>
                <w:szCs w:val="17"/>
                <w:color w:val="auto"/>
              </w:rPr>
              <w:t>Weighted-average shares used in computing pro forma net loss per</w:t>
            </w: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4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380"/>
              <w:spacing w:after="0" w:line="162" w:lineRule="exact"/>
              <w:rPr>
                <w:sz w:val="20"/>
                <w:szCs w:val="20"/>
                <w:color w:val="auto"/>
              </w:rPr>
            </w:pPr>
            <w:r>
              <w:rPr>
                <w:rFonts w:ascii="Arial" w:cs="Arial" w:eastAsia="Arial" w:hAnsi="Arial"/>
                <w:sz w:val="17"/>
                <w:szCs w:val="17"/>
                <w:color w:val="auto"/>
              </w:rPr>
              <w:t>share attributable to common stockholders, basic and diluted</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77,510,100</w:t>
            </w:r>
          </w:p>
        </w:tc>
        <w:tc>
          <w:tcPr>
            <w:tcW w:w="0" w:type="dxa"/>
            <w:vAlign w:val="bottom"/>
          </w:tcPr>
          <w:p>
            <w:pPr>
              <w:spacing w:after="0"/>
              <w:rPr>
                <w:sz w:val="1"/>
                <w:szCs w:val="1"/>
                <w:color w:val="auto"/>
              </w:rPr>
            </w:pPr>
          </w:p>
        </w:tc>
      </w:tr>
      <w:tr>
        <w:trPr>
          <w:trHeight w:val="187"/>
        </w:trPr>
        <w:tc>
          <w:tcPr>
            <w:tcW w:w="5400" w:type="dxa"/>
            <w:vAlign w:val="bottom"/>
          </w:tcPr>
          <w:p>
            <w:pPr>
              <w:ind w:left="380"/>
              <w:spacing w:after="0" w:line="187" w:lineRule="exact"/>
              <w:rPr>
                <w:sz w:val="20"/>
                <w:szCs w:val="20"/>
                <w:color w:val="auto"/>
              </w:rPr>
            </w:pPr>
            <w:r>
              <w:rPr>
                <w:rFonts w:ascii="Arial" w:cs="Arial" w:eastAsia="Arial" w:hAnsi="Arial"/>
                <w:sz w:val="17"/>
                <w:szCs w:val="17"/>
                <w:color w:val="auto"/>
              </w:rPr>
              <w:t>(unaudited)</w:t>
            </w:r>
            <w:r>
              <w:rPr>
                <w:rFonts w:ascii="Arial" w:cs="Arial" w:eastAsia="Arial" w:hAnsi="Arial"/>
                <w:sz w:val="21"/>
                <w:szCs w:val="21"/>
                <w:color w:val="auto"/>
                <w:vertAlign w:val="superscript"/>
              </w:rPr>
              <w:t>(2)</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40"/>
          </w:cols>
          <w:pgMar w:left="320" w:top="118" w:right="9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444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7560" cy="644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(1)  Operating expenses include stock-based compensation expense as follows:</w:t>
      </w:r>
    </w:p>
    <w:p>
      <w:pPr>
        <w:spacing w:after="0" w:line="24" w:lineRule="exact"/>
        <w:rPr>
          <w:sz w:val="20"/>
          <w:szCs w:val="20"/>
          <w:color w:val="auto"/>
        </w:rPr>
      </w:pPr>
    </w:p>
    <w:tbl>
      <w:tblPr>
        <w:tblLayout w:type="fixed"/>
        <w:tblInd w:w="90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center"/>
              <w:ind w:right="205"/>
              <w:spacing w:after="0"/>
              <w:rPr>
                <w:sz w:val="20"/>
                <w:szCs w:val="20"/>
                <w:color w:val="auto"/>
              </w:rPr>
            </w:pPr>
            <w:r>
              <w:rPr>
                <w:rFonts w:ascii="Arial" w:cs="Arial" w:eastAsia="Arial" w:hAnsi="Arial"/>
                <w:sz w:val="13"/>
                <w:szCs w:val="13"/>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r>
      <w:tr>
        <w:trPr>
          <w:trHeight w:val="167"/>
        </w:trPr>
        <w:tc>
          <w:tcPr>
            <w:tcW w:w="50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2020</w:t>
            </w:r>
          </w:p>
        </w:tc>
      </w:tr>
      <w:tr>
        <w:trPr>
          <w:trHeight w:val="167"/>
        </w:trPr>
        <w:tc>
          <w:tcPr>
            <w:tcW w:w="5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Operations, product and technology</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3,739</w:t>
            </w:r>
          </w:p>
        </w:tc>
      </w:tr>
      <w:tr>
        <w:trPr>
          <w:trHeight w:val="199"/>
        </w:trPr>
        <w:tc>
          <w:tcPr>
            <w:tcW w:w="5080" w:type="dxa"/>
            <w:vAlign w:val="bottom"/>
          </w:tcPr>
          <w:p>
            <w:pPr>
              <w:ind w:left="20"/>
              <w:spacing w:after="0"/>
              <w:rPr>
                <w:sz w:val="20"/>
                <w:szCs w:val="20"/>
                <w:color w:val="auto"/>
              </w:rPr>
            </w:pPr>
            <w:r>
              <w:rPr>
                <w:rFonts w:ascii="Arial" w:cs="Arial" w:eastAsia="Arial" w:hAnsi="Arial"/>
                <w:sz w:val="15"/>
                <w:szCs w:val="15"/>
                <w:color w:val="auto"/>
              </w:rPr>
              <w:t>Marketing</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204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1,067</w:t>
            </w: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general and administrative</w:t>
            </w: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928</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2,530</w:t>
            </w:r>
          </w:p>
        </w:tc>
      </w:tr>
      <w:tr>
        <w:trPr>
          <w:trHeight w:val="192"/>
        </w:trPr>
        <w:tc>
          <w:tcPr>
            <w:tcW w:w="5080" w:type="dxa"/>
            <w:vAlign w:val="bottom"/>
          </w:tcPr>
          <w:p>
            <w:pPr>
              <w:ind w:left="220"/>
              <w:spacing w:after="0"/>
              <w:rPr>
                <w:sz w:val="20"/>
                <w:szCs w:val="20"/>
                <w:color w:val="auto"/>
              </w:rPr>
            </w:pPr>
            <w:r>
              <w:rPr>
                <w:rFonts w:ascii="Arial" w:cs="Arial" w:eastAsia="Arial" w:hAnsi="Arial"/>
                <w:sz w:val="15"/>
                <w:szCs w:val="15"/>
                <w:color w:val="auto"/>
              </w:rPr>
              <w:t>Total stock-based compensation expense</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2,319</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7,678</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7,336</w:t>
            </w:r>
          </w:p>
        </w:tc>
      </w:tr>
      <w:tr>
        <w:trPr>
          <w:trHeight w:val="20"/>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jc w:val="both"/>
        <w:ind w:left="920"/>
        <w:spacing w:after="0" w:line="255" w:lineRule="auto"/>
        <w:rPr>
          <w:sz w:val="20"/>
          <w:szCs w:val="20"/>
          <w:color w:val="auto"/>
        </w:rPr>
      </w:pPr>
      <w:r>
        <w:rPr>
          <w:rFonts w:ascii="Arial" w:cs="Arial" w:eastAsia="Arial" w:hAnsi="Arial"/>
          <w:sz w:val="15"/>
          <w:szCs w:val="15"/>
          <w:color w:val="auto"/>
        </w:rPr>
        <w:t>Stock-based compensation expense for the year ended December 31, 2019 includes $2.1 million, $0.5 million, and $1.5 million included within operations, product and technology, marketing, and sales, general and administrative, respectively, related to the 2019 Tender Offer described in the section titled “Certain Relationships and Related Party Transactions” and in Note 10 to our consolidated financial statements included elsewhere in this prospectus.</w:t>
      </w:r>
    </w:p>
    <w:p>
      <w:pPr>
        <w:spacing w:after="0" w:line="14" w:lineRule="exact"/>
        <w:rPr>
          <w:sz w:val="20"/>
          <w:szCs w:val="20"/>
          <w:color w:val="auto"/>
        </w:rPr>
      </w:pPr>
    </w:p>
    <w:p>
      <w:pPr>
        <w:jc w:val="both"/>
        <w:ind w:left="920" w:hanging="307"/>
        <w:spacing w:after="0" w:line="262" w:lineRule="auto"/>
        <w:tabs>
          <w:tab w:leader="none" w:pos="916"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See Notes 2 and 14 to our consolidated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172"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As of December 31, 2020</w:t>
            </w: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399"/>
              <w:spacing w:after="0"/>
              <w:rPr>
                <w:sz w:val="20"/>
                <w:szCs w:val="20"/>
                <w:color w:val="auto"/>
              </w:rPr>
            </w:pPr>
            <w:r>
              <w:rPr>
                <w:rFonts w:ascii="Arial" w:cs="Arial" w:eastAsia="Arial" w:hAnsi="Arial"/>
                <w:sz w:val="13"/>
                <w:szCs w:val="13"/>
                <w:b w:val="1"/>
                <w:bCs w:val="1"/>
                <w:color w:val="auto"/>
              </w:rPr>
              <w:t>Actual</w:t>
            </w:r>
          </w:p>
        </w:tc>
        <w:tc>
          <w:tcPr>
            <w:tcW w:w="280" w:type="dxa"/>
            <w:vAlign w:val="bottom"/>
          </w:tcPr>
          <w:p>
            <w:pPr>
              <w:spacing w:after="0"/>
              <w:rPr>
                <w:sz w:val="13"/>
                <w:szCs w:val="13"/>
                <w:color w:val="auto"/>
              </w:rPr>
            </w:pPr>
          </w:p>
        </w:tc>
        <w:tc>
          <w:tcPr>
            <w:tcW w:w="1320" w:type="dxa"/>
            <w:vAlign w:val="bottom"/>
            <w:vMerge w:val="restart"/>
          </w:tcPr>
          <w:p>
            <w:pPr>
              <w:jc w:val="center"/>
              <w:ind w:right="180"/>
              <w:spacing w:after="0"/>
              <w:rPr>
                <w:sz w:val="20"/>
                <w:szCs w:val="20"/>
                <w:color w:val="auto"/>
              </w:rPr>
            </w:pPr>
            <w:r>
              <w:rPr>
                <w:rFonts w:ascii="Arial" w:cs="Arial" w:eastAsia="Arial" w:hAnsi="Arial"/>
                <w:sz w:val="13"/>
                <w:szCs w:val="13"/>
                <w:b w:val="1"/>
                <w:bCs w:val="1"/>
                <w:color w:val="auto"/>
              </w:rPr>
              <w:t>Pro Forma</w:t>
            </w:r>
            <w:r>
              <w:rPr>
                <w:rFonts w:ascii="Arial" w:cs="Arial" w:eastAsia="Arial" w:hAnsi="Arial"/>
                <w:sz w:val="8"/>
                <w:szCs w:val="8"/>
                <w:b w:val="1"/>
                <w:bCs w:val="1"/>
                <w:color w:val="auto"/>
              </w:rPr>
              <w:t>(1)</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62"/>
        </w:trPr>
        <w:tc>
          <w:tcPr>
            <w:tcW w:w="56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As Adjusted</w:t>
            </w:r>
            <w:r>
              <w:rPr>
                <w:rFonts w:ascii="Arial" w:cs="Arial" w:eastAsia="Arial" w:hAnsi="Arial"/>
                <w:sz w:val="8"/>
                <w:szCs w:val="8"/>
                <w:b w:val="1"/>
                <w:bCs w:val="1"/>
                <w:color w:val="auto"/>
              </w:rPr>
              <w:t>(2)(3)</w:t>
            </w:r>
          </w:p>
        </w:tc>
        <w:tc>
          <w:tcPr>
            <w:tcW w:w="0" w:type="dxa"/>
            <w:vAlign w:val="bottom"/>
          </w:tcPr>
          <w:p>
            <w:pPr>
              <w:spacing w:after="0"/>
              <w:rPr>
                <w:sz w:val="1"/>
                <w:szCs w:val="1"/>
                <w:color w:val="auto"/>
              </w:rPr>
            </w:pPr>
          </w:p>
        </w:tc>
      </w:tr>
      <w:tr>
        <w:trPr>
          <w:trHeight w:val="179"/>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right="180"/>
              <w:spacing w:after="0"/>
              <w:rPr>
                <w:sz w:val="20"/>
                <w:szCs w:val="20"/>
                <w:color w:val="auto"/>
              </w:rPr>
            </w:pPr>
            <w:r>
              <w:rPr>
                <w:rFonts w:ascii="Arial" w:cs="Arial" w:eastAsia="Arial" w:hAnsi="Arial"/>
                <w:sz w:val="13"/>
                <w:szCs w:val="13"/>
                <w:b w:val="1"/>
                <w:bCs w:val="1"/>
                <w:color w:val="auto"/>
              </w:rPr>
              <w:t>(in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64,485</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64,485</w:t>
            </w:r>
          </w:p>
        </w:tc>
        <w:tc>
          <w:tcPr>
            <w:tcW w:w="1400" w:type="dxa"/>
            <w:vAlign w:val="bottom"/>
            <w:shd w:val="clear" w:color="auto" w:fill="CCEEFF"/>
          </w:tcPr>
          <w:p>
            <w:pPr>
              <w:jc w:val="right"/>
              <w:ind w:right="120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620" w:type="dxa"/>
            <w:vAlign w:val="bottom"/>
          </w:tcPr>
          <w:p>
            <w:pPr>
              <w:ind w:left="20"/>
              <w:spacing w:after="0"/>
              <w:rPr>
                <w:sz w:val="20"/>
                <w:szCs w:val="20"/>
                <w:color w:val="auto"/>
              </w:rPr>
            </w:pPr>
            <w:r>
              <w:rPr>
                <w:rFonts w:ascii="Arial" w:cs="Arial" w:eastAsia="Arial" w:hAnsi="Arial"/>
                <w:sz w:val="17"/>
                <w:szCs w:val="17"/>
                <w:color w:val="auto"/>
              </w:rPr>
              <w:t>Working capital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12,595</w:t>
            </w:r>
          </w:p>
        </w:tc>
        <w:tc>
          <w:tcPr>
            <w:tcW w:w="280" w:type="dxa"/>
            <w:vAlign w:val="bottom"/>
          </w:tcPr>
          <w:p>
            <w:pPr>
              <w:spacing w:after="0"/>
              <w:rPr>
                <w:sz w:val="18"/>
                <w:szCs w:val="18"/>
                <w:color w:val="auto"/>
              </w:rPr>
            </w:pPr>
          </w:p>
        </w:tc>
        <w:tc>
          <w:tcPr>
            <w:tcW w:w="1320" w:type="dxa"/>
            <w:vAlign w:val="bottom"/>
          </w:tcPr>
          <w:p>
            <w:pPr>
              <w:jc w:val="right"/>
              <w:ind w:right="80"/>
              <w:spacing w:after="0"/>
              <w:rPr>
                <w:sz w:val="20"/>
                <w:szCs w:val="20"/>
                <w:color w:val="auto"/>
              </w:rPr>
            </w:pPr>
            <w:r>
              <w:rPr>
                <w:rFonts w:ascii="Arial" w:cs="Arial" w:eastAsia="Arial" w:hAnsi="Arial"/>
                <w:sz w:val="17"/>
                <w:szCs w:val="17"/>
                <w:color w:val="auto"/>
              </w:rPr>
              <w:t>12,595</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142,911</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142,911</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34,460</w:t>
            </w:r>
          </w:p>
        </w:tc>
        <w:tc>
          <w:tcPr>
            <w:tcW w:w="280" w:type="dxa"/>
            <w:vAlign w:val="bottom"/>
          </w:tcPr>
          <w:p>
            <w:pPr>
              <w:spacing w:after="0"/>
              <w:rPr>
                <w:sz w:val="18"/>
                <w:szCs w:val="18"/>
                <w:color w:val="auto"/>
              </w:rPr>
            </w:pPr>
          </w:p>
        </w:tc>
        <w:tc>
          <w:tcPr>
            <w:tcW w:w="1320" w:type="dxa"/>
            <w:vAlign w:val="bottom"/>
          </w:tcPr>
          <w:p>
            <w:pPr>
              <w:jc w:val="right"/>
              <w:ind w:right="80"/>
              <w:spacing w:after="0"/>
              <w:rPr>
                <w:sz w:val="20"/>
                <w:szCs w:val="20"/>
                <w:color w:val="auto"/>
              </w:rPr>
            </w:pPr>
            <w:r>
              <w:rPr>
                <w:rFonts w:ascii="Arial" w:cs="Arial" w:eastAsia="Arial" w:hAnsi="Arial"/>
                <w:sz w:val="17"/>
                <w:szCs w:val="17"/>
                <w:color w:val="auto"/>
              </w:rPr>
              <w:t>34,460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1,913</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tcPr>
          <w:p>
            <w:pPr>
              <w:ind w:left="20"/>
              <w:spacing w:after="0"/>
              <w:rPr>
                <w:sz w:val="20"/>
                <w:szCs w:val="20"/>
                <w:color w:val="auto"/>
              </w:rPr>
            </w:pPr>
            <w:r>
              <w:rPr>
                <w:rFonts w:ascii="Arial" w:cs="Arial" w:eastAsia="Arial" w:hAnsi="Arial"/>
                <w:sz w:val="17"/>
                <w:szCs w:val="17"/>
                <w:color w:val="auto"/>
              </w:rPr>
              <w:t>Convertible preferred stock</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247,041</w:t>
            </w:r>
          </w:p>
        </w:tc>
        <w:tc>
          <w:tcPr>
            <w:tcW w:w="280" w:type="dxa"/>
            <w:vAlign w:val="bottom"/>
          </w:tcPr>
          <w:p>
            <w:pPr>
              <w:spacing w:after="0"/>
              <w:rPr>
                <w:sz w:val="18"/>
                <w:szCs w:val="18"/>
                <w:color w:val="auto"/>
              </w:rPr>
            </w:pPr>
          </w:p>
        </w:tc>
        <w:tc>
          <w:tcPr>
            <w:tcW w:w="1320" w:type="dxa"/>
            <w:vAlign w:val="bottom"/>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(252,167)</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(252,167)</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Arial" w:cs="Arial" w:eastAsia="Arial" w:hAnsi="Arial"/>
                <w:sz w:val="17"/>
                <w:szCs w:val="17"/>
                <w:color w:val="auto"/>
              </w:rPr>
              <w:t>Total stockholders’ (deficit) equity</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(222,177)</w:t>
            </w:r>
          </w:p>
        </w:tc>
        <w:tc>
          <w:tcPr>
            <w:tcW w:w="2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80"/>
              <w:spacing w:after="0"/>
              <w:rPr>
                <w:sz w:val="20"/>
                <w:szCs w:val="20"/>
                <w:color w:val="auto"/>
              </w:rPr>
            </w:pPr>
            <w:r>
              <w:rPr>
                <w:rFonts w:ascii="Arial" w:cs="Arial" w:eastAsia="Arial" w:hAnsi="Arial"/>
                <w:sz w:val="17"/>
                <w:szCs w:val="17"/>
                <w:color w:val="auto"/>
              </w:rPr>
              <w:t>25,670</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tcPr>
          <w:p>
            <w:pPr>
              <w:ind w:left="20"/>
              <w:spacing w:after="0"/>
              <w:rPr>
                <w:sz w:val="20"/>
                <w:szCs w:val="20"/>
                <w:color w:val="auto"/>
              </w:rPr>
            </w:pPr>
            <w:r>
              <w:rPr>
                <w:rFonts w:ascii="Arial" w:cs="Arial" w:eastAsia="Arial" w:hAnsi="Arial"/>
                <w:sz w:val="15"/>
                <w:szCs w:val="15"/>
                <w:color w:val="auto"/>
              </w:rPr>
              <w:t>________________</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920" w:hanging="307"/>
        <w:spacing w:after="0" w:line="242" w:lineRule="auto"/>
        <w:tabs>
          <w:tab w:leader="none" w:pos="9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pro forma column reflects (i) the automatic conversion of all outstanding shares of our convertible preferred stock into an aggregate of 65,970,938 shares of our common stock, (ii) the reclassification of our outstanding common stock as Class B common stock, (iii) the conversion of our convertible preferred stock warrants to common stock warrants and the related reclassification of the preferred stock warrant liability to additional paid-in capital, which conversion and reclassification will occur immediately prior to the completion of this offering, as if such conversion and reclassification had occurred on December 31, 2020 and (iv) the filing and effectiveness of our amended and restated certificate of incorporation, which will be effective immediately prior to the completion of this offering, all of which will occur immediately prior to the completion of this offering.</w:t>
      </w:r>
    </w:p>
    <w:p>
      <w:pPr>
        <w:spacing w:after="0" w:line="2" w:lineRule="exact"/>
        <w:rPr>
          <w:rFonts w:ascii="Arial" w:cs="Arial" w:eastAsia="Arial" w:hAnsi="Arial"/>
          <w:sz w:val="15"/>
          <w:szCs w:val="15"/>
          <w:color w:val="auto"/>
        </w:rPr>
      </w:pPr>
    </w:p>
    <w:p>
      <w:pPr>
        <w:ind w:left="900" w:hanging="287"/>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pro forma as adjusted column in the balance sheet data table above gives effect to (i) the pro forma adjustments set forth above and (ii) the</w:t>
      </w:r>
    </w:p>
    <w:p>
      <w:pPr>
        <w:spacing w:after="0" w:line="2" w:lineRule="exact"/>
        <w:rPr>
          <w:sz w:val="20"/>
          <w:szCs w:val="20"/>
          <w:color w:val="auto"/>
        </w:rPr>
      </w:pPr>
    </w:p>
    <w:p>
      <w:pPr>
        <w:ind w:left="920"/>
        <w:spacing w:after="0"/>
        <w:tabs>
          <w:tab w:leader="none" w:pos="3540" w:val="left"/>
        </w:tabs>
        <w:rPr>
          <w:sz w:val="20"/>
          <w:szCs w:val="20"/>
          <w:color w:val="auto"/>
        </w:rPr>
      </w:pPr>
      <w:r>
        <w:rPr>
          <w:rFonts w:ascii="Arial" w:cs="Arial" w:eastAsia="Arial" w:hAnsi="Arial"/>
          <w:sz w:val="15"/>
          <w:szCs w:val="15"/>
          <w:color w:val="auto"/>
        </w:rPr>
        <w:t>sale and issuance by us of</w:t>
      </w:r>
      <w:r>
        <w:rPr>
          <w:sz w:val="20"/>
          <w:szCs w:val="20"/>
          <w:color w:val="auto"/>
        </w:rPr>
        <w:tab/>
      </w:r>
      <w:r>
        <w:rPr>
          <w:rFonts w:ascii="Arial" w:cs="Arial" w:eastAsia="Arial" w:hAnsi="Arial"/>
          <w:sz w:val="15"/>
          <w:szCs w:val="15"/>
          <w:color w:val="auto"/>
        </w:rPr>
        <w:t>shares of our Class A common stock in this offering, based on an assumed initial public offering price of</w:t>
      </w:r>
    </w:p>
    <w:p>
      <w:pPr>
        <w:spacing w:after="0" w:line="2" w:lineRule="exact"/>
        <w:rPr>
          <w:sz w:val="20"/>
          <w:szCs w:val="20"/>
          <w:color w:val="auto"/>
        </w:rPr>
      </w:pPr>
    </w:p>
    <w:p>
      <w:pPr>
        <w:ind w:left="920" w:hanging="8"/>
        <w:spacing w:after="0" w:line="242" w:lineRule="auto"/>
        <w:tabs>
          <w:tab w:leader="none" w:pos="1256" w:val="left"/>
        </w:tabs>
        <w:numPr>
          <w:ilvl w:val="0"/>
          <w:numId w:val="30"/>
        </w:numPr>
        <w:rPr>
          <w:rFonts w:ascii="Arial" w:cs="Arial" w:eastAsia="Arial" w:hAnsi="Arial"/>
          <w:sz w:val="15"/>
          <w:szCs w:val="15"/>
          <w:color w:val="auto"/>
        </w:rPr>
      </w:pPr>
      <w:r>
        <w:rPr>
          <w:rFonts w:ascii="Arial" w:cs="Arial" w:eastAsia="Arial" w:hAnsi="Arial"/>
          <w:sz w:val="15"/>
          <w:szCs w:val="15"/>
          <w:color w:val="auto"/>
        </w:rPr>
        <w:t>per share, which is the midpoint of the estimated offering price range set forth on the cover page of this prospectus, and after deducting the estimated underwriting discounts and commissions and estimated offering expenses payable by us.</w:t>
      </w:r>
    </w:p>
    <w:p>
      <w:pPr>
        <w:spacing w:after="0" w:line="1" w:lineRule="exact"/>
        <w:rPr>
          <w:sz w:val="20"/>
          <w:szCs w:val="20"/>
          <w:color w:val="auto"/>
        </w:rPr>
      </w:pPr>
    </w:p>
    <w:p>
      <w:pPr>
        <w:jc w:val="both"/>
        <w:ind w:left="920" w:hanging="298"/>
        <w:spacing w:after="0" w:line="246" w:lineRule="auto"/>
        <w:rPr>
          <w:sz w:val="20"/>
          <w:szCs w:val="20"/>
          <w:color w:val="auto"/>
        </w:rPr>
      </w:pPr>
      <w:r>
        <w:rPr>
          <w:rFonts w:ascii="Arial" w:cs="Arial" w:eastAsia="Arial" w:hAnsi="Arial"/>
          <w:sz w:val="15"/>
          <w:szCs w:val="15"/>
          <w:color w:val="auto"/>
        </w:rPr>
        <w:t>(3) Each $1.00 increase or decrease in the assumed initial public offering price of $</w:t>
      </w:r>
      <w:r>
        <w:rPr>
          <w:sz w:val="20"/>
          <w:szCs w:val="20"/>
          <w:color w:val="auto"/>
        </w:rPr>
        <w:t xml:space="preserve"> </w:t>
      </w:r>
      <w:r>
        <w:rPr>
          <w:rFonts w:ascii="Arial" w:cs="Arial" w:eastAsia="Arial" w:hAnsi="Arial"/>
          <w:sz w:val="15"/>
          <w:szCs w:val="15"/>
          <w:color w:val="auto"/>
        </w:rPr>
        <w:t>per share, which is the midpoint of the estimated offering price range set forth on the cover page of this prospectus, would increase or decrease, as applicable, our cash and cash equivalents, working capital, total assets and total stockholders’ (deficit) equity by approximately $ million, assuming that the number of shares offered by us, as set forth on the cover page of this prospectus, remains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40"/>
          </w:cols>
          <w:pgMar w:left="320" w:top="118" w:right="9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6270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7560" cy="627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Key Financial and Operating Metrics</w:t>
      </w:r>
    </w:p>
    <w:p>
      <w:pPr>
        <w:spacing w:after="0" w:line="155" w:lineRule="exact"/>
        <w:rPr>
          <w:sz w:val="20"/>
          <w:szCs w:val="20"/>
          <w:color w:val="auto"/>
        </w:rPr>
      </w:pPr>
    </w:p>
    <w:p>
      <w:pPr>
        <w:jc w:val="both"/>
        <w:ind w:left="620" w:firstLine="299"/>
        <w:spacing w:after="0" w:line="260" w:lineRule="auto"/>
        <w:rPr>
          <w:sz w:val="20"/>
          <w:szCs w:val="20"/>
          <w:color w:val="auto"/>
        </w:rPr>
      </w:pPr>
      <w:r>
        <w:rPr>
          <w:rFonts w:ascii="Arial" w:cs="Arial" w:eastAsia="Arial" w:hAnsi="Arial"/>
          <w:sz w:val="17"/>
          <w:szCs w:val="17"/>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156"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67"/>
        </w:trPr>
        <w:tc>
          <w:tcPr>
            <w:tcW w:w="5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38"/>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2020</w:t>
            </w:r>
          </w:p>
        </w:tc>
      </w:tr>
      <w:tr>
        <w:trPr>
          <w:trHeight w:val="167"/>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gridSpan w:val="4"/>
          </w:tcPr>
          <w:p>
            <w:pPr>
              <w:jc w:val="center"/>
              <w:ind w:left="640"/>
              <w:spacing w:after="0"/>
              <w:rPr>
                <w:sz w:val="20"/>
                <w:szCs w:val="20"/>
                <w:color w:val="auto"/>
              </w:rPr>
            </w:pPr>
            <w:r>
              <w:rPr>
                <w:rFonts w:ascii="Arial" w:cs="Arial" w:eastAsia="Arial" w:hAnsi="Arial"/>
                <w:sz w:val="13"/>
                <w:szCs w:val="13"/>
                <w:b w:val="1"/>
                <w:bCs w:val="1"/>
                <w:color w:val="auto"/>
              </w:rPr>
              <w:t>(in thousands, except percentages)</w:t>
            </w:r>
          </w:p>
        </w:tc>
        <w:tc>
          <w:tcPr>
            <w:tcW w:w="1060" w:type="dxa"/>
            <w:vAlign w:val="bottom"/>
          </w:tcPr>
          <w:p>
            <w:pPr>
              <w:spacing w:after="0"/>
              <w:rPr>
                <w:sz w:val="14"/>
                <w:szCs w:val="14"/>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Buyers (as of period end)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676</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997</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1,240</w:t>
            </w: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Active Buyers Growth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10 %</w:t>
            </w:r>
          </w:p>
        </w:tc>
        <w:tc>
          <w:tcPr>
            <w:tcW w:w="44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48 %</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Orders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2,346</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3,134</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3,965</w:t>
            </w: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Orders Growth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28 %</w:t>
            </w:r>
          </w:p>
        </w:tc>
        <w:tc>
          <w:tcPr>
            <w:tcW w:w="44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34 %</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27 %</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129,551</w:t>
            </w:r>
          </w:p>
        </w:tc>
        <w:tc>
          <w:tcPr>
            <w:tcW w:w="4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163,812</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186,015</w:t>
            </w: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Revenue Growth</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26 %</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78,010</w:t>
            </w:r>
          </w:p>
        </w:tc>
        <w:tc>
          <w:tcPr>
            <w:tcW w:w="4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112,504</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128,148</w:t>
            </w: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Gross Profit Growth</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44 %</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(34,181)</w:t>
            </w:r>
          </w:p>
        </w:tc>
        <w:tc>
          <w:tcPr>
            <w:tcW w:w="4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(38,197)</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(47,877)</w:t>
            </w: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Net Loss Margin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26 %</w:t>
            </w:r>
          </w:p>
        </w:tc>
        <w:tc>
          <w:tcPr>
            <w:tcW w:w="44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23 %</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26 %</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(27,198)</w:t>
            </w:r>
          </w:p>
        </w:tc>
        <w:tc>
          <w:tcPr>
            <w:tcW w:w="4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(24,343)</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(33,398)</w:t>
            </w:r>
          </w:p>
        </w:tc>
      </w:tr>
      <w:tr>
        <w:trPr>
          <w:trHeight w:val="222"/>
        </w:trPr>
        <w:tc>
          <w:tcPr>
            <w:tcW w:w="5300" w:type="dxa"/>
            <w:vAlign w:val="bottom"/>
          </w:tcPr>
          <w:p>
            <w:pPr>
              <w:ind w:left="20"/>
              <w:spacing w:after="0"/>
              <w:rPr>
                <w:sz w:val="20"/>
                <w:szCs w:val="20"/>
                <w:color w:val="auto"/>
              </w:rPr>
            </w:pPr>
            <w:r>
              <w:rPr>
                <w:rFonts w:ascii="Arial" w:cs="Arial" w:eastAsia="Arial" w:hAnsi="Arial"/>
                <w:sz w:val="17"/>
                <w:szCs w:val="17"/>
                <w:color w:val="auto"/>
              </w:rPr>
              <w:t>Adjusted EBITDA Margin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w:t>
            </w:r>
          </w:p>
        </w:tc>
        <w:tc>
          <w:tcPr>
            <w:tcW w:w="44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(15)%</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w:t>
            </w:r>
          </w:p>
        </w:tc>
      </w:tr>
    </w:tbl>
    <w:p>
      <w:pPr>
        <w:spacing w:after="0" w:line="118" w:lineRule="exact"/>
        <w:rPr>
          <w:sz w:val="20"/>
          <w:szCs w:val="20"/>
          <w:color w:val="auto"/>
        </w:rPr>
      </w:pPr>
    </w:p>
    <w:p>
      <w:pPr>
        <w:jc w:val="both"/>
        <w:ind w:left="620" w:right="20" w:firstLine="299"/>
        <w:spacing w:after="0" w:line="260" w:lineRule="auto"/>
        <w:rPr>
          <w:sz w:val="20"/>
          <w:szCs w:val="20"/>
          <w:color w:val="auto"/>
        </w:rPr>
      </w:pPr>
      <w:r>
        <w:rPr>
          <w:rFonts w:ascii="Arial" w:cs="Arial" w:eastAsia="Arial" w:hAnsi="Arial"/>
          <w:sz w:val="17"/>
          <w:szCs w:val="17"/>
          <w:color w:val="auto"/>
        </w:rPr>
        <w:t>For additional information about, and the definitions of, our key financial and operating metrics, see the section titled “Management’s Discussion and Analysis of Financial Condition and Results of Operations—Key Financial and Operating Metrics” and see below for additional information and a reconciliation of Adjusted EBITDA to net loss.</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Non-GAAP Financial Measure – Adjusted EBITDA</w:t>
      </w:r>
    </w:p>
    <w:p>
      <w:pPr>
        <w:spacing w:after="0" w:line="155" w:lineRule="exact"/>
        <w:rPr>
          <w:sz w:val="20"/>
          <w:szCs w:val="20"/>
          <w:color w:val="auto"/>
        </w:rPr>
      </w:pPr>
    </w:p>
    <w:p>
      <w:pPr>
        <w:jc w:val="both"/>
        <w:ind w:left="620" w:firstLine="299"/>
        <w:spacing w:after="0" w:line="248" w:lineRule="auto"/>
        <w:rPr>
          <w:sz w:val="20"/>
          <w:szCs w:val="20"/>
          <w:color w:val="auto"/>
        </w:rPr>
      </w:pPr>
      <w:r>
        <w:rPr>
          <w:rFonts w:ascii="Arial" w:cs="Arial" w:eastAsia="Arial" w:hAnsi="Arial"/>
          <w:sz w:val="17"/>
          <w:szCs w:val="17"/>
          <w:color w:val="auto"/>
        </w:rPr>
        <w:t>In addition to our results determined in accordance with GAAP, we believe that Adjusted EBITDA, a non-GAAP measure, is useful in evaluating our operating performance. We use Adjusted EBITDA to evaluate and assess our operating performance 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 Adjusted EBITDA is presented for supplemental informational purposes only, should not be considered a substitute for financial information presented in accordance with GAAP and may be different from a similarly-titled non-GAAP measure used by other companies. A reconciliation is provided below for Adjusted EBITDA to net loss, the most directly comparable financial measure stated in accordance with GAAP. Investors are encouraged to review our results determined in accordance with GAAP and the reconciliation of Adjusted EBITDA to net loss.</w:t>
      </w:r>
    </w:p>
    <w:p>
      <w:pPr>
        <w:spacing w:after="0" w:line="120" w:lineRule="exact"/>
        <w:rPr>
          <w:sz w:val="20"/>
          <w:szCs w:val="20"/>
          <w:color w:val="auto"/>
        </w:rPr>
      </w:pPr>
    </w:p>
    <w:p>
      <w:pPr>
        <w:jc w:val="both"/>
        <w:ind w:left="620" w:right="20" w:firstLine="299"/>
        <w:spacing w:after="0" w:line="255" w:lineRule="auto"/>
        <w:rPr>
          <w:sz w:val="20"/>
          <w:szCs w:val="20"/>
          <w:color w:val="auto"/>
        </w:rPr>
      </w:pPr>
      <w:r>
        <w:rPr>
          <w:rFonts w:ascii="Arial" w:cs="Arial" w:eastAsia="Arial" w:hAnsi="Arial"/>
          <w:sz w:val="17"/>
          <w:szCs w:val="17"/>
          <w:color w:val="auto"/>
        </w:rPr>
        <w:t>We calculate Adjusted EBITDA as net loss adjusted to exclude depreciation and amortization, stock-based compensation expense, interest expense, change in fair value of convertible preferred stock warrant liability, loss on extinguishment of debt and provision for income taxes. Adjusted EBITDA should not be considered as an alternative to net loss or any other measure of financial performance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40"/>
          </w:cols>
          <w:pgMar w:left="320" w:top="118" w:right="9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5788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7560" cy="578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 w:firstLine="299"/>
        <w:spacing w:after="0" w:line="277" w:lineRule="auto"/>
        <w:rPr>
          <w:sz w:val="20"/>
          <w:szCs w:val="20"/>
          <w:color w:val="auto"/>
        </w:rPr>
      </w:pPr>
      <w:r>
        <w:rPr>
          <w:rFonts w:ascii="Arial" w:cs="Arial" w:eastAsia="Arial" w:hAnsi="Arial"/>
          <w:sz w:val="17"/>
          <w:szCs w:val="17"/>
          <w:color w:val="auto"/>
        </w:rPr>
        <w:t>The following table presents a reconciliation of Adjusted EBITDA from net loss for the years ended December 31, 2018, 2019 and 2020:</w:t>
      </w:r>
    </w:p>
    <w:p>
      <w:pPr>
        <w:spacing w:after="0" w:line="141"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7"/>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 reconciliation: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(34,181)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(38,197)</w:t>
            </w:r>
          </w:p>
        </w:tc>
        <w:tc>
          <w:tcPr>
            <w:tcW w:w="80" w:type="dxa"/>
            <w:vAlign w:val="bottom"/>
          </w:tcPr>
          <w:p>
            <w:pPr>
              <w:spacing w:after="0"/>
              <w:rPr>
                <w:sz w:val="18"/>
                <w:szCs w:val="18"/>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(47,877)</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(deduct):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7"/>
                <w:szCs w:val="17"/>
                <w:color w:val="auto"/>
              </w:rPr>
              <w:t>4,274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5,581</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7,678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7,336</w:t>
            </w:r>
          </w:p>
        </w:tc>
        <w:tc>
          <w:tcPr>
            <w:tcW w:w="0" w:type="dxa"/>
            <w:vAlign w:val="bottom"/>
          </w:tcPr>
          <w:p>
            <w:pPr>
              <w:spacing w:after="0"/>
              <w:rPr>
                <w:sz w:val="1"/>
                <w:szCs w:val="1"/>
                <w:color w:val="auto"/>
              </w:rPr>
            </w:pPr>
          </w:p>
        </w:tc>
      </w:tr>
      <w:tr>
        <w:trPr>
          <w:trHeight w:val="212"/>
        </w:trPr>
        <w:tc>
          <w:tcPr>
            <w:tcW w:w="564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7"/>
                <w:szCs w:val="17"/>
                <w:color w:val="auto"/>
              </w:rPr>
              <w:t>1,428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20"/>
              <w:spacing w:after="0" w:line="212" w:lineRule="exact"/>
              <w:rPr>
                <w:sz w:val="20"/>
                <w:szCs w:val="20"/>
                <w:color w:val="auto"/>
              </w:rPr>
            </w:pPr>
            <w:r>
              <w:rPr>
                <w:rFonts w:ascii="Arial" w:cs="Arial" w:eastAsia="Arial" w:hAnsi="Arial"/>
                <w:sz w:val="17"/>
                <w:szCs w:val="17"/>
                <w:color w:val="auto"/>
              </w:rPr>
              <w:t>Change in fair value of convertible preferred stock warrant liability</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12"/>
        </w:trPr>
        <w:tc>
          <w:tcPr>
            <w:tcW w:w="5640" w:type="dxa"/>
            <w:vAlign w:val="bottom"/>
          </w:tcPr>
          <w:p>
            <w:pPr>
              <w:ind w:left="220"/>
              <w:spacing w:after="0" w:line="212" w:lineRule="exact"/>
              <w:rPr>
                <w:sz w:val="20"/>
                <w:szCs w:val="20"/>
                <w:color w:val="auto"/>
              </w:rPr>
            </w:pPr>
            <w:r>
              <w:rPr>
                <w:rFonts w:ascii="Arial" w:cs="Arial" w:eastAsia="Arial" w:hAnsi="Arial"/>
                <w:sz w:val="17"/>
                <w:szCs w:val="17"/>
                <w:color w:val="auto"/>
              </w:rPr>
              <w:t>Loss on extinguishment of debt</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7"/>
                <w:szCs w:val="17"/>
                <w:color w:val="auto"/>
              </w:rPr>
              <w:t>432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4"/>
        </w:trPr>
        <w:tc>
          <w:tcPr>
            <w:tcW w:w="564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(27,198)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(24,343)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(33,398)</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Arial" w:cs="Arial" w:eastAsia="Arial" w:hAnsi="Arial"/>
                <w:sz w:val="15"/>
                <w:szCs w:val="15"/>
                <w:color w:val="auto"/>
              </w:rPr>
              <w:t>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920" w:hanging="307"/>
        <w:spacing w:after="0" w:line="242" w:lineRule="auto"/>
        <w:tabs>
          <w:tab w:leader="none" w:pos="916"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convertible preferred stock warrants are subject to re-measurement at the end of each reporting period and the change in the fair value of the convertible preferred stock warrant liability is included in other income, net in our statement of operations and comprehensive loss. Our convertible preferred stock warrants will be converted to common stock warrants (which will not be subject to remeasurement) and the related convertible preferred stock warrant liability will be reclassified to additional paid-in capital immediately prior to the completion of this offering.</w:t>
      </w:r>
    </w:p>
    <w:p>
      <w:pPr>
        <w:spacing w:after="0" w:line="1" w:lineRule="exact"/>
        <w:rPr>
          <w:rFonts w:ascii="Arial" w:cs="Arial" w:eastAsia="Arial" w:hAnsi="Arial"/>
          <w:sz w:val="15"/>
          <w:szCs w:val="15"/>
          <w:color w:val="auto"/>
        </w:rPr>
      </w:pPr>
    </w:p>
    <w:p>
      <w:pPr>
        <w:jc w:val="both"/>
        <w:ind w:left="920" w:hanging="307"/>
        <w:spacing w:after="0" w:line="249" w:lineRule="auto"/>
        <w:tabs>
          <w:tab w:leader="none" w:pos="916"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recorded a loss on the extinguishment of our loan and security agreement with Silicon Valley Bank in February 2019, which is included in other income, net in our statement of operations and comprehensive loss. See Note 7 to our consolidated financial statements included elsewhere in this prospectus for more information.</w:t>
      </w:r>
    </w:p>
    <w:p>
      <w:pPr>
        <w:spacing w:after="0" w:line="6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Non-GAAP Financial Measure – Contribution Profit and Average Contribution Profit Per Order</w:t>
      </w:r>
    </w:p>
    <w:p>
      <w:pPr>
        <w:spacing w:after="0" w:line="155" w:lineRule="exact"/>
        <w:rPr>
          <w:sz w:val="20"/>
          <w:szCs w:val="20"/>
          <w:color w:val="auto"/>
        </w:rPr>
      </w:pPr>
    </w:p>
    <w:p>
      <w:pPr>
        <w:jc w:val="both"/>
        <w:ind w:left="620" w:firstLine="299"/>
        <w:spacing w:after="0" w:line="247" w:lineRule="auto"/>
        <w:rPr>
          <w:sz w:val="20"/>
          <w:szCs w:val="20"/>
          <w:color w:val="auto"/>
        </w:rPr>
      </w:pPr>
      <w:r>
        <w:rPr>
          <w:rFonts w:ascii="Arial" w:cs="Arial" w:eastAsia="Arial" w:hAnsi="Arial"/>
          <w:sz w:val="17"/>
          <w:szCs w:val="17"/>
          <w:color w:val="auto"/>
        </w:rPr>
        <w:t>We believe that average contribution profit per order, when taken collectively with our GAAP results, including gross profit per order, may be helpful to investors in understanding our order economics. We believe that if we are successful in scaling and automating our platform pursuant to our strategy, our results will show (i) an increasing average contribution profit per order over time and (ii) a growth rate in average contribution profit per order that exceeds the growth rate of average gross profit per order due to our ability to reduce inbound processing costs. Such results would likely mean that our average order economics are becoming increasingly attractive and that our investments in technology and automation in our distribution centers are having a positive impact on our average order economics. Contribution profit and average contribution profit per order are presented for supplemental informational purposes only, should not be considered substitutes for financial information presented in accordance with GAAP and may be different from similarly-titled non-GAAP measures used by other companies. A reconciliation is provided below for contribution profit to gross profit, the most directly comparable financial measure stated in accordance with GAAP. We have also presented gross profit per order and contribution profit per order, which represent gross profit (a GAAP measure) and contribution profit (a non-GAAP measure) divided by the total number of Orders. Investors are encouraged to review our results determined in accordance with GAAP and the reconciliation of contribution profit to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40"/>
          </w:cols>
          <w:pgMar w:left="320" w:top="118" w:right="9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7147560" cy="3370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7560"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20" w:firstLine="299"/>
        <w:spacing w:after="0" w:line="277" w:lineRule="auto"/>
        <w:rPr>
          <w:sz w:val="20"/>
          <w:szCs w:val="20"/>
          <w:color w:val="auto"/>
        </w:rPr>
      </w:pPr>
      <w:r>
        <w:rPr>
          <w:rFonts w:ascii="Arial" w:cs="Arial" w:eastAsia="Arial" w:hAnsi="Arial"/>
          <w:sz w:val="17"/>
          <w:szCs w:val="17"/>
          <w:color w:val="auto"/>
        </w:rPr>
        <w:t>The following table presents a reconciliation of contribution profit to gross profit, as well as gross profit per order and contribution profit per order, for the years ended December 31, 2018, 2019 and 2020:</w:t>
      </w:r>
    </w:p>
    <w:p>
      <w:pPr>
        <w:spacing w:after="0" w:line="141"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7"/>
        </w:trPr>
        <w:tc>
          <w:tcPr>
            <w:tcW w:w="5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3"/>
                <w:szCs w:val="13"/>
                <w:b w:val="1"/>
                <w:bCs w:val="1"/>
                <w:color w:val="auto"/>
                <w:w w:val="96"/>
              </w:rPr>
              <w:t>2019</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r>
      <w:tr>
        <w:trPr>
          <w:trHeight w:val="167"/>
        </w:trPr>
        <w:tc>
          <w:tcPr>
            <w:tcW w:w="5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gridSpan w:val="8"/>
          </w:tcPr>
          <w:p>
            <w:pPr>
              <w:jc w:val="center"/>
              <w:ind w:right="259"/>
              <w:spacing w:after="0"/>
              <w:rPr>
                <w:sz w:val="20"/>
                <w:szCs w:val="20"/>
                <w:color w:val="auto"/>
              </w:rPr>
            </w:pPr>
            <w:r>
              <w:rPr>
                <w:rFonts w:ascii="Arial" w:cs="Arial" w:eastAsia="Arial" w:hAnsi="Arial"/>
                <w:sz w:val="13"/>
                <w:szCs w:val="13"/>
                <w:b w:val="1"/>
                <w:bCs w:val="1"/>
                <w:color w:val="auto"/>
              </w:rPr>
              <w:t>(in thousands, except for per order figures)</w:t>
            </w: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Contribution profit reconciliation: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9"/>
        </w:trPr>
        <w:tc>
          <w:tcPr>
            <w:tcW w:w="5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78,010</w:t>
            </w:r>
          </w:p>
        </w:tc>
        <w:tc>
          <w:tcPr>
            <w:tcW w:w="4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128,148</w:t>
            </w:r>
          </w:p>
        </w:tc>
      </w:tr>
      <w:tr>
        <w:trPr>
          <w:trHeight w:val="212"/>
        </w:trPr>
        <w:tc>
          <w:tcPr>
            <w:tcW w:w="5620" w:type="dxa"/>
            <w:vAlign w:val="bottom"/>
          </w:tcPr>
          <w:p>
            <w:pPr>
              <w:ind w:left="20"/>
              <w:spacing w:after="0"/>
              <w:rPr>
                <w:sz w:val="20"/>
                <w:szCs w:val="20"/>
                <w:color w:val="auto"/>
              </w:rPr>
            </w:pPr>
            <w:r>
              <w:rPr>
                <w:rFonts w:ascii="Arial" w:cs="Arial" w:eastAsia="Arial" w:hAnsi="Arial"/>
                <w:sz w:val="17"/>
                <w:szCs w:val="17"/>
                <w:color w:val="auto"/>
              </w:rPr>
              <w:t>Deduct: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5620" w:type="dxa"/>
            <w:vAlign w:val="bottom"/>
            <w:shd w:val="clear" w:color="auto" w:fill="CCEEFF"/>
          </w:tcPr>
          <w:p>
            <w:pPr>
              <w:ind w:left="220"/>
              <w:spacing w:after="0" w:line="212" w:lineRule="exact"/>
              <w:rPr>
                <w:sz w:val="20"/>
                <w:szCs w:val="20"/>
                <w:color w:val="auto"/>
              </w:rPr>
            </w:pPr>
            <w:r>
              <w:rPr>
                <w:rFonts w:ascii="Arial" w:cs="Arial" w:eastAsia="Arial" w:hAnsi="Arial"/>
                <w:sz w:val="17"/>
                <w:szCs w:val="17"/>
                <w:color w:val="auto"/>
              </w:rPr>
              <w:t>Distribution center operating expenses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(71,400)</w:t>
            </w:r>
          </w:p>
        </w:tc>
      </w:tr>
      <w:tr>
        <w:trPr>
          <w:trHeight w:val="212"/>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Payment processing expenses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(6,235)</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Contribution profit</w:t>
            </w: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54,554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50,513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Orders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3,965</w:t>
            </w:r>
          </w:p>
        </w:tc>
      </w:tr>
      <w:tr>
        <w:trPr>
          <w:trHeight w:val="212"/>
        </w:trPr>
        <w:tc>
          <w:tcPr>
            <w:tcW w:w="5620" w:type="dxa"/>
            <w:vAlign w:val="bottom"/>
          </w:tcPr>
          <w:p>
            <w:pPr>
              <w:ind w:left="20"/>
              <w:spacing w:after="0"/>
              <w:rPr>
                <w:sz w:val="20"/>
                <w:szCs w:val="20"/>
                <w:color w:val="auto"/>
              </w:rPr>
            </w:pPr>
            <w:r>
              <w:rPr>
                <w:rFonts w:ascii="Arial" w:cs="Arial" w:eastAsia="Arial" w:hAnsi="Arial"/>
                <w:sz w:val="17"/>
                <w:szCs w:val="17"/>
                <w:color w:val="auto"/>
              </w:rPr>
              <w:t>Average gross profit per order</w:t>
            </w: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33.25</w:t>
            </w:r>
          </w:p>
        </w:tc>
        <w:tc>
          <w:tcPr>
            <w:tcW w:w="440" w:type="dxa"/>
            <w:vAlign w:val="bottom"/>
            <w:gridSpan w:val="2"/>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32.32</w:t>
            </w: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contribution profit per order</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4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r>
      <w:tr>
        <w:trPr>
          <w:trHeight w:val="176"/>
        </w:trPr>
        <w:tc>
          <w:tcPr>
            <w:tcW w:w="5620" w:type="dxa"/>
            <w:vAlign w:val="bottom"/>
          </w:tcPr>
          <w:p>
            <w:pPr>
              <w:ind w:left="20"/>
              <w:spacing w:after="0"/>
              <w:rPr>
                <w:sz w:val="20"/>
                <w:szCs w:val="20"/>
                <w:color w:val="auto"/>
              </w:rPr>
            </w:pPr>
            <w:r>
              <w:rPr>
                <w:rFonts w:ascii="Arial" w:cs="Arial" w:eastAsia="Arial" w:hAnsi="Arial"/>
                <w:sz w:val="15"/>
                <w:szCs w:val="15"/>
                <w:color w:val="auto"/>
              </w:rPr>
              <w:t>________________</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ind w:left="920" w:hanging="307"/>
        <w:spacing w:after="0" w:line="257" w:lineRule="auto"/>
        <w:tabs>
          <w:tab w:leader="none" w:pos="916"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Includes inbound shipping, inbound labor, distribution center fixed costs and management labor, excluding stock based compensation expense, which are included within our operations, product and technology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20"/>
          </w:cols>
          <w:pgMar w:left="320" w:top="118" w:right="95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15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If any of the risks actually occur, our business, results of operations, financial condition and prospects could be harmed. In that event, the trading price of our Class A common stock could decline, and you could lose part or all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 and Industry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continued growth depends on attracting new, and retaining existing, buyers.</w:t>
      </w:r>
    </w:p>
    <w:p>
      <w:pPr>
        <w:spacing w:after="0" w:line="153"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color w:val="auto"/>
        </w:rPr>
        <w:t>To expand our buyer base, we must appeal to and attract buyers who do not typically purchase secondhand items, who have historically purchased only new retail items or who used other means to purchase secondhand items, such as traditional brick-and-mortar thrift stores or the websites of other secondary marketplaces. We reach new buyers through paid search, social media, influencers, television and digital advertising, other paid marketing, press coverage, retail locations, our RaaS partnership programs, referral programs, organic word of mouth and other methods of discovery, such as converting sellers to buyers. We expect to continue investing heavily in these and other marketing channels in the future and cannot be certain that these efforts will enable us to attract and retain more buyers, result in increased purchase frequency or order sizes from our buyers or be cost-effective. Our ability to attract and retain buyers also depends on our ability to offer a broad selection of desirable and high-quality secondhand items on our marketplace, the reliability of our shipping and delivery estimates, our ability to consistently provide high-quality customer experiences, our ability to promote and position our brand and marketplace and the success of our marketing efforts. Our investments in marketing may not effectively reach potential buyers and existing buyers, potential buyers or existing buyers may decide not to buy through us or the spend of buyers that purchase from us may not yield the intended return on investment, any of which could negatively affect our results of operations. Moreover, consumer preferences may change, and buyers may not purchase through our marketplace as frequently or spend as much with us as historically has been the case. As a result, the revenue generated from buyer transactions in the future may not be as high as the revenue generated from transactions historically. Relatedly, an inability to attract and retain buyers could harm our ability to attract and retain sellers, who may decide to resell their items through alternative platforms or marketplaces. Consequently, failure to attract new buyers and to retain existing buyers could harm our business, results of operations and financial condition.</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77"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Our success depends on our ability to cost-effectively attract high-quality secondhand items by attracting new sellers and retaining existing sellers, such that they choose thredUP to list their items. Numerous factors, however, may impede our ability to attract new sellers and retain existing sellers with high-quality secondhand items.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our RaaS partnership programs, referral programs, organic word-of-mouth and other methods of discovery, such as mentions in the press. We cannot be certain that these efforts will result in more supply of high-quality secondhand items or sellers or that these efforts will be cost-effective. Our ability to attract new and recurring high-quality secondhand items from new sellers and existing sellers depends on other factors, such as our ability to enhance and improve our marketplace, our ability to process the items sent to us by sellers in a timely manner, sellers’ perceptions of whether payouts they are receiving are adequate and timely compensation for their items and the perceived quality of the items sold and purchased on our marketplace. If we are unable to meet seller standards and drive repeat supply, our existing sellers may not choose to send us secondhand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items for resale to the same extent, in terms of quality, value or volume, in the future. Further, failure to generate sufficient high-quality secondhand items and attract new sellers and retain existing sellers could harm our business, results of operations and financial condition. For instance, if our sellers send lower quality secondhand items that we are unable to resell in our marketplace, then we will incur expense to sort and process such lower quality secondhand items and detract resources from processing re-sellable secondhand items. Additionally, if sellers substantially increase the initial price of their items that we list on our marketplace and subsequently reclaim these items if they do not sell within the listing window, our business could be harmed because these activities may negatively affect sell-through rates and gross margin.</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business, including our costs and supply of secondhand items, is subject to risks associated with sourcing, itemizing, warehousing and shipping.</w:t>
      </w:r>
    </w:p>
    <w:p>
      <w:pPr>
        <w:spacing w:after="0" w:line="77"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Nearly all of the secondhand items we offer through our marketplace are initially sourced from sellers who are individuals. As a result, we may be subject to periodic fluctuations in the number, brands and quality of secondhand items sold through our marketplace. Our results of operations could be negatively impacted by these fluctuations. In addition, as we expand into new categories of secondhand items, our payments to our sellers may rise relative to our existing categories, which could adversely affect our results of operations.</w:t>
      </w:r>
    </w:p>
    <w:p>
      <w:pPr>
        <w:spacing w:after="0" w:line="115"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We can make no assurance that secondhand items we receive from sellers will be of sufficient quality or free from damage, or that such secondhand items will not be damaged during shipping, while in one of our distribution centers or when shipped to buyers. While we conduct inspections of secondhand items sent by sellers for resale and inspect secondhand items returned by buyers, we cannot control items while they are out of our possession or prevent all damage while in our distribution centers. For example, we have in the past and may in the future experience contamination, such as mold, bacteria, insects and other pests, in the secondhand items shipped to us by our sellers, which may cause contamination of the secondhand items in our distribution centers or while shipping to buyers. If we are unable to detect and quarantine such contaminants at the time such secondhand items are initially received in our distribution centers, some or all of the secondhand items in such facilities could be contaminated. We may incur additional expenses and our reputation could be harmed if the secondhand items we offer are damaged or contain contaminants.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97"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have experienced, and may continue to experience, rapid growth in certain recent periods, which has placed, and may continue to place, significant demands on our management and our operational and financial resources. We have also experienced significant growth in the number of buyers and sellers using our platform in certain periods, despite a reduction in Active Sellers during 2020 and growth rates that were impacted by the COVID-19 pandemic. Additionally, our organizational structure is becoming more complex as we scale our operational, financial and management controls as well as our reporting systems and procedures. For example, our headcount has grown from 1,076 employees and professional contractors as of December 31, 2018 to 1,862 as of December 31, 2020, as we have scaled our business.</w:t>
      </w:r>
    </w:p>
    <w:p>
      <w:pPr>
        <w:spacing w:after="0" w:line="122"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To manage growth in our operations and the growth in the number of buyers and sellers on our platform, we will need to continue to grow and improve our operational, financial and management controls and our reporting systems and procedures. We will need to maintain or increase the automation of our distribution centers and continue to improve how we apply data science to our operations. Our expansion has placed, and our expected future growth will continue to place, a significant strain on our management, marketing, operations, administrative, financial, customer support, engineering and other resources. If we fail to manage our anticipated growth and change in a manner that preserves the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aspects of our corporate culture, our employee morale, productivity and retention could suffer, which could negatively affect our brand and reputation and harm our ability to attract new buyers and sellers and to grow our business. In addition, future growth, such as the potential expansion of our operations internationally or expansion into new categories of offerings, either organically or through acquisitions, would require significant capital expenditures, which could adversely affect our results of operations, and the allocation of valuable management resources to grow and change in these areas.</w:t>
      </w:r>
    </w:p>
    <w:p>
      <w:pPr>
        <w:spacing w:after="0" w:line="99"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Our revenue was $129.6 million, $163.8 million and $186.0 million for the years ended December 31, 2018, 2019 and 2020, respectively, representing annual growth of 26% and 14%, respectively. In future periods, we may not be able to sustain or increase revenue growth rates consistent with recent history, or at all. Our revenue growth has been and may continue to be affected by the COVID-19 pandemic. We believe our success and revenue growth depends on a number of factors, including, but not limited to, our ability to:</w:t>
      </w:r>
    </w:p>
    <w:p>
      <w:pPr>
        <w:spacing w:after="0" w:line="115" w:lineRule="exact"/>
        <w:rPr>
          <w:sz w:val="20"/>
          <w:szCs w:val="20"/>
          <w:color w:val="auto"/>
        </w:rPr>
      </w:pPr>
    </w:p>
    <w:p>
      <w:pPr>
        <w:ind w:left="600" w:hanging="302"/>
        <w:spacing w:after="0"/>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attract and retain new and existing buyers and sellers and grow our supply of high-quality secondhand items for resale through our marketplace;</w:t>
      </w:r>
    </w:p>
    <w:p>
      <w:pPr>
        <w:spacing w:after="0" w:line="164" w:lineRule="exact"/>
        <w:rPr>
          <w:rFonts w:ascii="Arial" w:cs="Arial" w:eastAsia="Arial" w:hAnsi="Arial"/>
          <w:sz w:val="16"/>
          <w:szCs w:val="16"/>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scale our revenue and achieve the operating efficiencies necessary to achieve and maintain profitability;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 buyer and seller awareness of our brand;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anticipate and respond to changing buyer and seller preferences;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manage and improve our business processes in response to changing business needs;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process Clean Out Kits from sellers on a timely basis;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improve, expand and further automate our distribution center operations and information systems;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anticipate and respond to macroeconomic changes generally, including changes in the markets for both new and secondhand retail items;</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compete against established companies and new market entrants, including national retailers and brands and traditional brick-and-mortar thrift stores;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effectively scale our operations while maintaining high-quality service and buyer and seller satisfaction;</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hire and retain talented employees and professional contractors at all levels of our business;</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avoid or manage interruptions in our business from information technology downtime, cybersecurity breaches and other factors that could affect our physical and digital infrastructure;</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fulfill and deliver Orders in a timely manner and in accordance with customer expectations, which may change over time;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maintain a high level of customer service and satisfaction;</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adapt to changing conditions in our industry and related to the COVID-19 pandemic and measures implemented to contain its spread;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comply with regulations applicable to our business.</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have a history of losses, we anticipate increasing operating expenses in the future and we may not be able to achieve and, if achieved, maintain profitability.</w:t>
      </w:r>
    </w:p>
    <w:p>
      <w:pPr>
        <w:spacing w:after="0" w:line="77"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We experienced net losses of $34.2 million, $38.2 million and $47.9 million in the years ended December 31, 2018, 2019 and 2020, respectively. We expect to continue to incur net losses for the foreseeable future and we may not achieve or maintain profitability in the future. We believe there is a significant market opportunity for our business, and we intend to invest aggressively to capitalize on this opportunity. Because the market for secondhand items is evolving, particularly the online resale of secondhand items, it is difficult for us to predict our future results of operations or the limits of our market opportunity. We expect our operating expenses to significantly increase as we expand our operations and infrastructure, make significant investments in our marketing initiatives, develop and introduce new technologies and automation and hire additional personnel. These efforts may be more costly than we expect and may not result in revenue growth or increased efficiency. In addition, as we grow and become a public company, we will incur additional significant legal, accounting and other expenses that we did not incur as a private company. If our revenue does not increase to offset these expected increases in our operating expenses, we will not be profitable in future periods.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have a limited operating history in an evolving industry, which makes it difficult to forecast our revenue, plan our expenses and evaluate our business and future prospects.</w:t>
      </w:r>
    </w:p>
    <w:p>
      <w:pPr>
        <w:spacing w:after="0" w:line="7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We have a limited operating history in a rapidly evolving industry that may not develop in a manner favorable to our business. Our marketplace represents a substantial departure from the traditional thrift store market for secondhand items. While our business has grown rapidly, and much of that growth has occurred in recent periods, the resale market for secondhand items may not continue to develop in a manner that we expect or that otherwise would be favorable to our business. As a result of our limited operating history, ongoing changes in our new and evolving industry,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Class A common stock price to decline.</w:t>
      </w:r>
    </w:p>
    <w:p>
      <w:pPr>
        <w:spacing w:after="0" w:line="10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77"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Our quarterly results of operations may fluctuate from quarter to quarter as a result of a number of factors, many of which are outside of our control and may be difficult to predict, including, but not limited to:</w:t>
      </w:r>
    </w:p>
    <w:p>
      <w:pPr>
        <w:spacing w:after="0" w:line="96" w:lineRule="exact"/>
        <w:rPr>
          <w:sz w:val="20"/>
          <w:szCs w:val="20"/>
          <w:color w:val="auto"/>
        </w:rPr>
      </w:pPr>
    </w:p>
    <w:p>
      <w:pPr>
        <w:ind w:left="600" w:hanging="30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level of demand for secondhand items;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the levels or quality of secondhand items on our marketplace;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capacity as we expand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success in engaging existing buyers and sellers and attracting new buyers and sellers;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meet the expectations of sellers that we will process their Clean Out Kits in a timely manner;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 and timing of our operating expenses;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and success of new partnerships, retail offerings and referral programs;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of competitive developments and our response to those developments;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manage our existing business and future growth;</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reported disruptions or defects in our online marketplace, such as actual or perceived privacy or data security breaches;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economic and market conditions, particularly those affecting our industry;</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of market volatility and economic downturn, including those caused by outbreaks of disease, such as the COVID-19 pandemic, on our business;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adverse litigation judgments, other dispute-related settlement payments or other litigation-related costs;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fines;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and continuing uncertainty in relation to, the legislative or regulatory environment;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legal and regulatory compliance costs;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number of new employees and professional contractors added;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of the grant or vesting of equity awards to employees, directors, contractors or consultants;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pricing pressure as a result of competition, economic conditions or otherwise, including as a result of the effects of the COVID-19 pandemic;</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costs and timing of expenses related to the acquisition of talent, technologies, intellectual property or businesses, including potentially significant amortization costs and possible write-downs;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public health crises, including the COVID-19 pandemic;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economic conditions, including geopolitical uncertainty and instability.</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Any one or more of the factors above may result in significant fluctuations in our quarterly results of operations. You should not rely on our past results as an indicator of our future performance.</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variability and unpredictability of our quarterly results of operations or other operating metrics could result in our failure to meet our expectations or those of analysts that cover us or investors with respect to revenue or other key metrics for a particular period. If we fail to meet or exceed such expectations for these or any other reasons, the market price of our Class A common stock could fall,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pacing w:after="0" w:line="97"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color w:val="auto"/>
        </w:rPr>
        <w:t>We lease facilities to store and accommodate the logistics infrastructure required to process, itemize, list, sell, pack and ship the secondhand items we sell through our marketplace and related channels of distribution, including our RaaS partnerships. To grow our business, we must continue to improve and expand our distribution center operations, proprietary software and systems, and personnel in the geographic regions that have the resources necessary to effectively operate our business. The operation of our business is complex and requires the coordination of multiple functions that are highly dependent on numerous employees and personnel. Each item that we offer through our marketplace is unique and requires multiple touch points, including inspection, evaluation, photography, pricing, application of a unique SKU, and fulfillment. This process is complex and, from time to time, we may have more Clean Out Kits coming in from sellers than we can timely process. For instance, due to restrictions in our distribution centers as a result of COVID-19 safety precautions, governmental requirements and other COVID-19-related impacts, we currently have an elevated number of unprocessed Clean Out Kits containing secondhand items from sellers. We have also rapidly increased our operations employee headcount in recent years to support the growth of our business. The number of employees in our distribution centers increased to 1,570 as of December 31, 2020, from 835 as of December 31, 2018. While we experienced a temporary decrease in the number of employees in our distribution centers in the second quarter of 2020 due to the effects of COVID-19, we have restored and continued to grow our distribution center headcount. We expect that the number of employees in our distribution centers will increase significantly in the near term, particularly as and when concerns and restrictions due to COVID-19 abate. The market for these employees is increasingly competitive and is highly dependent on geographic location. We could be required to raise wages or introduce other compensation incentives to remain competitive, which could increase our costs and harm our results of operations. If we fail to effectively locate, hire and retain such personnel, our operations could be negatively impacted, which could harm our business, results of operations and financial condition.</w:t>
      </w:r>
    </w:p>
    <w:p>
      <w:pPr>
        <w:spacing w:after="0" w:line="128"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Further, the success of our business depends on our ability to maintain our current distribution centers and secure additional distribution centers that meet our business needs and are also in geographic locations with access to a large, qualified talent pool. We have distribution centers across three strategic locations: Arizona, Georgia and Pennsylvania. Space in well-positioned geographic locations is becoming increasingly scarce, and where it is available, the lease terms offered by landlords are increasingly competitive, particularly in geographic locations with access to the large, qualified talent pools required for us to run our logistics infrastructure. Incentives currently offered by local, state and federal entities to offset operating expenses may be reduced or become unavailable. Companies who have more financial resources and negotiating leverage than us may be more attractive tenants and, as a result, may outbid us for the facilities we seek. Due to the competitive nature of the real estate market in the locations where we currently operate, we may be unable to renew our existing leases or renew them on satisfactory terms. Failure to identify and secure adequate new distribution centers in optimal geographic locations or maintain our current distribution centers could harm our business, results of operations and financial condition.</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are unable to successfully leverage technology to automate and drive efficiencies in our operations, our business, results of operations and financial condition could be harmed.</w:t>
      </w:r>
    </w:p>
    <w:p>
      <w:pPr>
        <w:spacing w:after="0" w:line="7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are continuing to build automation, machine learning and other capabilities to drive efficiencies in our distribution center operations, including our newest distribution center in Suwanee, Georgia. As we continue to enhance automation and add capabilities, our operations may become increasingly complex. While we expect these technologies to improve productivity in many of our merchandising operations, including processing, itemizing, listing and selling, any flaws, bugs or failures of such technologies could cause interruptions in and delays to our operations, which may harm our business. We are increasing our investment in technology, software and systems to support these efforts, but such investments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increase productivity, maintain or improve the experience for buyers and sellers or result in more efficient operations. While we have created our own proprietary technology to operate our business, we also rely on technology from third parties. For example, to run our inbound operations, we leverage third-party machine learning software that analyzes data that we use in our proprietary algorithms for determining the optimal list price. We have also integrated third-party software to help operate our automated carousels and conveyors in our distribution centers. If these technologies do not increase our operational efficiency in accordance with our expectations, third parties change the terms and conditions that govern their relationships with us, or if competition increases for the technology and services provided by third parties, our business may be harmed. If we are no longer able to rely on such third parties, we would be required to either seek licenses to technologies or services from other third parties and redesign aspects of business and operations to function with such technologies or services or develop such technologies ourselves, either of which would result in increased costs and could result in operational delays until equivalent technologies can be licensed or developed and integrated into our business and operations. In addition, if we are unable to enhance automation to our operations, we may be unable to reduce the costs of processing supply and fulfilling orders, which could cause delays in buyers receiving their purchases and sellers receiving their payouts. As a result, our reputation and our relationships with our buyers and sellers could be harmed, which could harm our business, results of operations and financial condition.</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rely on consumer discretionary spending and have been and may continue to be adversely affected by economic downturns and other macroeconomic conditions or trends.</w:t>
      </w:r>
    </w:p>
    <w:p>
      <w:pPr>
        <w:spacing w:after="0" w:line="77"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color w:val="auto"/>
        </w:rPr>
        <w:t>Our business and results of operations are subject to global economic conditions and their impact on consumer discretionary spending, particularly in the retail market. Some of the factors that may negatively influence consumer spending on retail items include high levels of unemployment, high consumer debt levels, fluctuating interest rates and credit availability, fluctuating fuel and other energy costs, fluctuating commodity prices and general uncertainty regarding the overall future political and economic environment. Economic conditions in particular regions may also be affected by natural disasters, such as earthquakes, hurricanes and wildfires; unforeseen public health crises, such as pandemics and epidemics, including the COVID-19 pandemic; political crises, such as terrorist attacks, war and other incidents of political instability, including the recent presidential election in the United States; or other catastrophic events, whether occurring in the United States or internationally. Traditionally, consumer purchases of new retail items have declined during periods of economic uncertainty, when disposable income is reduced or when there is a reduction in consumer confidence. Such economic uncertainty and decrease in the rate of retail purchases in the primary market may slow the rate at which individuals choose to supply their secondhand items to us, which could result in a decrease of items available in our marketplace, and may also slow the rate at which individuals choose to buy secondhand items on our marketplace. For instance, from the beginning of the COVID-19 pandemic and throughout 2020, we experienced an increase in the supply of Clean Out Kits with secondhand items from sellers. Additionally, at the onset of the COVID-19 pandemic, we experienced a reduction in operations productivity at our distribution centers as we were unable to process Clean Out Kits at our normal rate. In March 2020, we experienced a 10% reduction in average monthly Orders through our site, as compared to February 2020, which we attribute to the general economic uncertainty at the beginning of the COVID-19 pandemic. While average monthly Orders have generally returned to pre-COVID-19 pandemic levels, we have not seen sustained growth in Orders in recent periods, which we believe is primarily due to the impacts of the COVID-19 pandemic. As a result, we have experienced an overall reduction in revenue growth rates during the second, third and fourth quarters of 2020, and that reduction in our revenue growth rates may continue in light of the ongoing impacts of COVID-19. The presence or absence of government stimulus funding programs has had and may continue to have an impact on consumer discretionary spending and, consequently, purchases through our marketplace site. Further, we cannot guarantee that buyers will continue to buy at current rates if the economy worsens. Adverse economic changes could reduce consumer confidence, and thereby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spacing w:after="0" w:line="97"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The markets for resale and secondhand items are highly competitive. We compete with vendors of new and secondhand items, including branded goods stores, local, national and global department stores, traditional brick-and-mortar consignment and thrift stores, specialty retailers, direct-to-consumer, or DTC, retailers, discount chains, independent retail stores, the online offerings of traditional retail competitors, resale players focused on niche or single categories, as well as technology-enabled marketplaces that may offer the same or similar goods and services that we offer. Competitors offering the same or similar goods or services include secondhand marketplaces, such as eBay Inc., Mercari, Inc., Poshmark, Inc. and The RealReal, Inc.; large online retailers, such as Amazon.com, Inc., Kohl’s Corporation and Walmart Inc.; and off-price retailers, such as Burlington Stores, Inc., Ross Stores, Inc. and The TJX Companies, Inc. We believe our ability to compete depends on many factors, many of which are beyond our control, including:</w:t>
      </w:r>
    </w:p>
    <w:p>
      <w:pPr>
        <w:spacing w:after="0" w:line="110" w:lineRule="exact"/>
        <w:rPr>
          <w:sz w:val="20"/>
          <w:szCs w:val="20"/>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attracting and retaining buyers and sellers and increasing the volume of secondhand items they buy and sell;</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further developing our data science and automation capabilities;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maintaining favorable brand recognition;</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effectively delivering our marketplace to buyers and sellers;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identifying and delivering authentic, high-quality secondhand items;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maintaining and increasing the amount, diversity and quality of brands and secondhand items that we offer;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expand the means through which we acquire and offer secondhand items for resale;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price at which secondhand items accepted onto our marketplace are offered;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speed and cost at which we can process and make available secondhand items and deliver purchased secondhand items to our buyers; and</w:t>
      </w:r>
    </w:p>
    <w:p>
      <w:pPr>
        <w:spacing w:after="0" w:line="164" w:lineRule="exact"/>
        <w:rPr>
          <w:rFonts w:ascii="Arial" w:cs="Arial" w:eastAsia="Arial" w:hAnsi="Arial"/>
          <w:sz w:val="16"/>
          <w:szCs w:val="16"/>
          <w:color w:val="auto"/>
        </w:rPr>
      </w:pPr>
    </w:p>
    <w:p>
      <w:pPr>
        <w:ind w:left="600" w:hanging="30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ease with which our buyers and sellers can supply, purchase and return secondhand items.</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As our market evolves and we begin to compete with new market entrants, we expect competition to intensify in the future. Established companies may not only develop their own platforms and competing lines of business, but also acquire or establish cooperative relationships with our current competitors or provide meaningful incentives to third parties to favor their offerings over our marketplace.</w:t>
      </w:r>
    </w:p>
    <w:p>
      <w:pPr>
        <w:spacing w:after="0" w:line="11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Many of our existing competitors have, and some of our potential competitors or potential alliances among competitors could have, substantial competitive advantages such as greater brand name recognition and longer operating histories, larger fulfillment infrastructures, greater technical capabilities, faster shipping times, lower-cost shipping, broader supply, established relationships with a larger existing buyer and/or seller base, superior or more desirable secondhand items for sale or resale, greater customer service resources, greater financial, marketing, institutional and other resources than we do, greater resources to make acquisitions, lower labor, and development costs, larger and more mature intellectual property portfolios, and substantially greater financial, technical and other resources than we do. Such competitors with greater financial and operating resources may be able to respond more quickly and effectively than we can to new or changing opportunities, technologies, standards or customer requirements and derive greater revenue and profits from their existing buyer bases, adopt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aggressive pricing policies to build larger buyer or seller bases, or respond more quickly than we can to new or emerging technologies and changes in consumer shopping behavior.</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Potential buyers may also prefer to purchase retail items from larger online or brick-and-mortar competitors that they currently shop from, rather than a newer marketplace, regardless of offerings. These larger competitors often have broader supply and market focus and will therefore not be as susceptible to downturns in a particular market.</w:t>
      </w:r>
    </w:p>
    <w:p>
      <w:pPr>
        <w:spacing w:after="0" w:line="11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If we are unsuccessful in establishing or maintaining our relationships with third parties, or if they partner with our competitors and devote greater resources to implement and support the platforms or retail items of our competitors, our ability to compete in the marketplace, or to grow our revenue, could be impaired, and our results of operations may suffer. Even if these partnerships and any future partnerships we undertake are successful, we cannot assure you that these relationships will result in increased buying and selling through our marketplace or increased revenue.</w:t>
      </w:r>
    </w:p>
    <w:p>
      <w:pPr>
        <w:spacing w:after="0" w:line="11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Conditions in our market could also change rapidly and significantly as a result of technological advancements, partnering by our competitors or continuing market consolidation or strategic changes we or our competitors make in response to the COVID-19 pandemic, and it is uncertain how our market will evolve. These competitive pressures in our market or our failure to compete effectively may result in price reductions, fewer buyers and sellers, reduced revenue, gross profit, and gross margins, increased net losses, and loss of market share. Any failure to meet and address these factors could harm our business, results of operations and financial condition.</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National retailers and brands set their own retail prices and promotional discounts on new items, which could adversely affect our value proposition to buyers and harm our business, results of operations and financial condition.</w:t>
      </w:r>
    </w:p>
    <w:p>
      <w:pPr>
        <w:spacing w:after="0" w:line="7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National retailers and brands set pricing for their own new retail items, which can include promotional discounts. Promotional pricing by these parties may adversely affect the relative value of secondhand items offered for resale with us, and, in turn, our revenue, results of operations and financial condition. In order to attract buyers to our marketplace, the prices for the secondhand items sold through our marketplace may need to be lowered in order to compete with pricing strategies employed by national retailers and brands for their own new retail items, which could negatively affect revenue growth, results of operations and financial condition. We have experienced a reduction in our revenue in the past due to reductions and fluctuations in the price of new retail items sold by national retailers and brands, and we anticipate similar reductions and fluctuations could occur in the future, such as due to a decrease in the price of new retail items in light of the economic downturn caused by the COVID-19 pandemic. These pricing changes and promotional discounts could, as a result, adversely affect our business, results of operations and financial condition.</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global COVID-19 pandemic has had and may continue to have an adverse impact on our business, results of operations and financial condition.</w:t>
      </w:r>
    </w:p>
    <w:p>
      <w:pPr>
        <w:spacing w:after="0" w:line="77"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In March 2020, the World Health Organization declared COVID-19 a global pandemic and this contagious disease outbreak has continued to spread. The related public health measures, including orders to shelter-in-place, travel restrictions and mandated business closures, have adversely affected workforces, organizations, customers, economies and financial markets globally, leading to an economic downturn and increased market volatility. The fear associated with COVID-19, or any pandemic, and the reactions of governments around the world in response to COVID-19, or any pandemic, to regulate the flow of labor and products and impede the travel of individuals, have and may continue to impact our ability to conduct normal business operations, which could adversely affect our results of operations and liquidity. For example, due to shelter-in-place orders and mandatory business closures, in Georgia in particular, we have been required to limit operations at our distribution centers, resulting in a delay in our ability to process our Clean Out Kits, and have implemented enhanced safety and cleaning measures, resulting in increased costs. In compliance with local ordinances and to protect our workforce,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also temporarily closed our corporate offices, except for limited essential staff and visits by our operations teams to the distribution centers on an as-needed and limited basis.</w:t>
      </w:r>
    </w:p>
    <w:p>
      <w:pPr>
        <w:spacing w:after="0" w:line="96"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In addition, we implemented several cost-saving measures to address the challenges from the COVID-19 pandemic. For example, in the first quarter of 2020, we temporarily reduced marketing spend to take time to better understand the impact of COVID-19 on consumer demand. Additionally, in April 2020, we reduced salaries by 20% for the vast majority of corporate employees and in June 2020 we laid off the staff at our three small retail stores and permanently closed our retail stores during 2020. Further, we also have implemented promotional measures. Beginning in the second quarter of 2020, we chose to strategically increase discounts and incentives to encourage our existing buyer base to shop with us, as consumers generally prioritize value in times of economic uncertainty. The presence or absence of government stimulus funding programs, however, has had and may continue to have an impact on consumer discretionary spending and, consequently, purchases through our marketplace site. Without timely and robust government stimulus funding programs, consumers would have less money to spend on apparel, which could harm our business, results of operations and financial condition. We are also impacted by the overall decrease in spending in the apparel sector during the pandemic as many consumers have limited their social activity and are making fewer apparel purchases. In connection with this reduced social activity, the shift to wear-at-home clothing has also meant that many popular secondhand categories sold on thredUP, such as dresses and shoes, have been less in-demand than pre-COVID-19 pandemic levels, which affects our business, results of operations and financial condition.</w:t>
      </w:r>
    </w:p>
    <w:p>
      <w:pPr>
        <w:spacing w:after="0" w:line="124"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Further, disruptions to our business operations have included and could include personnel absences, temporary closures of our distribution centers, further or ongoing reduced capacity at our distribution centers, delays in processing Clean Out Kits shipped by sellers to us, delays in our shipment of items purchased by our buyers, a slow-down in our ability to hire if we are unable to interview candidates in person, decreased foot traffic at and/or closure of our and our partners’ physical retail locations, disruptions in internet connections and a decrease or volatile patterns in spending on retail in general. For instance, decreased processing capacity at our distribution centers during the onset of the COVID-19 pandemic resulted in fewer items being listed as available for sale, which adversely impacted our revenue growth. Our third-party vendors and partners have also experienced and may continue to experience disruptions to their business operations, which in turn affects us.</w:t>
      </w:r>
    </w:p>
    <w:p>
      <w:pPr>
        <w:spacing w:after="0" w:line="12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Additionally, the COVID-19 pandemic and the resulting shelter-in-place orders throughout the country have disproportionately affected women, our predominant buyer demographic. If women are not able to economically recover from the impact of COVID-19, our business, results of operations and financial condition could be adversely impacted.</w:t>
      </w:r>
    </w:p>
    <w:p>
      <w:pPr>
        <w:spacing w:after="0" w:line="11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Further, developing various responses to the challenges caused by COVID-19 and its effects has and may continue to divert the attention of our management team. In the future, we may need to temporarily close some or all of our distribution centers. If a critical number of our employees become too ill to work or are unable to work due to personal reasons related to the effects of COVID-19, our ability to process merchandise through our distribution centers could be significantly slowed or halted.</w:t>
      </w:r>
    </w:p>
    <w:p>
      <w:pPr>
        <w:spacing w:after="0" w:line="11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Similarly, COVID-19 has led to a broader economic slowdown that may heighten other risks presented in this prospectus. Public health concerns, such as COVID-19, could also result in social, economic and labor instability in the localities in which we or our vendors, buyers and sellers reside. Any of these uncertainties and actions we take to mitigate the effects of COVID-19 and uncertainties related to COVID-19 could harm our business, results of operations and financial condition. See the section titled “Management’s Discussion and Analysis of Financial Condition and Results of Operations— Impact of COVID-19” for additional information about the impact of COVID-19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experience damage or destruction to our distribution centers in which we store all of the secondhand items we offer through our marketplace, which may harm our business, results of operations and financial condition.</w:t>
      </w:r>
    </w:p>
    <w:p>
      <w:pPr>
        <w:spacing w:after="0" w:line="7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store the majority of the secondhand items we offer through our marketplace in our distribution centers in Arizona, Georgia and Pennsylvania. Our distribution centers, as well as our headquarters, are located in areas that have a history of natural disasters, including severe weather events, rendering our distribution centers vulnerable to damage. Any large-scale damage to or catastrophic loss of secondhand items stored in one of our distribution centers, due to natural disasters or man-made disasters such as arson, theft or otherwise would result in liability to our sellers for the expected payout commission liability for the lost items, reduction in the value of our inventory and a significant disruption to our business.</w:t>
      </w:r>
    </w:p>
    <w:p>
      <w:pPr>
        <w:spacing w:after="0" w:line="119"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Additionally, given the nature of the unique selection of secondhand items we offer on our marketplace, our ability to restore such secondhand items on our marketplace would take time and would result in a limitation and delay of available supply for buyers, which would negatively impact our revenue and results of operations. Further, natural disasters, such as earthquakes, hurricanes, tornadoes, fires,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distribution centers or the operations of one or more of our third-party providers or vendors. For example, in March 2020 due to the progression of COVID-19 in areas where we operate distribution centers and have corporate offices, we reduced operations at our distribution centers and temporarily closed our corporate offices to slow the spread of COVID-19 and protect our employees. Such reductions in operations and closures have slowed and may in the future slow or temporarily halt our operations and harm our business, results of operations and financial condition.</w:t>
      </w:r>
    </w:p>
    <w:p>
      <w:pPr>
        <w:spacing w:after="0" w:line="11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Further, while we carry insurance for the secondhand items in our distribution centers, the number of carriers which provide for such insurance has declined, which has resulted in increased premiums and deductibles. The insurance we do carry may not continue to be available on commercially reasonable terms and, in any event, may not be adequate to cover all possible losses that our business could suffer. In the event that we suffer a catastrophic loss of any or all of our distribution centers and the secondhand items in such facilities, our liabilities may exceed the maximum insurance coverage amount, which would harm our business and results of operations.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Shipping is a critical part of our business and any changes in our shipping arrangements or any interruptions in shipping could harm our business, results of operations and financial condition.</w:t>
      </w:r>
    </w:p>
    <w:p>
      <w:pPr>
        <w:spacing w:after="0" w:line="77"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We currently rely on major vendors for our shipping of purchases to buyers and the shipping of supplied secondhand items by sellers. If we are not able to negotiate acceptable pricing and other terms with these vendors or they experience performance problems or other difficulties, such as the increased volume of deliveries due to shelter-in-place orders associated with the COVID-19 pandemic, it could negatively impact our business and results of operations and negatively affect the experiences of our buyers and sellers, which could affect the degree to which they continue to buy and supply secondhand items on our marketplace. In addition, our ability to receive inbound secondhand items efficiently and ship secondhand items to buyers may be negatively affected by inclement weather, fire, flood, power loss, earthquakes, labor disputes, acts of war or terrorism, disruptions and/or delays due to business closures and shelter-in-place orders like those associated with the COVID-19 pandemic and similar factors. Disruption to delivery services due to inclement weather could result in delays that could adversely affect our reputation, business and results of operations. If our secondhand items are not delivered in a timely fashion or are damaged or lost during the supply or the delivery process, our buyers or sellers could become dissatisfied and cease using our marketplace, which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advertising activity and strategic RaaS partnerships may fail to efficiently drive growth in buyers and sellers, which could harm our business, results of operations and financial condition.</w:t>
      </w:r>
    </w:p>
    <w:p>
      <w:pPr>
        <w:spacing w:after="0" w:line="77"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Our future growth and potential profitability will depend in large part upon the effectiveness and efficiency of our advertising, promotion, public relations and marketing programs as well as our strategic RaaS partnerships, and we are investing heavily in these activities. Our advertising activities may not yield increased revenue and the efficacy of these activities will depend on a number of factors, including our ability to:</w:t>
      </w:r>
    </w:p>
    <w:p>
      <w:pPr>
        <w:spacing w:after="0" w:line="111" w:lineRule="exact"/>
        <w:rPr>
          <w:sz w:val="20"/>
          <w:szCs w:val="20"/>
          <w:color w:val="auto"/>
        </w:rPr>
      </w:pPr>
    </w:p>
    <w:p>
      <w:pPr>
        <w:ind w:left="600" w:hanging="302"/>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determine the effective creative message and media mix for advertising, marketing and promotional expenditures;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select the right markets, media and specific media vehicles in which to advertise;</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identify the most effective and efficient level of spending in each market, media and specific media vehicle;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effectively manage marketing costs, including creative and media expenses, to maintain acceptable buyer and seller acquisition costs.</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closely monitor the effectiveness of our advertising campaigns and changes in the advertising market, and adjust or re-allocate our advertising spend across channels, customer segments and geographic markets in real-time to optimize the effectiveness of these activities. We expect to increase advertising spend in future periods to continue driving our growth. 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results of operations.</w:t>
      </w:r>
    </w:p>
    <w:p>
      <w:pPr>
        <w:spacing w:after="0" w:line="122"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or result in increased revenue. Even if our marketing and advertising expenses result in increased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buyer and seller base could be adversely affected, our brand could suffer and our business, results of operations and financial condition could be harmed.</w:t>
      </w:r>
    </w:p>
    <w:p>
      <w:pPr>
        <w:spacing w:after="0" w:line="120"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We have invested and expect to continue to invest significant time and resources into our RaaS partnerships with national retail stores, premium women’s fashion brands, fashion-focused e-commerce sites and marketplaces for the buying and selling of secondhand items. We maintain a robust and varied set of RaaS partnership programs, including our RaaS offering, in-store pop-up shops and provision of our Clean Out Kits at our partners’ retail stores, our cash out marketplace partnerships, the resale of worn retail items provided to us by our RaaS partners and cross-listing our products on our RaaS partners’ websites. See the section titled “Business—The thredUP Product Experience—For RaaS Partners” for additional information about our RaaS partnerships. To grow our business and build out our marketplace, we anticipate that we will continue to depend on relationships with third parties. Identifying RaaS partners, and negotiating, documenting and maintaining relationships with them, requires significant time and resources. Further, our competitors may be effective in providing incentives to third parties to favor their offerings over our marketplace, mobile application or in-store offerings.</w:t>
      </w:r>
    </w:p>
    <w:p>
      <w:pPr>
        <w:spacing w:after="0" w:line="11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There is significant uncertainty around the future profitability of our RaaS partnerships and whether they will result in an increased number of new and repeat buyers, an increased number of new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repeat sellers selling high-quality secondhand items and increased awareness of our brand. The effectiveness of some of these RaaS partnerships has also been disrupted by the COVID-19 pandemic and associated shelter-in-place orders. Further, if the retail industry suffers in general, there may be fewer customers visiting our partners’ retail stores and buying secondhand items in our pop-up shops, our RaaS partners may discontinue our pop-ups in an effort to cut back newer partnerships and our kit distribution partnership for gift cards to our partners’ store could be less desirable. Additionally, our RaaS partners could go out of business or declare bankruptcy. If our RaaS partnerships are not profitable and do not result in us acquiring a high-quality supply of secondhand items from our partners and/or their customers, who become our sellers, and reaching additional buyers, our business, results of operations and financial condition could be harmed.</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rely on third parties to drive traffic to our website and mobile application, and these providers may change their algorithms or pricing in ways that could negatively impact our business, results of operations, financial condition and prospects.</w:t>
      </w:r>
    </w:p>
    <w:p>
      <w:pPr>
        <w:spacing w:after="0" w:line="77"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color w:val="auto"/>
        </w:rPr>
        <w:t>We rely in part on digital advertising, including search engine marketing and social media advertising, to promote awareness of our marketplace, grow our business, attract new buyers and sellers and retain existing buyers and sellers. In particular, we rely on search engines, such as Google, the major mobile application stores and social media platforms such as Facebook and Instagram as important marketing channels. In addition to purchasing traditional advertising space on search engines and social media platforms, we also partner with influencers on Instagram who promote their buying and selling of secondhand items through our marketplace to their followers. Search engine companies, social media platforms or mobile application stores that we advertise our marketplace through may determine that we are not in compliance with their guidelines and penalize us as a result. If search engines or social media platforms change their algorithms, terms of service, display or the featuring of search results, determine we are out of compliance with their terms of service or if competition increases for advertisements, we may be unable to cost-effectively add buyers and sellers to our website and mobile application.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Instagram influencer partners will be interested in buying and selling through our marketplace, or if our influencer partners will maintain their follower numbers throughout the time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succeed in promoting and maintaining our brand and reputation, which could harm our business and future growth.</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maintaining our brand and reputation is critical to driving buyer and seller engagement. An important goal of our brand promotion strategy is establishing trust with our buyers and sellers.</w:t>
      </w:r>
    </w:p>
    <w:p>
      <w:pPr>
        <w:spacing w:after="0" w:line="96"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For buyers, maintaining our brand and reputation requires that we foster trust through timely and reliable fulfillment of orders, responsive and effective customer service, a broad supply of desirable brands and secondhand items and an exciting and user-friendly interface on our marketplace, in our stores and through our partnerships. For sellers, maintaining our brand and reputation requires that we foster convenience with service that is convenient, consistent and timely. It also requires that we foster trust through consistent and transparent acceptance, payout and return processes and policies for secondhand items supplied to us, payouts that our sellers perceive to be adequate compensation for their items and responsive and effective customer service. If we fail to provide buyers or sellers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service and experience they expect, or we experience buyer or seller complaints or negative publicity about our marketplace services, merchandise, delivery times or customer support, whether justified or not, the value of our brand could be harmed, which could harm our business and future growth. For example, disruption to processing of Clean Out Kits and distribution caused by COVID-19 has led and could potentially lead to additional delays in our ability to process secondhand items sellers send in for resale, resulting in delays in sellers receiving payouts and less refreshing of our supply on our marketplace, and could harm our brand and reputation.</w:t>
      </w:r>
    </w:p>
    <w:p>
      <w:pPr>
        <w:spacing w:after="0" w:line="119"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Additionally, in October 2020, we launched our new brand campaign. Such rebranding may not be as successful as our current brand and may not achieve its intended results.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use data science to predict buyer and seller preferences, and if we do not accurately predict evolving preferences of our buyers and sellers it could harm our business, results of operations and financial condition.</w:t>
      </w:r>
    </w:p>
    <w:p>
      <w:pPr>
        <w:spacing w:after="0" w:line="77"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Our success is in large part dependent upon our ability to anticipate and identify trends in the market for secondhand items in a timely manner and to obtain a supply of secondhand items that addresses those trends by attracting and retaining sellers who send in high-quality secondhand items. We use data science to predict buyer and seller preferences, which we in turn use to ensure our buyers are looking at secondhand items that they are interested in purchasing on our marketplace. There can be no assurance that our data science will accurately anticipate buyer or seller preferences and, if our predictions are inaccurate, we will not be able to optimize our buyers’ and sellers’ experience on our marketplace. Lead times relating to these changing preferences may make it difficult for us to respond rapidly to new or changing trends. We have begun to expand our offerings beyond our core marketplace and to expand our RaaS partnership programs and the impact on our business from these new offerings and RaaS partnership programs is not clear as it is difficult to accurately predict buyer and seller preferences. To the extent we do not accurately predict the evolving preferences of our buyers and sellers, it could harm our business, results of operations and financial condition.</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Certain estimates of market opportunity and our buyer and seller metrics included in this prospectus may prove to be inaccurate, and any real or perceived inaccuracies may harm our reputation and negatively affect our business.</w:t>
      </w:r>
    </w:p>
    <w:p>
      <w:pPr>
        <w:spacing w:after="0" w:line="77"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This prospectus includes our internal estimates of the addressable market for thredUP and metrics related to our buyers and sellers. Market opportunity estimates, whether obtained from third-party sources or developed internally, are subject to significant uncertainty and are based on assumptions and estimates that may not prove to be accurate. The estimates and forecasts in this prospectus relating to the size of our target market, market demand, capacity to address this demand, and pricing may prove to be inaccurate. The addressable market we estimate may not materialize for many years, if ever, and even if the markets in which we compete meet the size estimates in this prospectus, our business could fail to grow at similar rates, if at all.</w:t>
      </w:r>
    </w:p>
    <w:p>
      <w:pPr>
        <w:spacing w:after="0" w:line="122"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Certain metrics presented in this prospectus, including the numbers of Active Buyers and Active Sellers, are based on internal company data, assumptions and estimates and we use these numbers in managing our business. We believe that these figures are reasonable estimates, and we take measures to improve their accuracy, such as eliminating known fictitious or duplicate accounts. There are, however, inherent challenges in gathering accurate data across large online and mobile populations. For example, there may be individuals who have multiple email accounts in violation of our terms of service, despite our efforts to detect and enforce our terms of service. If individuals have multiple unique email addresses that are undetected, then we could be overestimating the number of Active Buyers or Active Sellers. We regularly review and may adjust our processes for calculating these metrics to improve their accuracy.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investors or analysts do not perceive our metrics to be accurate representations of our business, or if we discover material inaccuracies in our metrics, our reputation, business, results of operations and financial condition would be harmed.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Greater than expected returns could have a negative impact on our revenue.</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allow buyers to return certain purchases from our website and mobile application under our return policy. We record a reserve for returns against proceeds to us from the resale of secondhand items on our marketplace in calculating revenue. We estimate this reserve based on historical return trends. The introduction of new products in the retail market, changes in consumer confidence or other competitive and general economic conditions may cause actual returns to exceed our reserve for returns. From time to time, the secondhand items sold through our marketplace are damaged in transit which can increase return rates, increase our costs and harm our brand. Returned items may also be damaged in transit as part of the return process, which can significantly impact the price we are able to charge for such items on our marketplace. Any significant increase in returns that exceeds our reserves could adversely affect our revenue and results of operations.</w:t>
      </w:r>
    </w:p>
    <w:p>
      <w:pPr>
        <w:spacing w:after="0" w:line="123"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As an online secondhand marketplace, our success depends on the accuracy of our item acceptance process. Failure by us to identify counterfeit or stolen retail items could adversely affect our reputation and expose us to liability for the resale of counterfeit or stolen items.</w:t>
      </w:r>
    </w:p>
    <w:p>
      <w:pPr>
        <w:spacing w:after="0" w:line="54"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Our success depends on our ability to accurately and cost-effectively determine whether a secondhand item offered for resale is an authentic product. From time to time we receive counterfeit secondhand items through our sellers. While we have invested in our authentication processes and we reject any retail items we believe to be counterfeit, we cannot be certain that we will identify every counterfeit item that is supplied to us. As the sophistication of counterfeiters increases, it may be increasingly difficult to identify counterfeit products. We refund the cost of an item to a buyer if the buyer questions its authenticity and returns the item. The resale of any counterfeit items may damage our reputation as a trusted marketplace for secondhand items, which may impact our ability to attract and maintain repeat buyers and sellers. We may also be subject to allegations that an item we sold is not authentic despite our efforts to inspect such item. Such controversy could negatively impact our reputation and brand and harm our business and results of operations.</w:t>
      </w:r>
    </w:p>
    <w:p>
      <w:pPr>
        <w:spacing w:after="0" w:line="120"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Additionally, we may fail to prevent sellers from supplying stolen items. Government regulators and law enforcement officials may allege that our services violate, or aid and abet violations of certain laws, including laws restricting or prohibiting the transferability and, by extension, the resale, of stolen items. Our form of seller terms includes a representation that the seller has the necessary right and title to the secondhand items they may resell. Our terms of use prohibit the listing of stolen or otherwise illegal products. If these terms prove inadequate, we may be required to spend substantial resources to take additional protective measures which could negatively impact our operations. Any costs incurred as a result of potential liability relating to the alleged or actual resale of stolen items could harm our business. In addition, negative publicity relating to the actual or perceived listing or resale of stolen items using our services could damage our reputation and make our buyers and sellers reluctant to use our services. To the extent any of this occurs, it could harm our business or damage our reputation and we could face liability for such unlawful activities. Despite measures taken by us to detect stolen items, to cooperate fully with law enforcement, and to respond to inquiries regarding potentially stolen items, any resulting claims or liabilities could harm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Information Technology, Intellectual Property, Data Security and Privacy</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Compromises of our data security could cause us to incur unexpected expenses and may materially harm our reputation and results of operations.</w:t>
      </w:r>
    </w:p>
    <w:p>
      <w:pPr>
        <w:spacing w:after="0" w:line="77"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the ordinary course of our business, we collect, process and store certain personal information and other data relating to individuals, such as our buyers, sellers and employees. We also maintain other information, such as our trade secrets and confidential business information and certain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information of third parties, that is sensitive and that we seek to protect. We rely substantially on commercially available systems, software, tools and monitoring to provide security for our processing, transmission and storage of personal information and other confidential information. We or our vendors could be the subject of hacking, social engineering, phishing attacks or other attacks. Due to these or other causes, we or our vendors may suffer a data breach or other security incident, which may allow hackers or other unauthorized parties to gain access to personal information or other data, including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costs associated with the detection and prevention of security breaches and other security-related incidents. We may incur additional costs in the event of a security breach or other security-related incident.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harm the perception of our security measures, damage our reputation, cause some participants to decrease or stop their use of our marketplace and subject us to litigation, government action, increased transaction fees, regulatory fines or penalties or other additional costs and liabilities that could adversely affect our business, results of operations and financial condition.</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cannot be certain that our insurance coverage will be adequate for data handling or data security liabilities,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harm our business, results of operations, financial condition and reputation.</w:t>
      </w:r>
    </w:p>
    <w:p>
      <w:pPr>
        <w:spacing w:after="0" w:line="119" w:lineRule="exact"/>
        <w:rPr>
          <w:sz w:val="20"/>
          <w:szCs w:val="20"/>
          <w:color w:val="auto"/>
        </w:rPr>
      </w:pPr>
    </w:p>
    <w:p>
      <w:pPr>
        <w:jc w:val="both"/>
        <w:ind w:firstLine="299"/>
        <w:spacing w:after="0" w:line="276" w:lineRule="auto"/>
        <w:rPr>
          <w:sz w:val="20"/>
          <w:szCs w:val="20"/>
          <w:color w:val="auto"/>
        </w:rPr>
      </w:pPr>
      <w:r>
        <w:rPr>
          <w:rFonts w:ascii="Arial" w:cs="Arial" w:eastAsia="Arial" w:hAnsi="Arial"/>
          <w:sz w:val="16"/>
          <w:szCs w:val="16"/>
          <w:color w:val="auto"/>
        </w:rPr>
        <w:t>In addition, the changes in our work environment as a result of the COVID-19 pandemic could impact the security of our systems, as well as our ability to protect against attacks and detect and respond to them quickly. Any rapid adoption by us of third-party services designed to enable the transition to a remote workforce also may introduce security risk that is not fully mitigated prior to the use of these services. We may also be subject to increased cyber-attacks, such as phishing attacks by threat actors using the attention placed on the COVID-19 pandemic as a method for targeting our personnel.</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use and other processing of personal information and other data is subject to laws and regulations relating to privacy and data protection. Changes in such laws or regulations, or any actual or perceived failure by us to comply with such laws and regulations, our privacy policies and/or contractual obligations, could adversely affect our business, results of operations and financial condition.</w:t>
      </w:r>
    </w:p>
    <w:p>
      <w:pPr>
        <w:spacing w:after="0" w:line="9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collect, maintain and otherwise process significant amounts of personal information and other data relating to our buyers, sellers and employees. Numerous state, federal and international laws, rules and regulations govern the collection, use and protection of personal information and other types of data we collect, use, disclose and otherwise process. Such privacy requirements are constantly evolving, and we expect that there will continue to be new proposed privacy requirements in the United States and other jurisdictions, or changes in the interpretation of existing privacy requirements. For example, the California Consumer Privacy Act, or CCPA, took effect on January 1, 2020 and broadly defines personal information, imposes stringent consumer data protection requirements, gives California residents expanded privacy rights, provides for civil penalties for violations and introduces a private right of action for data breaches. Additionally, on November 3, 2020, Proposition 24 was approved in California which creates a new privacy law, the California Privacy Rights Act, or CPRA. The CPRA creates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obligations relating to personal information that will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w:t>
      </w:r>
    </w:p>
    <w:p>
      <w:pPr>
        <w:spacing w:after="0" w:line="11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Future privacy requirements, or changes in the interpretation of existing privacy requirements, may require companies to implement privacy and security policies, provide certain types of notices, grant certain rights to individuals, inform individuals of security breaches, and, in some cases, obtain individuals’ consent to use personal data for certain purposes. These privacy requirements may be inconsistent from one jurisdiction to another, subject to differing interpretations and may be interpreted to conflict with our practices. We cannot yet fully determine the impact that such future privacy requirements may have on our business or operations. Additionally, we are subject to the terms of our privacy policies and notices and may be bound by contractual requirements applicable to our collection, use, processing and disclosure of personal information, and may be bound by or alleged to be subject to, or voluntarily comply with, self-regulatory or other industry standards relating to these matters.</w:t>
      </w:r>
    </w:p>
    <w:p>
      <w:pPr>
        <w:spacing w:after="0" w:line="12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Any failure or perceived failure by us or any third parties with which we do business to comply with these privacy requirements, with our posted privacy policies or with other privacy-related obligations to which we or such third parties are or may become subject,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statutory damages between $100 and $750 per consumer. Any such action would be expensive to defend, likely would damage our reputation and market position, could result in substantial liability and could adversely affect our business and results of operations.</w:t>
      </w:r>
    </w:p>
    <w:p>
      <w:pPr>
        <w:spacing w:after="0" w:line="122"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Further, in view of new or modified privacy requirements,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 or at all, and our ability to develop new features could be limited. Privacy, data protection and information security concerns, whether valid or not valid, may inhibit the use and growth of our marketplace, particularly in certain foreign countries. Additionally, public scrutiny of or complaints about technology companies or their data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Interruptions or delays in the services provided by third-party data centers, Internet service providers or our payment processors could prevent existing and potential buyers and sellers from accessing our marketplace, and our business could suffer.</w:t>
      </w:r>
    </w:p>
    <w:p>
      <w:pPr>
        <w:spacing w:after="0" w:line="7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Our reputation and ability to attract and retain buyers and sellers depends in part on the reliable performance of our network infrastructure and content delivery process.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marketplace and prevent or inhibit the ability of buyers to access our marketplace or complete purchases on our marketplace through our website or mobile application.</w:t>
      </w:r>
    </w:p>
    <w:p>
      <w:pPr>
        <w:spacing w:after="0" w:line="11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currently host our marketplace and support our operations using Amazon Web Services, or AWS, data centers, a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service providers transmit. Furthermore, we have no physical access or control over the services provided by AWS. Although we have disaster recovery plans that utilize multiple AWS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user content, or prevent us from being able to continuously back up or record changes in our users’ content. In the event of significant physical damage to one of these data centers, it may take a significant period of time to achieve full resumption of our marketplace, and our disaster recovery planning may not account for all eventualities. Further, a prolonged AWS service disruption affecting our marketplace could damage our reputation with current buyers and sellers, expose us to liability, make it difficult to attract and retain new and existing buyers and sellers, or otherwise harm our business. In particular, volume of traffic and activity on our marketplace spikes on certain days and during certain periods of the year, such as during a holiday promotion. Any interruption to the availability of our marketplace would be particularly problematic if it were to occur at such a high-volume time. In addition, we use multiple third-party payment processors to process payments made by buyers or to sellers on our marketplace. Any disruption or failure in the services we receive from our third-party payment processors could prevent us from being able to effectively operate our marketplace and likewise could harm our business, results of operations and financial condition.</w:t>
      </w:r>
    </w:p>
    <w:p>
      <w:pPr>
        <w:spacing w:after="0" w:line="122"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If AWS or our third-party payment processors terminate their relationships with us or refuse to renew their agreements with us on commercially reasonable terms, we would need to find alternative data centers, Internet service providers and third-party payment processors and may not be able to secure similar terms or replace such payment processors in an acceptable timeframe. Further, the services provided by such alternate providers may not meet our expectations, contain errors or vulnerabilities, be compromised or experience outages. In particular, should we or AWS decide to terminate our contract for cloud infrastructure services for any reason, transitioning our cloud infrastructure to an alternative provider could potentially be disruptive, and we may incur significant costs for a short period of time. Any of these risks could cause us to lose our ability to accept online payments, make payments to sellers or conduct other payment transactions, any of which could make our marketplace less convenient and attractive and adversely affect our ability to attract and retain buyers and sellers, which could harm our business, results of operations and financial condition.</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Activity on mobile devices by buyers and sellers depends upon effective use of mobile operating systems, networks and standards that we do not control.</w:t>
      </w:r>
    </w:p>
    <w:p>
      <w:pPr>
        <w:spacing w:after="0" w:line="77"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Purchases using mobile devices by buyers and sellers generally, and by our buyers and sellers specifically, have increased significantly, and we expect this trend to continue. To optimize the mobile shopping experience, we are dependent on our buyers and sellers downloading our specific mobile applications for their particular device or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creation, support and maintenance of such applications. In addition, our future growth and our results of operations could suffer if we experience difficulties in the future in integrating our mobile applications into mobile devices, if problems arise with our relationships with providers of mobile operating systems or mobile application download stores, such as those of Apple or Google, if our applications receive unfavorable treatment compared to competing applications, such as the order of our mobile application in the Apple App Store or Google Play, if we face increased costs to distribute or have buyers and sellers use our mobile applications or if our mobile application is no longer available with certain providers of mobile operating systems or mobile application download stores. We are further dependent on the interoperability of our sites with popular mobile operating systems that we do not control, such as iOS and Android, and any changes in such systems that degrade the functionality of our sites or give preferential treatment to competitors could adversely affect the usage of our sites on mobile devices. In the event that it is more difficult for our buyers and sellers to access and use our sites on mobile devices, or if our buyers and sellers choose not to access or to use our sites on their 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devices or to use mobile products that do not offer access to our sites, this could harm our business,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accused of infringing intellectual property or other proprietary rights of third parties.</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We have been in the past and may be accused in the future of infringing intellectual property or other proprietary rights of third parties. We are also at risk of claims by others that we have infringed their copyrights, trademarks or patents, or improperly used or disclosed their trade secrets, or otherwise infringed or violated their proprietary rights, such as the right of publicity. For example, although we require our employees to not use the proprietary information or know-how of others in their work for us, we may become subject to claims that these employees have divulged, or we have used, proprietary information of these employees’ former employers. The costs of supporting any litigation or disputes related to these claims can be considerable, and we cannot assure you that we will achieve a favorable outcome of any such claim. If any such claim is valid, we may be compelled to cease our use of such intellectual property or other proprietary rights and pay damages, which could adversely affect our business. In addition, if such claims are valid, we may lose valuable intellectual property rights or personnel, which could harm our business. Even if such claims were not valid, defending them could be expensive and distracting, adversely affecting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successfully protect our intellectual property, our business could suffer.</w:t>
      </w:r>
    </w:p>
    <w:p>
      <w:pPr>
        <w:spacing w:after="0" w:line="153"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We rely on a combination of intellectual property rights, contractual protections and other practices to protect our brand, proprietary information, technologies and processes. We primarily rely on patent, copyright and trade secret laws to protect our proprietary technologies and processes, including the automated operations systems and machine learning technology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Our principal trademark assets include the registered trademarks “THREDUP” and “Think Secondhand First” and our logos and taglines. Our trademarks are valuable assets that support our brand and buyers’ perception of our services and merchandise. We have registered trademarks in Australia, Canada, the European Union, Japan, South Korea, Mexico, the United Kingdom and the United States. We also hold the rights to the “thredup.com” Internet domain name and various related domain names, which are subject to Internet regulatory bodies and trademark and other related laws of each applicable jurisdiction. If we are unable to protect our trademarks or domain names, our brand recognition and reputation would suffer, we would incur significant expense establishing new brands and our results of operations would be adversely impacted. Further, to the extent we pursue additional patent protection for our innovations, patents we may apply for may not issue, and patents that do issue or that we acquire may not provide us with any competitive advantages or may be challenged by third parties. There can be no assurance that any patents we obtain will adequately protect our inventions or survive a legal challenge, as the legal standards relating to the validity, enforceability and scope of protection of patent and other intellectual property rights are uncertain. We may be required to spend significant resources to monitor and protect our intellectual property rights, and the efforts we take to protect our proprietary rights may not be sufficient.</w:t>
      </w:r>
    </w:p>
    <w:p>
      <w:pPr>
        <w:spacing w:after="0" w:line="111"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We rely in part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relationships, partnerships and business alliances,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automation technologies or technologies related to our marketplace.</w:t>
      </w:r>
    </w:p>
    <w:p>
      <w:pPr>
        <w:spacing w:after="0" w:line="102"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business,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harm our ability to compete.</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use open source software in our marketplace, which could negatively affect our ability to operate our business and subject us to litigation or other actions.</w:t>
      </w:r>
    </w:p>
    <w:p>
      <w:pPr>
        <w:spacing w:after="0" w:line="77"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We use open source software to facilitate the development and operation of our marketplace, including our website and mobile application, and may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 terms of many open source licenses have not been interpreted by U.S. courts, and there is a risk that these licenses could be construed in a way that could impose unanticipated conditions or restrictions on our ability to operate our marketplace. As a result, we could be subject to lawsuits by parties claiming ownership of what we believe to be open source software, or breach of open source licenses. Litigation could be costly for us to defend, have a negative effect on our results of operations and financial condition, or require us to devote additional research and development resources to change our marketplace. In addition, if we were to combine our proprietary source code or software with open source software in a certain manner, we could, under certain of the open source licenses, be required to release the source code of our proprietary software to the public. This would allow our competitors to create similar offerings with less development effort and time. If we inappropriately use open source software, or if the license terms for open source software that we use change, we may be required to re-engineer our marketplace, or certain aspects of our marketplace, incur additional costs, or take other remedial actions.</w:t>
      </w:r>
    </w:p>
    <w:p>
      <w:pPr>
        <w:spacing w:after="0" w:line="124"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rely on software and services from other parties. Defects in or the loss of access to software or services from third parties could increase our costs and adversely affect the quality of our products.</w:t>
      </w:r>
    </w:p>
    <w:p>
      <w:pPr>
        <w:spacing w:after="0" w:line="77"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rely on technologies from third parties to operate critical functions of our business, including cloud infrastructure services, payment processing services, certain aspects of distribution center automation and customer relationship management services. We also use Google services for our business emails, file storage and communications. Our business would be disrupted if any of the third-party software or services we utilize, or functional equivalents thereof, were unavailable due to extended outages or interruptions or because they are no longer available on commercially reasonable terms or prices. In each case, we would be required to either seek licenses to software or services from other parties and redesign our business and marketplace to function with such software or services or develop these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ourselves, which would result in increased costs and could result in delays in the launch of new offerings on our marketplace until equivalent technology can be identified, licensed or developed, and integrated into our business and marketplace. Furthermore, we might be forced to limit the features available in our current or future products. These delays and feature limitations, if they occur, could harm our business, results of operations and financial condition.</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success depends, in part, on the integrity and scalability of our systems and infrastructures as well as our ability to integrate with our partners. System interruption and the lack of integration, redundancy and scalability in these systems and infrastructures may harm our business, results of operations and financial condition.</w:t>
      </w:r>
    </w:p>
    <w:p>
      <w:pPr>
        <w:spacing w:after="0" w:line="97" w:lineRule="exact"/>
        <w:rPr>
          <w:sz w:val="20"/>
          <w:szCs w:val="20"/>
          <w:color w:val="auto"/>
        </w:rPr>
      </w:pPr>
    </w:p>
    <w:p>
      <w:pPr>
        <w:jc w:val="both"/>
        <w:ind w:firstLine="299"/>
        <w:spacing w:after="0" w:line="262"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 including our website and mobile app, information and related systems. Further, to maintain our strategic relationships with our partners, our systems and infrastructure must be seamlessly integrated and interoperable with our partners’ systems, including those of our RaaS partners, which may cause us to incur significant upfront and maintenance costs as some of our RaaS partnerships may involve development of a variety of technologies, data formats, applications, systems and infrastructure. System interruption and a lack of integration and redundancy in our information systems and infrastructure may adversely affect our ability to operate our website or mobile app, process and fulfill transactions, maintain coordination between our website and those of certain of our RaaS partners, respond to customer inquiries and generally maintain cost-efficient operations. As our business has grown in size and complexity, the growth has placed, and will continue to place, significant demands on our information systems and infrastructure. To effectively manage this growth, we expect to commit significant financial resources and personnel to maintain and enhance existing systems and develop or acquire new systems to keep pace with continuing changes in our business and information processing technology as well as evolving industry, regulatory and accounting standards. If the information we rely upon to run our businesses is determined to be inaccurate or unreliable, or if we fail to properly maintain or enhance our internal information systems and infrastructure, we could experience operational disruptions, customer disputes, significant deficiencies or material weaknesses in our internal controls, incur increased operating and administrative expenses, lose our ability to produce timely and accurate financial reports or suffer other adverse consequences which could harm our results of operations. We also rely on third-party computer systems, broadband and other communications systems and service providers in connection with providing access to our marketplace generally. Any interruptions, outages or delays in our systems and infrastructure, our business and/or third parties or deterioration in the performance of these systems and infrastructure, could impair our ability to provide access to our marketplace. Fire, flood, power loss, telecommunications failure, hurricanes, tornadoes, earthquakes, other natural disasters, acts of war or terrorism and similar events or disruptions may damage or interrupt computer, broadband or other communications systems and infrastructure at any time. Any of these events could cause system interruption, delays and loss of critical data, and could prevent us from providing access to our marketplace. While we have backup systems for certain aspects of our operations, disaster recovery planning by its nature cannot be sufficient for all eventualities. In addition, we may not have adequate insurance coverage to compensate for losses from a major interruption. If any of these events were to occur, it could harm our business, results of operations and financial condition.</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Legal, Regulatory, Accounting and Tax Matters</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77"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connection with the audits of our 2018, 2019 and 2020 consolidated financial statements, we and our independent registered public accounting firm identified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will not be prevented or detected on a timely basis. Our material weakness related to the following control deficiencies:</w:t>
      </w:r>
    </w:p>
    <w:p>
      <w:pPr>
        <w:spacing w:after="0" w:line="153" w:lineRule="exact"/>
        <w:rPr>
          <w:sz w:val="20"/>
          <w:szCs w:val="20"/>
          <w:color w:val="auto"/>
        </w:rPr>
      </w:pPr>
    </w:p>
    <w:p>
      <w:pPr>
        <w:jc w:val="both"/>
        <w:ind w:left="600" w:hanging="302"/>
        <w:spacing w:after="0" w:line="255" w:lineRule="auto"/>
        <w:tabs>
          <w:tab w:leader="none" w:pos="5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14" w:lineRule="exact"/>
        <w:rPr>
          <w:rFonts w:ascii="Arial" w:cs="Arial" w:eastAsia="Arial" w:hAnsi="Arial"/>
          <w:sz w:val="17"/>
          <w:szCs w:val="17"/>
          <w:color w:val="auto"/>
        </w:rPr>
      </w:pPr>
    </w:p>
    <w:p>
      <w:pPr>
        <w:jc w:val="both"/>
        <w:ind w:left="600" w:hanging="302"/>
        <w:spacing w:after="0" w:line="255" w:lineRule="auto"/>
        <w:tabs>
          <w:tab w:leader="none" w:pos="5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1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deficiencies described above, if not remediated, could result in a misstatement of one or more account balances or disclosures in our annual or interim consolidated financial statements that would not be prevented or detected, and, accordingly, we determined that these control deficiencies constitute a material weakness.</w:t>
      </w:r>
    </w:p>
    <w:p>
      <w:pPr>
        <w:spacing w:after="0" w:line="111"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To address our material weakness, we have added accounting, finance and information technology personnel and implemented new financial accounting processes. We intend to continue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have been operating effectively for a sufficient period of time. The redesign and implementation of improvements to our accounting and proprietary systems and controls may be costly and time consuming and the cost to remediate may impair our results of operations in the future.</w:t>
      </w:r>
    </w:p>
    <w:p>
      <w:pPr>
        <w:spacing w:after="0" w:line="107"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If we fail to remediate our material weakness, identify future material weaknesses in our internal control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Failure to comply with applicable laws or regulations, including those relating to the resale of secondhand items, or changes to such laws, rules or regulations may subject us to fines, penalties, registration and approval or other governmental enforcement action.</w:t>
      </w:r>
    </w:p>
    <w:p>
      <w:pPr>
        <w:spacing w:after="0" w:line="7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Our business and financial condition could be adversely affected by unfavorable changes in or interpretations of existing laws, rules and regulations or the promulgation of new laws, rules and regulations applicable to us and our business, including those relating to the internet and e-commerce, such as geo-blocking and other geographically based restrictions, internet advertising and price display, consumer protection, anti-corruption, antitrust and competition, economic and trade sanctions, tax, banking, data security, network and information systems security, data protection, privacy and escheatment. As a result, regulatory authorities could prevent or temporarily suspend us from conducting some or all of our activities or otherwise penalize us if our practices were found not to comply with applicable regulatory or licensing requirements or any binding interpretation of such requirements. Unfavorable changes or interpretations could decrease demand for our marketplace, limit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methods and capabilities, affect our growth, increase costs or subject us to additional liabilities. In addition, if we were to expand internationally, we would be subject to additional regulation.</w:t>
      </w:r>
    </w:p>
    <w:p>
      <w:pPr>
        <w:spacing w:after="0" w:line="96"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For example, there are, and will likely continue to be, an increasing number of laws and regulations pertaining to the internet and e-commerce. Regulations and laws specifically governing the internet and e-commerce may involve taxes, privacy, data protection and data security, consumer protection, the ability to collect and/or share necessary information that allows us to conduct business on the internet, marketing communications and advertising, content protection, electronic contracts or gift cards. Such regulations and laws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California’s Automatic Renewal Law, for example, requires companies to adhere to enhanced disclosure requirements when entering into automatically renewing contracts with buyers and sellers. As a result, a wave of consumer class action lawsuits was brought against companies that offer online products and services on a subscription or recurring basis. Furthermore, the growth and development of e-commerce may prompt calls for more stringent consumer protection laws and more aggressive enforcement efforts, which may impose additional burdens on online businesses generally.</w:t>
      </w:r>
    </w:p>
    <w:p>
      <w:pPr>
        <w:spacing w:after="0" w:line="109"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The resale of secondhand items through our marketplace is subject to regulation, including by regulatory bodies such as the U.S. Consumer Product Safety Commission, the Federal Trade Commission, the U.S. Fish and Wildlife Service and other international, federal, state and local governments and regulatory authorities. These laws and regulations are complex, vary from state to state and change often. We monitor these laws and regulations and adjust our business practices as warranted to comply. We receive our supply of secondhand items from numerous sellers located in all 50 U.S. states, and the items we receive from our sellers may contain materials such as fur, snakeskin and other exotic animal product components, that are subject to regulation. Our standard seller terms and conditions require sellers to comply with applicable laws when sending us their secondhand items. Failure of our sellers to comply with applicable laws, regulations and contractual requirements could lead to litigation or other claims against us, resulting in increased legal expenses and costs. In addition, while all of our vendor agreements contain a standard indemnification provision, certain vendors may not have sufficient resources or insurance to satisfy their indemnity and defense obligations which may harm our business. Moreover, failure by us to effectively monitor the application of these laws and regulations to our business, and to comply with such laws and regulations, may negatively affect our brand and subject us to penalties and fines.</w:t>
      </w:r>
    </w:p>
    <w:p>
      <w:pPr>
        <w:spacing w:after="0" w:line="12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Numerous U.S. states and municipalities, including the States of California and New York, have regulations regarding the handling of secondhand items and licensing requirements of secondhand dealers. Such government regulations could require us to change the way we conduct business, such as prohibiting or otherwise restricting the sale or shipment of certain items in some locations. These regulations could result in increased costs or reduced revenue. We could also be subject to fines or other penalties that could harm our business.</w:t>
      </w:r>
    </w:p>
    <w:p>
      <w:pPr>
        <w:spacing w:after="0" w:line="115"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Additionally, supplied secondhand items could be subject to recalls and other remedial actions and product safety, labeling and licensing concerns may require us to voluntarily remove selected secondhand items from our marketplace. Such recalls or voluntary removal of items can result in, among other things, lost sales, diverted resources, potential harm to our reputation and increased customer service costs and legal expenses, which could have an adverse effect on our results of operations. Some of the secondhand items sold through our marketplace may expose us to product liability claims and litigation or regulatory action relating to personal injury, environmental or property damage. We cannot be certain that our insurance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7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buyers’ and sellers’ credit and debit card information is transmitted to our third-party payment processors, and we may in the future become subject to lawsuits or other proceedings for purportedly fraudulent transactions arising out of the actual or alleged theft of our buyers’ and sellers’ credit or debit card information if the security of our third-party credit card payment processors are breached.</w:t>
      </w:r>
    </w:p>
    <w:p>
      <w:pPr>
        <w:spacing w:after="0" w:line="11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111"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7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antitrust, alleged securities law violations or other investor claims, claims that our employees have wrongfully disclosed or we have wrongfully used proprietary information of our employees’ former employers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23"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Our directors and executive officers may also be subject to litigation. The limitation of liability and indemnification provisions that are expected to be included in our amended and restated certificate of incorporation, our amended and restated bylaws and indemnification agreements that we enter into with our directors and executive officers will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Prior to the completion of this offering,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 See the section titled “Certain Relationships and Related Party Transactions—Limitation of Liability and Indemnification of Officers and Directors.”</w:t>
      </w:r>
    </w:p>
    <w:p>
      <w:pPr>
        <w:spacing w:after="0" w:line="107"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As litigation is inherently unpredictable, we cannot assure you that any potential claims or disputes will not harm our business, results of operations and financial condition.</w:t>
      </w:r>
    </w:p>
    <w:p>
      <w:pPr>
        <w:spacing w:after="0" w:line="9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7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are subject to anti-corruption and anti-bribery and similar laws, such as the U.S. Foreign Corrupt Practices Act of 1977, as amended, or the FCPA, the U.S. domestic bribery statute contained in 18 U.S.C. § 201, the U.S. Travel Act, the USA PATRIOT Act, and will become subject to similar anti-corruption and anti-bribery laws to the extent we expand our operations internationally. Anti-corruption and anti-bribery laws have been enforced aggressively in recent years and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If we further expand our business internationally beyond our minimal sales into Canada, our risks under these laws would increase.</w:t>
      </w:r>
    </w:p>
    <w:p>
      <w:pPr>
        <w:spacing w:after="0" w:line="12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In addition, in the future we may use third parties to operate our marketplace or otherwise conduct business on our behalf, abroad. We or such future third parties may have direct or indirect interactions with officials and employees of government agencies or state-owned or affiliated entities, and we can be held liable for the corrupt or other illegal activities of such future third parties, and our employees, business partners, representatives, and agents, even if we do not explicitly authorize such activities. We cannot assure you that all our employees, business partners, representatives, and agents, as well as those companies to which we outsource certain of our business operations, will not take actions in violation of our policies and applicable law, for which we may be ultimately held responsible.</w:t>
      </w:r>
    </w:p>
    <w:p>
      <w:pPr>
        <w:spacing w:after="0" w:line="122"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Any violation of the FCPA or other applicable anti-corruption laws and anti-bribery laws could result in whistleblower complaints, adverse media coverage, investigations, loss of export privileges, severe criminal or civil sanctions, suspension or disbarment from U.S. government contracts, substantial diversion of management’s attention, significant legal fees and fines, severe criminal or civil sanctions against us, our officers or our employees, disgorgement of profits, and other sanctions and remedial measures, and prohibitions on the conduct of our business, any of which could harm our reputation, business, results of operations, financial condition and prospects and the price of our Class A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Labor-related matters, including labor disputes, may adversely affect our operations.</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harm our business, results of operations and financial condition.</w:t>
      </w:r>
    </w:p>
    <w:p>
      <w:pPr>
        <w:spacing w:after="0" w:line="11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addition, we have in the past and could face in the future a variety of employee claims against us, including but not limited to general discrimination, privacy, wage and hour, labor and employment, Employee Retirement Income Security Act, or ERISA, and disability claims. Any claims could also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litigation against us or regulatory proceedings being brought against us by various federal and state agencies that regulate our business, including the U.S. Equal Employment Opportunity Commission. Often these cases raise complex factual and legal issues and create risks and uncertainties.</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January 2021, we filed an Illinois Worker Adjustment and Retraining Notification Act notice related to our plan to close our Illinois distribution center (DC03) and reduce our workforce. This plan to close DC03 could give rise to additional employment law-related claims and litigation, which could harm our business, results of operations and financial condition.</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77"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and remediate a material weakness in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in “—Material weaknesses in our internal control over financial reporting may cause us to fail to timely and accurately report our financial results or result in a material misstatement of our consolidated financial statements.”</w:t>
      </w:r>
    </w:p>
    <w:p>
      <w:pPr>
        <w:spacing w:after="0" w:line="117"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additional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or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existing financial accounting standards or practices may harm our results of operations.</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GAAP is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could be required to pay or collect sales taxes in jurisdictions in which we do not currently do so, with respect to past or future sales. This could adversely affect our business and results of operations.</w:t>
      </w:r>
    </w:p>
    <w:p>
      <w:pPr>
        <w:spacing w:after="0" w:line="7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In 2018, the Supreme Court of the United States ruled in South Dakota v. Wayfair, Inc. et al, or Wayfair, that online sellers can be required to collect sales tax despite not having a physical presence in the state of the customer. In response to Wayfair, many state and local government taxing authorities have adopted, or begun to enforce, laws requiring us to calculate, collect and remit taxes on sales in their jurisdictions. While we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and local taxing authorities of sales tax collection obligations on out-of-state e-commerce businesses could also create additional administrative burdens for us, put us at a competitive disadvantage if they do not impose similar obligations on our competitors and decrease our future sales, which could have an adverse impact on our business and results of operations.</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or adverse application of existing tax laws could increase our costs and harm our business.</w:t>
      </w:r>
    </w:p>
    <w:p>
      <w:pPr>
        <w:spacing w:after="0" w:line="77"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Those enactments could harm our business operations, and our business, results of operations and financial condition. Further, application of income and tax laws is subject to interpretation and existing tax laws, statutes, rules, regulations or ordinances could be interpreted, changed, modified or applied adversely to us.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These events could require us to pay additional tax amounts on a prospective or retroactive basis, as well as require us to pay fines and/or penalties and interest for past amounts deemed to be due. If we raise our prices to offset the costs of these changes, existing and potential buyers and sellers may elect not to use our marketplace in the future. Additionally, new, changed, modified or newly interpreted or applied tax laws could increase our compliance, operating and other costs. Further, these events could decrease the capital we have available to operate our business. Any or all of these events could harm our business, results of operations and financial condition.</w:t>
      </w:r>
    </w:p>
    <w:p>
      <w:pPr>
        <w:spacing w:after="0" w:line="120"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amount of taxes we pay could increase substantially as a result of changes in the applicable tax principles, including increased tax rates, new tax laws or revised interpretations of existing tax laws and precedents, which could harm our liquidity and results of operations. In addition, tax authorities could review our tax returns and impose additional tax, interest and penalties and could claim that various withholding requirements apply to us or our subsidiaries or assert that benefits of tax treaties are not available to us or our subsidiaries. Taxing authorities have become more aggressive in their interpretation and enforcement of such laws, rules and regulations over time, as governments are increasingly focused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ways to increase revenue, which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153"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We have incurred substantial net operating losses, or NOLs, during our history. Subject to the limitations described below, unused NOLs generally may carry forward to offset future taxable income if we achieve profitability in the future, unless such NOLs expire under applicable tax laws. However, under the rules of Sections 382 of the Internal Revenue Code of 1986, as amended, or the Code, if a corporation undergoes an “ownership change,” generally defined as a greater than 50% change (by value) in its equity ownership over a three-year period, the corporation’s ability to use its NOLs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To date, we have not undertaken an analysis of whether we have experienced a change of control that would limit our ability to use our NOLs. As a result of these rules, in the event that it is determined that we have experienced an ownership change in the past, or if we experience one or more ownership changes as a result of this offering or future transactions in our stock, then we may be limited in our ability to use our NOL carryforwards to offset our future taxable income, if any. In addition, under the Tax Cuts and Jobs Act, or the Tax Act, as modified by the Coronavirus Aid, Relief, and Economic Security Act, the amount of post 2017 net operating losses that we are permitted to deduct in any taxable year is limited to 80% of our taxable income in such year for taxable years beginning after December 31, 2020, where taxable income is determined without regard to the net operating loss deduction itself, and such NOLs may be carried forward indefinitely. Further, NOLs arising in taxable years beginning after December 31, 2020 cannot be carried back. Our NOLs may also be subject to limitations under state law. For example, California recently enacted legislation suspending the use of NOLs for taxable years 2020, 2021 and 2022 for many taxpayers. For these reasons, we may not be able to realize a tax benefit from the use of our net operating losses, whether or not we attain profitability.</w:t>
      </w:r>
    </w:p>
    <w:p>
      <w:pPr>
        <w:spacing w:after="0" w:line="10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77"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96" w:lineRule="exact"/>
        <w:rPr>
          <w:sz w:val="20"/>
          <w:szCs w:val="20"/>
          <w:color w:val="auto"/>
        </w:rPr>
      </w:pPr>
    </w:p>
    <w:p>
      <w:pPr>
        <w:ind w:left="600" w:hanging="302"/>
        <w:spacing w:after="0" w:line="277" w:lineRule="auto"/>
        <w:tabs>
          <w:tab w:leader="none" w:pos="596"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 being required to have our independent registered public accounting firm audit our internal control over financial reporting under Section 404 of the Sarbanes-Oxley Act;</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96" w:lineRule="exact"/>
        <w:rPr>
          <w:sz w:val="20"/>
          <w:szCs w:val="20"/>
          <w:color w:val="auto"/>
        </w:rPr>
      </w:pPr>
    </w:p>
    <w:p>
      <w:pPr>
        <w:ind w:firstLine="299"/>
        <w:spacing w:after="0" w:line="277" w:lineRule="auto"/>
        <w:rPr>
          <w:sz w:val="20"/>
          <w:szCs w:val="20"/>
          <w:color w:val="auto"/>
        </w:rPr>
      </w:pPr>
      <w:r>
        <w:rPr>
          <w:rFonts w:ascii="Arial" w:cs="Arial" w:eastAsia="Arial" w:hAnsi="Arial"/>
          <w:sz w:val="17"/>
          <w:szCs w:val="17"/>
          <w:color w:val="auto"/>
        </w:rPr>
        <w:t>We could be an emerging growth company for up to five years following the completion of this offering. Our status as an emerging growth company will end as soon as any of the following takes place:</w:t>
      </w:r>
    </w:p>
    <w:p>
      <w:pPr>
        <w:spacing w:after="0" w:line="96" w:lineRule="exact"/>
        <w:rPr>
          <w:sz w:val="20"/>
          <w:szCs w:val="20"/>
          <w:color w:val="auto"/>
        </w:rPr>
      </w:pPr>
    </w:p>
    <w:p>
      <w:pPr>
        <w:ind w:left="600" w:hanging="302"/>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last day of the fiscal year in which we have more than $1.07 billion in annual revenue;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47</w:t>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hanging="302"/>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date we qualify as a “large accelerated filer,” with at least $700 million of equity securities held by non-affiliates;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date on which we have issued, in any three-year period, more than $1.0 billion in non-convertible debt securities; or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last day of the fiscal year ending after the fifth anniversary of the completion of this offering.</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Indebtedness and Liquidity</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require additional capital to support business growth, and this capital might not be available or may be available only by diluting existing stockholders.</w:t>
      </w:r>
    </w:p>
    <w:p>
      <w:pPr>
        <w:spacing w:after="0" w:line="7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debt and cash generated from our operations. Although we currently anticipate that our existing cash and cash equivalents, cash flow from operations, and amounts available under our loan and security agreement with Western Alliance Bank will be sufficient to meet our cash needs for the foreseeable future, 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loan and security agreement restricts our ability to incur additional indebtedness, requires us to maintain certain financial covenants and restricts our ability to pay dividends. If we conduct additional debt financing, the terms of such debt financing may be similar or more restrictive. If we need additional capital and cannot raise it on acceptable terms, or at all, we may not be able to, among other things:</w:t>
      </w:r>
    </w:p>
    <w:p>
      <w:pPr>
        <w:spacing w:after="0" w:line="120" w:lineRule="exact"/>
        <w:rPr>
          <w:sz w:val="20"/>
          <w:szCs w:val="20"/>
          <w:color w:val="auto"/>
        </w:rPr>
      </w:pPr>
    </w:p>
    <w:p>
      <w:pPr>
        <w:ind w:left="600" w:hanging="302"/>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 our marketplace services;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expand our categories of secondhand items;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enhance our operating infrastructure;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expand the markets in which we operate and potentially acquire complementary businesses and technologies.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loan and security agreement provides our lender with a first-priority lien against substantially all of our assets and contains financial covenants and other restrictions on our actions that may limit our operational flexibility or otherwise adversely affect our results of operations.</w:t>
      </w:r>
    </w:p>
    <w:p>
      <w:pPr>
        <w:spacing w:after="0" w:line="97"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are party to an amended and restated loan and security agreement with Western Alliance Bank, which contains a number of covenants that restrict our and our subsidiaries’ ability to, among other things, incur additional indebtedness, materially change our business, convey, sell, lease, transfer or dispose of the business or our property, except under certain circumstances, merge or consolidate with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companies or acquire other companies, create or incur liens, pay any dividends on our Class A common stock, make certain investments and engage in certain other activities. We are also required to maintain financial covenants, including minimum cash and liquidity requirements, a debt service requirement and quarterly minimum net revenue and revenue growth thresholds. The terms of our loan and security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w:t>
      </w:r>
    </w:p>
    <w:p>
      <w:pPr>
        <w:spacing w:after="0" w:line="122"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As of December 31, 2019, we were not in compliance with our debt covenants regarding (i) limitations on capital expenditures, (ii) limitations on the maximum principal amount in our existing depository accounts without a control agreement, (iii) the requirement to transfer certain accounts to Western Alliance Bank and (iv) the delivery of financial information in a timely manner. As part of an amendment to the loan and security agreement in May 2020, the existing covenant defaults were waived and the covenants were revised to increase minimum cash and liquidity requirements, extend the timing of debt service requirements and add specific net revenue targets and revenue growth requirements. As part of a further amendment to the loan and security agreement in December 2020, the covenants were revised to amend the minimum cash and liquidity requirements, further extend the timing of debt service requirements, amend the specific net revenue targets and revenue growth requirements, and add a capital raising milestone requiring us to raise at least $50.0 million in equity or convertible debt by March 31, 2022, which could be satisfied by this offering. While we were in compliance with the revised covenants as of December 31, 2020, we may not be able to maintain compliance with the covenants in the future. A failure by us to comply with the covenants or payment requirements specified in the loan and security agreement could result in an event of default under the agreement, which would give the lender the right to terminate its commitments to provide loans under our loan and security agreement and to declare any and all borrowings outstanding, together with accrued and unpaid interest and fees, to be immediately due and payable. In addition, the lender would have the right to proceed against the collateral in which we granted a security interest to them, which consists of substantially all our assets. If the debt under our loan and security agreement were to be accelerated, we may not have sufficient cash or be able to borrow sufficient funds to refinance the debt or sell sufficient assets to repay the debt, which could adversely affect our cash flows, business, results of operations and financial condition. Further, the terms of any new or additional financing may be on terms that are more restrictive or on terms that are less desirable to us.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Initial Public Offering and Ownership of Our Common Stock</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There has been no prior public market for our Class A common stock, the stock price of our Class A common stock may be volatile or may decline regardless of our operating performance and you may not be able to resell your shares at or above the initial public offering price.</w:t>
      </w:r>
    </w:p>
    <w:p>
      <w:pPr>
        <w:spacing w:after="0" w:line="77"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Prior to this offering, there has been no public market for shares of our Class A common stock. The initial public offering price of our Class A common stock will be determined through negotiation among the underwriters and us and may vary from the market price of our Class A common stock following this offering. If you purchase shares of our Class A common stock in this offering, you may not be able to resell those shares at or above the initial public offering price. We cannot assure you that the market price following this offering will equal or exceed prices in privately negotiated transactions of our shares that have occurred from time to time before this offering. The market prices of the securities of other newly public companies have historically been highly volatile and markets in general have been highly volatile in light of the COVID-19 pandemic. The market price of our Class A common stock may fluctuate significantly in response to numerous factors, many of which are beyond our control, including:</w:t>
      </w:r>
    </w:p>
    <w:p>
      <w:pPr>
        <w:spacing w:after="0" w:line="110" w:lineRule="exact"/>
        <w:rPr>
          <w:sz w:val="20"/>
          <w:szCs w:val="20"/>
          <w:color w:val="auto"/>
        </w:rPr>
      </w:pPr>
    </w:p>
    <w:p>
      <w:pPr>
        <w:ind w:left="600" w:hanging="302"/>
        <w:spacing w:after="0"/>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overall performance of the equity markets and/or publicly-listed technology and retail companies;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fluctuations in our revenue or other operating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actual or anticipated operating performance and the operating performance of our competitors;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financial projections we provide to the public or our failure to meet those projections;</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economy as a whole and market conditions in our industry;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innovations, new services, features or capabilities, acquisitions, strategic partnerships or investments, joint ventures or capital commitments;</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 including those related to data privacy and cyber security;</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perceived data privacy and cybersecurity incidents impacting us or others in our industry;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major change in our board of directors, management or key personnel;</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pandemics (including the COVID-19 pandemic), elections or responses to these events;</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whether investors or securities analysts view our stock structure unfavorably, particularly our dual-class structure and the significant voting control of our executive officers, directors and their affiliates;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expiration of contractual lock-up or market standoff agreements;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sales of additional shares of our Class A common stock by us or our stockholders.</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addition, stock markets have experienced price and volume fluctuations that have affected and continue to affect the market prices of equity securities of many companies. Often, stock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119"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06"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6"/>
          <w:szCs w:val="16"/>
          <w:color w:val="auto"/>
        </w:rPr>
        <w:t>Our Class B common stock has ten votes per share, and our Class A common stock, which is the stock we are offering in this offering, has one vote per share. Following this offering, our existing stockholders, all of which hold shares of Class B common stock, will collectively own shares representing approximately % of the voting power of our outstanding capital stock as of December 31, 2020, and our directors, executive officers and their affiliates, will beneficially own in the aggregate % of the voting power of our capital stock as of December 31, 2020 (in each case, without giving effect to any purchases that certain of these holders may make through our directed share program).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the seventh anniversary of the date of this prospectus,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w:t>
      </w:r>
    </w:p>
    <w:p>
      <w:pPr>
        <w:spacing w:after="0" w:line="110"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estate planning purposes. In addition, if our co-founder and chief executive officer James Reinhart is terminated or resigns from his position as our Chief Executive Officer, then his shares of Class B common stock will automatically convert into shares of Class A common stock.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predict the effect our dual-class structure may have on the market price of our Class A common stock.</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We cannot predict whether our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 -vote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Class A common stock may never develop or be sustained.</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have applied to list our Class A common stock on Nasdaq, under the symbol “TDUP.” However,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the price of our Class A common stock and trading volume could be adversely affected.</w:t>
      </w:r>
    </w:p>
    <w:p>
      <w:pPr>
        <w:spacing w:after="0" w:line="77"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or our market, our Class A common stock price would likely decline. If one or more of these analysts cease coverage of us or fail to publish reports on us on a regular basis, demand for our Class A common stock could decrease, which might cause our Class A common stock price and trading volume to decline.</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such as when our lock-up restrictions are released, or the perception that sales might occur, could cause the market price of our Class A common stock to decline.</w:t>
      </w:r>
    </w:p>
    <w:p>
      <w:pPr>
        <w:spacing w:after="0" w:line="77"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6"/>
          <w:szCs w:val="16"/>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Based on the total number of outstanding shares of our common stock as of December 31, 2020, upon completion of this offering, we will have outstanding a total</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of shares of Class A common stock and 78,860,698 shares of Class B common stock. This figure assumes no exercise of outstanding options, no exercise of outstanding warrants and gives effect to the conversion of all of our outstanding shares of preferred stock into shares of Class B common</w:t>
      </w:r>
    </w:p>
    <w:p>
      <w:pPr>
        <w:spacing w:after="0" w:line="1" w:lineRule="exact"/>
        <w:rPr>
          <w:sz w:val="20"/>
          <w:szCs w:val="20"/>
          <w:color w:val="auto"/>
        </w:rPr>
      </w:pPr>
    </w:p>
    <w:p>
      <w:pPr>
        <w:spacing w:after="0"/>
        <w:tabs>
          <w:tab w:leader="none" w:pos="2540" w:val="left"/>
        </w:tabs>
        <w:rPr>
          <w:sz w:val="20"/>
          <w:szCs w:val="20"/>
          <w:color w:val="auto"/>
        </w:rPr>
      </w:pPr>
      <w:r>
        <w:rPr>
          <w:rFonts w:ascii="Arial" w:cs="Arial" w:eastAsia="Arial" w:hAnsi="Arial"/>
          <w:sz w:val="17"/>
          <w:szCs w:val="17"/>
          <w:color w:val="auto"/>
        </w:rPr>
        <w:t>stock and the issuance of</w:t>
      </w:r>
      <w:r>
        <w:rPr>
          <w:sz w:val="20"/>
          <w:szCs w:val="20"/>
          <w:color w:val="auto"/>
        </w:rPr>
        <w:tab/>
      </w:r>
      <w:r>
        <w:rPr>
          <w:rFonts w:ascii="Arial" w:cs="Arial" w:eastAsia="Arial" w:hAnsi="Arial"/>
          <w:sz w:val="16"/>
          <w:szCs w:val="16"/>
          <w:color w:val="auto"/>
        </w:rPr>
        <w:t>shares of Class A common stock on the completion of this offering.</w:t>
      </w:r>
    </w:p>
    <w:p>
      <w:pPr>
        <w:spacing w:after="0" w:line="133"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6"/>
          <w:szCs w:val="16"/>
          <w:color w:val="auto"/>
        </w:rPr>
        <w:t>Substantially all of our securities outstanding prior to the completion of this offering are currently restricted from resale as a result of lock-up and market standoff agreements. These securities will generally become available to be sold 180 days after the date of the final prospectus relating to the offering, such 180-day period is referred to as the restricted period. However, as further described in the section titled “Shares Eligible for Future Sale,”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up to approximately shares of Class A common stock issuable upon conversion of our Class B common stock and securities directly or indirectly convertible into or exchangeable or exercisable for our Class B common stock, held by Employee Stockholders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defined in the section titled “Shares Eligible for Future Sale”) may be sold beginning at the opening of trading on the first trading day immediately following our public release of earnings for the first quarter following the most recent period for which financial statements are included in this prospectus. Further, at least two of Goldman Sachs &amp; Co. LLC, Morgan Stanley &amp; Co, LLC and Barclays Capital Inc. may, in their discretion, permit our security holders to sell shares prior to the expiration of the restrictive provisions contained in the lock-up agreements. In addition, if (i) we have publicly released our earnings results for the quarterly period during which this offering occurred, (ii) at least 120 days have elapsed since the date of the final prospectus relating to the offering and (iii) the restricted period is scheduled to end during a broadly applicable period during which trading in the Company’s securities would not be permitted under the Company’s insider trading policy, or a blackout period, or within five trading days prior to a blackout period, then the restricted period shall end ten trading days prior to the commencement of the blackout period, provided that in the event that ten trading days prior to the commencement of the blackout period is earlier than 120 days after the date of the final prospectus relating to the offering, the restricted period shall end on the 120th day after the date of the final prospectus relating to the offering, but only if such 120th day is at least five trading days prior to the commencement of the blackout period. We will announce the date of the any blackout-related early release at least two trading days in advance of any such early release. Sales of a substantial number of such shares upon expiration of the lock-up and market standoff agreements, the perception that such sales may occur or early release of these agreements could cause our market price to fall or make it more difficult for you to sell your Class A common stock at a time and price that you deem appropriate. Shares held by directors, executive officers and other affiliates will also be subject to volume limitations under Rule 144 under the Securities Act of 1933, or the Securities Act, and various vesting agreements. See the section titled “Shares Eligible for Future Sale” for additional information.</w:t>
      </w:r>
    </w:p>
    <w:p>
      <w:pPr>
        <w:spacing w:after="0" w:line="129"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addition, as of December 31, 2020, we had 22,774,949 options outstanding that, if fully exercised, would result in the issuance of shares of Class B common stock. All of the shares of Class B common stock issuable upon the exercise of stock options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19"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Following this offering, the holders of up to 74,619,565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Because the initial public offering price of our Class A common stock is substantially higher than the pro forma net tangible book value per share of our outstanding common stock following this offering, new investors will experience immediate and substantial dilution.</w:t>
      </w:r>
    </w:p>
    <w:p>
      <w:pPr>
        <w:spacing w:after="0" w:line="7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common stock immediately following this offering based on the total value of our tangible assets less our total liabilities. Therefore, if you purchase shares of our Class A common stock in this offering, you will experience immediate dilution of $ per share, representing the difference between the price per share you pay for our Class A common stock and the pro forma net tangible book value per share as of December 31, 2020, after giving effect to the issuance of shares of our Class A common stock in this offering. See the section titled “Dilution”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in the use of proceeds from this offering and may not use them effectively.</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Our management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Due to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and intermediate-term interest-bearing obligations, investment-grade investments, certificates of deposit or direct or guaranteed obligations of the U.S. government. These investments may not yield a favorable return to our investors. If we do not use the net proceeds that we receive in this offering effectively, our business, results of operations and financial condition could be harmed.</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will dilute all other stockholders.</w:t>
      </w:r>
    </w:p>
    <w:p>
      <w:pPr>
        <w:spacing w:after="0" w:line="7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contractors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price of our Class A common stock.</w:t>
      </w:r>
    </w:p>
    <w:p>
      <w:pPr>
        <w:spacing w:after="0" w:line="7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have never declared or paid any cash dividends on our capital stock. We intend to retain any earnings to finance the operation and expansion of our business, and we do not anticipate paying any cash dividends in the foreseeable future. Further, our ability to pay dividends on our capital stock is subject to restrictions under the terms of our loan and security agreement with Western Alliance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market price of our Class A common stock.</w:t>
      </w:r>
    </w:p>
    <w:p>
      <w:pPr>
        <w:spacing w:after="0" w:line="77"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Provisions that will be in our amended and restated certificate of incorporation and amended and restated bylaws could depress the trading price of our Class A common stock by acting to discourage, delay or prevent a change of control or changes in our management that the stockholders of our company may deem advantageous. Our amended and restated certificate of incorporation and amended and restated bylaws, which will become effective upon the completion of this offering, will include provisions that:</w:t>
      </w:r>
    </w:p>
    <w:p>
      <w:pPr>
        <w:spacing w:after="0" w:line="115" w:lineRule="exact"/>
        <w:rPr>
          <w:sz w:val="20"/>
          <w:szCs w:val="20"/>
          <w:color w:val="auto"/>
        </w:rPr>
      </w:pPr>
    </w:p>
    <w:p>
      <w:pPr>
        <w:ind w:left="600" w:hanging="302"/>
        <w:spacing w:after="0"/>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 that our board of directors will be classified into three classes of directors with staggered three-year terms;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permit our board of directors to establish the number of directors and fill any vacancies and newly-created directorships;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hanging="302"/>
        <w:spacing w:after="0" w:line="277" w:lineRule="auto"/>
        <w:tabs>
          <w:tab w:leader="none" w:pos="596"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amended and restated certificate of incorporation and amended and restated bylaws;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provide that only the Chairperson of our board of directors, our Chief Executive Officer, President or a majority of our board of directors will be authorized to call a special meeting of stockholders;</w:t>
      </w:r>
    </w:p>
    <w:p>
      <w:pPr>
        <w:spacing w:after="0" w:line="96" w:lineRule="exact"/>
        <w:rPr>
          <w:rFonts w:ascii="Arial" w:cs="Arial" w:eastAsia="Arial" w:hAnsi="Arial"/>
          <w:sz w:val="17"/>
          <w:szCs w:val="17"/>
          <w:color w:val="auto"/>
        </w:rPr>
      </w:pPr>
    </w:p>
    <w:p>
      <w:pPr>
        <w:jc w:val="both"/>
        <w:ind w:left="600" w:hanging="302"/>
        <w:spacing w:after="0" w:line="284" w:lineRule="auto"/>
        <w:tabs>
          <w:tab w:leader="none" w:pos="5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provide for a dual-class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3" w:lineRule="exact"/>
        <w:rPr>
          <w:rFonts w:ascii="Arial" w:cs="Arial" w:eastAsia="Arial" w:hAnsi="Arial"/>
          <w:sz w:val="16"/>
          <w:szCs w:val="16"/>
          <w:color w:val="auto"/>
        </w:rPr>
      </w:pPr>
    </w:p>
    <w:p>
      <w:pPr>
        <w:ind w:left="600" w:hanging="302"/>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provide that the board of directors is expressly authorized to approve, alter or repeal our bylaws; and</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advance notice requirements for nominations for election to our board of directors or for proposing matters that can be acted upon by stockholders at annual stockholder meetings.</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amended and restated bylaws will designate specific state or federal courts located as the exclusive forum for certain litigation that may be initiated by our stockholders, which could limit stockholders’ ability to obtain a favorable judicial forum for disputes with us.</w:t>
      </w:r>
    </w:p>
    <w:p>
      <w:pPr>
        <w:spacing w:after="0" w:line="77"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Our amended and restated bylaws will provide that, unless we consent in writing to the selection of an alternative forum, to the fullest extent permitted by law, the Court of Chancery of the State of Delaware will be the sole and exclusive forum for any state law claims for:</w:t>
      </w:r>
    </w:p>
    <w:p>
      <w:pPr>
        <w:spacing w:after="0" w:line="96" w:lineRule="exact"/>
        <w:rPr>
          <w:sz w:val="20"/>
          <w:szCs w:val="20"/>
          <w:color w:val="auto"/>
        </w:rPr>
      </w:pPr>
    </w:p>
    <w:p>
      <w:pPr>
        <w:ind w:left="600" w:hanging="302"/>
        <w:spacing w:after="0"/>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of our directors, officers or other employees to us or our stockholders;</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action asserting a claim arising pursuant to the Delaware General Corporation Law, our amended and restated certificate of incorporation or our amended and restated bylaws; or</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action asserting a claim that is governed by the internal affairs doctrine, or the Delaware Forum Provision.</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Delaware Forum Provision will not apply to any causes of action arising under the Securities Act or the Exchange Act. Further, our amended and restated bylaws will provide that, unless we consent in writing to the selection of an alternative forum, the federal district courts of the United States will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155"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We depend on our executive officers and other key technical, operational and sales employees and contractors, and the loss of one or more of these employees or contractors or an inability to attract and retain other highly skilled employees or contractors could harm our business.</w:t>
      </w:r>
    </w:p>
    <w:p>
      <w:pPr>
        <w:spacing w:after="0" w:line="54"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Our success depends largely upon the continued services of our executive officers and other key technical, operational and sales employees and contractors.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founder and Chief Executive Officer, or other executive officers or key technical, operational and sales employees and contractors could harm our business.</w:t>
      </w:r>
    </w:p>
    <w:p>
      <w:pPr>
        <w:spacing w:after="0" w:line="122"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Volatility or lack of appreciation in the stock price of our Class A common stock may also affect our ability to attract and retain our executive officers and key technical, operational and sales employees and contractors. Many of our senior personnel and other key technical, operational and sales employees and contractors have become, or will soon become, vested in a substantial amount of stock or stock options. Employees and contractors may be more likely to leave us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harm our ability to foster the innovation, craftsmanship, teamwork, curiosity and diversity that we believe we need to support our continued growth.</w:t>
      </w:r>
    </w:p>
    <w:p>
      <w:pPr>
        <w:spacing w:after="0" w:line="110"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addition, due to the financial risks presented by the COVID-19 pandemic, we implemented a variety of cost cutting initiatives and may need to implement additional cost cutting initiatives that may adversely affect our executive team, employees, contractors and business. For example, in April 2020, we reduced salaries by 20% for the vast majority of corporate employees and in June 2020, we laid off the staff at our three retail stores and permanently closed our retail stores during 2020. These measures may cause or result in disruption of our business, challenges in hiring critical employees and contractors and retaining key technical, operational and sales employees and contractors. Further, as some of our contractors are information technology, or IT, specialists in Ukraine, political turmoil, warfare, or terrorist attacks in Ukraine could negatively affect our contractors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social media, emails and text messages may adversely impact our reputation or subject us to fines or other penalties.</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We use social media, emails, push notifications and, in the future, will use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buyers or others. Information concerning us, our buyers, our sellers and the brands available on our marketplace, whether accurate or not, may be posted on social media platforms at any time and may have an adverse impact on our brand, reputation or business. Any such harm may be immediate without affording us an opportunity for redress or correction and could have an adverse effect on our reputation, business, results of operations, financial condition and prospects.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Most members of our management team have limited experience managing a publicly-traded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7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As a public company, we will be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20"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application and practice, regulatory authorities may initiate legal proceedings against us and our business may be harmed.</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1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As a result of disclosure of information in this prospectus and in filings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5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22" w:lineRule="exact"/>
        <w:rPr>
          <w:sz w:val="20"/>
          <w:szCs w:val="20"/>
          <w:color w:val="auto"/>
        </w:rPr>
      </w:pPr>
    </w:p>
    <w:p>
      <w:pPr>
        <w:ind w:left="600" w:hanging="302"/>
        <w:spacing w:after="0" w:line="277" w:lineRule="auto"/>
        <w:tabs>
          <w:tab w:leader="none" w:pos="5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future financial performance, including our revenue, cost of revenue and operating expenses and our ability to achieve and maintain future profitability;</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sufficiency of our cash, cash equivalents and capital resources to meet our liquidity needs;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effectively manage or sustain our growth and to effectively expand our operations;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strategies, plans, objectives and goals, including our expectations regarding future infrastructure investments;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market demand for secondhand items in general and the online secondhand market in particular;</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predict the quality of the secondhand items that our sellers provide and the demand for individual secondhand items we may decide to make available;</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compete with existing and new competitors in existing and new markets and offerings;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attract and retain buyers and sellers and the continued impact of network effects as we scale our platform;</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increase the supply of secondhand items offered through our marketplace;</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optimize, operate and manage our distribution centers, including our ability to increase the number of items our distribution centers can hold and process over time;</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estimated market opportunity;</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economic and industry trends, projected growth or trend analysis;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future benefits to be derived from partnerships, particularly our RaaS partnerships;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develop and protect our brand;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impact the public perception of secondhand items;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comply with laws and regulations;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successfully defend litigation brought against us;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attraction and retention of qualified employees, contractors and key personnel;</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effect of uncertainties related to the global COVID-19 pandemic and recovery therefrom on U.S. and global economies, our business, results of operations, financial condition, demand for secondhand items, sales cycles and buyer and seller retention;</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anticipated investments in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hanging="302"/>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ability to remediate our material weakness in our internal control over financial reporting;</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increased expenses associated with being a public company;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anticipated uses of net proceeds from this offering.</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0"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19"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 AND INDUSTRY DATA</w:t>
      </w:r>
    </w:p>
    <w:p>
      <w:pPr>
        <w:spacing w:after="0" w:line="15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This prospectus contains statistical data, estimates and forecasts that are based on various sources, including independent industry publications or other publicly available information, as well as other information based on our internal sources. This information involves a number of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 titled “Risk Factors,” that could cause results to differ materially from those expressed in these publications and reports. The content of the below sources, except to the extent specifically set forth in this prospectus, does not constitute a portion of this prospectus and is not incorporated herein.</w:t>
      </w:r>
    </w:p>
    <w:p>
      <w:pPr>
        <w:spacing w:after="0" w:line="12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Certain information in the text of this prospectus is contained in independent industry publications and publicly-available reports. The source of these independent industry publications is provided below:</w:t>
      </w:r>
    </w:p>
    <w:p>
      <w:pPr>
        <w:spacing w:after="0" w:line="96" w:lineRule="exact"/>
        <w:rPr>
          <w:sz w:val="20"/>
          <w:szCs w:val="20"/>
          <w:color w:val="auto"/>
        </w:rPr>
      </w:pPr>
    </w:p>
    <w:p>
      <w:pPr>
        <w:ind w:left="300"/>
        <w:spacing w:after="0"/>
        <w:tabs>
          <w:tab w:leader="none" w:pos="580" w:val="left"/>
          <w:tab w:leader="none" w:pos="1380" w:val="left"/>
          <w:tab w:leader="none" w:pos="2600" w:val="left"/>
          <w:tab w:leader="none" w:pos="3920" w:val="left"/>
          <w:tab w:leader="none" w:pos="4480" w:val="left"/>
          <w:tab w:leader="none" w:pos="5240" w:val="left"/>
          <w:tab w:leader="none" w:pos="6200" w:val="left"/>
          <w:tab w:leader="none" w:pos="7360" w:val="left"/>
          <w:tab w:leader="none" w:pos="8740" w:val="left"/>
          <w:tab w:leader="none" w:pos="9820" w:val="left"/>
          <w:tab w:leader="none" w:pos="10760" w:val="left"/>
        </w:tabs>
        <w:rPr>
          <w:sz w:val="20"/>
          <w:szCs w:val="20"/>
          <w:color w:val="auto"/>
        </w:rPr>
      </w:pPr>
      <w:r>
        <w:rPr>
          <w:rFonts w:ascii="Arial" w:cs="Arial" w:eastAsia="Arial" w:hAnsi="Arial"/>
          <w:sz w:val="17"/>
          <w:szCs w:val="17"/>
          <w:color w:val="auto"/>
        </w:rPr>
        <w:t>•</w:t>
        <w:tab/>
        <w:t>Ellen</w:t>
      </w:r>
      <w:r>
        <w:rPr>
          <w:sz w:val="20"/>
          <w:szCs w:val="20"/>
          <w:color w:val="auto"/>
        </w:rPr>
        <w:tab/>
      </w:r>
      <w:r>
        <w:rPr>
          <w:rFonts w:ascii="Arial" w:cs="Arial" w:eastAsia="Arial" w:hAnsi="Arial"/>
          <w:sz w:val="17"/>
          <w:szCs w:val="17"/>
          <w:color w:val="auto"/>
        </w:rPr>
        <w:t>MacArthur</w:t>
      </w:r>
      <w:r>
        <w:rPr>
          <w:sz w:val="20"/>
          <w:szCs w:val="20"/>
          <w:color w:val="auto"/>
        </w:rPr>
        <w:tab/>
      </w:r>
      <w:r>
        <w:rPr>
          <w:rFonts w:ascii="Arial" w:cs="Arial" w:eastAsia="Arial" w:hAnsi="Arial"/>
          <w:sz w:val="17"/>
          <w:szCs w:val="17"/>
          <w:color w:val="auto"/>
        </w:rPr>
        <w:t>Foundation,</w:t>
      </w:r>
      <w:r>
        <w:rPr>
          <w:sz w:val="20"/>
          <w:szCs w:val="20"/>
          <w:color w:val="auto"/>
        </w:rPr>
        <w:tab/>
      </w: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new</w:t>
      </w:r>
      <w:r>
        <w:rPr>
          <w:sz w:val="20"/>
          <w:szCs w:val="20"/>
          <w:color w:val="auto"/>
        </w:rPr>
        <w:tab/>
      </w:r>
      <w:r>
        <w:rPr>
          <w:rFonts w:ascii="Arial" w:cs="Arial" w:eastAsia="Arial" w:hAnsi="Arial"/>
          <w:sz w:val="17"/>
          <w:szCs w:val="17"/>
          <w:color w:val="auto"/>
        </w:rPr>
        <w:t>textiles</w:t>
      </w:r>
      <w:r>
        <w:rPr>
          <w:sz w:val="20"/>
          <w:szCs w:val="20"/>
          <w:color w:val="auto"/>
        </w:rPr>
        <w:tab/>
      </w:r>
      <w:r>
        <w:rPr>
          <w:rFonts w:ascii="Arial" w:cs="Arial" w:eastAsia="Arial" w:hAnsi="Arial"/>
          <w:sz w:val="17"/>
          <w:szCs w:val="17"/>
          <w:color w:val="auto"/>
        </w:rPr>
        <w:t>economy:</w:t>
      </w:r>
      <w:r>
        <w:rPr>
          <w:sz w:val="20"/>
          <w:szCs w:val="20"/>
          <w:color w:val="auto"/>
        </w:rPr>
        <w:tab/>
      </w:r>
      <w:r>
        <w:rPr>
          <w:rFonts w:ascii="Arial" w:cs="Arial" w:eastAsia="Arial" w:hAnsi="Arial"/>
          <w:sz w:val="17"/>
          <w:szCs w:val="17"/>
          <w:i w:val="1"/>
          <w:iCs w:val="1"/>
          <w:color w:val="auto"/>
        </w:rPr>
        <w:t>Redesigning</w:t>
      </w:r>
      <w:r>
        <w:rPr>
          <w:sz w:val="20"/>
          <w:szCs w:val="20"/>
          <w:color w:val="auto"/>
        </w:rPr>
        <w:tab/>
      </w:r>
      <w:r>
        <w:rPr>
          <w:rFonts w:ascii="Arial" w:cs="Arial" w:eastAsia="Arial" w:hAnsi="Arial"/>
          <w:sz w:val="17"/>
          <w:szCs w:val="17"/>
          <w:i w:val="1"/>
          <w:iCs w:val="1"/>
          <w:color w:val="auto"/>
        </w:rPr>
        <w:t>fashion’s</w:t>
      </w:r>
      <w:r>
        <w:rPr>
          <w:sz w:val="20"/>
          <w:szCs w:val="20"/>
          <w:color w:val="auto"/>
        </w:rPr>
        <w:tab/>
      </w:r>
      <w:r>
        <w:rPr>
          <w:rFonts w:ascii="Arial" w:cs="Arial" w:eastAsia="Arial" w:hAnsi="Arial"/>
          <w:sz w:val="17"/>
          <w:szCs w:val="17"/>
          <w:i w:val="1"/>
          <w:iCs w:val="1"/>
          <w:color w:val="auto"/>
        </w:rPr>
        <w:t>future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(2017.</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http://www.ellenmacarthurfoundation.org/publications).</w:t>
      </w:r>
    </w:p>
    <w:p>
      <w:pPr>
        <w:spacing w:after="0" w:line="133" w:lineRule="exact"/>
        <w:rPr>
          <w:sz w:val="20"/>
          <w:szCs w:val="20"/>
          <w:color w:val="auto"/>
        </w:rPr>
      </w:pPr>
    </w:p>
    <w:p>
      <w:pPr>
        <w:ind w:left="600" w:hanging="302"/>
        <w:spacing w:after="0" w:line="277" w:lineRule="auto"/>
        <w:tabs>
          <w:tab w:leader="none" w:pos="596" w:val="left"/>
        </w:tabs>
        <w:numPr>
          <w:ilvl w:val="0"/>
          <w:numId w:val="50"/>
        </w:numPr>
        <w:rPr>
          <w:rFonts w:ascii="Arial" w:cs="Arial" w:eastAsia="Arial" w:hAnsi="Arial"/>
          <w:sz w:val="17"/>
          <w:szCs w:val="17"/>
          <w:color w:val="auto"/>
        </w:rPr>
      </w:pPr>
      <w:r>
        <w:rPr>
          <w:rFonts w:ascii="Arial" w:cs="Arial" w:eastAsia="Arial" w:hAnsi="Arial"/>
          <w:sz w:val="17"/>
          <w:szCs w:val="17"/>
          <w:color w:val="auto"/>
        </w:rPr>
        <w:t>GlobalData plc consumer survey of women ages 18 and over in the United States, January 2019, or the GlobalData January 2019 Consumer Survey, which was commissioned by us.</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0"/>
        </w:numPr>
        <w:rPr>
          <w:rFonts w:ascii="Arial" w:cs="Arial" w:eastAsia="Arial" w:hAnsi="Arial"/>
          <w:sz w:val="17"/>
          <w:szCs w:val="17"/>
          <w:color w:val="auto"/>
        </w:rPr>
      </w:pPr>
      <w:r>
        <w:rPr>
          <w:rFonts w:ascii="Arial" w:cs="Arial" w:eastAsia="Arial" w:hAnsi="Arial"/>
          <w:sz w:val="17"/>
          <w:szCs w:val="17"/>
          <w:color w:val="auto"/>
        </w:rPr>
        <w:t>GlobalData plc consumer survey of women ages 18 and over in the United States, January 2020, or the GlobalData January 2020 Consumer Survey, which was commissioned by us.</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0"/>
        </w:numPr>
        <w:rPr>
          <w:rFonts w:ascii="Arial" w:cs="Arial" w:eastAsia="Arial" w:hAnsi="Arial"/>
          <w:sz w:val="17"/>
          <w:szCs w:val="17"/>
          <w:color w:val="auto"/>
        </w:rPr>
      </w:pPr>
      <w:r>
        <w:rPr>
          <w:rFonts w:ascii="Arial" w:cs="Arial" w:eastAsia="Arial" w:hAnsi="Arial"/>
          <w:sz w:val="17"/>
          <w:szCs w:val="17"/>
          <w:color w:val="auto"/>
        </w:rPr>
        <w:t>GlobalData plc consumer survey of women ages 18 and over in the United States, April 2020, or the GlobalData April 2020 Consumer Survey, which was commissioned by us.</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0"/>
        </w:numPr>
        <w:rPr>
          <w:rFonts w:ascii="Arial" w:cs="Arial" w:eastAsia="Arial" w:hAnsi="Arial"/>
          <w:sz w:val="17"/>
          <w:szCs w:val="17"/>
          <w:color w:val="auto"/>
        </w:rPr>
      </w:pPr>
      <w:r>
        <w:rPr>
          <w:rFonts w:ascii="Arial" w:cs="Arial" w:eastAsia="Arial" w:hAnsi="Arial"/>
          <w:sz w:val="17"/>
          <w:szCs w:val="17"/>
          <w:color w:val="auto"/>
        </w:rPr>
        <w:t>GlobalData plc fashion retailer survey of 50 U.S. fashion (apparel, accessories, footwear) retailers about their circular fashion goals, January 2020, or the GlobalData Fashion Retailer Survey, which was commissioned by us.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GlobalData plc, market sizing survey, April 2020, or the GlobalData Market Survey, which was commissioned by us.</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0"/>
        </w:numPr>
        <w:rPr>
          <w:rFonts w:ascii="Arial" w:cs="Arial" w:eastAsia="Arial" w:hAnsi="Arial"/>
          <w:sz w:val="17"/>
          <w:szCs w:val="17"/>
          <w:color w:val="auto"/>
        </w:rPr>
      </w:pPr>
      <w:r>
        <w:rPr>
          <w:rFonts w:ascii="Arial" w:cs="Arial" w:eastAsia="Arial" w:hAnsi="Arial"/>
          <w:sz w:val="17"/>
          <w:szCs w:val="17"/>
          <w:color w:val="auto"/>
        </w:rPr>
        <w:t>Green Story Inc., “Comparative Life Cycle Assessment (LCA) of second-hand vs new clothing,” May 2019, which was commissioned by us to quantify the potential positive environmental impact of buying secondhand items instead of new items.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“Media Kit.” </w:t>
      </w:r>
      <w:r>
        <w:rPr>
          <w:rFonts w:ascii="Arial" w:cs="Arial" w:eastAsia="Arial" w:hAnsi="Arial"/>
          <w:sz w:val="17"/>
          <w:szCs w:val="17"/>
          <w:i w:val="1"/>
          <w:iCs w:val="1"/>
          <w:color w:val="auto"/>
        </w:rPr>
        <w:t>Secondary Materials and Recycled Textiles.</w:t>
      </w:r>
      <w:r>
        <w:rPr>
          <w:rFonts w:ascii="Arial" w:cs="Arial" w:eastAsia="Arial" w:hAnsi="Arial"/>
          <w:sz w:val="17"/>
          <w:szCs w:val="17"/>
          <w:color w:val="auto"/>
        </w:rPr>
        <w:t xml:space="preserve"> Smartasn.org. Accessed on September 25, 2020.</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“Facts and Figures about Materials, Waste and Recycling—Textiles: Material-Specific Data.” </w:t>
      </w:r>
      <w:r>
        <w:rPr>
          <w:rFonts w:ascii="Arial" w:cs="Arial" w:eastAsia="Arial" w:hAnsi="Arial"/>
          <w:sz w:val="17"/>
          <w:szCs w:val="17"/>
          <w:i w:val="1"/>
          <w:iCs w:val="1"/>
          <w:color w:val="auto"/>
        </w:rPr>
        <w:t>United States Environmental Protection Agency</w:t>
      </w:r>
      <w:r>
        <w:rPr>
          <w:rFonts w:ascii="Arial" w:cs="Arial" w:eastAsia="Arial" w:hAnsi="Arial"/>
          <w:sz w:val="17"/>
          <w:szCs w:val="17"/>
          <w:color w:val="auto"/>
        </w:rPr>
        <w:t>. epa.gov. Accessed on September 25, 2020.</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Quantis, “Measuring Fashion: Environmental Impact of the Global Apparel and Footwear Industries Study,”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15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We estimate that the net proceeds from the sale of shares of our Class A common stock that we are selling in this offering will be approximately</w:t>
      </w:r>
    </w:p>
    <w:p>
      <w:pPr>
        <w:spacing w:after="0" w:line="24" w:lineRule="exact"/>
        <w:rPr>
          <w:sz w:val="20"/>
          <w:szCs w:val="20"/>
          <w:color w:val="auto"/>
        </w:rPr>
      </w:pPr>
    </w:p>
    <w:p>
      <w:pPr>
        <w:jc w:val="both"/>
        <w:spacing w:after="0" w:line="267" w:lineRule="auto"/>
        <w:tabs>
          <w:tab w:leader="none" w:pos="384" w:val="left"/>
        </w:tabs>
        <w:numPr>
          <w:ilvl w:val="0"/>
          <w:numId w:val="51"/>
        </w:numPr>
        <w:rPr>
          <w:rFonts w:ascii="Arial" w:cs="Arial" w:eastAsia="Arial" w:hAnsi="Arial"/>
          <w:sz w:val="16"/>
          <w:szCs w:val="16"/>
          <w:color w:val="auto"/>
        </w:rPr>
      </w:pPr>
      <w:r>
        <w:rPr>
          <w:rFonts w:ascii="Arial" w:cs="Arial" w:eastAsia="Arial" w:hAnsi="Arial"/>
          <w:sz w:val="16"/>
          <w:szCs w:val="16"/>
          <w:color w:val="auto"/>
        </w:rPr>
        <w:t>million, based upon an assumed initial public offering price of $ per share, which is the midpoint of the estimated offering price range set forth on the cover page of this prospectus, and after deducting estimated underwriting discounts and commissions and estimated offering expenses payable by us. If the underwriters’ option to purchase additional shares of our Class A common stock from us is exercised in full, we estimate that our net proceeds would be approximately $ million, after deducting estimated underwriting discounts and commissions and estimated offering expenses payable by us.</w:t>
      </w:r>
    </w:p>
    <w:p>
      <w:pPr>
        <w:spacing w:after="0" w:line="107" w:lineRule="exact"/>
        <w:rPr>
          <w:sz w:val="20"/>
          <w:szCs w:val="20"/>
          <w:color w:val="auto"/>
        </w:rPr>
      </w:pPr>
    </w:p>
    <w:p>
      <w:pPr>
        <w:jc w:val="both"/>
        <w:ind w:firstLine="299"/>
        <w:spacing w:after="0" w:line="256" w:lineRule="auto"/>
        <w:rPr>
          <w:sz w:val="20"/>
          <w:szCs w:val="20"/>
          <w:color w:val="auto"/>
        </w:rPr>
      </w:pPr>
      <w:r>
        <w:rPr>
          <w:rFonts w:ascii="Arial" w:cs="Arial" w:eastAsia="Arial" w:hAnsi="Arial"/>
          <w:sz w:val="17"/>
          <w:szCs w:val="17"/>
          <w:color w:val="auto"/>
        </w:rPr>
        <w:t>Each $1.00 increase or decrease in the assumed initial public offering price of $ per share, which is the midpoint of the estimated offering price range set forth on the cover page of this prospectus, would increase or decrease, as applicable, the net proceeds that we receive from this offering by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approximately $ million, assuming that the number of shares of Class A common stock offered by us, as set forth on the cover page of this prospectus, remains the same and after deducting the estimated underwriting discounts and commissions payable by us. Similarly, each increase or decrease of 1.0 million in the number of shares of our Class A common stock offered by us would increase or decrease the net proceeds that we receive from this offering by approximately $ million, assuming the assumed initial public offering price remains the same and after deducting the estimated underwriting discounts and commissions payable by us.</w:t>
      </w:r>
    </w:p>
    <w:p>
      <w:pPr>
        <w:spacing w:after="0" w:line="12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principal purposes of this offering are to increase our financial flexibility, create a public market for our Class A common stock and facilitate our future access to the public equity markets. We currently intend to use the net proceeds that we will receive from this offering for working capital, other general corporate purposes and to fund our growth strategies, including continued investments in our business. We may also use a portion of the net proceeds that we receive to acquire or invest in complementary businesses, products, services, technologies or other assets. We have not entered into any agreements or commitments with respect to any acquisitions or investments at this time.</w:t>
      </w:r>
    </w:p>
    <w:p>
      <w:pPr>
        <w:spacing w:after="0" w:line="11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Additionally, we are allocating $500,000 from the proceeds of this offering to start an environmental policy function. For additional information, see the section titled “Our ESG (Environmental, Social and Governance) Efforts.”</w:t>
      </w:r>
    </w:p>
    <w:p>
      <w:pPr>
        <w:spacing w:after="0" w:line="96"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cannot specify with certainty the particular uses of the net proceeds that we will receive from this offering or the amounts we actually spend on the uses set forth above. Pending the use of proceeds from this offering as described above, we plan to invest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DIVIDEND POLICY</w:t>
      </w:r>
    </w:p>
    <w:p>
      <w:pPr>
        <w:spacing w:after="0" w:line="155"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We have never declared or paid any cash dividend on our capital stock. We currently intend to retain any future earnings and do not expect to pay any dividends in the foreseeable future. In addition, our ability to pay dividends on our capital stock is subject to restrictions under the terms of our loan and security agreement with Western Alliance Bank, as amended.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CAPITALIZATION</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sets forth cash, cash equivalents and our capitalization, as of December 31, 2020 as follows:</w:t>
      </w:r>
    </w:p>
    <w:p>
      <w:pPr>
        <w:spacing w:after="0" w:line="153" w:lineRule="exact"/>
        <w:rPr>
          <w:sz w:val="20"/>
          <w:szCs w:val="20"/>
          <w:color w:val="auto"/>
        </w:rPr>
      </w:pPr>
    </w:p>
    <w:p>
      <w:pPr>
        <w:ind w:left="600" w:hanging="302"/>
        <w:spacing w:after="0"/>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52" w:lineRule="exact"/>
        <w:rPr>
          <w:rFonts w:ascii="Arial" w:cs="Arial" w:eastAsia="Arial" w:hAnsi="Arial"/>
          <w:sz w:val="17"/>
          <w:szCs w:val="17"/>
          <w:color w:val="auto"/>
        </w:rPr>
      </w:pPr>
    </w:p>
    <w:p>
      <w:pPr>
        <w:jc w:val="both"/>
        <w:ind w:left="600" w:hanging="302"/>
        <w:spacing w:after="0" w:line="250" w:lineRule="auto"/>
        <w:tabs>
          <w:tab w:leader="none" w:pos="5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a pro forma basis, giving effect to (i) the automatic conversion of all outstanding shares of our convertible preferred stock into an aggregate of 65,970,938 shares of our common stock, (ii) the reclassification of our outstanding common stock as Class B common stock, (iii) the reclassification of the convertible preferred stock warrant liability to additional paid-in capital, which conversion and reclassification will occur immediately prior to the completion of this offering, as if such conversion and reclassification had occurred on December 31, 2020 and (iv) the filing and effectiveness of our amended and restated certificate of incorporation which will be effective immediately prior to the completion of this offering; and</w:t>
      </w:r>
    </w:p>
    <w:p>
      <w:pPr>
        <w:spacing w:after="0" w:line="122" w:lineRule="exact"/>
        <w:rPr>
          <w:rFonts w:ascii="Arial" w:cs="Arial" w:eastAsia="Arial" w:hAnsi="Arial"/>
          <w:sz w:val="17"/>
          <w:szCs w:val="17"/>
          <w:color w:val="auto"/>
        </w:rPr>
      </w:pPr>
    </w:p>
    <w:p>
      <w:pPr>
        <w:ind w:left="600" w:hanging="302"/>
        <w:spacing w:after="0"/>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(i) the pro forma adjustments set forth above and (ii) the sale and issuance by us of</w:t>
      </w:r>
    </w:p>
    <w:p>
      <w:pPr>
        <w:spacing w:after="0" w:line="24" w:lineRule="exact"/>
        <w:rPr>
          <w:sz w:val="20"/>
          <w:szCs w:val="20"/>
          <w:color w:val="auto"/>
        </w:rPr>
      </w:pPr>
    </w:p>
    <w:p>
      <w:pPr>
        <w:jc w:val="both"/>
        <w:ind w:left="600" w:firstLine="789"/>
        <w:spacing w:after="0" w:line="248" w:lineRule="auto"/>
        <w:rPr>
          <w:sz w:val="20"/>
          <w:szCs w:val="20"/>
          <w:color w:val="auto"/>
        </w:rPr>
      </w:pPr>
      <w:r>
        <w:rPr>
          <w:rFonts w:ascii="Arial" w:cs="Arial" w:eastAsia="Arial" w:hAnsi="Arial"/>
          <w:sz w:val="17"/>
          <w:szCs w:val="17"/>
          <w:color w:val="auto"/>
        </w:rPr>
        <w:t>shares of our Class A common stock in this offering, based on an assumed initial public offering price of $ per share, which is the midpoint of the estimated offering price range set forth on the cover page of this prospectus,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pro forma as adjusted information set forth in the table below is illustrative only and will be adjusted based on the actual initial public offering price and other final terms of this offering. You should read this table together with our consolidated financial statements and related notes and the sections titled “Summary Consolidated Financial and Other Data” and “Management’s Discussion and Analysis of Financial Condition and Results of Operations” that are included elsewhere in this prospectus.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As of December 31, 2020</w:t>
            </w: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Actual</w:t>
            </w:r>
          </w:p>
        </w:tc>
        <w:tc>
          <w:tcPr>
            <w:tcW w:w="28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Pro Forma</w:t>
            </w:r>
          </w:p>
        </w:tc>
        <w:tc>
          <w:tcPr>
            <w:tcW w:w="1580" w:type="dxa"/>
            <w:vAlign w:val="bottom"/>
          </w:tcPr>
          <w:p>
            <w:pPr>
              <w:jc w:val="right"/>
              <w:ind w:right="385"/>
              <w:spacing w:after="0" w:line="129"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vMerge w:val="continue"/>
          </w:tcPr>
          <w:p>
            <w:pPr>
              <w:spacing w:after="0"/>
              <w:rPr>
                <w:sz w:val="14"/>
                <w:szCs w:val="14"/>
                <w:color w:val="auto"/>
              </w:rPr>
            </w:pPr>
          </w:p>
        </w:tc>
        <w:tc>
          <w:tcPr>
            <w:tcW w:w="158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As Adjusted</w:t>
            </w:r>
          </w:p>
        </w:tc>
        <w:tc>
          <w:tcPr>
            <w:tcW w:w="0" w:type="dxa"/>
            <w:vAlign w:val="bottom"/>
          </w:tcPr>
          <w:p>
            <w:pPr>
              <w:spacing w:after="0"/>
              <w:rPr>
                <w:sz w:val="1"/>
                <w:szCs w:val="1"/>
                <w:color w:val="auto"/>
              </w:rPr>
            </w:pPr>
          </w:p>
        </w:tc>
      </w:tr>
      <w:tr>
        <w:trPr>
          <w:trHeight w:val="167"/>
        </w:trPr>
        <w:tc>
          <w:tcPr>
            <w:tcW w:w="1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40" w:type="dxa"/>
            <w:vAlign w:val="bottom"/>
            <w:gridSpan w:val="6"/>
          </w:tcPr>
          <w:p>
            <w:pPr>
              <w:ind w:left="480"/>
              <w:spacing w:after="0"/>
              <w:rPr>
                <w:sz w:val="20"/>
                <w:szCs w:val="20"/>
                <w:color w:val="auto"/>
              </w:rPr>
            </w:pPr>
            <w:r>
              <w:rPr>
                <w:rFonts w:ascii="Arial" w:cs="Arial" w:eastAsia="Arial" w:hAnsi="Arial"/>
                <w:sz w:val="13"/>
                <w:szCs w:val="13"/>
                <w:b w:val="1"/>
                <w:bCs w:val="1"/>
                <w:color w:val="auto"/>
              </w:rPr>
              <w:t>(in thousands, except for share and per share data)</w:t>
            </w:r>
          </w:p>
        </w:tc>
        <w:tc>
          <w:tcPr>
            <w:tcW w:w="0" w:type="dxa"/>
            <w:vAlign w:val="bottom"/>
          </w:tcPr>
          <w:p>
            <w:pPr>
              <w:spacing w:after="0"/>
              <w:rPr>
                <w:sz w:val="1"/>
                <w:szCs w:val="1"/>
                <w:color w:val="auto"/>
              </w:rPr>
            </w:pPr>
          </w:p>
        </w:tc>
      </w:tr>
      <w:tr>
        <w:trPr>
          <w:trHeight w:val="23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0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64,485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64,485</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38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Long-term debt</w:t>
            </w: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7"/>
                <w:szCs w:val="17"/>
                <w:color w:val="auto"/>
              </w:rPr>
              <w:t>34,460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7"/>
                <w:szCs w:val="17"/>
                <w:color w:val="auto"/>
              </w:rPr>
              <w:t>34,460</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700" w:type="dxa"/>
            <w:vAlign w:val="bottom"/>
            <w:gridSpan w:val="6"/>
            <w:shd w:val="clear" w:color="auto" w:fill="CCEEFF"/>
          </w:tcPr>
          <w:p>
            <w:pPr>
              <w:ind w:left="20"/>
              <w:spacing w:after="0" w:line="162" w:lineRule="exact"/>
              <w:rPr>
                <w:sz w:val="20"/>
                <w:szCs w:val="20"/>
                <w:color w:val="auto"/>
              </w:rPr>
            </w:pPr>
            <w:r>
              <w:rPr>
                <w:rFonts w:ascii="Arial" w:cs="Arial" w:eastAsia="Arial" w:hAnsi="Arial"/>
                <w:sz w:val="17"/>
                <w:szCs w:val="17"/>
                <w:color w:val="auto"/>
              </w:rPr>
              <w:t>Convertible preferred stock: $0.0001 par value; 68,139,958 shares authorized,</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gridSpan w:val="6"/>
            <w:shd w:val="clear" w:color="auto" w:fill="CCEEFF"/>
          </w:tcPr>
          <w:p>
            <w:pPr>
              <w:ind w:left="160"/>
              <w:spacing w:after="0" w:line="162" w:lineRule="exact"/>
              <w:rPr>
                <w:sz w:val="20"/>
                <w:szCs w:val="20"/>
                <w:color w:val="auto"/>
              </w:rPr>
            </w:pPr>
            <w:r>
              <w:rPr>
                <w:rFonts w:ascii="Arial" w:cs="Arial" w:eastAsia="Arial" w:hAnsi="Arial"/>
                <w:sz w:val="17"/>
                <w:szCs w:val="17"/>
                <w:color w:val="auto"/>
              </w:rPr>
              <w:t>65,970,938 shares issued and outstanding, actual; no shares authorized, issued</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247,041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3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and outstanding, pro forma and pro forma as adjusted</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Stockholders’ (deficit) equity:</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00" w:type="dxa"/>
            <w:vAlign w:val="bottom"/>
            <w:gridSpan w:val="6"/>
            <w:shd w:val="clear" w:color="auto" w:fill="CCEEFF"/>
          </w:tcPr>
          <w:p>
            <w:pPr>
              <w:ind w:left="220"/>
              <w:spacing w:after="0" w:line="162" w:lineRule="exact"/>
              <w:rPr>
                <w:sz w:val="20"/>
                <w:szCs w:val="20"/>
                <w:color w:val="auto"/>
              </w:rPr>
            </w:pPr>
            <w:r>
              <w:rPr>
                <w:rFonts w:ascii="Arial" w:cs="Arial" w:eastAsia="Arial" w:hAnsi="Arial"/>
                <w:sz w:val="17"/>
                <w:szCs w:val="17"/>
                <w:color w:val="auto"/>
              </w:rPr>
              <w:t>Preferred stock, par value $0.0001 per share: no shares authorized, issued and</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360"/>
              <w:spacing w:after="0" w:line="162" w:lineRule="exact"/>
              <w:rPr>
                <w:sz w:val="20"/>
                <w:szCs w:val="20"/>
                <w:color w:val="auto"/>
              </w:rPr>
            </w:pPr>
            <w:r>
              <w:rPr>
                <w:rFonts w:ascii="Arial" w:cs="Arial" w:eastAsia="Arial" w:hAnsi="Arial"/>
                <w:sz w:val="17"/>
                <w:szCs w:val="17"/>
                <w:color w:val="auto"/>
              </w:rPr>
              <w:t>outstanding, actual;</w:t>
            </w:r>
          </w:p>
        </w:tc>
        <w:tc>
          <w:tcPr>
            <w:tcW w:w="4840" w:type="dxa"/>
            <w:vAlign w:val="bottom"/>
            <w:gridSpan w:val="5"/>
            <w:shd w:val="clear" w:color="auto" w:fill="CCEEFF"/>
          </w:tcPr>
          <w:p>
            <w:pPr>
              <w:jc w:val="right"/>
              <w:ind w:right="417"/>
              <w:spacing w:after="0" w:line="162" w:lineRule="exact"/>
              <w:rPr>
                <w:sz w:val="20"/>
                <w:szCs w:val="20"/>
                <w:color w:val="auto"/>
              </w:rPr>
            </w:pPr>
            <w:r>
              <w:rPr>
                <w:rFonts w:ascii="Arial" w:cs="Arial" w:eastAsia="Arial" w:hAnsi="Arial"/>
                <w:sz w:val="17"/>
                <w:szCs w:val="17"/>
                <w:color w:val="auto"/>
              </w:rPr>
              <w:t>shares authorized, no shares issued and outstanding,</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pro forma and pro forma as adjusted</w:t>
            </w:r>
          </w:p>
        </w:tc>
        <w:tc>
          <w:tcPr>
            <w:tcW w:w="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00" w:type="dxa"/>
            <w:vAlign w:val="bottom"/>
            <w:gridSpan w:val="6"/>
          </w:tcPr>
          <w:p>
            <w:pPr>
              <w:ind w:left="220"/>
              <w:spacing w:after="0" w:line="162" w:lineRule="exact"/>
              <w:rPr>
                <w:sz w:val="20"/>
                <w:szCs w:val="20"/>
                <w:color w:val="auto"/>
              </w:rPr>
            </w:pPr>
            <w:r>
              <w:rPr>
                <w:rFonts w:ascii="Arial" w:cs="Arial" w:eastAsia="Arial" w:hAnsi="Arial"/>
                <w:sz w:val="17"/>
                <w:szCs w:val="17"/>
                <w:color w:val="auto"/>
              </w:rPr>
              <w:t>Common stock, $0.0001 par value; 110,000,000 shares authorized, 12,889,760</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gridSpan w:val="6"/>
          </w:tcPr>
          <w:p>
            <w:pPr>
              <w:ind w:left="360"/>
              <w:spacing w:after="0" w:line="162" w:lineRule="exact"/>
              <w:rPr>
                <w:sz w:val="20"/>
                <w:szCs w:val="20"/>
                <w:color w:val="auto"/>
              </w:rPr>
            </w:pPr>
            <w:r>
              <w:rPr>
                <w:rFonts w:ascii="Arial" w:cs="Arial" w:eastAsia="Arial" w:hAnsi="Arial"/>
                <w:sz w:val="17"/>
                <w:szCs w:val="17"/>
                <w:color w:val="auto"/>
              </w:rPr>
              <w:t>shares issued and outstanding, actual; no shares authorized, issued and</w:t>
            </w: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320" w:type="dxa"/>
            <w:vAlign w:val="bottom"/>
            <w:gridSpan w:val="4"/>
          </w:tcPr>
          <w:p>
            <w:pPr>
              <w:ind w:left="360"/>
              <w:spacing w:after="0"/>
              <w:rPr>
                <w:sz w:val="20"/>
                <w:szCs w:val="20"/>
                <w:color w:val="auto"/>
              </w:rPr>
            </w:pPr>
            <w:r>
              <w:rPr>
                <w:rFonts w:ascii="Arial" w:cs="Arial" w:eastAsia="Arial" w:hAnsi="Arial"/>
                <w:sz w:val="17"/>
                <w:szCs w:val="17"/>
                <w:color w:val="auto"/>
              </w:rPr>
              <w:t>outstanding, pro forma and pro forma as adjusted</w:t>
            </w: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00" w:type="dxa"/>
            <w:vAlign w:val="bottom"/>
            <w:gridSpan w:val="6"/>
            <w:shd w:val="clear" w:color="auto" w:fill="CCEEFF"/>
          </w:tcPr>
          <w:p>
            <w:pPr>
              <w:ind w:left="220"/>
              <w:spacing w:after="0" w:line="162" w:lineRule="exact"/>
              <w:rPr>
                <w:sz w:val="20"/>
                <w:szCs w:val="20"/>
                <w:color w:val="auto"/>
              </w:rPr>
            </w:pPr>
            <w:r>
              <w:rPr>
                <w:rFonts w:ascii="Arial" w:cs="Arial" w:eastAsia="Arial" w:hAnsi="Arial"/>
                <w:sz w:val="17"/>
                <w:szCs w:val="17"/>
                <w:color w:val="auto"/>
              </w:rPr>
              <w:t>Class A common stock, par value $0.0001 per share: no shares authorized, issued</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shd w:val="clear" w:color="auto" w:fill="CCEEFF"/>
          </w:tcPr>
          <w:p>
            <w:pPr>
              <w:ind w:left="360"/>
              <w:spacing w:after="0" w:line="162" w:lineRule="exact"/>
              <w:rPr>
                <w:sz w:val="20"/>
                <w:szCs w:val="20"/>
                <w:color w:val="auto"/>
              </w:rPr>
            </w:pPr>
            <w:r>
              <w:rPr>
                <w:rFonts w:ascii="Arial" w:cs="Arial" w:eastAsia="Arial" w:hAnsi="Arial"/>
                <w:sz w:val="17"/>
                <w:szCs w:val="17"/>
                <w:color w:val="auto"/>
              </w:rPr>
              <w:t>and outstanding, actual;</w:t>
            </w:r>
          </w:p>
        </w:tc>
        <w:tc>
          <w:tcPr>
            <w:tcW w:w="180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7"/>
                <w:szCs w:val="17"/>
                <w:color w:val="auto"/>
              </w:rPr>
              <w:t>shares authorized,</w:t>
            </w:r>
          </w:p>
        </w:tc>
        <w:tc>
          <w:tcPr>
            <w:tcW w:w="2380" w:type="dxa"/>
            <w:vAlign w:val="bottom"/>
            <w:gridSpan w:val="2"/>
            <w:shd w:val="clear" w:color="auto" w:fill="CCEEFF"/>
          </w:tcPr>
          <w:p>
            <w:pPr>
              <w:jc w:val="right"/>
              <w:ind w:right="857"/>
              <w:spacing w:after="0" w:line="162" w:lineRule="exact"/>
              <w:rPr>
                <w:sz w:val="20"/>
                <w:szCs w:val="20"/>
                <w:color w:val="auto"/>
              </w:rPr>
            </w:pPr>
            <w:r>
              <w:rPr>
                <w:rFonts w:ascii="Arial" w:cs="Arial" w:eastAsia="Arial" w:hAnsi="Arial"/>
                <w:sz w:val="17"/>
                <w:szCs w:val="17"/>
                <w:color w:val="auto"/>
              </w:rPr>
              <w:t>shares issued and</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shd w:val="clear" w:color="auto" w:fill="CCEEFF"/>
          </w:tcPr>
          <w:p>
            <w:pPr>
              <w:ind w:left="360"/>
              <w:spacing w:after="0" w:line="162" w:lineRule="exact"/>
              <w:rPr>
                <w:sz w:val="20"/>
                <w:szCs w:val="20"/>
                <w:color w:val="auto"/>
              </w:rPr>
            </w:pPr>
            <w:r>
              <w:rPr>
                <w:rFonts w:ascii="Arial" w:cs="Arial" w:eastAsia="Arial" w:hAnsi="Arial"/>
                <w:sz w:val="17"/>
                <w:szCs w:val="17"/>
                <w:color w:val="auto"/>
              </w:rPr>
              <w:t>outstanding, pro forma; and</w:t>
            </w:r>
          </w:p>
        </w:tc>
        <w:tc>
          <w:tcPr>
            <w:tcW w:w="1800" w:type="dxa"/>
            <w:vAlign w:val="bottom"/>
            <w:gridSpan w:val="2"/>
            <w:shd w:val="clear" w:color="auto" w:fill="CCEEFF"/>
          </w:tcPr>
          <w:p>
            <w:pPr>
              <w:ind w:left="340"/>
              <w:spacing w:after="0" w:line="162" w:lineRule="exact"/>
              <w:rPr>
                <w:sz w:val="20"/>
                <w:szCs w:val="20"/>
                <w:color w:val="auto"/>
              </w:rPr>
            </w:pPr>
            <w:r>
              <w:rPr>
                <w:rFonts w:ascii="Arial" w:cs="Arial" w:eastAsia="Arial" w:hAnsi="Arial"/>
                <w:sz w:val="17"/>
                <w:szCs w:val="17"/>
                <w:color w:val="auto"/>
              </w:rPr>
              <w:t>shares authorized,</w:t>
            </w:r>
          </w:p>
        </w:tc>
        <w:tc>
          <w:tcPr>
            <w:tcW w:w="2380" w:type="dxa"/>
            <w:vAlign w:val="bottom"/>
            <w:gridSpan w:val="2"/>
            <w:shd w:val="clear" w:color="auto" w:fill="CCEEFF"/>
          </w:tcPr>
          <w:p>
            <w:pPr>
              <w:jc w:val="right"/>
              <w:ind w:right="597"/>
              <w:spacing w:after="0" w:line="162" w:lineRule="exact"/>
              <w:rPr>
                <w:sz w:val="20"/>
                <w:szCs w:val="20"/>
                <w:color w:val="auto"/>
              </w:rPr>
            </w:pPr>
            <w:r>
              <w:rPr>
                <w:rFonts w:ascii="Arial" w:cs="Arial" w:eastAsia="Arial" w:hAnsi="Arial"/>
                <w:sz w:val="17"/>
                <w:szCs w:val="17"/>
                <w:color w:val="auto"/>
              </w:rPr>
              <w:t>shares issued and</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outstanding, pro forma as adjusted</w:t>
            </w:r>
          </w:p>
        </w:tc>
        <w:tc>
          <w:tcPr>
            <w:tcW w:w="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00" w:type="dxa"/>
            <w:vAlign w:val="bottom"/>
            <w:gridSpan w:val="6"/>
          </w:tcPr>
          <w:p>
            <w:pPr>
              <w:ind w:left="220"/>
              <w:spacing w:after="0" w:line="162" w:lineRule="exact"/>
              <w:rPr>
                <w:sz w:val="20"/>
                <w:szCs w:val="20"/>
                <w:color w:val="auto"/>
              </w:rPr>
            </w:pPr>
            <w:r>
              <w:rPr>
                <w:rFonts w:ascii="Arial" w:cs="Arial" w:eastAsia="Arial" w:hAnsi="Arial"/>
                <w:sz w:val="17"/>
                <w:szCs w:val="17"/>
                <w:color w:val="auto"/>
              </w:rPr>
              <w:t>Class B common stock, par value $0.0001 per share: no shares authorized, issued</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tcPr>
          <w:p>
            <w:pPr>
              <w:ind w:left="360"/>
              <w:spacing w:after="0" w:line="162" w:lineRule="exact"/>
              <w:rPr>
                <w:sz w:val="20"/>
                <w:szCs w:val="20"/>
                <w:color w:val="auto"/>
              </w:rPr>
            </w:pPr>
            <w:r>
              <w:rPr>
                <w:rFonts w:ascii="Arial" w:cs="Arial" w:eastAsia="Arial" w:hAnsi="Arial"/>
                <w:sz w:val="17"/>
                <w:szCs w:val="17"/>
                <w:color w:val="auto"/>
              </w:rPr>
              <w:t>and outstanding, actual;</w:t>
            </w:r>
          </w:p>
        </w:tc>
        <w:tc>
          <w:tcPr>
            <w:tcW w:w="1040" w:type="dxa"/>
            <w:vAlign w:val="bottom"/>
          </w:tcPr>
          <w:p>
            <w:pPr>
              <w:ind w:left="60"/>
              <w:spacing w:after="0" w:line="162" w:lineRule="exact"/>
              <w:rPr>
                <w:sz w:val="20"/>
                <w:szCs w:val="20"/>
                <w:color w:val="auto"/>
              </w:rPr>
            </w:pPr>
            <w:r>
              <w:rPr>
                <w:rFonts w:ascii="Arial" w:cs="Arial" w:eastAsia="Arial" w:hAnsi="Arial"/>
                <w:sz w:val="17"/>
                <w:szCs w:val="17"/>
                <w:color w:val="auto"/>
              </w:rPr>
              <w:t>authorized,</w:t>
            </w:r>
          </w:p>
        </w:tc>
        <w:tc>
          <w:tcPr>
            <w:tcW w:w="3140" w:type="dxa"/>
            <w:vAlign w:val="bottom"/>
            <w:gridSpan w:val="3"/>
          </w:tcPr>
          <w:p>
            <w:pPr>
              <w:jc w:val="right"/>
              <w:ind w:right="457"/>
              <w:spacing w:after="0" w:line="162" w:lineRule="exact"/>
              <w:rPr>
                <w:sz w:val="20"/>
                <w:szCs w:val="20"/>
                <w:color w:val="auto"/>
              </w:rPr>
            </w:pPr>
            <w:r>
              <w:rPr>
                <w:rFonts w:ascii="Arial" w:cs="Arial" w:eastAsia="Arial" w:hAnsi="Arial"/>
                <w:sz w:val="17"/>
                <w:szCs w:val="17"/>
                <w:color w:val="auto"/>
              </w:rPr>
              <w:t>shares issued and outstanding,</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360"/>
              <w:spacing w:after="0" w:line="162" w:lineRule="exact"/>
              <w:rPr>
                <w:sz w:val="20"/>
                <w:szCs w:val="20"/>
                <w:color w:val="auto"/>
              </w:rPr>
            </w:pPr>
            <w:r>
              <w:rPr>
                <w:rFonts w:ascii="Arial" w:cs="Arial" w:eastAsia="Arial" w:hAnsi="Arial"/>
                <w:sz w:val="17"/>
                <w:szCs w:val="17"/>
                <w:color w:val="auto"/>
              </w:rPr>
              <w:t>pro forma; and</w:t>
            </w:r>
          </w:p>
        </w:tc>
        <w:tc>
          <w:tcPr>
            <w:tcW w:w="1700" w:type="dxa"/>
            <w:vAlign w:val="bottom"/>
            <w:gridSpan w:val="2"/>
          </w:tcPr>
          <w:p>
            <w:pPr>
              <w:ind w:left="40"/>
              <w:spacing w:after="0" w:line="162" w:lineRule="exact"/>
              <w:rPr>
                <w:sz w:val="20"/>
                <w:szCs w:val="20"/>
                <w:color w:val="auto"/>
              </w:rPr>
            </w:pPr>
            <w:r>
              <w:rPr>
                <w:rFonts w:ascii="Arial" w:cs="Arial" w:eastAsia="Arial" w:hAnsi="Arial"/>
                <w:sz w:val="17"/>
                <w:szCs w:val="17"/>
                <w:color w:val="auto"/>
              </w:rPr>
              <w:t>shares authorized,</w:t>
            </w:r>
          </w:p>
        </w:tc>
        <w:tc>
          <w:tcPr>
            <w:tcW w:w="3140" w:type="dxa"/>
            <w:vAlign w:val="bottom"/>
            <w:gridSpan w:val="3"/>
          </w:tcPr>
          <w:p>
            <w:pPr>
              <w:jc w:val="right"/>
              <w:ind w:right="297"/>
              <w:spacing w:after="0" w:line="162" w:lineRule="exact"/>
              <w:rPr>
                <w:sz w:val="20"/>
                <w:szCs w:val="20"/>
                <w:color w:val="auto"/>
              </w:rPr>
            </w:pPr>
            <w:r>
              <w:rPr>
                <w:rFonts w:ascii="Arial" w:cs="Arial" w:eastAsia="Arial" w:hAnsi="Arial"/>
                <w:sz w:val="17"/>
                <w:szCs w:val="17"/>
                <w:color w:val="auto"/>
              </w:rPr>
              <w:t>shares issued and outstanding, pro</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860" w:type="dxa"/>
            <w:vAlign w:val="bottom"/>
          </w:tcPr>
          <w:p>
            <w:pPr>
              <w:ind w:left="360"/>
              <w:spacing w:after="0"/>
              <w:rPr>
                <w:sz w:val="20"/>
                <w:szCs w:val="20"/>
                <w:color w:val="auto"/>
              </w:rPr>
            </w:pPr>
            <w:r>
              <w:rPr>
                <w:rFonts w:ascii="Arial" w:cs="Arial" w:eastAsia="Arial" w:hAnsi="Arial"/>
                <w:sz w:val="17"/>
                <w:szCs w:val="17"/>
                <w:color w:val="auto"/>
              </w:rPr>
              <w:t>forma as adjusted</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277,829</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gridSpan w:val="3"/>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w w:val="98"/>
              </w:rPr>
              <w:t>(252,167)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(252,167)</w:t>
            </w:r>
          </w:p>
        </w:tc>
        <w:tc>
          <w:tcPr>
            <w:tcW w:w="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w w:val="98"/>
              </w:rPr>
              <w:t>Total stockholders’ (deficit) equity</w:t>
            </w:r>
          </w:p>
        </w:tc>
        <w:tc>
          <w:tcPr>
            <w:tcW w:w="10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w w:val="98"/>
              </w:rPr>
              <w:t>(222,177)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25,670</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capitalization</w:t>
            </w:r>
          </w:p>
        </w:tc>
        <w:tc>
          <w:tcPr>
            <w:tcW w:w="6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59,324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60,130</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8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and cash equivalents, additional paid-in capital, total stockholders’ (deficit) equity, total capitalization and shares of Class A common stock issued and</w:t>
      </w:r>
    </w:p>
    <w:p>
      <w:pPr>
        <w:spacing w:after="0" w:line="1" w:lineRule="exact"/>
        <w:rPr>
          <w:sz w:val="20"/>
          <w:szCs w:val="20"/>
          <w:color w:val="auto"/>
        </w:rPr>
      </w:pPr>
    </w:p>
    <w:p>
      <w:pPr>
        <w:spacing w:after="0"/>
        <w:tabs>
          <w:tab w:leader="none" w:pos="3820" w:val="left"/>
          <w:tab w:leader="none" w:pos="4700" w:val="left"/>
          <w:tab w:leader="none" w:pos="5600" w:val="left"/>
          <w:tab w:leader="none" w:pos="6480" w:val="left"/>
          <w:tab w:leader="none" w:pos="7820" w:val="left"/>
        </w:tabs>
        <w:rPr>
          <w:sz w:val="20"/>
          <w:szCs w:val="20"/>
          <w:color w:val="auto"/>
        </w:rPr>
      </w:pPr>
      <w:r>
        <w:rPr>
          <w:rFonts w:ascii="Arial" w:cs="Arial" w:eastAsia="Arial" w:hAnsi="Arial"/>
          <w:sz w:val="17"/>
          <w:szCs w:val="17"/>
          <w:color w:val="auto"/>
        </w:rPr>
        <w:t>outstanding as of December 31, 2020 would be $</w:t>
        <w:tab/>
        <w:t>million, $</w:t>
        <w:tab/>
        <w:t>million, $</w:t>
        <w:tab/>
        <w:t>million, $</w:t>
        <w:tab/>
        <w:t>million and</w:t>
      </w:r>
      <w:r>
        <w:rPr>
          <w:sz w:val="20"/>
          <w:szCs w:val="20"/>
          <w:color w:val="auto"/>
        </w:rPr>
        <w:tab/>
      </w:r>
      <w:r>
        <w:rPr>
          <w:rFonts w:ascii="Arial" w:cs="Arial" w:eastAsia="Arial" w:hAnsi="Arial"/>
          <w:sz w:val="16"/>
          <w:szCs w:val="16"/>
          <w:color w:val="auto"/>
        </w:rPr>
        <w:t>shares, respectively.</w:t>
      </w:r>
    </w:p>
    <w:p>
      <w:pPr>
        <w:spacing w:after="0" w:line="13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Each $1.00 increase or decrease in the assumed initial public offering price of $ per share, which is the midpoint of the estimated offering price range set forth on the cover page of this prospectus, would increase or decrease, as applicable, our cash and cash equivalents, additional paid-in capital and total stockholders’ (deficit) equity by approximately $ million, assuming that the number of shares offered by us, as set forth on the cover page of this prospectus, remains the same and after deducting the estimated underwriting discounts and commissions payable by us. Similarly, each increase or decrease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million shares in the number of shares of our Class A common stock offered by us would increase or decrease, as applicable, our cash and cash equivalents, additional paid-in capital and total stockholders’ (deficit) equity by approximately $ million, assuming the assumed initial public offering price remains the same, and after deducting underwriting discounts and commissions payable by us.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pro forma column in the table above is based on no shares of Class A and 78,860,698 shares of Class B common stock outstanding as of</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excludes:</w:t>
      </w:r>
    </w:p>
    <w:p>
      <w:pPr>
        <w:spacing w:after="0" w:line="133" w:lineRule="exact"/>
        <w:rPr>
          <w:sz w:val="20"/>
          <w:szCs w:val="20"/>
          <w:color w:val="auto"/>
        </w:rPr>
      </w:pPr>
    </w:p>
    <w:p>
      <w:pPr>
        <w:ind w:left="600" w:hanging="302"/>
        <w:spacing w:after="0" w:line="277" w:lineRule="auto"/>
        <w:tabs>
          <w:tab w:leader="none" w:pos="5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22,774,949 shares of our Class B common stock issuable upon the exercise of options to purchase shares of our Class B common stock that were outstanding as of December 31, 2020, with a weighted-average exercise price of $1.81 per share;</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923,291 shares of our Class B common stock issuable upon the exercise of options to purchase shares of our Class B common stock granted after December 31, 2020, with a weighted-average exercise price of $6.54 per share;</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148,994 shares of Class B common stock issuable pursuant to warrants to purchase shares of our convertible preferred stock outstanding as of December 31, 2020, with a weighted-average exercise price of $5.58 per share on a common equivalent basis;</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15,979 shares of Class B common stock issuable pursuant to warrants to purchase shares of our convertible preferred stock issued since December 31, 2020, with a weighted-average exercise price of $6.26 per share on a common equivalent basis;</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201,582 shares of our Class B common stock reserved for future issuance pursuant to our 2010 Plan, which shares will be added to the shares of our Class A common stock reserved for future issuance under our 2021 Plan; and</w:t>
      </w:r>
    </w:p>
    <w:p>
      <w:pPr>
        <w:spacing w:after="0" w:line="96" w:lineRule="exact"/>
        <w:rPr>
          <w:rFonts w:ascii="Arial" w:cs="Arial" w:eastAsia="Arial" w:hAnsi="Arial"/>
          <w:sz w:val="17"/>
          <w:szCs w:val="17"/>
          <w:color w:val="auto"/>
        </w:rPr>
      </w:pPr>
    </w:p>
    <w:p>
      <w:pPr>
        <w:ind w:left="600" w:hanging="302"/>
        <w:spacing w:after="0" w:line="277" w:lineRule="auto"/>
        <w:tabs>
          <w:tab w:leader="none" w:pos="1567"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share-based compensation plans, to be adopted in connection with this offering, consisting of:</w:t>
      </w:r>
    </w:p>
    <w:p>
      <w:pPr>
        <w:spacing w:after="0" w:line="96" w:lineRule="exact"/>
        <w:rPr>
          <w:rFonts w:ascii="Arial" w:cs="Arial" w:eastAsia="Arial" w:hAnsi="Arial"/>
          <w:sz w:val="17"/>
          <w:szCs w:val="17"/>
          <w:color w:val="auto"/>
        </w:rPr>
      </w:pPr>
    </w:p>
    <w:p>
      <w:pPr>
        <w:ind w:left="1280" w:hanging="982"/>
        <w:spacing w:after="0"/>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2021 Plan; and</w:t>
      </w:r>
    </w:p>
    <w:p>
      <w:pPr>
        <w:spacing w:after="0" w:line="152" w:lineRule="exact"/>
        <w:rPr>
          <w:rFonts w:ascii="Arial" w:cs="Arial" w:eastAsia="Arial" w:hAnsi="Arial"/>
          <w:sz w:val="17"/>
          <w:szCs w:val="17"/>
          <w:color w:val="auto"/>
        </w:rPr>
      </w:pPr>
    </w:p>
    <w:p>
      <w:pPr>
        <w:ind w:left="1280" w:hanging="982"/>
        <w:spacing w:after="0"/>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ESPP.</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Each of our 2021 Plan and ESPP provides for annual automatic increases in the number of shares of our Class A common stock reserved thereunder, and our 2021 Plan also provides for increases to the number of shares of Class A common stock that may be granted thereunder based on shares underlying any awards under our 2010 Plan that expire, are forfeited or are otherwise terminated, as more fully described in the section titled “Executive Compensation—Employee Benefit and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 Net tangible book value dilution per share to new investors represents the difference between the amount per share paid by purchasers of shares of Class A common stock in this offering and the pro forma as adjusted net tangible book value per share of Class A common stock immediately after completion of this offering.</w:t>
      </w:r>
    </w:p>
    <w:p>
      <w:pPr>
        <w:spacing w:after="0" w:line="119"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Net tangible book value per share is determined by dividing our total tangible assets less our total liabilities by the number of shares of common stock outstanding. Our historical net tangible book value deficit as of December 31, 2020 was $224.8 million, or $(17.44) per share. Our pro forma net tangible book value deficit as of December 31, 2020 was $23.1 million, or $0.29 per share, based on the total number of shares of our common stock outstanding as of December 31, 2020, after giving effect to the automatic conversion and reclassification of all outstanding shares of our convertible preferred stock as of December 31, 2020 into an aggregate of 65,970,938 shares of our Class B common stock and the reclassification of the convertible preferred stock warrant liability to additional paid-in capital, which conversion and reclassification will occur immediately prior to the completion of this offering.</w:t>
      </w:r>
    </w:p>
    <w:p>
      <w:pPr>
        <w:spacing w:after="0" w:line="107" w:lineRule="exact"/>
        <w:rPr>
          <w:sz w:val="20"/>
          <w:szCs w:val="20"/>
          <w:color w:val="auto"/>
        </w:rPr>
      </w:pPr>
    </w:p>
    <w:p>
      <w:pPr>
        <w:ind w:left="300"/>
        <w:spacing w:after="0"/>
        <w:tabs>
          <w:tab w:leader="none" w:pos="4040" w:val="left"/>
        </w:tabs>
        <w:rPr>
          <w:sz w:val="20"/>
          <w:szCs w:val="20"/>
          <w:color w:val="auto"/>
        </w:rPr>
      </w:pPr>
      <w:r>
        <w:rPr>
          <w:rFonts w:ascii="Arial" w:cs="Arial" w:eastAsia="Arial" w:hAnsi="Arial"/>
          <w:sz w:val="17"/>
          <w:szCs w:val="17"/>
          <w:color w:val="auto"/>
        </w:rPr>
        <w:t>After giving effect to the sale by us of</w:t>
      </w:r>
      <w:r>
        <w:rPr>
          <w:sz w:val="20"/>
          <w:szCs w:val="20"/>
          <w:color w:val="auto"/>
        </w:rPr>
        <w:tab/>
      </w:r>
      <w:r>
        <w:rPr>
          <w:rFonts w:ascii="Arial" w:cs="Arial" w:eastAsia="Arial" w:hAnsi="Arial"/>
          <w:sz w:val="16"/>
          <w:szCs w:val="16"/>
          <w:color w:val="auto"/>
        </w:rPr>
        <w:t>shares of our Class A common stock in this offering at an assumed initial public offering price of</w:t>
      </w:r>
    </w:p>
    <w:p>
      <w:pPr>
        <w:spacing w:after="0" w:line="24" w:lineRule="exact"/>
        <w:rPr>
          <w:sz w:val="20"/>
          <w:szCs w:val="20"/>
          <w:color w:val="auto"/>
        </w:rPr>
      </w:pPr>
    </w:p>
    <w:p>
      <w:pPr>
        <w:jc w:val="both"/>
        <w:spacing w:after="0" w:line="259" w:lineRule="auto"/>
        <w:tabs>
          <w:tab w:leader="none" w:pos="409"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 of</w:t>
      </w:r>
    </w:p>
    <w:p>
      <w:pPr>
        <w:spacing w:after="0" w:line="1" w:lineRule="exact"/>
        <w:rPr>
          <w:sz w:val="20"/>
          <w:szCs w:val="20"/>
          <w:color w:val="auto"/>
        </w:rPr>
      </w:pPr>
    </w:p>
    <w:p>
      <w:pPr>
        <w:spacing w:after="0"/>
        <w:tabs>
          <w:tab w:leader="none" w:pos="3320" w:val="left"/>
          <w:tab w:leader="none" w:pos="4500" w:val="left"/>
        </w:tabs>
        <w:rPr>
          <w:sz w:val="20"/>
          <w:szCs w:val="20"/>
          <w:color w:val="auto"/>
        </w:rPr>
      </w:pPr>
      <w:r>
        <w:rPr>
          <w:rFonts w:ascii="Arial" w:cs="Arial" w:eastAsia="Arial" w:hAnsi="Arial"/>
          <w:sz w:val="17"/>
          <w:szCs w:val="17"/>
          <w:color w:val="auto"/>
        </w:rPr>
        <w:t>December 31, 2020 would have been $</w:t>
      </w:r>
      <w:r>
        <w:rPr>
          <w:sz w:val="20"/>
          <w:szCs w:val="20"/>
          <w:color w:val="auto"/>
        </w:rPr>
        <w:tab/>
      </w:r>
      <w:r>
        <w:rPr>
          <w:rFonts w:ascii="Arial" w:cs="Arial" w:eastAsia="Arial" w:hAnsi="Arial"/>
          <w:sz w:val="17"/>
          <w:szCs w:val="17"/>
          <w:color w:val="auto"/>
        </w:rPr>
        <w:t>million, or $</w:t>
      </w:r>
      <w:r>
        <w:rPr>
          <w:sz w:val="20"/>
          <w:szCs w:val="20"/>
          <w:color w:val="auto"/>
        </w:rPr>
        <w:tab/>
      </w:r>
      <w:r>
        <w:rPr>
          <w:rFonts w:ascii="Arial" w:cs="Arial" w:eastAsia="Arial" w:hAnsi="Arial"/>
          <w:sz w:val="17"/>
          <w:szCs w:val="17"/>
          <w:color w:val="auto"/>
        </w:rPr>
        <w:t>per share. This represents an immediate increase in pro forma net tangible book value of</w:t>
      </w:r>
    </w:p>
    <w:p>
      <w:pPr>
        <w:spacing w:after="0" w:line="4" w:lineRule="exact"/>
        <w:rPr>
          <w:sz w:val="20"/>
          <w:szCs w:val="20"/>
          <w:color w:val="auto"/>
        </w:rPr>
      </w:pPr>
    </w:p>
    <w:p>
      <w:pPr>
        <w:spacing w:after="0" w:line="252" w:lineRule="auto"/>
        <w:tabs>
          <w:tab w:leader="none" w:pos="366"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 share to our existing stockholders and immediate dilution of $ per share to investors purchasing shares of our Class A common stock in this offering at an assumed initial public offering price. The following table illustrates this dilution: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initial public offering price per share</w:t>
            </w:r>
          </w:p>
        </w:tc>
        <w:tc>
          <w:tcPr>
            <w:tcW w:w="4780" w:type="dxa"/>
            <w:vAlign w:val="bottom"/>
            <w:gridSpan w:val="4"/>
            <w:shd w:val="clear" w:color="auto" w:fill="CCEEFF"/>
          </w:tcPr>
          <w:p>
            <w:pPr>
              <w:jc w:val="right"/>
              <w:ind w:right="1377"/>
              <w:spacing w:after="0"/>
              <w:rPr>
                <w:sz w:val="20"/>
                <w:szCs w:val="20"/>
                <w:color w:val="auto"/>
              </w:rPr>
            </w:pPr>
            <w:r>
              <w:rPr>
                <w:rFonts w:ascii="Arial" w:cs="Arial" w:eastAsia="Arial" w:hAnsi="Arial"/>
                <w:sz w:val="17"/>
                <w:szCs w:val="17"/>
                <w:color w:val="auto"/>
              </w:rPr>
              <w:t>$</w:t>
            </w:r>
          </w:p>
        </w:tc>
      </w:tr>
      <w:tr>
        <w:trPr>
          <w:trHeight w:val="212"/>
        </w:trPr>
        <w:tc>
          <w:tcPr>
            <w:tcW w:w="6460" w:type="dxa"/>
            <w:vAlign w:val="bottom"/>
          </w:tcPr>
          <w:p>
            <w:pPr>
              <w:ind w:left="20"/>
              <w:spacing w:after="0"/>
              <w:rPr>
                <w:sz w:val="20"/>
                <w:szCs w:val="20"/>
                <w:color w:val="auto"/>
              </w:rPr>
            </w:pPr>
            <w:r>
              <w:rPr>
                <w:rFonts w:ascii="Arial" w:cs="Arial" w:eastAsia="Arial" w:hAnsi="Arial"/>
                <w:sz w:val="17"/>
                <w:szCs w:val="17"/>
                <w:color w:val="auto"/>
              </w:rPr>
              <w:t>Pro forma net tangible book value (deficit) per share as of December 31, 2020</w:t>
            </w:r>
          </w:p>
        </w:tc>
        <w:tc>
          <w:tcPr>
            <w:tcW w:w="3120" w:type="dxa"/>
            <w:vAlign w:val="bottom"/>
            <w:gridSpan w:val="2"/>
          </w:tcPr>
          <w:p>
            <w:pPr>
              <w:jc w:val="right"/>
              <w:ind w:right="14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2"/>
        </w:trPr>
        <w:tc>
          <w:tcPr>
            <w:tcW w:w="112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Increase in pro forma net tangible book value (deficit) per share attributable to new investors in this offering</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8"/>
              </w:rPr>
              <w:t>Pro forma as adjusted net tangible book value per share immediately after this offering</w:t>
            </w:r>
          </w:p>
        </w:tc>
        <w:tc>
          <w:tcPr>
            <w:tcW w:w="154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22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Dilution per share to new investors in this offering</w:t>
            </w:r>
          </w:p>
        </w:tc>
        <w:tc>
          <w:tcPr>
            <w:tcW w:w="15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77"/>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317"/>
        </w:trPr>
        <w:tc>
          <w:tcPr>
            <w:tcW w:w="6460" w:type="dxa"/>
            <w:vAlign w:val="bottom"/>
          </w:tcPr>
          <w:p>
            <w:pPr>
              <w:ind w:left="300"/>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780" w:type="dxa"/>
            <w:vAlign w:val="bottom"/>
            <w:gridSpan w:val="4"/>
          </w:tcPr>
          <w:p>
            <w:pPr>
              <w:jc w:val="right"/>
              <w:spacing w:after="0"/>
              <w:rPr>
                <w:sz w:val="20"/>
                <w:szCs w:val="20"/>
                <w:color w:val="auto"/>
              </w:rPr>
            </w:pPr>
            <w:r>
              <w:rPr>
                <w:rFonts w:ascii="Arial" w:cs="Arial" w:eastAsia="Arial" w:hAnsi="Arial"/>
                <w:sz w:val="17"/>
                <w:szCs w:val="17"/>
                <w:color w:val="auto"/>
              </w:rPr>
              <w:t>per share, which is the midpoint of the estimated offering price</w:t>
            </w:r>
          </w:p>
        </w:tc>
      </w:tr>
    </w:tbl>
    <w:p>
      <w:pPr>
        <w:jc w:val="both"/>
        <w:spacing w:after="0" w:line="247" w:lineRule="auto"/>
        <w:rPr>
          <w:sz w:val="20"/>
          <w:szCs w:val="20"/>
          <w:color w:val="auto"/>
        </w:rPr>
      </w:pPr>
      <w:r>
        <w:rPr>
          <w:rFonts w:ascii="Arial" w:cs="Arial" w:eastAsia="Arial" w:hAnsi="Arial"/>
          <w:sz w:val="17"/>
          <w:szCs w:val="17"/>
          <w:color w:val="auto"/>
        </w:rPr>
        <w:t>range set forth on the cover page of this prospectus, would increase or decrease, as applicable, our pro forma as adjusted net tangible book value per share to new investors by $ , and would increase or decrease, as applicable, dilution per share to new investors in this offering by $ , assuming that the number of shares of our Class A common stock offered by us, as set forth on the cover page of this prospectus, remains the same and after deducting estimated underwriting discounts and commissions payable by us.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addition, to the extent any outstanding options to purchase Class B common stock are exercised, new investors would experience further dilution.</w:t>
      </w:r>
    </w:p>
    <w:p>
      <w:pPr>
        <w:spacing w:after="0" w:line="3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If the underwriters exercise their option to purchase additional shares of our Class A common stock from us in full, the pro forma as adjusted net tangible book value per share of our common stock immediately after this offering would be $ per share, and the dilution in pro forma net tangible book value per share to new investors in this offering would be $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following table presents, on a pro forma as adjusted basis as of December 31, 2020, after giving effect to the conversion and reclassification of all outstanding shares of convertible preferred stock into Class B common stock immediately prior to the completion of this offering,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common stock and convertible preferred stock, cash received from the exercise of stock options to purchase Class B common stock, and the average price per share paid or to be paid to us at an assumed initial public offering price of $ per share, which is the midpoint of the estimated offering price range set forth on the cover page of this prospectus, before deducting estimated underwriting discounts and commissions and estimated offering expenses payable by us (amounts in thousands, except of share and per share data and percentages):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2520" w:type="dxa"/>
            <w:vAlign w:val="bottom"/>
            <w:tcBorders>
              <w:bottom w:val="single" w:sz="8" w:color="auto"/>
            </w:tcBorders>
            <w:gridSpan w:val="3"/>
          </w:tcPr>
          <w:p>
            <w:pPr>
              <w:ind w:left="940"/>
              <w:spacing w:after="0"/>
              <w:rPr>
                <w:sz w:val="20"/>
                <w:szCs w:val="20"/>
                <w:color w:val="auto"/>
              </w:rPr>
            </w:pPr>
            <w:r>
              <w:rPr>
                <w:rFonts w:ascii="Arial" w:cs="Arial" w:eastAsia="Arial" w:hAnsi="Arial"/>
                <w:sz w:val="13"/>
                <w:szCs w:val="13"/>
                <w:b w:val="1"/>
                <w:bCs w:val="1"/>
                <w:color w:val="auto"/>
              </w:rPr>
              <w:t>Shares Purchased</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Borders>
              <w:bottom w:val="single" w:sz="8" w:color="auto"/>
            </w:tcBorders>
            <w:gridSpan w:val="3"/>
          </w:tcPr>
          <w:p>
            <w:pPr>
              <w:ind w:left="920"/>
              <w:spacing w:after="0"/>
              <w:rPr>
                <w:sz w:val="20"/>
                <w:szCs w:val="20"/>
                <w:color w:val="auto"/>
              </w:rPr>
            </w:pPr>
            <w:r>
              <w:rPr>
                <w:rFonts w:ascii="Arial" w:cs="Arial" w:eastAsia="Arial" w:hAnsi="Arial"/>
                <w:sz w:val="13"/>
                <w:szCs w:val="13"/>
                <w:b w:val="1"/>
                <w:bCs w:val="1"/>
                <w:color w:val="auto"/>
              </w:rPr>
              <w:t>Total Consideration</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rPr>
              <w:t>Average Price per</w:t>
            </w:r>
          </w:p>
        </w:tc>
      </w:tr>
      <w:tr>
        <w:trPr>
          <w:trHeight w:val="179"/>
        </w:trPr>
        <w:tc>
          <w:tcPr>
            <w:tcW w:w="3580" w:type="dxa"/>
            <w:vAlign w:val="bottom"/>
          </w:tcPr>
          <w:p>
            <w:pPr>
              <w:spacing w:after="0"/>
              <w:rPr>
                <w:sz w:val="15"/>
                <w:szCs w:val="15"/>
                <w:color w:val="auto"/>
              </w:rPr>
            </w:pPr>
          </w:p>
        </w:tc>
        <w:tc>
          <w:tcPr>
            <w:tcW w:w="1480" w:type="dxa"/>
            <w:vAlign w:val="bottom"/>
            <w:gridSpan w:val="2"/>
          </w:tcPr>
          <w:p>
            <w:pPr>
              <w:ind w:left="440"/>
              <w:spacing w:after="0"/>
              <w:rPr>
                <w:sz w:val="20"/>
                <w:szCs w:val="20"/>
                <w:color w:val="auto"/>
              </w:rPr>
            </w:pPr>
            <w:r>
              <w:rPr>
                <w:rFonts w:ascii="Arial" w:cs="Arial" w:eastAsia="Arial" w:hAnsi="Arial"/>
                <w:sz w:val="13"/>
                <w:szCs w:val="13"/>
                <w:b w:val="1"/>
                <w:bCs w:val="1"/>
                <w:color w:val="auto"/>
              </w:rPr>
              <w:t>Number</w:t>
            </w:r>
          </w:p>
        </w:tc>
        <w:tc>
          <w:tcPr>
            <w:tcW w:w="1040" w:type="dxa"/>
            <w:vAlign w:val="bottom"/>
          </w:tcPr>
          <w:p>
            <w:pPr>
              <w:ind w:left="540"/>
              <w:spacing w:after="0"/>
              <w:rPr>
                <w:sz w:val="20"/>
                <w:szCs w:val="20"/>
                <w:color w:val="auto"/>
              </w:rPr>
            </w:pPr>
            <w:r>
              <w:rPr>
                <w:rFonts w:ascii="Arial" w:cs="Arial" w:eastAsia="Arial" w:hAnsi="Arial"/>
                <w:sz w:val="13"/>
                <w:szCs w:val="13"/>
                <w:b w:val="1"/>
                <w:bCs w:val="1"/>
                <w:color w:val="auto"/>
              </w:rPr>
              <w:t>Percent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460"/>
              <w:spacing w:after="0"/>
              <w:rPr>
                <w:sz w:val="20"/>
                <w:szCs w:val="20"/>
                <w:color w:val="auto"/>
              </w:rPr>
            </w:pPr>
            <w:r>
              <w:rPr>
                <w:rFonts w:ascii="Arial" w:cs="Arial" w:eastAsia="Arial" w:hAnsi="Arial"/>
                <w:sz w:val="13"/>
                <w:szCs w:val="13"/>
                <w:b w:val="1"/>
                <w:bCs w:val="1"/>
                <w:color w:val="auto"/>
              </w:rPr>
              <w:t>Amount</w:t>
            </w:r>
          </w:p>
        </w:tc>
        <w:tc>
          <w:tcPr>
            <w:tcW w:w="1040" w:type="dxa"/>
            <w:vAlign w:val="bottom"/>
          </w:tcPr>
          <w:p>
            <w:pPr>
              <w:ind w:left="540"/>
              <w:spacing w:after="0"/>
              <w:rPr>
                <w:sz w:val="20"/>
                <w:szCs w:val="20"/>
                <w:color w:val="auto"/>
              </w:rPr>
            </w:pPr>
            <w:r>
              <w:rPr>
                <w:rFonts w:ascii="Arial" w:cs="Arial" w:eastAsia="Arial" w:hAnsi="Arial"/>
                <w:sz w:val="13"/>
                <w:szCs w:val="13"/>
                <w:b w:val="1"/>
                <w:bCs w:val="1"/>
                <w:color w:val="auto"/>
              </w:rPr>
              <w:t>Percent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9"/>
              </w:rPr>
              <w:t>Share</w:t>
            </w:r>
          </w:p>
        </w:tc>
      </w:tr>
      <w:tr>
        <w:trPr>
          <w:trHeight w:val="20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Existing stockholders</w:t>
            </w: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1225"/>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1208"/>
              <w:spacing w:after="0"/>
              <w:rPr>
                <w:sz w:val="20"/>
                <w:szCs w:val="20"/>
                <w:color w:val="auto"/>
              </w:rPr>
            </w:pPr>
            <w:r>
              <w:rPr>
                <w:rFonts w:ascii="Arial" w:cs="Arial" w:eastAsia="Arial" w:hAnsi="Arial"/>
                <w:sz w:val="17"/>
                <w:szCs w:val="17"/>
                <w:color w:val="auto"/>
              </w:rPr>
              <w:t>$</w:t>
            </w:r>
          </w:p>
        </w:tc>
      </w:tr>
      <w:tr>
        <w:trPr>
          <w:trHeight w:val="212"/>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New investors</w:t>
            </w: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r>
      <w:tr>
        <w:trPr>
          <w:trHeight w:val="224"/>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Totals</w:t>
            </w:r>
          </w:p>
        </w:tc>
        <w:tc>
          <w:tcPr>
            <w:tcW w:w="1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25"/>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7"/>
        </w:trPr>
        <w:tc>
          <w:tcPr>
            <w:tcW w:w="6360" w:type="dxa"/>
            <w:vAlign w:val="bottom"/>
            <w:gridSpan w:val="5"/>
          </w:tcPr>
          <w:p>
            <w:pPr>
              <w:ind w:left="300"/>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880" w:type="dxa"/>
            <w:vAlign w:val="bottom"/>
            <w:gridSpan w:val="8"/>
          </w:tcPr>
          <w:p>
            <w:pPr>
              <w:jc w:val="right"/>
              <w:spacing w:after="0"/>
              <w:rPr>
                <w:sz w:val="20"/>
                <w:szCs w:val="20"/>
                <w:color w:val="auto"/>
              </w:rPr>
            </w:pPr>
            <w:r>
              <w:rPr>
                <w:rFonts w:ascii="Arial" w:cs="Arial" w:eastAsia="Arial" w:hAnsi="Arial"/>
                <w:sz w:val="17"/>
                <w:szCs w:val="17"/>
                <w:color w:val="auto"/>
              </w:rPr>
              <w:t>per share, which is the midpoint of the estimated offering price</w:t>
            </w:r>
          </w:p>
        </w:tc>
      </w:tr>
    </w:tbl>
    <w:p>
      <w:pPr>
        <w:jc w:val="both"/>
        <w:spacing w:after="0" w:line="267" w:lineRule="auto"/>
        <w:rPr>
          <w:sz w:val="20"/>
          <w:szCs w:val="20"/>
          <w:color w:val="auto"/>
        </w:rPr>
      </w:pPr>
      <w:r>
        <w:rPr>
          <w:rFonts w:ascii="Arial" w:cs="Arial" w:eastAsia="Arial" w:hAnsi="Arial"/>
          <w:sz w:val="16"/>
          <w:szCs w:val="16"/>
          <w:color w:val="auto"/>
        </w:rPr>
        <w:t>range set forth on the cover page of this prospectus, would increase or decrease, as applicable, the total consideration paid by new investors and total consideration paid by all stockholders by approximately $ million, assuming that the number of shares of Class A common stock offered by us, as set forth on the cover page of this prospectus, remains the same and after deducting estimated underwriting discounts and commissions payable by us. In addition, to the extent any outstanding options to purchase Class B common stock are exercised, new investors will experience further dilution.</w:t>
      </w:r>
    </w:p>
    <w:p>
      <w:pPr>
        <w:spacing w:after="0" w:line="107"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Except as otherwise indicated, the above discussion and tables assume no exercise of the underwriters’ option to purchase additional shares of Class A common stock. If the underwriters exercise their option to purchase additional shares of Class A common stock in full from us, our existing stockholders would own % and our new investors would own % of the total number of shares of our common stock outstanding upon the completion of this offering.</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number of shares of Class A common stock and Class B common stock that will be outstanding after this offering is based on no shares of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and 78,860,698 shares of our Class B common stock outstanding as of December 31, 2020 and excludes:</w:t>
      </w:r>
    </w:p>
    <w:p>
      <w:pPr>
        <w:spacing w:after="0" w:line="133" w:lineRule="exact"/>
        <w:rPr>
          <w:sz w:val="20"/>
          <w:szCs w:val="20"/>
          <w:color w:val="auto"/>
        </w:rPr>
      </w:pPr>
    </w:p>
    <w:p>
      <w:pPr>
        <w:ind w:left="600" w:hanging="302"/>
        <w:spacing w:after="0" w:line="277" w:lineRule="auto"/>
        <w:tabs>
          <w:tab w:leader="none" w:pos="596" w:val="left"/>
        </w:tabs>
        <w:numPr>
          <w:ilvl w:val="0"/>
          <w:numId w:val="56"/>
        </w:numPr>
        <w:rPr>
          <w:rFonts w:ascii="Arial" w:cs="Arial" w:eastAsia="Arial" w:hAnsi="Arial"/>
          <w:sz w:val="17"/>
          <w:szCs w:val="17"/>
          <w:color w:val="auto"/>
        </w:rPr>
      </w:pPr>
      <w:r>
        <w:rPr>
          <w:rFonts w:ascii="Arial" w:cs="Arial" w:eastAsia="Arial" w:hAnsi="Arial"/>
          <w:sz w:val="17"/>
          <w:szCs w:val="17"/>
          <w:color w:val="auto"/>
        </w:rPr>
        <w:t>22,774,949 shares of our Class B common stock issuable upon the exercise of options to purchase shares of our Class B common stock that were outstanding as of December 31, 2020, with a weighted-average exercise price of $1.81 per share;</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6"/>
        </w:numPr>
        <w:rPr>
          <w:rFonts w:ascii="Arial" w:cs="Arial" w:eastAsia="Arial" w:hAnsi="Arial"/>
          <w:sz w:val="17"/>
          <w:szCs w:val="17"/>
          <w:color w:val="auto"/>
        </w:rPr>
      </w:pPr>
      <w:r>
        <w:rPr>
          <w:rFonts w:ascii="Arial" w:cs="Arial" w:eastAsia="Arial" w:hAnsi="Arial"/>
          <w:sz w:val="17"/>
          <w:szCs w:val="17"/>
          <w:color w:val="auto"/>
        </w:rPr>
        <w:t>923,291 shares of our Class B common stock issuable upon the exercise of options to purchase shares of our Class B common stock granted after December 31, 2020, with a weighted-average exercise price of $6.54 per share;</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6"/>
        </w:numPr>
        <w:rPr>
          <w:rFonts w:ascii="Arial" w:cs="Arial" w:eastAsia="Arial" w:hAnsi="Arial"/>
          <w:sz w:val="17"/>
          <w:szCs w:val="17"/>
          <w:color w:val="auto"/>
        </w:rPr>
      </w:pPr>
      <w:r>
        <w:rPr>
          <w:rFonts w:ascii="Arial" w:cs="Arial" w:eastAsia="Arial" w:hAnsi="Arial"/>
          <w:sz w:val="17"/>
          <w:szCs w:val="17"/>
          <w:color w:val="auto"/>
        </w:rPr>
        <w:t>148,994 shares of Class B common stock issuable pursuant to warrants to purchase shares of our convertible preferred stock outstanding as of December 31, 2020, with a weighted-average exercise price of $5.58 per share on a common equivalent basis;</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56"/>
        </w:numPr>
        <w:rPr>
          <w:rFonts w:ascii="Arial" w:cs="Arial" w:eastAsia="Arial" w:hAnsi="Arial"/>
          <w:sz w:val="17"/>
          <w:szCs w:val="17"/>
          <w:color w:val="auto"/>
        </w:rPr>
      </w:pPr>
      <w:r>
        <w:rPr>
          <w:rFonts w:ascii="Arial" w:cs="Arial" w:eastAsia="Arial" w:hAnsi="Arial"/>
          <w:sz w:val="17"/>
          <w:szCs w:val="17"/>
          <w:color w:val="auto"/>
        </w:rPr>
        <w:t>15,979 shares of Class B common stock issuable pursuant to warrants to purchase shares of our convertible preferred stock issued since December 31, 2020, with a weighted-average exercise price of $6.26 per share on a common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hanging="302"/>
        <w:spacing w:after="0" w:line="277" w:lineRule="auto"/>
        <w:tabs>
          <w:tab w:leader="none" w:pos="596" w:val="left"/>
        </w:tabs>
        <w:numPr>
          <w:ilvl w:val="0"/>
          <w:numId w:val="57"/>
        </w:numPr>
        <w:rPr>
          <w:rFonts w:ascii="Arial" w:cs="Arial" w:eastAsia="Arial" w:hAnsi="Arial"/>
          <w:sz w:val="17"/>
          <w:szCs w:val="17"/>
          <w:color w:val="auto"/>
        </w:rPr>
      </w:pPr>
      <w:r>
        <w:rPr>
          <w:rFonts w:ascii="Arial" w:cs="Arial" w:eastAsia="Arial" w:hAnsi="Arial"/>
          <w:sz w:val="17"/>
          <w:szCs w:val="17"/>
          <w:color w:val="auto"/>
        </w:rPr>
        <w:t>201,582 shares of our Class B common stock reserved for future issuance pursuant to our 2010 Plan, which shares will be added to the shares of our Class A common stock reserved for future issuance under our 2021 Plan; and</w:t>
      </w:r>
    </w:p>
    <w:p>
      <w:pPr>
        <w:spacing w:after="0" w:line="96" w:lineRule="exact"/>
        <w:rPr>
          <w:rFonts w:ascii="Arial" w:cs="Arial" w:eastAsia="Arial" w:hAnsi="Arial"/>
          <w:sz w:val="17"/>
          <w:szCs w:val="17"/>
          <w:color w:val="auto"/>
        </w:rPr>
      </w:pPr>
    </w:p>
    <w:p>
      <w:pPr>
        <w:ind w:left="600" w:hanging="302"/>
        <w:spacing w:after="0" w:line="277" w:lineRule="auto"/>
        <w:tabs>
          <w:tab w:leader="none" w:pos="1567"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share-based compensation plans, to be adopted in connection with this offering, consisting of:</w:t>
      </w:r>
    </w:p>
    <w:p>
      <w:pPr>
        <w:spacing w:after="0" w:line="96" w:lineRule="exact"/>
        <w:rPr>
          <w:rFonts w:ascii="Arial" w:cs="Arial" w:eastAsia="Arial" w:hAnsi="Arial"/>
          <w:sz w:val="17"/>
          <w:szCs w:val="17"/>
          <w:color w:val="auto"/>
        </w:rPr>
      </w:pPr>
    </w:p>
    <w:p>
      <w:pPr>
        <w:ind w:left="1280" w:hanging="982"/>
        <w:spacing w:after="0"/>
        <w:tabs>
          <w:tab w:leader="none" w:pos="1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2021 Plan; and</w:t>
      </w:r>
    </w:p>
    <w:p>
      <w:pPr>
        <w:spacing w:after="0" w:line="152" w:lineRule="exact"/>
        <w:rPr>
          <w:rFonts w:ascii="Arial" w:cs="Arial" w:eastAsia="Arial" w:hAnsi="Arial"/>
          <w:sz w:val="17"/>
          <w:szCs w:val="17"/>
          <w:color w:val="auto"/>
        </w:rPr>
      </w:pPr>
    </w:p>
    <w:p>
      <w:pPr>
        <w:ind w:left="1280" w:hanging="982"/>
        <w:spacing w:after="0"/>
        <w:tabs>
          <w:tab w:leader="none" w:pos="1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ESPP.</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Each of our 2021 Plan and ESPP provides for annual automatic increases in the number of shares of our Class A common stock reserved thereunder, and our 2021 Plan also provides for increases to the number of shares of Class A common stock that may be granted thereunder based on shares underlying any awards under our 2010 Plan that expire, are forfeited or are otherwise terminated, as more fully described in the section titled “Executive Compensation—Employee Benefit and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57"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titled “Summary Consolidated Financial and Other Data” and the consolidated financial statements and related notes that are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 Our historical results are not necessarily indicative of the results that may be expected for any period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55" w:lineRule="exact"/>
        <w:rPr>
          <w:sz w:val="20"/>
          <w:szCs w:val="20"/>
          <w:color w:val="auto"/>
        </w:rPr>
      </w:pPr>
    </w:p>
    <w:p>
      <w:pPr>
        <w:jc w:val="both"/>
        <w:ind w:firstLine="299"/>
        <w:spacing w:after="0" w:line="241" w:lineRule="auto"/>
        <w:rPr>
          <w:sz w:val="20"/>
          <w:szCs w:val="20"/>
          <w:color w:val="auto"/>
        </w:rPr>
      </w:pPr>
      <w:r>
        <w:rPr>
          <w:rFonts w:ascii="Arial" w:cs="Arial" w:eastAsia="Arial" w:hAnsi="Arial"/>
          <w:sz w:val="17"/>
          <w:szCs w:val="17"/>
          <w:color w:val="auto"/>
        </w:rPr>
        <w:t>thredUP is one of the world’s largest online resale platforms for women’s and kids’ apparel, shoes and accessories. Our custom-built operating platform is powering the rapidly emerging resale economy, the fastest growing sector in retail, according to the GlobalData Market Survey. As of December 31, 2020, we had 1.24 million Active Buyers and 428,000 Active Sellers. thredUP’s platform consists of distributed processing infrastructure, proprietary software and systems and data science expertise. Since our founding in 2009, we have processed over 100 million unique secondhand items from 35,000 brands across 100 categories, saving our buyers an estimated $3.3 billion off estimated retail price. We estimate that we have positively impacted the environment by saving 1.0 billion pounds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2.0 billion kWh of energy and 4.4 billion gallons of water simply by empowering consumers to buy and sell secondhand. The traditional fashion industry is one of the most environmentally damaging sectors in the global economy and we believe our scalable resale business model is a powerful solution to the fashion industry’s wastefulness.</w:t>
      </w:r>
    </w:p>
    <w:p>
      <w:pPr>
        <w:spacing w:after="0" w:line="126"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RaaS offering. We believe RaaS will accelerate the growth of this emerging category and form the backbone of the modern resale experience.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built a differentiated and defensible operating platform to enable resale at scale, combining:</w:t>
      </w:r>
    </w:p>
    <w:p>
      <w:pPr>
        <w:spacing w:after="0" w:line="151" w:lineRule="exact"/>
        <w:rPr>
          <w:sz w:val="20"/>
          <w:szCs w:val="20"/>
          <w:color w:val="auto"/>
        </w:rPr>
      </w:pPr>
    </w:p>
    <w:p>
      <w:pPr>
        <w:jc w:val="both"/>
        <w:ind w:left="600" w:hanging="302"/>
        <w:spacing w:after="0" w:line="251" w:lineRule="auto"/>
        <w:tabs>
          <w:tab w:leader="none" w:pos="596"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Distributed Processing Infrastructure. </w:t>
      </w:r>
      <w:r>
        <w:rPr>
          <w:rFonts w:ascii="Arial" w:cs="Arial" w:eastAsia="Arial" w:hAnsi="Arial"/>
          <w:sz w:val="17"/>
          <w:szCs w:val="17"/>
          <w:color w:val="auto"/>
        </w:rPr>
        <w:t>Our infrastructure is purpose-built for “single SKU” logistics, meaning that every item processed is</w:t>
      </w:r>
      <w:r>
        <w:rPr>
          <w:rFonts w:ascii="Arial" w:cs="Arial" w:eastAsia="Arial" w:hAnsi="Arial"/>
          <w:sz w:val="17"/>
          <w:szCs w:val="17"/>
          <w:b w:val="1"/>
          <w:bCs w:val="1"/>
          <w:color w:val="auto"/>
        </w:rPr>
        <w:t xml:space="preserve"> </w:t>
      </w:r>
      <w:r>
        <w:rPr>
          <w:rFonts w:ascii="Arial" w:cs="Arial" w:eastAsia="Arial" w:hAnsi="Arial"/>
          <w:sz w:val="17"/>
          <w:szCs w:val="17"/>
          <w:color w:val="auto"/>
        </w:rPr>
        <w:t>unique, came from or belongs to an individual seller and is individually tracked using its own SKU. We believe our logistics and infrastructure have never been executed at our scale in the online resale market. We operate distribution centers that can collectively hold 5.5 million items in three strategic locations across the country. Our operations are highly scalable, and we have the ability to process more than 100,000 unique SKUs per day across our existing distribution footprint. We drive continuous operational efficiency through proprietary technology and ongoing automation of our infrastructure.</w:t>
      </w:r>
    </w:p>
    <w:p>
      <w:pPr>
        <w:spacing w:after="0" w:line="117" w:lineRule="exact"/>
        <w:rPr>
          <w:rFonts w:ascii="Arial" w:cs="Arial" w:eastAsia="Arial" w:hAnsi="Arial"/>
          <w:sz w:val="17"/>
          <w:szCs w:val="17"/>
          <w:color w:val="auto"/>
        </w:rPr>
      </w:pPr>
    </w:p>
    <w:p>
      <w:pPr>
        <w:jc w:val="both"/>
        <w:ind w:left="600" w:hanging="302"/>
        <w:spacing w:after="0" w:line="262" w:lineRule="auto"/>
        <w:tabs>
          <w:tab w:leader="none" w:pos="596"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Proprietary Software and Systems. </w:t>
      </w:r>
      <w:r>
        <w:rPr>
          <w:rFonts w:ascii="Arial" w:cs="Arial" w:eastAsia="Arial" w:hAnsi="Arial"/>
          <w:sz w:val="17"/>
          <w:szCs w:val="17"/>
          <w:color w:val="auto"/>
        </w:rPr>
        <w:t>Our facilities run on a suite of our custom-built applications designed for “single SKU” operations. Our</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engineering team has implemented large-scale, innovative and patented automation for put-away, storage, picking and packing at scale. This automation results in reduced labor and fixed costs while increasing storage density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00"/>
        <w:spacing w:after="0" w:line="260" w:lineRule="auto"/>
        <w:rPr>
          <w:sz w:val="20"/>
          <w:szCs w:val="20"/>
          <w:color w:val="auto"/>
        </w:rPr>
      </w:pPr>
      <w:r>
        <w:rPr>
          <w:rFonts w:ascii="Arial" w:cs="Arial" w:eastAsia="Arial" w:hAnsi="Arial"/>
          <w:sz w:val="17"/>
          <w:szCs w:val="17"/>
          <w:color w:val="auto"/>
        </w:rPr>
        <w:t>throughput capacity. Our proprietary software, systems and processes enable efficient quality assurance, item-attribution, sizing and photography. As we continue to scale this modern resale experience, our continuous improvement cycle drives increased throughput and we expect average order contribution margins to improve over time.</w:t>
      </w:r>
    </w:p>
    <w:p>
      <w:pPr>
        <w:spacing w:after="0" w:line="109" w:lineRule="exact"/>
        <w:rPr>
          <w:sz w:val="20"/>
          <w:szCs w:val="20"/>
          <w:color w:val="auto"/>
        </w:rPr>
      </w:pPr>
    </w:p>
    <w:p>
      <w:pPr>
        <w:jc w:val="both"/>
        <w:ind w:left="600" w:hanging="302"/>
        <w:spacing w:after="0" w:line="253" w:lineRule="auto"/>
        <w:tabs>
          <w:tab w:leader="none" w:pos="596"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Data Science Expertise. </w:t>
      </w:r>
      <w:r>
        <w:rPr>
          <w:rFonts w:ascii="Arial" w:cs="Arial" w:eastAsia="Arial" w:hAnsi="Arial"/>
          <w:sz w:val="17"/>
          <w:szCs w:val="17"/>
          <w:color w:val="auto"/>
        </w:rPr>
        <w:t>There are no barcodes on clothing, so we invented a real-time database to identify, categorize and value each</w:t>
      </w:r>
      <w:r>
        <w:rPr>
          <w:rFonts w:ascii="Arial" w:cs="Arial" w:eastAsia="Arial" w:hAnsi="Arial"/>
          <w:sz w:val="17"/>
          <w:szCs w:val="17"/>
          <w:b w:val="1"/>
          <w:bCs w:val="1"/>
          <w:color w:val="auto"/>
        </w:rPr>
        <w:t xml:space="preserve"> </w:t>
      </w:r>
      <w:r>
        <w:rPr>
          <w:rFonts w:ascii="Arial" w:cs="Arial" w:eastAsia="Arial" w:hAnsi="Arial"/>
          <w:sz w:val="17"/>
          <w:szCs w:val="17"/>
          <w:color w:val="auto"/>
        </w:rPr>
        <w:t>secondhand clothing item that we receive. We continue to expand our proprietary data set that spans over 100 million unique secondhand items processed across 35,000 brands and 100 categories. We harness this robust, structured data set across our business to optimize economic decisions, such as pricing, seller payouts, item acceptance, merchandising and sell-through. We also leverage data to power efficient customer acquisition and lifetime engagement, and to provide a personalized shopping experience.</w:t>
      </w:r>
    </w:p>
    <w:p>
      <w:pPr>
        <w:spacing w:after="0" w:line="116"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Our managed marketplace unlocks valuable clothing supply from sellers and increases demand for high-quality online resale items. We take items that previously had minimal value and were sitting idle in closets, and we create value for sellers in an environmentally-friendly manner by enabling longer useful lives for their secondhand items. Because of the value and convenience sellers get with thredUP, we attract high-quality supply without directly spending money to acquire sellers. Sellers choose our managed marketplace to conveniently clean out their closets and earn a payout that can be received in the form of cash, thredUP online credits, select RaaS partner credits or a charitable donation receipt. Sellers send their secondhand items to our distribution centers, and we then process items using our proprietary operating platform. We provide end-to-end resale services for sellers using our platform, including managing item selection and pricing, merchandising, fulfillment, payments and customer service. We offer great brands at great prices in an ever-changing assortment, creating a fun shopping experience for our buyers. Since our items are secondhand and more affordably priced, our buyers can feel good when they shop.</w:t>
      </w:r>
    </w:p>
    <w:p>
      <w:pPr>
        <w:spacing w:after="0" w:line="123"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In 2018, we expanded our platform to drive sustainability for the broader apparel ecosystem. Our partners look to our RaaS offering to meet a variety of objectives that require specific resale expertise and infrastructure, most of which they cannot do themselves. Utilizing our operations, software and data, we have tailored our offerings for RaaS partners to provide a real-time feed of items on our marketplace to their websites, power their closet clean out services, add our assortment to their physical stores or promote customer loyalty through partner credits from Clean Out Kits. We have also helped our partners sell their worn, returned inventory through our marketplace. As of December 31, 2020, we worked with 21 RaaS partners, and we are rapidly growing our RaaS offering as more brands and retailers recognize the importance of resale in the minds of their current and future customers.</w:t>
      </w:r>
    </w:p>
    <w:p>
      <w:pPr>
        <w:spacing w:after="0" w:line="10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generate revenue from items that are sold to buyers on our website and mobile app and through our RaaS partners. We operate with consignment sales and direct product sales. In 2019, we shifted to primarily consignment sales. With consignment sales, we recognize revenue net of seller payouts, and cost of revenue includes outbound shipping, outbound labor and packaging costs. With direct product sales, we recognize revenue on a gross basis, and cost of revenue includes inventory cost, inbound shipping and inventory write-downs, as well as outbound shipping, outbound labor and packaging costs. With both consignment sales and direct product sales, we optimize for gross profit dollar growth, which was 43% in 2018, 44% in 2019 and 14% in 2020. 2020 gross profit dollar growth slowed primarily due to the overall impact of the COVID-19 pandemic, including lower demand for apparel in general, higher discounts and incentives plus fewer secondhand items being listed for sale on our marketplace.</w:t>
      </w:r>
    </w:p>
    <w:p>
      <w:pPr>
        <w:spacing w:after="0" w:line="12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Our buyers pay us upfront when they purchase an item. For items held on consignment, after the end of the 14-day return window for buyers, we credit our sellers’ accounts with their seller payout. Our sellers then take an average of more than 60 days to use their funds, which results in a working capital dynamic that is favorable for our business given that the buyers pay us upon purchase. We have methodically scaled operating capacity and revenue, while increasing gross profit and improving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hanging="302"/>
        <w:spacing w:after="0" w:line="277" w:lineRule="auto"/>
        <w:tabs>
          <w:tab w:leader="none" w:pos="596"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of December 31, 2020, we had 1.24 million Active Buyers, up 24% over December 31, 2019, and 428,000 Active Sellers, down 4% from December 31, 2019.</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of December 31, 2020, our distribution centers could hold 5.5 million items.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revenue was $186.0 million in 2020, up 14% over 2019. Our consignment revenue was $138.1 million in 2020, up 41% over 2019.</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gross profit was $128.1 million in 2020, up 14% over 2019. Our overall gross margin was 69% in 2020 and 2019. Our consignment gross margin was 75% in 2020, as compared to 77% in 2019.</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net loss was $47.9 million in 2020 and $38.2 million in 2019. Our net loss margin was 26% in 2020 and 23% in 2019.</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2020, our Adjusted EBITDA was $(33.4) million with an Adjusted EBITDA margin of (18)%. In 2019, our Adjusted EBITDA was $(24.3) million with an Adjusted EBITDA margin of (15)%.</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Our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3081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30775"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Our business model balances the interests of each of our stakeholders – our buyers, sellers, employees and investors, as well as the environment. This balancing principle guides our day-to-day operations and enables us to build a more sustainable and successful business. As we grow our managed marketplace, we aim to provide value to both our buyers and our sellers, support the career advancement of our employees, invest in growth and improve our results of operations and reduce the environmental impact of the fashion industry by inspiring a new consumer habit of buying and selling secondhand.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generate the majority of our revenue from selling secondhand women’s and kids’ apparel, shoes and accessories on our marketplace, at up to 90% discount to estimated retail price. We also sell items through our RaaS partners. We obtain our supply of items from individual sellers and RaaS partnerships through the Clean Out Kit process, capturing items that often would have been discarded before thredUP. Because of the value and convenience sellers get with thredUP, we attract high-quality supply without directly spending money to acquire sellers.</w:t>
      </w:r>
    </w:p>
    <w:p>
      <w:pPr>
        <w:spacing w:after="0" w:line="11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provide end-to-end resale services for sellers using our platform, including managing item selection and pricing, merchandising, fulfillment, payments and customer service. Our algorithms predict the demand for an item and determine a listing price for it, along with setting the seller payout ratio, with the aim of optimizing sell-through, gross profit dollars and our unit economics. Our seller payout ranges from 3% to 15% for items listed at $5.00 to $19.99, and up to 80% for items listed at $200 and above. In the year ended December 31, 2020, the average seller payout was 19% of the item sale price and the average seller payout per bag was $51.70. In 2020, 77% of the Clean Out Kits we processed were from repeat sellers, which demonstrates the consistent and compelling value proposition that we provide.</w:t>
      </w:r>
    </w:p>
    <w:p>
      <w:pPr>
        <w:spacing w:after="0" w:line="122"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operate with consignment sales and direct product sales. In mid-2019, we shifted to primarily consignment sales. With consignment sales, we recognize revenue net of discounts, incentives, seller payouts and returns. With direct product sales, we recognize revenue net of discounts, incentives and returns. In both cases, we optimize item pricing for gross profit dollar growth, which was 44% in 2019 and 14% in 2020. We have also expanded our gross profit as we have scaled our marketplace and reduced our outbound shipping, outbound labor and packaging costs. Our gross profit per order in 2018, 2019 and 2020 was $33.25, $35.90 and $32.32, respectively, reflecting year-over-year expansion of 8% and decline of 10%. The decline in average gross profit per order in 2020 was driven by lower average revenue per order as a result of our COVID-19 response, which included higher levels of discounts and incentives, as well as a higher percentage of our sales being consignment sales.</w:t>
      </w:r>
    </w:p>
    <w:p>
      <w:pPr>
        <w:spacing w:after="0" w:line="12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As we scale and automate our platform, we expect to generate even more attractive order economics, which we track using average contribution profit per order. We use average contribution profit per order primarily to assess our order economics. Average contribution profit per order captures the costs incurred within our distribution centers, and we define it as average gross profit per order less distribution center operating expenses associated with inbound item processing and less payment processing. These distribution center operating expenses include inbound shipping, inbound labor, distribution center fixed costs and management labor, excluding stock based compensation expense, which are included within our operations, product and technology expenses. See the section titled “Prospectus Summary—Summary Consolidated Financial and Other Data—Non-GAAP Financial Measure—Contribution Profit and Average Contribution Profit Per Order” for additional information and a reconciliation of contribution profit to gross profit.</w:t>
      </w:r>
    </w:p>
    <w:p>
      <w:pPr>
        <w:spacing w:after="0" w:line="120"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2020, operations, product and technology expenses accounted for 55% of revenue. Of that, distribution center operating expenses accounted for 38% of revenue. Payment processing expenses are included within selling, general and administrative expenses, and accounted for 3% of revenue in 2020. Our average contribution profit per order in 2018, 2019 and 2020 was $12.81, $ 17.41 and $12.74, respectively, reflecting growth of 36% and a decline of 27%. The growth in average contribution profit per order in 2019, which was greater than our average gross profit per order expansion, was driven by increased scale and improvements in our inbound processing capabilities. The decline in average contribution profit per order in 2020 was driven by lower average revenue per order as a result of our COVID-19 response, which included higher levels of discounts and incentives and higher fixed costs per order. We will continue to invest in technology and increase the level of automation in our distribution centers to support our growth, enhance order economics and improve our average contribution profit per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graphic below demonstrates our order economics:</w:t>
      </w:r>
    </w:p>
    <w:p>
      <w:pPr>
        <w:spacing w:after="0" w:line="195"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Average Order Economics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3373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30775" cy="337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See the section titled “Prospectus Summary—Summary Consolidated Financial and Other Data—Non-GAAP Financial Measure—Contribution Profit and Average Contribution Profit Per Order” for additional information and a reconciliation of contribution profit to gross profit.</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Managed Marketplace Advantages</w:t>
      </w:r>
    </w:p>
    <w:p>
      <w:pPr>
        <w:spacing w:after="0" w:line="151"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Our managed marketplace allows us to unlock value by providing end-to-end resale services for sellers. In mid-2019, we shifted to primarily consignment sales. Our consignment revenue as a percentage of total revenue increased from 30% in 2018 to 74% in 2020. As a result, we can offer a broad selection of resale items across over 35,000 brands and 100 categories, while incurring minimal inventory or fashion risk. We believe our model also gives us the ability to achieve a higher margin profile than traditional inventory-taking business models and frees up working capital to reinvest into the business. By investing in building a managed marketplace, we are also growing the apparel resale market by offering a more trusted and higher-quality marketplace for buyers relative to peer-to-peer marketplaces.</w:t>
      </w:r>
    </w:p>
    <w:p>
      <w:pPr>
        <w:spacing w:after="0" w:line="122"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Our buyers pay us upfront when they purchase an item and we collect payment within a few days of the sale. For items held on consignment, after the end of the 14-day return window for buyers, we credit our sellers’ accounts with their seller payout. Our sellers take an average of more than 60 days to use their payout, which results in a working capital dynamic that is favorable for our business given that the buyers pay us upon purchase. Our sellers elect to receive their payouts as cash, thredUP online credits, select RaaS partner credits or a charitable donation receipt with a simple click on our site. For those who elect cash, their cash payouts are transferred without undue delay after they complete the election.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some cases, sellers may be waiting to decide how they want to use their payout or waiting for payouts to accumulate before selecting their payout method on our site.</w:t>
      </w:r>
    </w:p>
    <w:p>
      <w:pPr>
        <w:spacing w:after="0" w:line="96"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During the year ended December 31, 2020, 55.9% of our Active Sellers chose to receive cash, 17.6% chose to receive thredUP online credit, 21.0% have not yet chosen how to allocate their proceeds, 3.5% chose thredUP credits that can be applied to offset fees, such as return fees, and 2.0% chose to receive credit from one of our select RaaS partners. The seamless experience of converting seller payout to thredUP credit enables us to convert sellers into buyers without incremental marketing costs as we do not otherwise directly spend to acquire sellers on our platform. As of December 31, 2020, 47% of our sellers were also buyers.</w:t>
      </w:r>
    </w:p>
    <w:p>
      <w:pPr>
        <w:spacing w:after="0" w:line="397"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Flow of Funds from Buyer to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2987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30775" cy="298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Our business performance and results of operations have been, and will continue to be, affected by the factors described below. While each of these key factors presents significant opportunities for our business, they also pose challenges that we must successfully address in order to sustain our growth, improve our results of operations and achieve and maintain profitability.</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Buyer Growth, Order Growth and Repeat Buyer Behavior</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attract visitors to our marketplace, convert them into Active Buyers and encourage repeat purchases. Historically, the primary driver of buyer growth and order growth trends has been the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in new buyers relative to repeat buyers. See the section titled “—Key Financial and Operating Metrics” for a discussion of these trends.</w:t>
      </w:r>
    </w:p>
    <w:p>
      <w:pPr>
        <w:spacing w:after="0" w:line="153" w:lineRule="exact"/>
        <w:rPr>
          <w:sz w:val="20"/>
          <w:szCs w:val="20"/>
          <w:color w:val="auto"/>
        </w:rPr>
      </w:pPr>
    </w:p>
    <w:p>
      <w:pPr>
        <w:ind w:left="600" w:hanging="302"/>
        <w:spacing w:after="0" w:line="277" w:lineRule="auto"/>
        <w:tabs>
          <w:tab w:leader="none" w:pos="596"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 of December 31, 2020, we had 1.24 million Active Buyers, up 24% from December 31, 2019. As of December 31, 2019, we had 997,000 Active Buyers, up 48% from December 31, 2018.</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number of Orders for the year ended December 31, 2020 was 3.96 million, up 27% from the year ended December 31, 2019. The number of Orders for the year ended December 31, 2019 was 3.13 million up 34% from the year ended December 31, 2018.</w:t>
      </w:r>
    </w:p>
    <w:p>
      <w:pPr>
        <w:spacing w:after="0" w:line="96" w:lineRule="exact"/>
        <w:rPr>
          <w:rFonts w:ascii="Arial" w:cs="Arial" w:eastAsia="Arial" w:hAnsi="Arial"/>
          <w:sz w:val="17"/>
          <w:szCs w:val="17"/>
          <w:color w:val="auto"/>
        </w:rPr>
      </w:pPr>
    </w:p>
    <w:p>
      <w:pPr>
        <w:jc w:val="both"/>
        <w:ind w:left="600" w:hanging="302"/>
        <w:spacing w:after="0" w:line="252" w:lineRule="auto"/>
        <w:tabs>
          <w:tab w:leader="none" w:pos="596"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Repeat buyers, whom we define as buyers who are making a second or more purchase on our marketplace, accounted for 80% of our Orders for the year ended December 31, 2020, compared to 79% in the year ended December 31, 2019 and 82% in the year ended December 31 2018. These repeat buyer metrics demonstrate the stability of repeat purchases on our marketplace. In the year ended December 31, 2020, Orders from new buyers grew 18%, and Orders from repeat buyers grew 29%. In the year ended December 31, 2019, Orders from new buyers grew 54%, and Orders from repeat buyers grew 29%.</w:t>
      </w:r>
    </w:p>
    <w:p>
      <w:pPr>
        <w:spacing w:after="0" w:line="118" w:lineRule="exact"/>
        <w:rPr>
          <w:rFonts w:ascii="Arial" w:cs="Arial" w:eastAsia="Arial" w:hAnsi="Arial"/>
          <w:sz w:val="17"/>
          <w:szCs w:val="17"/>
          <w:color w:val="auto"/>
        </w:rPr>
      </w:pPr>
    </w:p>
    <w:p>
      <w:pPr>
        <w:ind w:left="600" w:hanging="302"/>
        <w:spacing w:after="0"/>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the year ended December 31, 2020, average order value was $68.95 with approximately four items in an Order.</w:t>
      </w:r>
    </w:p>
    <w:p>
      <w:pPr>
        <w:spacing w:after="0" w:line="152" w:lineRule="exact"/>
        <w:rPr>
          <w:rFonts w:ascii="Arial" w:cs="Arial" w:eastAsia="Arial" w:hAnsi="Arial"/>
          <w:sz w:val="17"/>
          <w:szCs w:val="17"/>
          <w:color w:val="auto"/>
        </w:rPr>
      </w:pPr>
    </w:p>
    <w:p>
      <w:pPr>
        <w:jc w:val="both"/>
        <w:ind w:left="600" w:hanging="302"/>
        <w:spacing w:after="0" w:line="260" w:lineRule="auto"/>
        <w:tabs>
          <w:tab w:leader="none" w:pos="596"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Active Buyers as of December 31, 2020 made an average of 3.2 Orders in the year ended December 31, 2020, compared to 3.1 Orders in the year ended December 31, 2019. This increase is primarily driven by the slightly higher proportion of repeat buyers, who on average place more Orders in a given year.</w:t>
      </w:r>
    </w:p>
    <w:p>
      <w:pPr>
        <w:spacing w:after="0" w:line="141"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Active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24968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30775" cy="249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Total Orders (in the year ended)</w:t>
      </w:r>
    </w:p>
    <w:p>
      <w:pPr>
        <w:ind w:left="2060"/>
        <w:spacing w:after="0"/>
        <w:rPr>
          <w:sz w:val="20"/>
          <w:szCs w:val="20"/>
          <w:color w:val="auto"/>
        </w:rPr>
      </w:pPr>
      <w:r>
        <w:rPr>
          <w:rFonts w:ascii="Arial" w:cs="Arial" w:eastAsia="Arial" w:hAnsi="Arial"/>
          <w:sz w:val="23"/>
          <w:szCs w:val="23"/>
          <w:color w:val="auto"/>
        </w:rPr>
        <w:t>and % Orders from Repeat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99695</wp:posOffset>
            </wp:positionV>
            <wp:extent cx="4930775" cy="2346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30775" cy="234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Compelling Cohort Behavior and Expansion</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Our buyer cohorts demonstrate the continued spend and expansion of our Active Buyers. While we are continuously focused on adding new Active Buyers to our marketplace, we are also focused on increasing their Order frequency after their initial purchase and improving our order economics through scale and operational efficiencies.</w:t>
      </w:r>
    </w:p>
    <w:p>
      <w:pPr>
        <w:spacing w:after="0" w:line="11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have been able to steadily increase the cumulative gross profit of each of our buyer cohorts over time, indicating our ability to drive repeat orders from buyers. We track gross profit by cohort, which measures the growth and efficiency of our business and normalizes for the shift to primarily consignment sales in mid-2019. The chart below illustrates the gross profit attributable to our buyer cohorts acquired in 2013, 2014, 2015, 2016, 2017, 2018, 2019 and 2020.</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buyer cohorts are defined as follows:</w:t>
      </w:r>
    </w:p>
    <w:p>
      <w:pPr>
        <w:spacing w:after="0" w:line="153" w:lineRule="exact"/>
        <w:rPr>
          <w:sz w:val="20"/>
          <w:szCs w:val="20"/>
          <w:color w:val="auto"/>
        </w:rPr>
      </w:pPr>
    </w:p>
    <w:p>
      <w:pPr>
        <w:ind w:left="600" w:hanging="302"/>
        <w:spacing w:after="0" w:line="277" w:lineRule="auto"/>
        <w:tabs>
          <w:tab w:leader="none" w:pos="5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2013 cohort includes, in 2013, buyers who made their first purchase during 2013 and, in subsequent years, all buyers who purchased from us in that year and made their first purchase during 2013.</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2014 cohort includes, in 2014, buyers who made their first purchase during 2014 and, in subsequent years, all buyers who purchased from us in that year and made their first purchase during 2014.</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2015 cohort includes, in 2015, buyers who made their first purchase during 2015 and, in subsequent years, all buyers who purchased from us in that year and made their first purchase during 2015.</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2016 cohort includes, in 2016, all buyers who made their first purchase during 2016 and, in subsequent years, all buyers who purchased from us in that year and made their first purchase during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0" w:hanging="302"/>
        <w:spacing w:after="0" w:line="277" w:lineRule="auto"/>
        <w:tabs>
          <w:tab w:leader="none" w:pos="5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2017 cohort includes, in 2017, all buyers who made their first purchase during 2017 and, in subsequent years, all buyers who purchased from us in that year and made their first purchase during 2017.</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2018 cohort includes, in 2018, all buyers who made their first purchase during 2018 and, in subsequent years, all buyers who purchased from us in that year and made their first purchase during 2018.</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2019 cohort includes, in 2019, all buyers who made their first purchase during 2019 and, in subsequent years, all buyers who purchased from us in that year and made their first purchase during 2019.</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2020 cohort includes buyers who made their first purchase during 2020.</w:t>
      </w:r>
    </w:p>
    <w:p>
      <w:pPr>
        <w:spacing w:after="0" w:line="153" w:lineRule="exact"/>
        <w:rPr>
          <w:sz w:val="20"/>
          <w:szCs w:val="20"/>
          <w:color w:val="auto"/>
        </w:rPr>
      </w:pPr>
    </w:p>
    <w:p>
      <w:pPr>
        <w:ind w:firstLine="299"/>
        <w:spacing w:after="0" w:line="277" w:lineRule="auto"/>
        <w:rPr>
          <w:sz w:val="20"/>
          <w:szCs w:val="20"/>
          <w:color w:val="auto"/>
        </w:rPr>
      </w:pPr>
      <w:r>
        <w:rPr>
          <w:rFonts w:ascii="Arial" w:cs="Arial" w:eastAsia="Arial" w:hAnsi="Arial"/>
          <w:sz w:val="17"/>
          <w:szCs w:val="17"/>
          <w:color w:val="auto"/>
        </w:rPr>
        <w:t>Existing buyers, whom we define as buyers in a year who have purchased from us in any prior year, and that represent buyer cohorts acquired in prior years, contributed 58%, 58% and 59% of gross profit in the year ended December 31, 2020, 2019 and 2018, respectively.</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Gross Profit by Cohort (2013 - 2020)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3065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30775" cy="306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300" w:hanging="300"/>
        <w:spacing w:after="0"/>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Does not include 2012 and prior and does not equal total gross profit for the period.</w:t>
      </w:r>
    </w:p>
    <w:p>
      <w:pPr>
        <w:spacing w:after="0" w:line="1" w:lineRule="exact"/>
        <w:rPr>
          <w:rFonts w:ascii="Arial" w:cs="Arial" w:eastAsia="Arial" w:hAnsi="Arial"/>
          <w:sz w:val="15"/>
          <w:szCs w:val="15"/>
          <w:color w:val="auto"/>
        </w:rPr>
      </w:pPr>
    </w:p>
    <w:p>
      <w:pPr>
        <w:ind w:left="300" w:hanging="300"/>
        <w:spacing w:after="0" w:line="257" w:lineRule="auto"/>
        <w:tabs>
          <w:tab w:leader="none" w:pos="296" w:val="left"/>
        </w:tabs>
        <w:numPr>
          <w:ilvl w:val="0"/>
          <w:numId w:val="64"/>
        </w:numPr>
        <w:rPr>
          <w:rFonts w:ascii="Arial" w:cs="Arial" w:eastAsia="Arial" w:hAnsi="Arial"/>
          <w:sz w:val="15"/>
          <w:szCs w:val="15"/>
          <w:color w:val="auto"/>
        </w:rPr>
      </w:pPr>
      <w:r>
        <w:rPr>
          <w:rFonts w:ascii="Arial" w:cs="Arial" w:eastAsia="Arial" w:hAnsi="Arial"/>
          <w:sz w:val="15"/>
          <w:szCs w:val="15"/>
          <w:color w:val="auto"/>
        </w:rPr>
        <w:t>We have calculated gross profit in such 2016 and 2017 periods (unaudited) in the chart above in a manner comparable to our 2018, 2019 and 2020 audited consolidated financial statements included elsewhere in this prospectus.</w:t>
      </w:r>
    </w:p>
    <w:p>
      <w:pPr>
        <w:spacing w:after="0" w:line="106" w:lineRule="exact"/>
        <w:rPr>
          <w:sz w:val="20"/>
          <w:szCs w:val="20"/>
          <w:color w:val="auto"/>
        </w:rPr>
      </w:pPr>
    </w:p>
    <w:p>
      <w:pPr>
        <w:ind w:firstLine="299"/>
        <w:spacing w:after="0" w:line="277" w:lineRule="auto"/>
        <w:rPr>
          <w:sz w:val="20"/>
          <w:szCs w:val="20"/>
          <w:color w:val="auto"/>
        </w:rPr>
      </w:pPr>
      <w:r>
        <w:rPr>
          <w:rFonts w:ascii="Arial" w:cs="Arial" w:eastAsia="Arial" w:hAnsi="Arial"/>
          <w:sz w:val="17"/>
          <w:szCs w:val="17"/>
          <w:color w:val="auto"/>
        </w:rPr>
        <w:t>We have a significant opportunity to efficiently grow our business by continuing to have existing sellers become buyers and vice versa. As of December 31, 2020, 47% of our sellers were also buyers and 20% of our buyers were also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Scaling and Automating Our Platform</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Our highly scalable distribution centers and the increasing automation of distribution centers are critical to our success. Today, we operate distribution centers across three strategic locations in Arizona, Georgia and Pennsylvania. We are currently in the process of closing our Illinois distribution center (DC03), which is one of our least automated locations and expect to complete the closure by mid-March 2021. While we are closing DC03, we are concurrently expanding our storage and processing capacities in DC06 in Georgia. We aim to increase our dynamic storage capacity from 5.5 million items to 6.5 million items by the end of 2021, as we increase the product density in our existing distribution centers, particularly in DC06 in Georgia. Once our newest distribution center, DC06 in Georgia, is fully operational at scale, it will be our largest and most productive facility to date. Consistent with our growth strategies, we will continue to invest in our operating platform by expanding and optimizing our distributed processing infrastructure and automation capabilities, including increasing automated distribution centers, and improving our proprietary software and systems and data science capabilities.</w:t>
      </w:r>
    </w:p>
    <w:p>
      <w:pPr>
        <w:spacing w:after="0" w:line="12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have invested and will continue to invest in technology and automation in order to drive operating leverage and higher margins as we grow and scale our business. In 2020, consignment gross margin was 75%, compared to 77% in 2019 and 75% in 2018. Efficiencies in labor costs related to inbound processing as well as leverage in fixed costs like distribution center rent, management labor and utilities, drive contribution margin expansion. In 2019, operations, product and technology expense grew 21%, compared to 44% gross profit growth, in part due to increased automation. In 2020, operations, product and technology expense grew 24%, compared to 14% gross profit growth. Gross profit growth decelerated in 2020 primarily due to the overall impact of the COVID-19 pandemic, including lower demand for apparel in general, higher levels of discounts and incentives, and fewer secondhand items being listed for sale on our marketplace.</w:t>
      </w:r>
    </w:p>
    <w:p>
      <w:pPr>
        <w:spacing w:after="0" w:line="12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Our DC02 and DC05 distribution centers in Pennsylvania and Arizona are currently our most automated facilities, whereas DC03 in Illinois (which we expect to close by mid-March 2021) and DC04 in Georgia (which we expect to close by June 2021) are our least automated facilities and, therefore, responsible for less fulfillment. DC02 and DC05 use our patented conveyor and item on-hanger systems that are built three stories high to optimize for space efficiency and enable put away, storage, picking and routing to pack stations across three levels, increasing our pick rate of items during processing. With this highly automated and denser infrastructure, we are able to process more secondhand items faster with the same or fewer people. We believe that the order economics that we currently observe in our DC02 and DC05 facilities illustrate what our full platform could achieve over time, as we complete ongoing technology and engineering improvements and replace our legacy non-automated and lesser-automated facilities with new automated facilities.</w:t>
      </w:r>
    </w:p>
    <w:p>
      <w:pPr>
        <w:spacing w:after="0" w:line="12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graphic below compares our consolidated order economics for the year ended December 31, 2020 to what we believe we would hypothetically observe based on applying efficiencies from our DC02 and DC05 distribution centers, which have a higher level of automation and scale as they use our patented conveyor and item on-hanger systems that are built three stories high to optimize for space efficiency enabling us to process more secondhand items faster:</w:t>
      </w:r>
    </w:p>
    <w:p>
      <w:pPr>
        <w:spacing w:after="0" w:line="115" w:lineRule="exact"/>
        <w:rPr>
          <w:sz w:val="20"/>
          <w:szCs w:val="20"/>
          <w:color w:val="auto"/>
        </w:rPr>
      </w:pPr>
    </w:p>
    <w:p>
      <w:pPr>
        <w:ind w:left="600" w:hanging="302"/>
        <w:spacing w:after="0" w:line="277" w:lineRule="auto"/>
        <w:tabs>
          <w:tab w:leader="none" w:pos="5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believe average gross profit per order would improve from $32.32 to $33.35, due to better automation of outbound labor and processing of items.</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believe average contribution profit per order would improve from $12.74 to $16.98, due to improvements in automation of inbound labor and processing costs, along with scaling of fixed distribution center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Average Order Economics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3326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30775" cy="332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See the section titled “Prospectus Summary—Summary Consolidated Financial and Other Data—Non-GAAP Financial Measure—Contribution Profit and Average Contribution Profit Per Order” for additional information and a reconciliation of contribution profit to gross profit.</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Our newest distribution center, DC06, is located in Georgia and launched in June 2020. DC06 is our largest facility to date and has the highest automation potential once it is fully operational at scale. We believe we can continue to increase average contribution profit per order as we scale fixed costs, close our least automated facilities (including the planned closings of DC03 in Illinois and DC04 in Georgia) and expand our automation capabilities in our other existing facilities.</w:t>
      </w:r>
    </w:p>
    <w:p>
      <w:pPr>
        <w:spacing w:after="0" w:line="11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As of December 31, 2020, engineers and data scientists represented 32% of our non-distribution center employee and professional contractor headcount. We intend to continue to add talent and invest in our operations, product and technology teams to support platform innovation, as well as growth in our business and improvements in our results of operations. While we expect our operating expenses to increase as we continue to grow and improve our operating platform, we expect such expenses to decrease as a percentage of total revenue over the longer term.</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Supply Breadth, Quality and Processing Growth</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Our operating platform enables a supply chain that unlocks clothing supply for high-quality online resale. We take items that previously had minimal value and were sitting idle in closets, and we create value for sellers of those items on our marketplace. The vast majority of our supply of secondhand items today is from individual sellers who send us their items directly. As we scale our RaaS offering, we expect to expand our sources of supply through our RaaS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breadth of our assortment is reflected in the over 35,000 brands that are represented across 100 categories, which reflects a diverse range of price points across women’s and kids’ apparel, shoes and accessories, from value to premium to luxury brands. We have included a chart below, as of December 31, 2020, that shows that approximately 71% of the items listed are at price points below $19.99. This selection of items enables buyers to purchase high-quality secondhand items at great value compared to what it costs to shop new for the same item. We believe the breadth of our assortment at these price points is important to continue to attract buyers to our marketplace.</w:t>
      </w:r>
    </w:p>
    <w:p>
      <w:pPr>
        <w:spacing w:after="0" w:line="161"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Mix of Items Listed on Site by Price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30775" cy="7620"/>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316230</wp:posOffset>
            </wp:positionV>
            <wp:extent cx="2765425" cy="1833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65425" cy="183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color w:val="auto"/>
        </w:rPr>
        <w:t>In 2020, we processed 1.0 million Clean Out Kits from sellers, processed 24.7 million items through our operating platform and listed 14.6 million items for sale on our marketplace, representing a year-over-year decline of 5% and 6% and growth of 13%, respectively. While our processing capacity was limited by the onset of the COVID-19 pandemic and related shelter-in-place orders, our item acceptance rate increased from 49% in 2019 to 59% in 2020 due to available capacity and changes to our acceptance criteria, which had the aforementioned effect of increasing the number of listings in 2020. In 2019, we processed 1.1 million Clean Out Kits from sellers, processed 26.2 million items through our operating platform and listed 12.9 million items for sale on our marketplace, representing year-over-year growth of 44%, 28% and 44%, respectively. The number of items that we processed from each Clean Out Kit decreased from 28 items per kit in 2018 to 25 items per kit in 2019 and remained flat at 25 items per kit in 2020, as we enabled sellers to print their own shipping labels and send their items to thredUP without using our bags starting in 2019, which typically results in fewer items received. In addition, the yield of items listed from items processed increased from 44% in 2018 to 49% in 2019 to 59% in 2020, as improving order economics from automation and processing efficiencies has enabled us to increase our item acceptance levels because we can sell lower-priced items. We also attribute a quantitative supplier score to each Clean Out Kit that we receive. By encouraging repeat sellers that have high-quality items to keep consigning and engaging with thredUP, we also increase our item acceptance levels. Given that the majority of our secondhand items come from repeat sellers, we track transactional and behavioral data that enables us to prioritize sellers with high-quality items and de-prioritize items that are not as suitable for our marketplace.</w:t>
      </w:r>
    </w:p>
    <w:p>
      <w:pPr>
        <w:spacing w:after="0" w:line="132"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When ordering a Clean Out Kit, a seller may opt-in to our Return Assurance service in order to have any unaccepted items returned to them for a flat fee, $10.99 as of December 31, 2020, which is deducted from that seller's payout for their listed Clean Out Kit items. Otherwise, we sell the remainder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unaccepted items to select aftermarket partners, such as thrift stores and textile recyclers, for reuse and recycling.</w:t>
      </w:r>
    </w:p>
    <w:p>
      <w:pPr>
        <w:spacing w:after="0" w:line="195" w:lineRule="exact"/>
        <w:rPr>
          <w:sz w:val="20"/>
          <w:szCs w:val="20"/>
          <w:color w:val="auto"/>
        </w:rPr>
      </w:pPr>
    </w:p>
    <w:p>
      <w:pPr>
        <w:ind w:left="2060"/>
        <w:spacing w:after="0"/>
        <w:tabs>
          <w:tab w:leader="none" w:pos="6280" w:val="left"/>
        </w:tabs>
        <w:rPr>
          <w:sz w:val="20"/>
          <w:szCs w:val="20"/>
          <w:color w:val="auto"/>
        </w:rPr>
      </w:pPr>
      <w:r>
        <w:rPr>
          <w:rFonts w:ascii="Arial" w:cs="Arial" w:eastAsia="Arial" w:hAnsi="Arial"/>
          <w:sz w:val="23"/>
          <w:szCs w:val="23"/>
          <w:color w:val="auto"/>
        </w:rPr>
        <w:t>Clean Out Kits Processed</w:t>
      </w:r>
      <w:r>
        <w:rPr>
          <w:sz w:val="20"/>
          <w:szCs w:val="20"/>
          <w:color w:val="auto"/>
        </w:rPr>
        <w:tab/>
      </w:r>
      <w:r>
        <w:rPr>
          <w:rFonts w:ascii="Arial" w:cs="Arial" w:eastAsia="Arial" w:hAnsi="Arial"/>
          <w:sz w:val="23"/>
          <w:szCs w:val="23"/>
          <w:color w:val="auto"/>
        </w:rPr>
        <w:t>Items Processed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118745</wp:posOffset>
            </wp:positionV>
            <wp:extent cx="49225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22520" cy="7620"/>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316230</wp:posOffset>
            </wp:positionV>
            <wp:extent cx="4930775" cy="1864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30775" cy="186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Items Listed on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22758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30775" cy="227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Once an item is listed on our marketplace, we use our proprietary pricing algorithms to set pricing, with a view of managing sell-through, seller payouts and our contribution margin. For items listed in the year ended December 31, 2020, 43% of the items listed on our marketplace sold within 30 days and 69% sold within 90 days. These sell-through rates enable us to continue to drive freshness and assortment for our buyers.</w:t>
      </w:r>
    </w:p>
    <w:p>
      <w:pPr>
        <w:spacing w:after="0" w:line="11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have continued to attract and acquire new sellers to our marketplace cost effectively. We allocate no sales or marketing expense to seller acquisition today as we do not directly target sellers with our sales and marketing efforts. Our growth has been driven in significant part by supply from repeat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which accounts for 77% of the Clean Out Kits we processed in 2020, and we consider repeat sellers to be critical to high-quality supply growth. We measure and track Active Sellers and repeat activity by sellers:</w:t>
      </w:r>
    </w:p>
    <w:p>
      <w:pPr>
        <w:spacing w:after="0" w:line="96" w:lineRule="exact"/>
        <w:rPr>
          <w:sz w:val="20"/>
          <w:szCs w:val="20"/>
          <w:color w:val="auto"/>
        </w:rPr>
      </w:pPr>
    </w:p>
    <w:p>
      <w:pPr>
        <w:ind w:left="600" w:hanging="302"/>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 of December 31, 2019, we had 445,000 Active Sellers, up 34% from December 31, 2018.</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 of December 31, 2020, we had 428,000 Active Sellers, down 4% from December 31, 2019.</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An Active Seller is a thredUP seller who has sold at least one item on our marketplace in the last 12 months. A thredUP seller is a customer who has created an account and has listed an item in our marketplace. A thredUP seller is identified by a unique email address and a single person could have multiple thredUP seller accounts and count as multiple Active Sellers.</w:t>
      </w:r>
    </w:p>
    <w:p>
      <w:pPr>
        <w:spacing w:after="0" w:line="11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Repeat sellers supply a substantial majority of Clean Out Kits, as shown by the chart below. The percentage of Clean Out Kits processed from repeat sellers is calculated by dividing the number of Clean Out Kits from sellers who have previously sent a Clean Out Kit by all Clean Out Kits received in a given period.</w:t>
      </w:r>
    </w:p>
    <w:p>
      <w:pPr>
        <w:spacing w:after="0" w:line="155"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Active Sellers and % of Clean Out Kits Processed</w:t>
      </w:r>
    </w:p>
    <w:p>
      <w:pPr>
        <w:ind w:left="2060"/>
        <w:spacing w:after="0"/>
        <w:rPr>
          <w:sz w:val="20"/>
          <w:szCs w:val="20"/>
          <w:color w:val="auto"/>
        </w:rPr>
      </w:pPr>
      <w:r>
        <w:rPr>
          <w:rFonts w:ascii="Arial" w:cs="Arial" w:eastAsia="Arial" w:hAnsi="Arial"/>
          <w:sz w:val="23"/>
          <w:szCs w:val="23"/>
          <w:color w:val="auto"/>
        </w:rPr>
        <w:t>from Repeat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99695</wp:posOffset>
            </wp:positionV>
            <wp:extent cx="4930775" cy="259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30775" cy="259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continued to extend our sources of secondhand items when we launched our RaaS offering in 2018 to brand and retailer partners. We plan to continue to partner with leading brands and retailers who leverage our platform to offer our clean out service to their customers. We believe that our RaaS offering will enable us to unlock high-quality supply of secondhand items at significant scale in a cost-effective manner. In 2020, we processed 56,000 Clean Out Kits sourced from RaaS partners, which represents 5.6% of the total number of Clean Out Kits processed in the year, up from 21,000 Clean Out Kits and 2.0% in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Impact on Processing</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Our ability to grow our revenue is also dependent on our processing capacity. The onset of the COVID-19 pandemic led to a significant reduction in our ability to process Clean Out Kits. As a result of the pandemic, we took actions to protect our business and our employees, which impacted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distribution center productivity, staffing and processing capacity. In addition, macro-developments such as shelter-in-place orders and the federal unemployment stimulus have negatively affected the rate of hiring and retention for our distribution center workforce.</w:t>
      </w:r>
    </w:p>
    <w:p>
      <w:pPr>
        <w:spacing w:after="0" w:line="96"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As a consequence of these constraints, the number of unprocessed Clean Out Kits in our distribution centers has been elevated since March 2020. In order to reduce the increase of received and unprocessed Clean Out Kits, beginning in July 2020, we temporarily limited the number of Clean Out Kits available for sellers while we continue to process Clean Out Kits that have been received. As a result of the processing delay, our growth rates have been negatively affected by the reduction in new listings on our marketplace. The number of our Clean Out Kits processed in the second, third and fourth quarters of 2020 decreased 33%, 22% and 13%, respectively, as compared to the first quarter of 2020 due to productivity, staffing and processing declines as a result of COVID-19 safety measures and other widespread effects.</w:t>
      </w:r>
    </w:p>
    <w:p>
      <w:pPr>
        <w:spacing w:after="0" w:line="164"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Average Unprocessed Clean Out Kits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2828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3077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The number of new listings on our marketplace declined in the second quarter of 2020 by 24% as compared to the first quarter of 2020 due to these unprocessed Clean Out Kits. New listings then grew in the third quarter of 2020 by 40% as compared to the second quarter of 2020 and grew in the fourth quarter of 2020 by 6% as compared to the third quarter of 2020 as we processed more Clean Out Kits and accepted items for listing at a higher rate. Our buyers are drawn to our marketplace, in part, because of the constant incoming supply of unique items. As we offered a relatively smaller selection of recently listed items, revenue was negatively affected. In addition to the impact on our revenue, the delay in timely processing of Clean Out Kits could also negatively affect buyer sentiment because we are processing items at a slower rate and have a more limited selection of recently listed items available for purchase on our marketplace and seller sentiment because sellers are waiting longer to receive their seller payouts. We have seen our distribution center productivity, staffing and processing gradually return to pre-pandemic capacity. The existing configuration of our distribution centers pre-pandemic enabled us to implement social distancing protocols, including the reconfiguring of workstations for the safety of our employees, without reducing the total steady-state throughput capacity of our facilities. For instance,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number of items processed in September 2020 was over 1.5 times the number of items processed in May 2020 and our fourth quarter 2020 monthly average remained relatively steady at over 1.6 times the number of items processed in May 2020, even though we had reduced processing during December. In December, the number of items processed was only 1.3 times the number of items processed in May 2020, as employees took time off during the holiday season. Excluding December, our combined October and November monthly average processing was over 1.8 times the number of items processed in May 2020. Throughput continues to improve, and our combined January and February 2021 monthly average processing was over 1.6 times the number of items processed in May 2020.</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See the section titled “—Impact of COVID-19” for additional information about the impact of COVID-19 on our business.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Acquisition Marketing Payback</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Our financial performance also depends in part on our management of the expenses we incur to attract and engage buyers, which we manage in balance with our overall contribution profit. To grow orders and scale our business, we invest strategically to attract and engage buyers on our marketplace. We use discounts and incentives to encourage new and existing buyers to shop with us, which reduces revenue, average gross profit per order and average contribution profit per order. We also invest in acquisition marketing to attract new buyers and we track and manage new customer acquisition costs. We define acquisition marketing as performance marketing expense attributable to buyer acquisition and re-targeting.</w:t>
      </w:r>
    </w:p>
    <w:p>
      <w:pPr>
        <w:spacing w:after="0" w:line="119"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manage acquisition marketing to target contribution profit payback within twelve months. Our ability to achieve this payback depends on our pricing, discounts, gross profit, order frequency and distribution center costs per order. At times, we choose to expand our payback target to drive orders to better utilize our platform capacity, as scale drives contribution profit improvement. For instance, we chose to strategically prioritize and invest in growth in the past as we were in the early days of scaling our marketplace and platform. As a result, acquisition marketing payback and marketing expense may fluctuate from period to period as we continue to scale.</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Consignment Revenue Mix</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2019, we shifted to primarily consignment sales. In consignment, we recognize revenue net of seller payouts. In direct product sales, we recognize revenue based on the net sales price to the buyer. To measure our growth and operating leverage trends, we use gross profit to normalize for this mix shift.</w:t>
      </w:r>
    </w:p>
    <w:p>
      <w:pPr>
        <w:spacing w:after="0" w:line="11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Consignment gross profit as a percentage of total gross profit was 81%, 67% and 38% in 2020, 2019 and 2018, respectively. Consignment revenue as a percentage of total revenue was 74%, 60% and 30% in 2020, 2019 and 2018, respectively. In the near term, we expect this mix to continue to trend towards consignment.</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Seasonality</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Seasonality in our business does not follow that of traditional retailers, such as typical concentration of revenue in the holiday quarter, and we see relatively stable demand from our buyers throughout the year. We observe increased supply of secondhand items during the first and second quarters of the year when sellers are more prone to clean out their closets.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and Operating Metrics</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67"/>
        </w:trPr>
        <w:tc>
          <w:tcPr>
            <w:tcW w:w="6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2020</w:t>
            </w:r>
          </w:p>
        </w:tc>
      </w:tr>
      <w:tr>
        <w:trPr>
          <w:trHeight w:val="167"/>
        </w:trPr>
        <w:tc>
          <w:tcPr>
            <w:tcW w:w="6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60" w:type="dxa"/>
            <w:vAlign w:val="bottom"/>
            <w:gridSpan w:val="4"/>
          </w:tcPr>
          <w:p>
            <w:pPr>
              <w:jc w:val="right"/>
              <w:ind w:right="157"/>
              <w:spacing w:after="0"/>
              <w:rPr>
                <w:sz w:val="20"/>
                <w:szCs w:val="20"/>
                <w:color w:val="auto"/>
              </w:rPr>
            </w:pPr>
            <w:r>
              <w:rPr>
                <w:rFonts w:ascii="Arial" w:cs="Arial" w:eastAsia="Arial" w:hAnsi="Arial"/>
                <w:sz w:val="13"/>
                <w:szCs w:val="13"/>
                <w:b w:val="1"/>
                <w:bCs w:val="1"/>
                <w:color w:val="auto"/>
              </w:rPr>
              <w:t>(in thousands, except percentages)</w:t>
            </w:r>
          </w:p>
        </w:tc>
        <w:tc>
          <w:tcPr>
            <w:tcW w:w="1240" w:type="dxa"/>
            <w:vAlign w:val="bottom"/>
          </w:tcPr>
          <w:p>
            <w:pPr>
              <w:spacing w:after="0"/>
              <w:rPr>
                <w:sz w:val="14"/>
                <w:szCs w:val="14"/>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Buyers (as of period end)</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676</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997</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1,240</w:t>
            </w:r>
          </w:p>
        </w:tc>
      </w:tr>
      <w:tr>
        <w:trPr>
          <w:trHeight w:val="212"/>
        </w:trPr>
        <w:tc>
          <w:tcPr>
            <w:tcW w:w="6040" w:type="dxa"/>
            <w:vAlign w:val="bottom"/>
          </w:tcPr>
          <w:p>
            <w:pPr>
              <w:ind w:left="20"/>
              <w:spacing w:after="0"/>
              <w:rPr>
                <w:sz w:val="20"/>
                <w:szCs w:val="20"/>
                <w:color w:val="auto"/>
              </w:rPr>
            </w:pPr>
            <w:r>
              <w:rPr>
                <w:rFonts w:ascii="Arial" w:cs="Arial" w:eastAsia="Arial" w:hAnsi="Arial"/>
                <w:sz w:val="17"/>
                <w:szCs w:val="17"/>
                <w:color w:val="auto"/>
              </w:rPr>
              <w:t>Active Buyers Growth</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10 %</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48 %</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Orders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2,346</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3,134</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3,965</w:t>
            </w:r>
          </w:p>
        </w:tc>
      </w:tr>
      <w:tr>
        <w:trPr>
          <w:trHeight w:val="212"/>
        </w:trPr>
        <w:tc>
          <w:tcPr>
            <w:tcW w:w="6040" w:type="dxa"/>
            <w:vAlign w:val="bottom"/>
          </w:tcPr>
          <w:p>
            <w:pPr>
              <w:ind w:left="20"/>
              <w:spacing w:after="0"/>
              <w:rPr>
                <w:sz w:val="20"/>
                <w:szCs w:val="20"/>
                <w:color w:val="auto"/>
              </w:rPr>
            </w:pPr>
            <w:r>
              <w:rPr>
                <w:rFonts w:ascii="Arial" w:cs="Arial" w:eastAsia="Arial" w:hAnsi="Arial"/>
                <w:sz w:val="17"/>
                <w:szCs w:val="17"/>
                <w:color w:val="auto"/>
              </w:rPr>
              <w:t>Orders Growth</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28 %</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34 %</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27 %</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129,551</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163,812</w:t>
            </w:r>
          </w:p>
        </w:tc>
        <w:tc>
          <w:tcPr>
            <w:tcW w:w="48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186,015</w:t>
            </w:r>
          </w:p>
        </w:tc>
      </w:tr>
      <w:tr>
        <w:trPr>
          <w:trHeight w:val="212"/>
        </w:trPr>
        <w:tc>
          <w:tcPr>
            <w:tcW w:w="6040" w:type="dxa"/>
            <w:vAlign w:val="bottom"/>
          </w:tcPr>
          <w:p>
            <w:pPr>
              <w:ind w:left="20"/>
              <w:spacing w:after="0"/>
              <w:rPr>
                <w:sz w:val="20"/>
                <w:szCs w:val="20"/>
                <w:color w:val="auto"/>
              </w:rPr>
            </w:pPr>
            <w:r>
              <w:rPr>
                <w:rFonts w:ascii="Arial" w:cs="Arial" w:eastAsia="Arial" w:hAnsi="Arial"/>
                <w:sz w:val="17"/>
                <w:szCs w:val="17"/>
                <w:color w:val="auto"/>
              </w:rPr>
              <w:t>Revenue Growth</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26 %</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78,010</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112,504</w:t>
            </w:r>
          </w:p>
        </w:tc>
        <w:tc>
          <w:tcPr>
            <w:tcW w:w="48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128,148</w:t>
            </w:r>
          </w:p>
        </w:tc>
      </w:tr>
      <w:tr>
        <w:trPr>
          <w:trHeight w:val="212"/>
        </w:trPr>
        <w:tc>
          <w:tcPr>
            <w:tcW w:w="6040" w:type="dxa"/>
            <w:vAlign w:val="bottom"/>
          </w:tcPr>
          <w:p>
            <w:pPr>
              <w:ind w:left="20"/>
              <w:spacing w:after="0"/>
              <w:rPr>
                <w:sz w:val="20"/>
                <w:szCs w:val="20"/>
                <w:color w:val="auto"/>
              </w:rPr>
            </w:pPr>
            <w:r>
              <w:rPr>
                <w:rFonts w:ascii="Arial" w:cs="Arial" w:eastAsia="Arial" w:hAnsi="Arial"/>
                <w:sz w:val="17"/>
                <w:szCs w:val="17"/>
                <w:color w:val="auto"/>
              </w:rPr>
              <w:t>Gross Profit Growth</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44 %</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(34,181)</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(38,197)</w:t>
            </w:r>
          </w:p>
        </w:tc>
        <w:tc>
          <w:tcPr>
            <w:tcW w:w="48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(47,877)</w:t>
            </w:r>
          </w:p>
        </w:tc>
      </w:tr>
      <w:tr>
        <w:trPr>
          <w:trHeight w:val="212"/>
        </w:trPr>
        <w:tc>
          <w:tcPr>
            <w:tcW w:w="6040" w:type="dxa"/>
            <w:vAlign w:val="bottom"/>
          </w:tcPr>
          <w:p>
            <w:pPr>
              <w:ind w:left="20"/>
              <w:spacing w:after="0"/>
              <w:rPr>
                <w:sz w:val="20"/>
                <w:szCs w:val="20"/>
                <w:color w:val="auto"/>
              </w:rPr>
            </w:pPr>
            <w:r>
              <w:rPr>
                <w:rFonts w:ascii="Arial" w:cs="Arial" w:eastAsia="Arial" w:hAnsi="Arial"/>
                <w:sz w:val="17"/>
                <w:szCs w:val="17"/>
                <w:color w:val="auto"/>
              </w:rPr>
              <w:t>Net Loss Margin</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26 %</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23 %</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26 %</w:t>
            </w:r>
          </w:p>
        </w:tc>
      </w:tr>
      <w:tr>
        <w:trPr>
          <w:trHeight w:val="212"/>
        </w:trPr>
        <w:tc>
          <w:tcPr>
            <w:tcW w:w="604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Adjusted EBITDA</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(27,198)</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(24,343)</w:t>
            </w:r>
          </w:p>
        </w:tc>
        <w:tc>
          <w:tcPr>
            <w:tcW w:w="48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(33,398)</w:t>
            </w:r>
          </w:p>
        </w:tc>
      </w:tr>
      <w:tr>
        <w:trPr>
          <w:trHeight w:val="195"/>
        </w:trPr>
        <w:tc>
          <w:tcPr>
            <w:tcW w:w="6040" w:type="dxa"/>
            <w:vAlign w:val="bottom"/>
          </w:tcPr>
          <w:p>
            <w:pPr>
              <w:ind w:left="20"/>
              <w:spacing w:after="0"/>
              <w:rPr>
                <w:sz w:val="20"/>
                <w:szCs w:val="20"/>
                <w:color w:val="auto"/>
              </w:rPr>
            </w:pPr>
            <w:r>
              <w:rPr>
                <w:rFonts w:ascii="Arial" w:cs="Arial" w:eastAsia="Arial" w:hAnsi="Arial"/>
                <w:sz w:val="17"/>
                <w:szCs w:val="17"/>
                <w:color w:val="auto"/>
              </w:rPr>
              <w:t>Adjusted EBITDA Margin</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w:t>
            </w: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w:t>
            </w:r>
          </w:p>
        </w:tc>
        <w:tc>
          <w:tcPr>
            <w:tcW w:w="4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________________</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ind w:left="300" w:hanging="300"/>
        <w:spacing w:after="0"/>
        <w:tabs>
          <w:tab w:leader="none" w:pos="3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See below for a reconciliation of Adjusted EBITDA to net loss.</w:t>
      </w:r>
    </w:p>
    <w:p>
      <w:pPr>
        <w:spacing w:after="0" w:line="128"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Active Buyers and Active Buyer Growth</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An Active Buyer is a thredUP buyer who has made at least one purchase in the last twelve months. A thredUP buyer is a customer who has created an account in our marketplace. A thredUP buyer is identified by a unique email address and a single person could have multiple thredUP accounts and count as multiple Active Buyers. The number of Active Buyers is a key driver of revenue for our marketplace and we expect the number of Active Buyers to increase over time.</w:t>
      </w:r>
    </w:p>
    <w:p>
      <w:pPr>
        <w:spacing w:after="0" w:line="11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view the number of Active Buyers as a key indicator of our growth and the value proposition we provide to our buyers. The number of Active Buyers has grown over time as we acquired new buyers and continued to engage previously acquired buyers. We expect to continue to drive growth in Active Buyers with marketing and engagement efforts.</w:t>
      </w:r>
    </w:p>
    <w:p>
      <w:pPr>
        <w:spacing w:after="0" w:line="11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had 1.24 million Active Buyers as of December 31, 2020, up 24% from December 31, 2019. We had 997,000 Active Buyers as of December 31, 2019, up 48% from December 31, 2018. Active Buyers grew in the years ended December 31, 2020 and December 31, 2019 as we invested to acquire more new buyers in connection with bringing additional distribution centers online.</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Orders and Order Growth</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Orders means the total number of orders placed by buyers across our marketplace, including through our RaaS partners, in a given period, net of cancellations. We expect Orders to increase over time.</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view Orders placed as a key indicator of the velocity of our marketplace and an indication of the desirability of our evergreen assortment to our buyers. Orders, together with Active Buyers, is an indicator of our ability to attract new and repeat purchases by buyers.</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had 3.96 million Orders in the year ended December 31, 2020, up 27% from the year ended December 31, 2019. We had 3.13 million Orders in the year ended December 31, 2019, up 34%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year ended December 31, 2018. Order growth decelerated in the year ended December 31, 2020 primarily due to the overall impact of the COVID-19 pandemic, including lower demand for apparel in general and fewer secondhand items being listed for sale on our marketplace. Order growth accelerated in the year ended December 31, 2019 along with Active Buyer growth, offset by lower Orders per Active Buyer. Active Buyers had 3.2 Orders in the year ended December 31, 2020, compared to 3.1 Orders in 2019 and 3.5 Orders in 2018. This decrease in Orders per Active Buyers was driven by growth in new buyers who place fewer orders in their first year.</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and Revenue Growth</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Revenue consists of consignment revenue and product revenue, and we generate revenue when secondhand items are sold on our marketplace. Consignment revenue is recognized based on the proceeds received by us for the sale of consigned goods, net of seller payout. Product revenue is recognized on a gross basis when we generate sales from our purchased inventory.</w:t>
      </w:r>
    </w:p>
    <w:p>
      <w:pPr>
        <w:spacing w:after="0" w:line="11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2020, revenue was $186.0 million, representing growth of 14%, compared to 27% growth in Orders. Revenue per Order declined 10% due to increased discounts and incentives beginning in the second quarter of 2020 as well as a higher percentage of our sales being consignment sales. In 2019, revenue was $163.8 million, representing growth of 26%, compared to 34% growth in Orders. Revenue per Order declined 5% primarily due the shift to consignment sales.</w:t>
      </w:r>
    </w:p>
    <w:p>
      <w:pPr>
        <w:spacing w:after="0" w:line="11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Over the long term, we expect revenue and revenue growth to be a key indicator of the scale and growth of our marketplace as our revenue mix shift stabilizes towards primarily consignment sales.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Gross Profit and Gross Profit Growth</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Gross profit means our revenue less the cost of revenue. We operate with consignment sales and direct product sales. Due to the shift to primarily consignment sales in mid-2019, we use gross profit to normalize for this mix shift and we track gross profit growth as a key indicator of the health and growth of our marketplace.</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2020, gross profit was $128.1 million, representing year-over-year growth of 14%, compared to 27% growth in Orders. Gross profit per Order declined 10% year-over-year primarily due to lower average revenue per order as a result of our COVID-19 response, which included higher levels of discounts and incentives beginning in the second quarter of 2020, as well as a higher percentage of our sales being consignment sales. In 2019, gross profit was $112.5 million, representing year-over-year growth of 44%, compared to 34% growth in Orders. Gross profit per Order grew 8% year-over-year due to increased outbound labor efficiency and improvements in our pricing and seller payout ratio algorithms.</w:t>
      </w:r>
    </w:p>
    <w:p>
      <w:pPr>
        <w:spacing w:after="0" w:line="11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Over the long term, we expect gross profit to increase as a result of the continued growth in Orders, the continued trend towards primarily consignment sales, and operational efficiency gains in outbound processing and fulfillment.</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Loss, Net Loss Margin, Adjusted EBITDA and Adjusted EBITDA Margin</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Adjusted EBITDA means net loss adjusted to exclude depreciation and amortization, stock-based compensation expense, interest expense, change in fair value of convertible preferred stock warrant liability, loss on extinguishment of debt and provision for income taxes. We use Adjusted EBITDA to evaluate and assess our operating performance 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122"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Adjusted EBITDA should not be considered as an alternative to net loss or any other measure of financial performance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a reconciliation of Adjusted EBITDA from net loss for the years ended December 31, 2018, 2019 and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Adjusted EBITDA reconciliation: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2"/>
        </w:trPr>
        <w:tc>
          <w:tcPr>
            <w:tcW w:w="63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(34,181)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(47,877)</w:t>
            </w:r>
          </w:p>
        </w:tc>
        <w:tc>
          <w:tcPr>
            <w:tcW w:w="0" w:type="dxa"/>
            <w:vAlign w:val="bottom"/>
          </w:tcPr>
          <w:p>
            <w:pPr>
              <w:spacing w:after="0"/>
              <w:rPr>
                <w:sz w:val="1"/>
                <w:szCs w:val="1"/>
                <w:color w:val="auto"/>
              </w:rPr>
            </w:pPr>
          </w:p>
        </w:tc>
      </w:tr>
      <w:tr>
        <w:trPr>
          <w:trHeight w:val="212"/>
        </w:trPr>
        <w:tc>
          <w:tcPr>
            <w:tcW w:w="6340" w:type="dxa"/>
            <w:vAlign w:val="bottom"/>
          </w:tcPr>
          <w:p>
            <w:pPr>
              <w:ind w:left="20"/>
              <w:spacing w:after="0"/>
              <w:rPr>
                <w:sz w:val="20"/>
                <w:szCs w:val="20"/>
                <w:color w:val="auto"/>
              </w:rPr>
            </w:pPr>
            <w:r>
              <w:rPr>
                <w:rFonts w:ascii="Arial" w:cs="Arial" w:eastAsia="Arial" w:hAnsi="Arial"/>
                <w:sz w:val="17"/>
                <w:szCs w:val="17"/>
                <w:color w:val="auto"/>
              </w:rPr>
              <w:t>Add (deduct):</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5,581</w:t>
            </w:r>
          </w:p>
        </w:tc>
        <w:tc>
          <w:tcPr>
            <w:tcW w:w="0" w:type="dxa"/>
            <w:vAlign w:val="bottom"/>
          </w:tcPr>
          <w:p>
            <w:pPr>
              <w:spacing w:after="0"/>
              <w:rPr>
                <w:sz w:val="1"/>
                <w:szCs w:val="1"/>
                <w:color w:val="auto"/>
              </w:rPr>
            </w:pPr>
          </w:p>
        </w:tc>
      </w:tr>
      <w:tr>
        <w:trPr>
          <w:trHeight w:val="212"/>
        </w:trPr>
        <w:tc>
          <w:tcPr>
            <w:tcW w:w="634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7,678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7,336</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12"/>
        </w:trPr>
        <w:tc>
          <w:tcPr>
            <w:tcW w:w="6340" w:type="dxa"/>
            <w:vAlign w:val="bottom"/>
          </w:tcPr>
          <w:p>
            <w:pPr>
              <w:ind w:left="220"/>
              <w:spacing w:after="0" w:line="212" w:lineRule="exact"/>
              <w:rPr>
                <w:sz w:val="20"/>
                <w:szCs w:val="20"/>
                <w:color w:val="auto"/>
              </w:rPr>
            </w:pPr>
            <w:r>
              <w:rPr>
                <w:rFonts w:ascii="Arial" w:cs="Arial" w:eastAsia="Arial" w:hAnsi="Arial"/>
                <w:sz w:val="17"/>
                <w:szCs w:val="17"/>
                <w:color w:val="auto"/>
              </w:rPr>
              <w:t xml:space="preserve">Change in fair value of convertible preferred stock warrant liability </w:t>
            </w:r>
            <w:r>
              <w:rPr>
                <w:rFonts w:ascii="Arial" w:cs="Arial" w:eastAsia="Arial" w:hAnsi="Arial"/>
                <w:sz w:val="21"/>
                <w:szCs w:val="21"/>
                <w:color w:val="auto"/>
                <w:vertAlign w:val="superscript"/>
              </w:rPr>
              <w:t>(1)</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20"/>
              <w:spacing w:after="0" w:line="212" w:lineRule="exact"/>
              <w:rPr>
                <w:sz w:val="20"/>
                <w:szCs w:val="20"/>
                <w:color w:val="auto"/>
              </w:rPr>
            </w:pPr>
            <w:r>
              <w:rPr>
                <w:rFonts w:ascii="Arial" w:cs="Arial" w:eastAsia="Arial" w:hAnsi="Arial"/>
                <w:sz w:val="17"/>
                <w:szCs w:val="17"/>
                <w:color w:val="auto"/>
              </w:rPr>
              <w:t xml:space="preserve">Loss on extinguishment of debt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Provision for income taxes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(27,198)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(24,343)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(33,398)</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3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00" w:hanging="300"/>
        <w:spacing w:after="0" w:line="242" w:lineRule="auto"/>
        <w:tabs>
          <w:tab w:leader="none" w:pos="296" w:val="left"/>
        </w:tabs>
        <w:numPr>
          <w:ilvl w:val="0"/>
          <w:numId w:val="68"/>
        </w:numPr>
        <w:rPr>
          <w:rFonts w:ascii="Arial" w:cs="Arial" w:eastAsia="Arial" w:hAnsi="Arial"/>
          <w:sz w:val="15"/>
          <w:szCs w:val="15"/>
          <w:color w:val="auto"/>
        </w:rPr>
      </w:pPr>
      <w:r>
        <w:rPr>
          <w:rFonts w:ascii="Arial" w:cs="Arial" w:eastAsia="Arial" w:hAnsi="Arial"/>
          <w:sz w:val="15"/>
          <w:szCs w:val="15"/>
          <w:color w:val="auto"/>
        </w:rPr>
        <w:t>Our convertible preferred stock warrants are subject to re-measurement at the end of each reporting period and the change in the fair value of the convertible preferred stock warrant liability is included in other income, net in our statement of operations and comprehensive loss. Our convertible preferred stock warrants will be converted to common stock warrants (which will not be subject to remeasurement) and the related convertible preferred stock warrant liability will be reclassified to additional paid-in capital immediately prior to the completion of this offering.</w:t>
      </w:r>
    </w:p>
    <w:p>
      <w:pPr>
        <w:spacing w:after="0" w:line="1" w:lineRule="exact"/>
        <w:rPr>
          <w:rFonts w:ascii="Arial" w:cs="Arial" w:eastAsia="Arial" w:hAnsi="Arial"/>
          <w:sz w:val="15"/>
          <w:szCs w:val="15"/>
          <w:color w:val="auto"/>
        </w:rPr>
      </w:pPr>
    </w:p>
    <w:p>
      <w:pPr>
        <w:ind w:left="300" w:hanging="300"/>
        <w:spacing w:after="0" w:line="292" w:lineRule="auto"/>
        <w:tabs>
          <w:tab w:leader="none" w:pos="296" w:val="left"/>
        </w:tabs>
        <w:numPr>
          <w:ilvl w:val="0"/>
          <w:numId w:val="68"/>
        </w:numPr>
        <w:rPr>
          <w:rFonts w:ascii="Arial" w:cs="Arial" w:eastAsia="Arial" w:hAnsi="Arial"/>
          <w:sz w:val="14"/>
          <w:szCs w:val="14"/>
          <w:color w:val="auto"/>
        </w:rPr>
      </w:pPr>
      <w:r>
        <w:rPr>
          <w:rFonts w:ascii="Arial" w:cs="Arial" w:eastAsia="Arial" w:hAnsi="Arial"/>
          <w:sz w:val="14"/>
          <w:szCs w:val="14"/>
          <w:color w:val="auto"/>
        </w:rPr>
        <w:t>We recorded a loss on the extinguishment of our loan and security agreement with Silicon Valley Bank in February 2019, which is included in other income, net in our statement of operations and comprehensive loss. See Note 7 to our consolidated financial statements included elsewhere in this prospectus for more information.</w:t>
      </w:r>
    </w:p>
    <w:p>
      <w:pPr>
        <w:spacing w:after="0" w:line="83"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In 2020, net loss was $ 47.9 million, 25% more than net loss of $38.2 million in 2019. In 2020, Adjusted EBITDA was $ (33.4) million compared to Adjusted EBITDA of $(24.3) million in 2019. The expansion of the Adjusted EBITDA loss by 37% compared to 14% growth in gross profit in 2020 was a result of increased operating expenses primarily related to operations, product and technology expenses and sales, general and administrative expenses. In 2019, net loss was $38.2 million, 12% more than net loss of $34.2 million in 2018. In 2019, Adjusted EBITDA was $(24.3) million, a 10% improvement as compared to Adjusted EBITDA of $(27.2) million in 2018, compared to 44% growth in gross profit over the same period. The relatively flat net loss and Adjusted EBITDA dollar loss compared to 44% growth in gross profit was a result of increased operating leverage. This operating leverage was primarily driven by efficiencies in operations, product and technology expenses, offset by increased investment in marketing expense.</w:t>
      </w:r>
    </w:p>
    <w:p>
      <w:pPr>
        <w:spacing w:after="0" w:line="11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Over the long term, we expect net loss to decrease and Adjusted EBITDA to increase as a result of the continued growth in Orders, the continued trend towards a consignment revenue mix, operational efficiency gains in processing and fulfillment and a reduction in marketing as a percentage of revenue. We define Net Loss Margin as net loss divided by revenue. Adjusted EBITDA Margin as Adjusted EBITDA divided by revenue. Over the long term, we expect Net Loss Margin and Adjusted EBITDA Margin to improve.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In December 2019, a novel strain of coronavirus was first identified, and in March 2020, the World Health Organization categorized COVID-19 as a pandemic. The COVID-19 pandemic has adversely impacted businesses worldwide and has impacted aspects of our business and operations.</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To help control the spread of the virus and protect the health and safety of our employees, we modified certain operational protocols in our distribution centers. We enabled social distancing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distribution centers by reconfiguring workstations and break rooms, staggered shifts and, from late March to late May 2020, we offered a 60-day voluntary furlough to onsite staff. We implemented numerous health and safety measures in our distribution centers, including mandatory temperature checks, increased paid time off for illness, distribution of personal protective equipment to employees, increased facility cleanings and additional paid time for sanitizing workstations between shifts. We also shifted nearly all of our corporate employees and contract engineers to a remote work model and implemented additional measures to better enable them to work remotely. As of February 28, 2021, these health and safety measures and the remote model work remain in place.</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Impact</w:t>
      </w:r>
    </w:p>
    <w:p>
      <w:pPr>
        <w:spacing w:after="0" w:line="153"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In the first quarter of 2020, we temporarily reduced marketing spend to take time to better understand the impact of COVID-19 on consumer demand. Later, as advertising auctions stabilized, we gradually scaled up acquisition marketing spend towards normal levels. Also, beginning in the second quarter of 2020, we chose to strategically increase discounts and incentives to encourage our existing buyer base to shop with us, as consumers generally prioritize value in times of economic uncertainty. This increase negatively impacted our year-over-year revenue growth in the second, third and fourth quarters of 2020, as discounts and incentives remained at elevated levels relative to pre-pandemic levels. As a result, we believe that gross merchandise value, which is recognized prior to discounts and incentives, is more reflective of underlying consumer demand on thredUP during this period. Our year-over-year gross merchandise value grew 26% in 2020, compared to revenue growth of 14% as consumers prioritized value. Exiting the year, the fourth quarter of 2020 was the most impacted quarter for gross merchandise value and revenue, which we believe is due primarily to the impact of increased cases of COVID-19, increased concerns about the COVID-19 pandemic and the uncertainty around the U.S. presidential election. We are, however, experiencing strong momentum in 2021 and accelerated growth year-to-date compared to the fourth quarter of 2020. Gross merchandise value grew approximately 16% year-over-year in the year-to-date period ended February 28, 2021, compared to 11% year-over-year in the fourth quarter of 2020. Revenue grew approximately 4% year-over-year in the year-to-date period ended February 28, 2021, compared to a decrease of 3% year-over-year in the fourth quarter of 2020.</w:t>
      </w:r>
    </w:p>
    <w:p>
      <w:pPr>
        <w:spacing w:after="0" w:line="122"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Our financial results and operating metric results for the year-to-date period ended February 28, 2021 presented above are preliminary, do not represent a full fiscal quarter, are based upon our estimates and subject to completion of our quarter-end closing procedures and financial review. The results for the year-to-date period ended February 28, 2021 are not necessarily indicative of the results to be expected for the first quarter of 2021 or any other period. These revenue results are not a comprehensive statement of our financial results for these periods and should not be viewed as a substitute for full interim financial statements prepared in accordance with U.S. GAAP. Our actual first quarter 2021 results may be affected by review adjustments and other developments that may arise between now and the time our financial results for the first quarter of 2021 are finalized, and such changes could be material. The year-to-date period ended February 29, 2020 and year-to-date period ended February 28, 2021 financial data has been prepared by and is the responsibility of our management and has not been audited or reviewed by our independent registered public accounting firm.</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Savings Actions</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Further, we also implemented several cost saving measures to address challenges presented by the COVID-19 pandemic. For example, in April 2020, we reduced salaries by 20% for the vast majority of corporate employees and, in June 2020, we laid off staff at our three small retail stores and permanently closed our retail stores during 2020. We have since granted stock options to the corporate employees affected by the salary reductions in an amount proportional to the respective employee’s salary reduction.</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Processing Delays</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onset of the COVID-19 pandemic led to a significant reduction in our ability to process Clean Out Kits. As a result of the pandemic, we took actions to protect our business and our employees,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118" w:right="339" w:bottom="1440" w:gutter="0" w:footer="0" w:header="0"/>
        </w:sectPr>
      </w:pPr>
    </w:p>
    <w:bookmarkStart w:id="98" w:name="page99"/>
    <w:bookmarkEnd w:id="9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impacted our distribution center productivity, staffing and processing capacity. In addition, macro-developments such as shelter-in-place orders and the federal unemployment stimulus have negatively affected the rate of hiring and retention for our distribution center workforce.</w:t>
      </w:r>
    </w:p>
    <w:p>
      <w:pPr>
        <w:spacing w:after="0" w:line="96"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As a consequence of these constraints, the number of unprocessed Clean Out Kits in our distribution centers has been elevated since March 2020. In order to reduce the increase of received and unprocessed Clean Out Kits, beginning in July 2020, we temporarily limited the number of Clean Out Kits available for sellers while we continue to process Clean Out Kits that have been received. As a result of the processing delay, our growth rates have been negatively affected by the reduction in new listings on our marketplace. The number of our Clean Out Kits processed in the second, third and fourth quarters of 2020 decreased 33%, 22% and 13%, respectively, as compared to the first quarter of 2020 due to productivity, staffing and processing declines as a result of COVID-19 safety measures and other widespread effects. Our average number of unprocessed Clean Out Kits grew 849% year-over-year in the third quarter of 2020. In the fourth quarter of 2020, we began to observe a reduction in our average number of unprocessed Clean Out Kits, which declined 17% quarter-over-quarter, and we have continued to observe the number of unprocessed Clean Out Kits declining, with such number down 26% on February 28, 2021 as compared to December 31, 2020.</w:t>
      </w:r>
    </w:p>
    <w:p>
      <w:pPr>
        <w:spacing w:after="0" w:line="123"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The number of new listings on our marketplace declined in the second quarter of 2020 by 24% as compared to the first quarter of 2020 due to these unprocessed Clean Out Kits. New listings then grew in the third quarter of 2020 by 40% as compared to the second quarter of 2020 and grew in the fourth quarter of 2020 by 6% as compared to the third quarter of 2020 as we processed more Clean Out Kits and accepted items for listing at a higher rate. Our buyers are drawn to our marketplace, in part, because of the constant incoming supply of unique items. As we offered a relatively smaller selection of recently listed items, revenue was negatively affected. In addition to the impact on our revenue, the delay in timely processing of Clean Out Kits could also negatively affect buyer sentiment because we are processing items at a slower rate and have a more limited selection of recently listed items available for purchase on our marketplace and seller sentiment because sellers are waiting longer to receive their seller payouts. We have seen our distribution center productivity, staffing and processing gradually return to pre-pandemic capacity. The existing configuration of our distribution centers pre-pandemic enabled us to implement social distancing protocols, including the reconfiguring of workstations for the safety of our employees, without reducing the total steady-state throughput capacity of our facilities. For instance, the number of items processed in September 2020 was over 1.5 times the number of items processed in May 2020 and our fourth quarter 2020 monthly average remained relatively steady at over 1.6 times the number of items processed in May 2020, even though we had reduced processing during December. In December, the number of items processed was only 1.3 times the number of items processed in May 2020, as employees took time off during the holiday season. Excluding December, our combined October and November monthly average processing was over 1.8 times the number of items processed in May 2020. Throughput continues to improve, and our combined January and February 2021 monthly average processing was over 1.6 times the number of items processed in May 2020.</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Further, as a result of restrictions in international travel and border crossing due to COVID-19, we experienced a delay in the build out of our new highly-automated distribution center in Georgia. Between mid-March 2020 and the end of June 2020, non-U.S. contractors that we engaged pre-pandemic were unable to travel to our distribution center to perform services. These restrictions resulted in a delay in construction of specialized systems for our distribution center and pushed back the opening of the new distribution center by approximately 40 days. In addition to the construction delays, we also incurred additional shipping costs and other fees.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Travel and border closures have not otherwise significantly affected our business as we operate a U.S.-focused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Ongoing Impact</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have taken actions to help ensure that our business will continue to operate through the COVID-19 pandemic, including those discussed above. The impact of these actions on our business, workforce and culture are difficult to assess. Against this backdrop, our business has continued to grow, and the key drivers of our business, including the market demand for secondhand items in general and the online secondhand market more specifically, as well as our ability to source high-quality secondhand items, have continued their positive progress, despite the pandemic.</w:t>
      </w:r>
    </w:p>
    <w:p>
      <w:pPr>
        <w:spacing w:after="0" w:line="11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expect the evolving COVID-19 pandemic to continue to have an adverse impact on our business, results of operations and financial condition, including our revenue and cash flows, for at least the remainder of 2021. For instance, a slowdown or further uncertainty in the U.S. economy, as well as a decrease in government stimulus packages, may result in additional changes in buyer and seller behavior, which could cause either a potential reduction in discretionary spending on our marketplace or increased activity on our marketplace as customers look for high-value, lower-priced alternatives. In particular, following the U.S. government stimulus package, we experienced an increase in Orders in May 2020, followed by a decrease when those funds were exhausted. Without timely and robust government stimulus funding programs, consumers would have less money to spend on apparel, which could harm our business, results of operations and financial condition.</w:t>
      </w:r>
    </w:p>
    <w:p>
      <w:pPr>
        <w:spacing w:after="0" w:line="12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Due to the unknown duration and unprecedented impact of the COVID-19 pandemic and the range of national, state and local responses thereto, the related financial impact on our business could change and cannot be accurately predicted at this time. See the section titled “Risk Factors—Risks Relating to our Business and Industry—The global COVID-19 pandemic has had and may continue to have an adverse impact on our business,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revenue is comprised of consignment revenue and product revenue.</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Consignment revenue</w:t>
      </w:r>
    </w:p>
    <w:p>
      <w:pPr>
        <w:spacing w:after="0" w:line="15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generate consignment revenue from the sale of secondhand women’s and kids’ apparel, shoes and accessories on behalf of sellers. We recognize consignment revenue, net of seller payouts, discounts, incentives and returns. We expect consignment revenue to continue to increase as we increase our Active Buyers and Orders and grow our business. We also expect consignment revenue to continue to increase as a percentage of total revenue due to our mix shift to primarily consignment.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Product revenue</w:t>
      </w:r>
    </w:p>
    <w:p>
      <w:pPr>
        <w:spacing w:after="0" w:line="15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also generate product revenue from the sale of items that we own, which we refer to as our inventory. While we shifted our business to primarily consignment sales in mid-2019, historically, we purchased most of our inventory from our sellers prior to inclusion on our online marketplace. We recognize product revenue, net of discounts, incentives and returns. We expect product revenue to continue to decrease as a percentage of total revenue due to our mix shift to primarily consignment.</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Cost of consignment revenue</w:t>
      </w:r>
    </w:p>
    <w:p>
      <w:pPr>
        <w:spacing w:after="0" w:line="15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Cost of consignment revenue consists of outbound shipping, outbound labor and packaging costs. We expect cost of consignment revenue to decrease and gross margin to increase as a percentage of total revenue as we continue to scale our business due to our ability to drive leverage in shipping, labor and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Cost of product revenue</w:t>
      </w:r>
    </w:p>
    <w:p>
      <w:pPr>
        <w:spacing w:after="0" w:line="15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Cost of product revenue consists of inventory cost, inbound shipping related to the sold merchandise, outbound shipping, outbound labor, packaging costs and inventory write-downs. We expect cost of product revenue to decrease and gross margin to increase as a percentage of total revenue as we continue to scale our business due to our ability to drive leverage in shipping, labor and packaging.</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Operations, Product and Technology</w:t>
      </w:r>
    </w:p>
    <w:p>
      <w:pPr>
        <w:spacing w:after="0" w:line="151"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Operations, product and technology expenses consist primarily of distribution center operating costs and product and technology expenses. Distribution center operating costs include inbound shipping costs, other than those capitalized in inventory, as well as personnel costs, distribution center rent, maintenance and equipment depreciation. Product and technology costs include personnel costs for the design and development of product and the related technology that is used to operate our distribution centers, merchandise science, website development and related expenses for these departments. Operations, product and technology expenses also include an allocation of corporate facilities and information technology costs such as equipment, depreciation and rent. We expect operations, product and technology expenses to increase in absolute dollars in future periods to support our growth, especially as costs to increase our supply (inbound costs) are generally incurred prior to the expected revenue growth. Additionally, we expect to bring on additional distribution centers and continue investing in automation and other technology improvements to support and drive efficiency in our operations. These expenses may vary from period to period as a percentage of revenue, depending primarily upon when we choose to make more significant investments. We expect these expenses to decrease as a percentage of revenue over the longer term due to better leverage in our operations.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Marketing</w:t>
      </w:r>
    </w:p>
    <w:p>
      <w:pPr>
        <w:spacing w:after="0" w:line="15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Marketing costs consist primarily of advertising, public relations expenditures and personnel costs for employees engaged in marketing. Marketing costs also include an allocation of corporate facilities and information technology costs such as equipment, depreciation and rent. We expect our marketing expenses to fluctuate as a percentage of revenue as we intend to increase marketing spend to drive the growth of our business.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Sales, General and Administrative</w:t>
      </w:r>
    </w:p>
    <w:p>
      <w:pPr>
        <w:spacing w:after="0" w:line="151"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Sales, general and administrative expenses consist of personnel costs for employees involved in general corporate functions, including accounting, finance, tax, legal and people services; customer service; and retail stores. Sales, general and administrative also includes payment processing fees, professional fees and allocation of corporate facilities and information technology costs such as equipment, depreciation and rent. We expect to increase sales, general and administrative expense as we grow our infrastructure to support operating as a public company and the overall growth in our business. While these expenses may vary from period to period as a percentage of revenue, we expect them to decrease as a percentage of revenue over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55" w:lineRule="exact"/>
        <w:rPr>
          <w:sz w:val="20"/>
          <w:szCs w:val="20"/>
          <w:color w:val="auto"/>
        </w:rPr>
      </w:pPr>
    </w:p>
    <w:p>
      <w:pPr>
        <w:jc w:val="both"/>
        <w:ind w:firstLine="299"/>
        <w:spacing w:after="0" w:line="309" w:lineRule="auto"/>
        <w:rPr>
          <w:sz w:val="20"/>
          <w:szCs w:val="20"/>
          <w:color w:val="auto"/>
        </w:rPr>
      </w:pPr>
      <w:r>
        <w:rPr>
          <w:rFonts w:ascii="Arial" w:cs="Arial" w:eastAsia="Arial" w:hAnsi="Arial"/>
          <w:sz w:val="16"/>
          <w:szCs w:val="16"/>
          <w:color w:val="auto"/>
        </w:rPr>
        <w:t>The results of operations presented below should be reviewed in conjunction with the consolidated financial statements and notes included elsewhere in this prospectus. The following tables set forth our results of operations and such data as a percentage of revenue for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20"/>
              <w:spacing w:after="0"/>
              <w:rPr>
                <w:sz w:val="20"/>
                <w:szCs w:val="20"/>
                <w:color w:val="auto"/>
              </w:rPr>
            </w:pPr>
            <w:r>
              <w:rPr>
                <w:rFonts w:ascii="Arial" w:cs="Arial" w:eastAsia="Arial" w:hAnsi="Arial"/>
                <w:sz w:val="17"/>
                <w:szCs w:val="17"/>
                <w:color w:val="auto"/>
              </w:rPr>
              <w:t>Consignment</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39,415</w:t>
            </w:r>
          </w:p>
        </w:tc>
        <w:tc>
          <w:tcPr>
            <w:tcW w:w="20" w:type="dxa"/>
            <w:vAlign w:val="bottom"/>
          </w:tcPr>
          <w:p>
            <w:pPr>
              <w:spacing w:after="0"/>
              <w:rPr>
                <w:sz w:val="18"/>
                <w:szCs w:val="18"/>
                <w:color w:val="auto"/>
              </w:rPr>
            </w:pPr>
          </w:p>
        </w:tc>
        <w:tc>
          <w:tcPr>
            <w:tcW w:w="300" w:type="dxa"/>
            <w:vAlign w:val="bottom"/>
            <w:gridSpan w:val="3"/>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97,763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138,096</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90,136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66,049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47,919</w:t>
            </w:r>
          </w:p>
        </w:tc>
        <w:tc>
          <w:tcPr>
            <w:tcW w:w="0" w:type="dxa"/>
            <w:vAlign w:val="bottom"/>
          </w:tcPr>
          <w:p>
            <w:pPr>
              <w:spacing w:after="0"/>
              <w:rPr>
                <w:sz w:val="1"/>
                <w:szCs w:val="1"/>
                <w:color w:val="auto"/>
              </w:rPr>
            </w:pPr>
          </w:p>
        </w:tc>
      </w:tr>
      <w:tr>
        <w:trPr>
          <w:trHeight w:val="204"/>
        </w:trPr>
        <w:tc>
          <w:tcPr>
            <w:tcW w:w="44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revenue</w:t>
            </w:r>
          </w:p>
        </w:tc>
        <w:tc>
          <w:tcPr>
            <w:tcW w:w="6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129,551</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163,812</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186,015</w:t>
            </w:r>
          </w:p>
        </w:tc>
        <w:tc>
          <w:tcPr>
            <w:tcW w:w="0" w:type="dxa"/>
            <w:vAlign w:val="bottom"/>
          </w:tcPr>
          <w:p>
            <w:pPr>
              <w:spacing w:after="0"/>
              <w:rPr>
                <w:sz w:val="1"/>
                <w:szCs w:val="1"/>
                <w:color w:val="auto"/>
              </w:rPr>
            </w:pPr>
          </w:p>
        </w:tc>
      </w:tr>
      <w:tr>
        <w:trPr>
          <w:trHeight w:val="192"/>
        </w:trPr>
        <w:tc>
          <w:tcPr>
            <w:tcW w:w="448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Cost of revenue:</w:t>
            </w: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20"/>
              <w:spacing w:after="0"/>
              <w:rPr>
                <w:sz w:val="20"/>
                <w:szCs w:val="20"/>
                <w:color w:val="auto"/>
              </w:rPr>
            </w:pPr>
            <w:r>
              <w:rPr>
                <w:rFonts w:ascii="Arial" w:cs="Arial" w:eastAsia="Arial" w:hAnsi="Arial"/>
                <w:sz w:val="17"/>
                <w:szCs w:val="17"/>
                <w:color w:val="auto"/>
              </w:rPr>
              <w:t>Consignment</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9,978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22,764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34,184</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41,563</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28,544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23,683</w:t>
            </w:r>
          </w:p>
        </w:tc>
        <w:tc>
          <w:tcPr>
            <w:tcW w:w="0" w:type="dxa"/>
            <w:vAlign w:val="bottom"/>
          </w:tcPr>
          <w:p>
            <w:pPr>
              <w:spacing w:after="0"/>
              <w:rPr>
                <w:sz w:val="1"/>
                <w:szCs w:val="1"/>
                <w:color w:val="auto"/>
              </w:rPr>
            </w:pPr>
          </w:p>
        </w:tc>
      </w:tr>
      <w:tr>
        <w:trPr>
          <w:trHeight w:val="204"/>
        </w:trPr>
        <w:tc>
          <w:tcPr>
            <w:tcW w:w="44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cost of revenue</w:t>
            </w:r>
          </w:p>
        </w:tc>
        <w:tc>
          <w:tcPr>
            <w:tcW w:w="6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51,541</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51,308</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57,867</w:t>
            </w: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Gross profit</w:t>
            </w: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78,010</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112,504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128,148</w:t>
            </w:r>
          </w:p>
        </w:tc>
        <w:tc>
          <w:tcPr>
            <w:tcW w:w="0" w:type="dxa"/>
            <w:vAlign w:val="bottom"/>
          </w:tcPr>
          <w:p>
            <w:pPr>
              <w:spacing w:after="0"/>
              <w:rPr>
                <w:sz w:val="1"/>
                <w:szCs w:val="1"/>
                <w:color w:val="auto"/>
              </w:rPr>
            </w:pPr>
          </w:p>
        </w:tc>
      </w:tr>
      <w:tr>
        <w:trPr>
          <w:trHeight w:val="192"/>
        </w:trPr>
        <w:tc>
          <w:tcPr>
            <w:tcW w:w="4480" w:type="dxa"/>
            <w:vAlign w:val="bottom"/>
          </w:tcPr>
          <w:p>
            <w:pPr>
              <w:ind w:left="20"/>
              <w:spacing w:after="0" w:line="192" w:lineRule="exact"/>
              <w:rPr>
                <w:sz w:val="20"/>
                <w:szCs w:val="20"/>
                <w:color w:val="auto"/>
              </w:rPr>
            </w:pPr>
            <w:r>
              <w:rPr>
                <w:rFonts w:ascii="Arial" w:cs="Arial" w:eastAsia="Arial" w:hAnsi="Arial"/>
                <w:sz w:val="17"/>
                <w:szCs w:val="17"/>
                <w:color w:val="auto"/>
              </w:rPr>
              <w:t>Operating expenses:</w:t>
            </w: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Operations, product and technology</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82,078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101,408</w:t>
            </w:r>
          </w:p>
        </w:tc>
        <w:tc>
          <w:tcPr>
            <w:tcW w:w="0" w:type="dxa"/>
            <w:vAlign w:val="bottom"/>
          </w:tcPr>
          <w:p>
            <w:pPr>
              <w:spacing w:after="0"/>
              <w:rPr>
                <w:sz w:val="1"/>
                <w:szCs w:val="1"/>
                <w:color w:val="auto"/>
              </w:rPr>
            </w:pPr>
          </w:p>
        </w:tc>
      </w:tr>
      <w:tr>
        <w:trPr>
          <w:trHeight w:val="212"/>
        </w:trPr>
        <w:tc>
          <w:tcPr>
            <w:tcW w:w="4480" w:type="dxa"/>
            <w:vAlign w:val="bottom"/>
          </w:tcPr>
          <w:p>
            <w:pPr>
              <w:ind w:left="220"/>
              <w:spacing w:after="0"/>
              <w:rPr>
                <w:sz w:val="20"/>
                <w:szCs w:val="20"/>
                <w:color w:val="auto"/>
              </w:rPr>
            </w:pPr>
            <w:r>
              <w:rPr>
                <w:rFonts w:ascii="Arial" w:cs="Arial" w:eastAsia="Arial" w:hAnsi="Arial"/>
                <w:sz w:val="17"/>
                <w:szCs w:val="17"/>
                <w:color w:val="auto"/>
              </w:rPr>
              <w:t>Marketing</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27,235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44,980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44,765</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general and administrative</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22,253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28,564</w:t>
            </w:r>
          </w:p>
        </w:tc>
        <w:tc>
          <w:tcPr>
            <w:tcW w:w="0" w:type="dxa"/>
            <w:vAlign w:val="bottom"/>
          </w:tcPr>
          <w:p>
            <w:pPr>
              <w:spacing w:after="0"/>
              <w:rPr>
                <w:sz w:val="1"/>
                <w:szCs w:val="1"/>
                <w:color w:val="auto"/>
              </w:rPr>
            </w:pPr>
          </w:p>
        </w:tc>
      </w:tr>
      <w:tr>
        <w:trPr>
          <w:trHeight w:val="204"/>
        </w:trPr>
        <w:tc>
          <w:tcPr>
            <w:tcW w:w="44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6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112,266</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149,311</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174,737</w:t>
            </w: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 loss</w:t>
            </w: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(34,256)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(36,807)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(46,589)</w:t>
            </w: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(1,428)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4"/>
        </w:trPr>
        <w:tc>
          <w:tcPr>
            <w:tcW w:w="4480" w:type="dxa"/>
            <w:vAlign w:val="bottom"/>
          </w:tcPr>
          <w:p>
            <w:pPr>
              <w:ind w:left="420"/>
              <w:spacing w:after="0"/>
              <w:rPr>
                <w:sz w:val="20"/>
                <w:szCs w:val="20"/>
                <w:color w:val="auto"/>
              </w:rPr>
            </w:pPr>
            <w:r>
              <w:rPr>
                <w:rFonts w:ascii="Arial" w:cs="Arial" w:eastAsia="Arial" w:hAnsi="Arial"/>
                <w:sz w:val="17"/>
                <w:szCs w:val="17"/>
                <w:color w:val="auto"/>
              </w:rPr>
              <w:t>Loss before provision for income taxes</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(34,144)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(38,161)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(47,821)</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4"/>
        </w:trPr>
        <w:tc>
          <w:tcPr>
            <w:tcW w:w="4480" w:type="dxa"/>
            <w:vAlign w:val="bottom"/>
          </w:tcPr>
          <w:p>
            <w:pPr>
              <w:ind w:left="420"/>
              <w:spacing w:after="0"/>
              <w:rPr>
                <w:sz w:val="20"/>
                <w:szCs w:val="20"/>
                <w:color w:val="auto"/>
              </w:rPr>
            </w:pPr>
            <w:r>
              <w:rPr>
                <w:rFonts w:ascii="Arial" w:cs="Arial" w:eastAsia="Arial" w:hAnsi="Arial"/>
                <w:sz w:val="17"/>
                <w:szCs w:val="17"/>
                <w:color w:val="auto"/>
              </w:rPr>
              <w:t>Net loss</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(34,181)</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(38,197)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(47,877)</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300"/>
              <w:spacing w:after="0"/>
              <w:rPr>
                <w:sz w:val="20"/>
                <w:szCs w:val="20"/>
                <w:color w:val="auto"/>
              </w:rPr>
            </w:pPr>
            <w:r>
              <w:rPr>
                <w:rFonts w:ascii="Arial" w:cs="Arial" w:eastAsia="Arial" w:hAnsi="Arial"/>
                <w:sz w:val="17"/>
                <w:szCs w:val="17"/>
                <w:b w:val="1"/>
                <w:bCs w:val="1"/>
                <w:i w:val="1"/>
                <w:iCs w:val="1"/>
                <w:color w:val="auto"/>
                <w:w w:val="97"/>
              </w:rPr>
              <w:t>Comparison of the Years Ended December 31, 2019 and 2020</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1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80" w:type="dxa"/>
            <w:vAlign w:val="bottom"/>
          </w:tcPr>
          <w:p>
            <w:pPr>
              <w:ind w:left="300"/>
              <w:spacing w:after="0"/>
              <w:rPr>
                <w:sz w:val="20"/>
                <w:szCs w:val="20"/>
                <w:color w:val="auto"/>
              </w:rPr>
            </w:pPr>
            <w:r>
              <w:rPr>
                <w:rFonts w:ascii="Arial" w:cs="Arial" w:eastAsia="Arial" w:hAnsi="Arial"/>
                <w:sz w:val="17"/>
                <w:szCs w:val="17"/>
                <w:i w:val="1"/>
                <w:iCs w:val="1"/>
                <w:color w:val="auto"/>
              </w:rPr>
              <w:t>Revenue</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80" w:type="dxa"/>
            <w:vAlign w:val="bottom"/>
            <w:gridSpan w:val="6"/>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5"/>
          </w:tcPr>
          <w:p>
            <w:pPr>
              <w:jc w:val="right"/>
              <w:ind w:right="137"/>
              <w:spacing w:after="0"/>
              <w:rPr>
                <w:sz w:val="20"/>
                <w:szCs w:val="20"/>
                <w:color w:val="auto"/>
              </w:rPr>
            </w:pPr>
            <w:r>
              <w:rPr>
                <w:rFonts w:ascii="Arial" w:cs="Arial" w:eastAsia="Arial" w:hAnsi="Arial"/>
                <w:sz w:val="13"/>
                <w:szCs w:val="13"/>
                <w:b w:val="1"/>
                <w:bCs w:val="1"/>
                <w:color w:val="auto"/>
              </w:rPr>
              <w:t>Change</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Amount</w:t>
            </w:r>
          </w:p>
        </w:tc>
        <w:tc>
          <w:tcPr>
            <w:tcW w:w="4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9"/>
          </w:tcPr>
          <w:p>
            <w:pPr>
              <w:ind w:left="160"/>
              <w:spacing w:after="0"/>
              <w:rPr>
                <w:sz w:val="20"/>
                <w:szCs w:val="20"/>
                <w:color w:val="auto"/>
              </w:rPr>
            </w:pPr>
            <w:r>
              <w:rPr>
                <w:rFonts w:ascii="Arial" w:cs="Arial" w:eastAsia="Arial" w:hAnsi="Arial"/>
                <w:sz w:val="13"/>
                <w:szCs w:val="13"/>
                <w:b w:val="1"/>
                <w:bCs w:val="1"/>
                <w:color w:val="auto"/>
              </w:rPr>
              <w:t>(in thousands, except percentages)</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Consignment revenue</w:t>
            </w:r>
          </w:p>
        </w:tc>
        <w:tc>
          <w:tcPr>
            <w:tcW w:w="66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97,763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138,096</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center"/>
              <w:ind w:left="560"/>
              <w:spacing w:after="0"/>
              <w:rPr>
                <w:sz w:val="20"/>
                <w:szCs w:val="20"/>
                <w:color w:val="auto"/>
              </w:rPr>
            </w:pPr>
            <w:r>
              <w:rPr>
                <w:rFonts w:ascii="Arial" w:cs="Arial" w:eastAsia="Arial" w:hAnsi="Arial"/>
                <w:sz w:val="17"/>
                <w:szCs w:val="17"/>
                <w:color w:val="auto"/>
                <w:w w:val="99"/>
              </w:rPr>
              <w:t>40,333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41 %</w:t>
            </w: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Product revenue</w:t>
            </w:r>
          </w:p>
        </w:tc>
        <w:tc>
          <w:tcPr>
            <w:tcW w:w="660" w:type="dxa"/>
            <w:vAlign w:val="bottom"/>
          </w:tcPr>
          <w:p>
            <w:pPr>
              <w:jc w:val="right"/>
              <w:ind w:right="47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42"/>
              <w:spacing w:after="0"/>
              <w:rPr>
                <w:sz w:val="20"/>
                <w:szCs w:val="20"/>
                <w:color w:val="auto"/>
              </w:rPr>
            </w:pPr>
            <w:r>
              <w:rPr>
                <w:rFonts w:ascii="Arial" w:cs="Arial" w:eastAsia="Arial" w:hAnsi="Arial"/>
                <w:sz w:val="17"/>
                <w:szCs w:val="17"/>
                <w:color w:val="auto"/>
              </w:rPr>
              <w:t>66,049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7"/>
                <w:szCs w:val="17"/>
                <w:color w:val="auto"/>
              </w:rPr>
              <w:t>47,919</w:t>
            </w:r>
          </w:p>
        </w:tc>
        <w:tc>
          <w:tcPr>
            <w:tcW w:w="20" w:type="dxa"/>
            <w:vAlign w:val="bottom"/>
          </w:tcPr>
          <w:p>
            <w:pPr>
              <w:spacing w:after="0"/>
              <w:rPr>
                <w:sz w:val="18"/>
                <w:szCs w:val="18"/>
                <w:color w:val="auto"/>
              </w:rPr>
            </w:pPr>
          </w:p>
        </w:tc>
        <w:tc>
          <w:tcPr>
            <w:tcW w:w="300" w:type="dxa"/>
            <w:vAlign w:val="bottom"/>
            <w:gridSpan w:val="3"/>
          </w:tcPr>
          <w:p>
            <w:pPr>
              <w:jc w:val="right"/>
              <w:ind w:right="37"/>
              <w:spacing w:after="0"/>
              <w:rPr>
                <w:sz w:val="20"/>
                <w:szCs w:val="20"/>
                <w:color w:val="auto"/>
              </w:rPr>
            </w:pPr>
            <w:r>
              <w:rPr>
                <w:rFonts w:ascii="Arial" w:cs="Arial" w:eastAsia="Arial" w:hAnsi="Arial"/>
                <w:sz w:val="17"/>
                <w:szCs w:val="17"/>
                <w:color w:val="auto"/>
              </w:rPr>
              <w:t>$</w:t>
            </w:r>
          </w:p>
        </w:tc>
        <w:tc>
          <w:tcPr>
            <w:tcW w:w="1280" w:type="dxa"/>
            <w:vAlign w:val="bottom"/>
          </w:tcPr>
          <w:p>
            <w:pPr>
              <w:jc w:val="center"/>
              <w:ind w:left="540"/>
              <w:spacing w:after="0"/>
              <w:rPr>
                <w:sz w:val="20"/>
                <w:szCs w:val="20"/>
                <w:color w:val="auto"/>
              </w:rPr>
            </w:pPr>
            <w:r>
              <w:rPr>
                <w:rFonts w:ascii="Arial" w:cs="Arial" w:eastAsia="Arial" w:hAnsi="Arial"/>
                <w:sz w:val="17"/>
                <w:szCs w:val="17"/>
                <w:color w:val="auto"/>
                <w:w w:val="97"/>
              </w:rPr>
              <w:t>(18,130)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660" w:type="dxa"/>
            <w:vAlign w:val="bottom"/>
            <w:tcBorders>
              <w:top w:val="single" w:sz="8" w:color="auto"/>
            </w:tcBorders>
            <w:shd w:val="clear" w:color="auto" w:fill="CCEEFF"/>
          </w:tcPr>
          <w:p>
            <w:pPr>
              <w:jc w:val="right"/>
              <w:ind w:right="47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7"/>
                <w:szCs w:val="17"/>
                <w:color w:val="auto"/>
              </w:rPr>
              <w:t>163,812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186,015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center"/>
              <w:ind w:left="560"/>
              <w:spacing w:after="0"/>
              <w:rPr>
                <w:sz w:val="20"/>
                <w:szCs w:val="20"/>
                <w:color w:val="auto"/>
              </w:rPr>
            </w:pPr>
            <w:r>
              <w:rPr>
                <w:rFonts w:ascii="Arial" w:cs="Arial" w:eastAsia="Arial" w:hAnsi="Arial"/>
                <w:sz w:val="17"/>
                <w:szCs w:val="17"/>
                <w:color w:val="auto"/>
                <w:w w:val="99"/>
              </w:rPr>
              <w:t>22,203</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Consignment revenue as a % of total revenue</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 as a % of total revenue</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14% increase in total revenue compared to the prior year was primarily attributable to a 27% increase in Orders, which was primarily driven by growth in Active Buyers of 24% and partially offset by a decrease in revenue per Order of 10% over the same period. The increase in Active Buyer growth in early 2020 was due to our investments in buyer acquisition. We maintained our active buyer base through 2020 despite the economic uncertainty caused by the COVID-19 pandemic. The decrease in revenue per Order was due in part to increased discounts and incentives beginning in the second quarter of 2020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response to the economic uncertainty as well as a higher percentage of our sales being consignment sales. Consignment sales result in lower revenue than product sales because revenue for consignment sales is recognized net of seller payouts, whereas, for product sales, seller payouts are recognized as a component of cost of revenue, leading to different gross margin profiles between consignment sales and product sales.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Consignment Revenue</w:t>
      </w:r>
    </w:p>
    <w:p>
      <w:pPr>
        <w:spacing w:after="0" w:line="15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41% increase in consignment revenue compared to the prior year was primarily attributable to the mix shift from product to consignment sales, which resulted in consignment sales representing 74% of our total revenue mix, up from 60% in the prior period, as well as a 27% increase in Orders overall.</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Product Revenue</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27% decrease in product revenue compared to the prior year was primarily attributable to the mix shift from product to consignment sales.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tcPr>
          <w:p>
            <w:pPr>
              <w:jc w:val="right"/>
              <w:ind w:right="723"/>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Change</w:t>
            </w:r>
          </w:p>
        </w:tc>
        <w:tc>
          <w:tcPr>
            <w:tcW w:w="1120" w:type="dxa"/>
            <w:vAlign w:val="bottom"/>
            <w:tcBorders>
              <w:bottom w:val="single" w:sz="8" w:color="auto"/>
            </w:tcBorders>
          </w:tcPr>
          <w:p>
            <w:pPr>
              <w:spacing w:after="0"/>
              <w:rPr>
                <w:sz w:val="15"/>
                <w:szCs w:val="15"/>
                <w:color w:val="auto"/>
              </w:rPr>
            </w:pPr>
          </w:p>
        </w:tc>
      </w:tr>
      <w:tr>
        <w:trPr>
          <w:trHeight w:val="167"/>
        </w:trPr>
        <w:tc>
          <w:tcPr>
            <w:tcW w:w="4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1043"/>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w:t>
            </w:r>
          </w:p>
        </w:tc>
      </w:tr>
      <w:tr>
        <w:trPr>
          <w:trHeight w:val="167"/>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gridSpan w:val="3"/>
          </w:tcPr>
          <w:p>
            <w:pPr>
              <w:jc w:val="right"/>
              <w:ind w:right="1063"/>
              <w:spacing w:after="0"/>
              <w:rPr>
                <w:sz w:val="20"/>
                <w:szCs w:val="20"/>
                <w:color w:val="auto"/>
              </w:rPr>
            </w:pPr>
            <w:r>
              <w:rPr>
                <w:rFonts w:ascii="Arial" w:cs="Arial" w:eastAsia="Arial" w:hAnsi="Arial"/>
                <w:sz w:val="13"/>
                <w:szCs w:val="13"/>
                <w:b w:val="1"/>
                <w:bCs w:val="1"/>
                <w:color w:val="auto"/>
              </w:rPr>
              <w:t>(in thousands, except percentages)</w:t>
            </w:r>
          </w:p>
        </w:tc>
        <w:tc>
          <w:tcPr>
            <w:tcW w:w="1120" w:type="dxa"/>
            <w:vAlign w:val="bottom"/>
          </w:tcPr>
          <w:p>
            <w:pPr>
              <w:spacing w:after="0"/>
              <w:rPr>
                <w:sz w:val="14"/>
                <w:szCs w:val="14"/>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consignment revenue</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22,764</w:t>
            </w:r>
          </w:p>
        </w:tc>
        <w:tc>
          <w:tcPr>
            <w:tcW w:w="4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34,184</w:t>
            </w:r>
          </w:p>
        </w:tc>
        <w:tc>
          <w:tcPr>
            <w:tcW w:w="4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ind w:right="603"/>
              <w:spacing w:after="0"/>
              <w:rPr>
                <w:sz w:val="20"/>
                <w:szCs w:val="20"/>
                <w:color w:val="auto"/>
              </w:rPr>
            </w:pPr>
            <w:r>
              <w:rPr>
                <w:rFonts w:ascii="Arial" w:cs="Arial" w:eastAsia="Arial" w:hAnsi="Arial"/>
                <w:sz w:val="17"/>
                <w:szCs w:val="17"/>
                <w:color w:val="auto"/>
              </w:rPr>
              <w:t>11,420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Cost of product revenue</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83"/>
              <w:spacing w:after="0"/>
              <w:rPr>
                <w:sz w:val="20"/>
                <w:szCs w:val="20"/>
                <w:color w:val="auto"/>
              </w:rPr>
            </w:pPr>
            <w:r>
              <w:rPr>
                <w:rFonts w:ascii="Arial" w:cs="Arial" w:eastAsia="Arial" w:hAnsi="Arial"/>
                <w:sz w:val="17"/>
                <w:szCs w:val="17"/>
                <w:color w:val="auto"/>
              </w:rPr>
              <w:t>28,544</w:t>
            </w:r>
          </w:p>
        </w:tc>
        <w:tc>
          <w:tcPr>
            <w:tcW w:w="4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83"/>
              <w:spacing w:after="0"/>
              <w:rPr>
                <w:sz w:val="20"/>
                <w:szCs w:val="20"/>
                <w:color w:val="auto"/>
              </w:rPr>
            </w:pPr>
            <w:r>
              <w:rPr>
                <w:rFonts w:ascii="Arial" w:cs="Arial" w:eastAsia="Arial" w:hAnsi="Arial"/>
                <w:sz w:val="17"/>
                <w:szCs w:val="17"/>
                <w:color w:val="auto"/>
              </w:rPr>
              <w:t>23,683</w:t>
            </w:r>
          </w:p>
        </w:tc>
        <w:tc>
          <w:tcPr>
            <w:tcW w:w="4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563"/>
              <w:spacing w:after="0"/>
              <w:rPr>
                <w:sz w:val="20"/>
                <w:szCs w:val="20"/>
                <w:color w:val="auto"/>
              </w:rPr>
            </w:pPr>
            <w:r>
              <w:rPr>
                <w:rFonts w:ascii="Arial" w:cs="Arial" w:eastAsia="Arial" w:hAnsi="Arial"/>
                <w:sz w:val="17"/>
                <w:szCs w:val="17"/>
                <w:color w:val="auto"/>
              </w:rPr>
              <w:t>(4,861)</w:t>
            </w:r>
          </w:p>
        </w:tc>
        <w:tc>
          <w:tcPr>
            <w:tcW w:w="11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 of revenue</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51,308</w:t>
            </w:r>
          </w:p>
        </w:tc>
        <w:tc>
          <w:tcPr>
            <w:tcW w:w="4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57,867</w:t>
            </w:r>
          </w:p>
        </w:tc>
        <w:tc>
          <w:tcPr>
            <w:tcW w:w="4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ind w:right="603"/>
              <w:spacing w:after="0"/>
              <w:rPr>
                <w:sz w:val="20"/>
                <w:szCs w:val="20"/>
                <w:color w:val="auto"/>
              </w:rPr>
            </w:pPr>
            <w:r>
              <w:rPr>
                <w:rFonts w:ascii="Arial" w:cs="Arial" w:eastAsia="Arial" w:hAnsi="Arial"/>
                <w:sz w:val="17"/>
                <w:szCs w:val="17"/>
                <w:color w:val="auto"/>
              </w:rPr>
              <w:t>6,559</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83"/>
              <w:spacing w:after="0"/>
              <w:rPr>
                <w:sz w:val="20"/>
                <w:szCs w:val="20"/>
                <w:color w:val="auto"/>
              </w:rPr>
            </w:pPr>
            <w:r>
              <w:rPr>
                <w:rFonts w:ascii="Arial" w:cs="Arial" w:eastAsia="Arial" w:hAnsi="Arial"/>
                <w:sz w:val="17"/>
                <w:szCs w:val="17"/>
                <w:color w:val="auto"/>
              </w:rPr>
              <w:t>112,504</w:t>
            </w:r>
          </w:p>
        </w:tc>
        <w:tc>
          <w:tcPr>
            <w:tcW w:w="4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83"/>
              <w:spacing w:after="0"/>
              <w:rPr>
                <w:sz w:val="20"/>
                <w:szCs w:val="20"/>
                <w:color w:val="auto"/>
              </w:rPr>
            </w:pPr>
            <w:r>
              <w:rPr>
                <w:rFonts w:ascii="Arial" w:cs="Arial" w:eastAsia="Arial" w:hAnsi="Arial"/>
                <w:sz w:val="17"/>
                <w:szCs w:val="17"/>
                <w:color w:val="auto"/>
              </w:rPr>
              <w:t>128,148</w:t>
            </w:r>
          </w:p>
        </w:tc>
        <w:tc>
          <w:tcPr>
            <w:tcW w:w="4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603"/>
              <w:spacing w:after="0"/>
              <w:rPr>
                <w:sz w:val="20"/>
                <w:szCs w:val="20"/>
                <w:color w:val="auto"/>
              </w:rPr>
            </w:pPr>
            <w:r>
              <w:rPr>
                <w:rFonts w:ascii="Arial" w:cs="Arial" w:eastAsia="Arial" w:hAnsi="Arial"/>
                <w:sz w:val="17"/>
                <w:szCs w:val="17"/>
                <w:color w:val="auto"/>
              </w:rPr>
              <w:t>15,644</w:t>
            </w:r>
          </w:p>
        </w:tc>
        <w:tc>
          <w:tcPr>
            <w:tcW w:w="1120" w:type="dxa"/>
            <w:vAlign w:val="bottom"/>
          </w:tcPr>
          <w:p>
            <w:pPr>
              <w:jc w:val="right"/>
              <w:spacing w:after="0"/>
              <w:rPr>
                <w:sz w:val="20"/>
                <w:szCs w:val="20"/>
                <w:color w:val="auto"/>
              </w:rPr>
            </w:pPr>
            <w:r>
              <w:rPr>
                <w:rFonts w:ascii="Arial" w:cs="Arial" w:eastAsia="Arial" w:hAnsi="Arial"/>
                <w:sz w:val="17"/>
                <w:szCs w:val="17"/>
                <w:color w:val="auto"/>
              </w:rPr>
              <w:t>14 %</w:t>
            </w: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margin</w:t>
            </w:r>
          </w:p>
        </w:tc>
        <w:tc>
          <w:tcPr>
            <w:tcW w:w="1720" w:type="dxa"/>
            <w:vAlign w:val="bottom"/>
            <w:shd w:val="clear" w:color="auto" w:fill="CCEEFF"/>
          </w:tcPr>
          <w:p>
            <w:pPr>
              <w:jc w:val="right"/>
              <w:ind w:right="597"/>
              <w:spacing w:after="0"/>
              <w:rPr>
                <w:sz w:val="20"/>
                <w:szCs w:val="20"/>
                <w:color w:val="auto"/>
              </w:rPr>
            </w:pPr>
            <w:r>
              <w:rPr>
                <w:rFonts w:ascii="Arial" w:cs="Arial" w:eastAsia="Arial" w:hAnsi="Arial"/>
                <w:sz w:val="17"/>
                <w:szCs w:val="17"/>
                <w:color w:val="auto"/>
              </w:rPr>
              <w:t>69 %</w:t>
            </w:r>
          </w:p>
        </w:tc>
        <w:tc>
          <w:tcPr>
            <w:tcW w:w="2520" w:type="dxa"/>
            <w:vAlign w:val="bottom"/>
            <w:shd w:val="clear" w:color="auto" w:fill="CCEEFF"/>
          </w:tcPr>
          <w:p>
            <w:pPr>
              <w:jc w:val="right"/>
              <w:ind w:right="1377"/>
              <w:spacing w:after="0"/>
              <w:rPr>
                <w:sz w:val="20"/>
                <w:szCs w:val="20"/>
                <w:color w:val="auto"/>
              </w:rPr>
            </w:pPr>
            <w:r>
              <w:rPr>
                <w:rFonts w:ascii="Arial" w:cs="Arial" w:eastAsia="Arial" w:hAnsi="Arial"/>
                <w:sz w:val="17"/>
                <w:szCs w:val="17"/>
                <w:color w:val="auto"/>
              </w:rPr>
              <w:t>69 %</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2"/>
        </w:trPr>
        <w:tc>
          <w:tcPr>
            <w:tcW w:w="5100" w:type="dxa"/>
            <w:vAlign w:val="bottom"/>
          </w:tcPr>
          <w:p>
            <w:pPr>
              <w:ind w:left="20"/>
              <w:spacing w:after="0"/>
              <w:rPr>
                <w:sz w:val="20"/>
                <w:szCs w:val="20"/>
                <w:color w:val="auto"/>
              </w:rPr>
            </w:pPr>
            <w:r>
              <w:rPr>
                <w:rFonts w:ascii="Arial" w:cs="Arial" w:eastAsia="Arial" w:hAnsi="Arial"/>
                <w:sz w:val="17"/>
                <w:szCs w:val="17"/>
                <w:color w:val="auto"/>
              </w:rPr>
              <w:t>Cost of revenue as a % of total revenue</w:t>
            </w:r>
          </w:p>
        </w:tc>
        <w:tc>
          <w:tcPr>
            <w:tcW w:w="1720" w:type="dxa"/>
            <w:vAlign w:val="bottom"/>
          </w:tcPr>
          <w:p>
            <w:pPr>
              <w:jc w:val="right"/>
              <w:ind w:right="597"/>
              <w:spacing w:after="0"/>
              <w:rPr>
                <w:sz w:val="20"/>
                <w:szCs w:val="20"/>
                <w:color w:val="auto"/>
              </w:rPr>
            </w:pPr>
            <w:r>
              <w:rPr>
                <w:rFonts w:ascii="Arial" w:cs="Arial" w:eastAsia="Arial" w:hAnsi="Arial"/>
                <w:sz w:val="17"/>
                <w:szCs w:val="17"/>
                <w:color w:val="auto"/>
              </w:rPr>
              <w:t>31 %</w:t>
            </w:r>
          </w:p>
        </w:tc>
        <w:tc>
          <w:tcPr>
            <w:tcW w:w="2520" w:type="dxa"/>
            <w:vAlign w:val="bottom"/>
          </w:tcPr>
          <w:p>
            <w:pPr>
              <w:jc w:val="right"/>
              <w:ind w:right="1377"/>
              <w:spacing w:after="0"/>
              <w:rPr>
                <w:sz w:val="20"/>
                <w:szCs w:val="20"/>
                <w:color w:val="auto"/>
              </w:rPr>
            </w:pPr>
            <w:r>
              <w:rPr>
                <w:rFonts w:ascii="Arial" w:cs="Arial" w:eastAsia="Arial" w:hAnsi="Arial"/>
                <w:sz w:val="17"/>
                <w:szCs w:val="17"/>
                <w:color w:val="auto"/>
              </w:rPr>
              <w:t>31 %</w:t>
            </w:r>
          </w:p>
        </w:tc>
        <w:tc>
          <w:tcPr>
            <w:tcW w:w="190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consignment revenue as a % of total cost of revenue</w:t>
            </w:r>
          </w:p>
        </w:tc>
        <w:tc>
          <w:tcPr>
            <w:tcW w:w="1720" w:type="dxa"/>
            <w:vAlign w:val="bottom"/>
            <w:shd w:val="clear" w:color="auto" w:fill="CCEEFF"/>
          </w:tcPr>
          <w:p>
            <w:pPr>
              <w:jc w:val="right"/>
              <w:ind w:right="597"/>
              <w:spacing w:after="0"/>
              <w:rPr>
                <w:sz w:val="20"/>
                <w:szCs w:val="20"/>
                <w:color w:val="auto"/>
              </w:rPr>
            </w:pPr>
            <w:r>
              <w:rPr>
                <w:rFonts w:ascii="Arial" w:cs="Arial" w:eastAsia="Arial" w:hAnsi="Arial"/>
                <w:sz w:val="17"/>
                <w:szCs w:val="17"/>
                <w:color w:val="auto"/>
              </w:rPr>
              <w:t>44 %</w:t>
            </w:r>
          </w:p>
        </w:tc>
        <w:tc>
          <w:tcPr>
            <w:tcW w:w="2520" w:type="dxa"/>
            <w:vAlign w:val="bottom"/>
            <w:shd w:val="clear" w:color="auto" w:fill="CCEEFF"/>
          </w:tcPr>
          <w:p>
            <w:pPr>
              <w:jc w:val="right"/>
              <w:ind w:right="1377"/>
              <w:spacing w:after="0"/>
              <w:rPr>
                <w:sz w:val="20"/>
                <w:szCs w:val="20"/>
                <w:color w:val="auto"/>
              </w:rPr>
            </w:pPr>
            <w:r>
              <w:rPr>
                <w:rFonts w:ascii="Arial" w:cs="Arial" w:eastAsia="Arial" w:hAnsi="Arial"/>
                <w:sz w:val="17"/>
                <w:szCs w:val="17"/>
                <w:color w:val="auto"/>
              </w:rPr>
              <w:t>59 %</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22"/>
        </w:trPr>
        <w:tc>
          <w:tcPr>
            <w:tcW w:w="5100" w:type="dxa"/>
            <w:vAlign w:val="bottom"/>
          </w:tcPr>
          <w:p>
            <w:pPr>
              <w:ind w:left="20"/>
              <w:spacing w:after="0"/>
              <w:rPr>
                <w:sz w:val="20"/>
                <w:szCs w:val="20"/>
                <w:color w:val="auto"/>
              </w:rPr>
            </w:pPr>
            <w:r>
              <w:rPr>
                <w:rFonts w:ascii="Arial" w:cs="Arial" w:eastAsia="Arial" w:hAnsi="Arial"/>
                <w:sz w:val="17"/>
                <w:szCs w:val="17"/>
                <w:color w:val="auto"/>
              </w:rPr>
              <w:t>Cost of product revenue as a % of total cost of revenue</w:t>
            </w:r>
          </w:p>
        </w:tc>
        <w:tc>
          <w:tcPr>
            <w:tcW w:w="1720" w:type="dxa"/>
            <w:vAlign w:val="bottom"/>
          </w:tcPr>
          <w:p>
            <w:pPr>
              <w:jc w:val="right"/>
              <w:ind w:right="597"/>
              <w:spacing w:after="0"/>
              <w:rPr>
                <w:sz w:val="20"/>
                <w:szCs w:val="20"/>
                <w:color w:val="auto"/>
              </w:rPr>
            </w:pPr>
            <w:r>
              <w:rPr>
                <w:rFonts w:ascii="Arial" w:cs="Arial" w:eastAsia="Arial" w:hAnsi="Arial"/>
                <w:sz w:val="17"/>
                <w:szCs w:val="17"/>
                <w:color w:val="auto"/>
              </w:rPr>
              <w:t>56 %</w:t>
            </w:r>
          </w:p>
        </w:tc>
        <w:tc>
          <w:tcPr>
            <w:tcW w:w="2520" w:type="dxa"/>
            <w:vAlign w:val="bottom"/>
          </w:tcPr>
          <w:p>
            <w:pPr>
              <w:jc w:val="right"/>
              <w:ind w:right="1377"/>
              <w:spacing w:after="0"/>
              <w:rPr>
                <w:sz w:val="20"/>
                <w:szCs w:val="20"/>
                <w:color w:val="auto"/>
              </w:rPr>
            </w:pPr>
            <w:r>
              <w:rPr>
                <w:rFonts w:ascii="Arial" w:cs="Arial" w:eastAsia="Arial" w:hAnsi="Arial"/>
                <w:sz w:val="17"/>
                <w:szCs w:val="17"/>
                <w:color w:val="auto"/>
              </w:rPr>
              <w:t>41 %</w:t>
            </w:r>
          </w:p>
        </w:tc>
        <w:tc>
          <w:tcPr>
            <w:tcW w:w="1900" w:type="dxa"/>
            <w:vAlign w:val="bottom"/>
          </w:tcPr>
          <w:p>
            <w:pPr>
              <w:jc w:val="right"/>
              <w:spacing w:after="0"/>
              <w:rPr>
                <w:sz w:val="20"/>
                <w:szCs w:val="20"/>
                <w:color w:val="auto"/>
              </w:rPr>
            </w:pPr>
            <w:r>
              <w:rPr>
                <w:rFonts w:ascii="Arial" w:cs="Arial" w:eastAsia="Arial" w:hAnsi="Arial"/>
                <w:sz w:val="17"/>
                <w:szCs w:val="17"/>
                <w:color w:val="auto"/>
              </w:rPr>
              <w:t>(15)%</w:t>
            </w:r>
          </w:p>
        </w:tc>
      </w:tr>
    </w:tbl>
    <w:p>
      <w:pPr>
        <w:spacing w:after="0" w:line="118"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Total cost of revenue as a percentage of total revenue, remained consistent from 2019 to 2020. The mix shift from product to consignment sales results in a decrease in the costs of revenue as a percent of revenue as consignment revenue has a higher gross margin profile than product sales. This decrease was offset by an increase in the cost of revenue as a percent of revenue due to lower revenue per Order resulting from a higher level of discounts and incentives offered to buyers during the COVID-19 pandemic.</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Cost of Consignment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gridSpan w:val="4"/>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15"/>
                <w:szCs w:val="15"/>
                <w:color w:val="auto"/>
              </w:rPr>
            </w:pPr>
          </w:p>
        </w:tc>
        <w:tc>
          <w:tcPr>
            <w:tcW w:w="1820" w:type="dxa"/>
            <w:vAlign w:val="bottom"/>
          </w:tcPr>
          <w:p>
            <w:pPr>
              <w:jc w:val="right"/>
              <w:ind w:right="188"/>
              <w:spacing w:after="0"/>
              <w:rPr>
                <w:sz w:val="20"/>
                <w:szCs w:val="20"/>
                <w:color w:val="auto"/>
              </w:rPr>
            </w:pPr>
            <w:r>
              <w:rPr>
                <w:rFonts w:ascii="Arial" w:cs="Arial" w:eastAsia="Arial" w:hAnsi="Arial"/>
                <w:sz w:val="13"/>
                <w:szCs w:val="13"/>
                <w:b w:val="1"/>
                <w:bCs w:val="1"/>
                <w:color w:val="auto"/>
              </w:rPr>
              <w:t>Change</w:t>
            </w:r>
          </w:p>
        </w:tc>
        <w:tc>
          <w:tcPr>
            <w:tcW w:w="1120" w:type="dxa"/>
            <w:vAlign w:val="bottom"/>
          </w:tcPr>
          <w:p>
            <w:pPr>
              <w:spacing w:after="0"/>
              <w:rPr>
                <w:sz w:val="15"/>
                <w:szCs w:val="15"/>
                <w:color w:val="auto"/>
              </w:rPr>
            </w:pPr>
          </w:p>
        </w:tc>
      </w:tr>
      <w:tr>
        <w:trPr>
          <w:trHeight w:val="167"/>
        </w:trPr>
        <w:tc>
          <w:tcPr>
            <w:tcW w:w="44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1048"/>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w:t>
            </w:r>
          </w:p>
        </w:tc>
      </w:tr>
      <w:tr>
        <w:trPr>
          <w:trHeight w:val="167"/>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80" w:type="dxa"/>
            <w:vAlign w:val="bottom"/>
            <w:gridSpan w:val="4"/>
          </w:tcPr>
          <w:p>
            <w:pPr>
              <w:jc w:val="right"/>
              <w:ind w:right="1068"/>
              <w:spacing w:after="0"/>
              <w:rPr>
                <w:sz w:val="20"/>
                <w:szCs w:val="20"/>
                <w:color w:val="auto"/>
              </w:rPr>
            </w:pPr>
            <w:r>
              <w:rPr>
                <w:rFonts w:ascii="Arial" w:cs="Arial" w:eastAsia="Arial" w:hAnsi="Arial"/>
                <w:sz w:val="13"/>
                <w:szCs w:val="13"/>
                <w:b w:val="1"/>
                <w:bCs w:val="1"/>
                <w:color w:val="auto"/>
              </w:rPr>
              <w:t>(in thousands, except percentages)</w:t>
            </w:r>
          </w:p>
        </w:tc>
        <w:tc>
          <w:tcPr>
            <w:tcW w:w="1120" w:type="dxa"/>
            <w:vAlign w:val="bottom"/>
          </w:tcPr>
          <w:p>
            <w:pPr>
              <w:spacing w:after="0"/>
              <w:rPr>
                <w:sz w:val="14"/>
                <w:szCs w:val="14"/>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consignment revenue</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204"/>
              <w:spacing w:after="0"/>
              <w:rPr>
                <w:sz w:val="20"/>
                <w:szCs w:val="20"/>
                <w:color w:val="auto"/>
              </w:rPr>
            </w:pPr>
            <w:r>
              <w:rPr>
                <w:rFonts w:ascii="Arial" w:cs="Arial" w:eastAsia="Arial" w:hAnsi="Arial"/>
                <w:sz w:val="17"/>
                <w:szCs w:val="17"/>
                <w:color w:val="auto"/>
              </w:rPr>
              <w:t>22,764</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44"/>
              <w:spacing w:after="0"/>
              <w:rPr>
                <w:sz w:val="20"/>
                <w:szCs w:val="20"/>
                <w:color w:val="auto"/>
              </w:rPr>
            </w:pPr>
            <w:r>
              <w:rPr>
                <w:rFonts w:ascii="Arial" w:cs="Arial" w:eastAsia="Arial" w:hAnsi="Arial"/>
                <w:sz w:val="17"/>
                <w:szCs w:val="17"/>
                <w:color w:val="auto"/>
              </w:rPr>
              <w:t>34,184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ind w:right="608"/>
              <w:spacing w:after="0"/>
              <w:rPr>
                <w:sz w:val="20"/>
                <w:szCs w:val="20"/>
                <w:color w:val="auto"/>
              </w:rPr>
            </w:pPr>
            <w:r>
              <w:rPr>
                <w:rFonts w:ascii="Arial" w:cs="Arial" w:eastAsia="Arial" w:hAnsi="Arial"/>
                <w:sz w:val="17"/>
                <w:szCs w:val="17"/>
                <w:color w:val="auto"/>
              </w:rPr>
              <w:t>11,420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As a percent of consignment revenue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23 %</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2 %</w:t>
            </w: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Consignment gross margin</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77 %</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bl>
    <w:p>
      <w:pPr>
        <w:spacing w:after="0" w:line="12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50% increase in the cost of consignment revenue compared to the prior year was primarily driven by the increase in consignment revenue, which resulted in increases to the costs listed in the below table. At the same time, our consignment gross margin declined from 77% to 75% as we offered more discounts and incentives to encourage buyers to keep shopping with us during a period of economic uncertainty.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payouts on consignment orders are also reduced by discounting, there was less of an impact on consignment margin versus product margin.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23"/>
              <w:spacing w:after="0"/>
              <w:rPr>
                <w:sz w:val="20"/>
                <w:szCs w:val="20"/>
                <w:color w:val="auto"/>
              </w:rPr>
            </w:pPr>
            <w:r>
              <w:rPr>
                <w:rFonts w:ascii="Arial" w:cs="Arial" w:eastAsia="Arial" w:hAnsi="Arial"/>
                <w:sz w:val="13"/>
                <w:szCs w:val="13"/>
                <w:b w:val="1"/>
                <w:bCs w:val="1"/>
                <w:color w:val="auto"/>
              </w:rPr>
              <w:t>Change from 2019 to</w:t>
            </w:r>
          </w:p>
        </w:tc>
      </w:tr>
      <w:tr>
        <w:trPr>
          <w:trHeight w:val="162"/>
        </w:trPr>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6"/>
              </w:rPr>
              <w:t>2020</w:t>
            </w:r>
          </w:p>
        </w:tc>
      </w:tr>
      <w:tr>
        <w:trPr>
          <w:trHeight w:val="167"/>
        </w:trPr>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23"/>
              <w:spacing w:after="0"/>
              <w:rPr>
                <w:sz w:val="20"/>
                <w:szCs w:val="20"/>
                <w:color w:val="auto"/>
              </w:rPr>
            </w:pPr>
            <w:r>
              <w:rPr>
                <w:rFonts w:ascii="Arial" w:cs="Arial" w:eastAsia="Arial" w:hAnsi="Arial"/>
                <w:sz w:val="13"/>
                <w:szCs w:val="13"/>
                <w:b w:val="1"/>
                <w:bCs w:val="1"/>
                <w:color w:val="auto"/>
              </w:rPr>
              <w:t>(in thousands)</w:t>
            </w: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Outbound shipping</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8,838</w:t>
            </w:r>
          </w:p>
        </w:tc>
      </w:tr>
      <w:tr>
        <w:trPr>
          <w:trHeight w:val="212"/>
        </w:trPr>
        <w:tc>
          <w:tcPr>
            <w:tcW w:w="4460" w:type="dxa"/>
            <w:vAlign w:val="bottom"/>
          </w:tcPr>
          <w:p>
            <w:pPr>
              <w:ind w:left="20"/>
              <w:spacing w:after="0"/>
              <w:rPr>
                <w:sz w:val="20"/>
                <w:szCs w:val="20"/>
                <w:color w:val="auto"/>
              </w:rPr>
            </w:pPr>
            <w:r>
              <w:rPr>
                <w:rFonts w:ascii="Arial" w:cs="Arial" w:eastAsia="Arial" w:hAnsi="Arial"/>
                <w:sz w:val="17"/>
                <w:szCs w:val="17"/>
                <w:color w:val="auto"/>
              </w:rPr>
              <w:t>Packaging</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480</w:t>
            </w: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 labor</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2,447</w:t>
            </w:r>
          </w:p>
        </w:tc>
      </w:tr>
      <w:tr>
        <w:trPr>
          <w:trHeight w:val="212"/>
        </w:trPr>
        <w:tc>
          <w:tcPr>
            <w:tcW w:w="4460" w:type="dxa"/>
            <w:vAlign w:val="bottom"/>
          </w:tcPr>
          <w:p>
            <w:pPr>
              <w:ind w:left="20"/>
              <w:spacing w:after="0"/>
              <w:rPr>
                <w:sz w:val="20"/>
                <w:szCs w:val="20"/>
                <w:color w:val="auto"/>
              </w:rPr>
            </w:pPr>
            <w:r>
              <w:rPr>
                <w:rFonts w:ascii="Arial" w:cs="Arial" w:eastAsia="Arial" w:hAnsi="Arial"/>
                <w:sz w:val="17"/>
                <w:szCs w:val="17"/>
                <w:color w:val="auto"/>
              </w:rPr>
              <w:t>Other</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increase in consignment costs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11,420</w:t>
            </w:r>
          </w:p>
        </w:tc>
      </w:tr>
      <w:tr>
        <w:trPr>
          <w:trHeight w:val="351"/>
        </w:trPr>
        <w:tc>
          <w:tcPr>
            <w:tcW w:w="4460" w:type="dxa"/>
            <w:vAlign w:val="bottom"/>
          </w:tcPr>
          <w:p>
            <w:pPr>
              <w:ind w:left="600"/>
              <w:spacing w:after="0"/>
              <w:rPr>
                <w:sz w:val="20"/>
                <w:szCs w:val="20"/>
                <w:color w:val="auto"/>
              </w:rPr>
            </w:pPr>
            <w:r>
              <w:rPr>
                <w:rFonts w:ascii="Arial" w:cs="Arial" w:eastAsia="Arial" w:hAnsi="Arial"/>
                <w:sz w:val="17"/>
                <w:szCs w:val="17"/>
                <w:i w:val="1"/>
                <w:iCs w:val="1"/>
                <w:color w:val="auto"/>
              </w:rPr>
              <w:t>Cost of Product Revenue</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ind w:left="52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24"/>
                <w:szCs w:val="24"/>
                <w:color w:val="auto"/>
              </w:rPr>
            </w:pPr>
          </w:p>
        </w:tc>
        <w:tc>
          <w:tcPr>
            <w:tcW w:w="2940" w:type="dxa"/>
            <w:vAlign w:val="bottom"/>
            <w:gridSpan w:val="3"/>
          </w:tcPr>
          <w:p>
            <w:pPr>
              <w:jc w:val="right"/>
              <w:ind w:right="1303"/>
              <w:spacing w:after="0"/>
              <w:rPr>
                <w:sz w:val="20"/>
                <w:szCs w:val="20"/>
                <w:color w:val="auto"/>
              </w:rPr>
            </w:pPr>
            <w:r>
              <w:rPr>
                <w:rFonts w:ascii="Arial" w:cs="Arial" w:eastAsia="Arial" w:hAnsi="Arial"/>
                <w:sz w:val="13"/>
                <w:szCs w:val="13"/>
                <w:b w:val="1"/>
                <w:bCs w:val="1"/>
                <w:color w:val="auto"/>
              </w:rPr>
              <w:t>Change</w:t>
            </w:r>
          </w:p>
        </w:tc>
      </w:tr>
      <w:tr>
        <w:trPr>
          <w:trHeight w:val="167"/>
        </w:trPr>
        <w:tc>
          <w:tcPr>
            <w:tcW w:w="44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3"/>
                <w:szCs w:val="13"/>
                <w:b w:val="1"/>
                <w:bCs w:val="1"/>
                <w:color w:val="auto"/>
              </w:rPr>
              <w:t>2019</w:t>
            </w:r>
          </w:p>
        </w:tc>
        <w:tc>
          <w:tcPr>
            <w:tcW w:w="36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gridSpan w:val="2"/>
          </w:tcPr>
          <w:p>
            <w:pPr>
              <w:jc w:val="right"/>
              <w:ind w:right="780"/>
              <w:spacing w:after="0"/>
              <w:rPr>
                <w:sz w:val="20"/>
                <w:szCs w:val="20"/>
                <w:color w:val="auto"/>
              </w:rPr>
            </w:pPr>
            <w:r>
              <w:rPr>
                <w:rFonts w:ascii="Arial" w:cs="Arial" w:eastAsia="Arial" w:hAnsi="Arial"/>
                <w:sz w:val="13"/>
                <w:szCs w:val="13"/>
                <w:b w:val="1"/>
                <w:bCs w:val="1"/>
                <w:color w:val="auto"/>
              </w:rPr>
              <w:t>Amount</w:t>
            </w:r>
          </w:p>
        </w:tc>
        <w:tc>
          <w:tcPr>
            <w:tcW w:w="146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3"/>
                <w:szCs w:val="13"/>
                <w:b w:val="1"/>
                <w:bCs w:val="1"/>
                <w:color w:val="auto"/>
              </w:rPr>
              <w:t>%</w:t>
            </w:r>
          </w:p>
        </w:tc>
      </w:tr>
      <w:tr>
        <w:trPr>
          <w:trHeight w:val="167"/>
        </w:trPr>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4"/>
                <w:szCs w:val="14"/>
                <w:color w:val="auto"/>
              </w:rPr>
            </w:pP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product revenue</w:t>
            </w: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84"/>
              <w:spacing w:after="0"/>
              <w:rPr>
                <w:sz w:val="20"/>
                <w:szCs w:val="20"/>
                <w:color w:val="auto"/>
              </w:rPr>
            </w:pPr>
            <w:r>
              <w:rPr>
                <w:rFonts w:ascii="Arial" w:cs="Arial" w:eastAsia="Arial" w:hAnsi="Arial"/>
                <w:sz w:val="17"/>
                <w:szCs w:val="17"/>
                <w:color w:val="auto"/>
              </w:rPr>
              <w:t>28,544</w:t>
            </w:r>
          </w:p>
        </w:tc>
        <w:tc>
          <w:tcPr>
            <w:tcW w:w="3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44"/>
              <w:spacing w:after="0"/>
              <w:rPr>
                <w:sz w:val="20"/>
                <w:szCs w:val="20"/>
                <w:color w:val="auto"/>
              </w:rPr>
            </w:pPr>
            <w:r>
              <w:rPr>
                <w:rFonts w:ascii="Arial" w:cs="Arial" w:eastAsia="Arial" w:hAnsi="Arial"/>
                <w:sz w:val="17"/>
                <w:szCs w:val="17"/>
                <w:color w:val="auto"/>
              </w:rPr>
              <w:t>23,683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7"/>
                <w:szCs w:val="17"/>
                <w:color w:val="auto"/>
              </w:rPr>
              <w:t>(4,861)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2"/>
        </w:trPr>
        <w:tc>
          <w:tcPr>
            <w:tcW w:w="4460" w:type="dxa"/>
            <w:vAlign w:val="bottom"/>
          </w:tcPr>
          <w:p>
            <w:pPr>
              <w:ind w:left="20"/>
              <w:spacing w:after="0"/>
              <w:rPr>
                <w:sz w:val="20"/>
                <w:szCs w:val="20"/>
                <w:color w:val="auto"/>
              </w:rPr>
            </w:pPr>
            <w:r>
              <w:rPr>
                <w:rFonts w:ascii="Arial" w:cs="Arial" w:eastAsia="Arial" w:hAnsi="Arial"/>
                <w:sz w:val="17"/>
                <w:szCs w:val="17"/>
                <w:color w:val="auto"/>
              </w:rPr>
              <w:t>As a percent of product revenue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43 %</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6 %</w:t>
            </w: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gross margin</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12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17% decrease in the cost of product revenue compared to the prior year was primarily driven by the decrease in product revenue, which resulted in decreases to the costs listed in the below table. Product gross margin declined from 57% to 51% as a result of the increased discounts and incentives offered to buyers during the COVID-19 pandemic.</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spacing w:after="0"/>
              <w:rPr>
                <w:sz w:val="20"/>
                <w:szCs w:val="20"/>
                <w:color w:val="auto"/>
              </w:rPr>
            </w:pPr>
            <w:r>
              <w:rPr>
                <w:rFonts w:ascii="Arial" w:cs="Arial" w:eastAsia="Arial" w:hAnsi="Arial"/>
                <w:sz w:val="13"/>
                <w:szCs w:val="13"/>
                <w:b w:val="1"/>
                <w:bCs w:val="1"/>
                <w:color w:val="auto"/>
              </w:rPr>
              <w:t>Change from 2019 to</w:t>
            </w:r>
          </w:p>
        </w:tc>
      </w:tr>
      <w:tr>
        <w:trPr>
          <w:trHeight w:val="162"/>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96"/>
              </w:rPr>
              <w:t>2020</w:t>
            </w:r>
          </w:p>
        </w:tc>
      </w:tr>
      <w:tr>
        <w:trPr>
          <w:trHeight w:val="167"/>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61"/>
              <w:spacing w:after="0"/>
              <w:rPr>
                <w:sz w:val="20"/>
                <w:szCs w:val="20"/>
                <w:color w:val="auto"/>
              </w:rPr>
            </w:pPr>
            <w:r>
              <w:rPr>
                <w:rFonts w:ascii="Arial" w:cs="Arial" w:eastAsia="Arial" w:hAnsi="Arial"/>
                <w:sz w:val="13"/>
                <w:szCs w:val="13"/>
                <w:b w:val="1"/>
                <w:bCs w:val="1"/>
                <w:color w:val="auto"/>
              </w:rPr>
              <w:t>(in thousands)</w:t>
            </w: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Outbound shipping</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r>
      <w:tr>
        <w:trPr>
          <w:trHeight w:val="212"/>
        </w:trPr>
        <w:tc>
          <w:tcPr>
            <w:tcW w:w="4620" w:type="dxa"/>
            <w:vAlign w:val="bottom"/>
          </w:tcPr>
          <w:p>
            <w:pPr>
              <w:ind w:left="20"/>
              <w:spacing w:after="0"/>
              <w:rPr>
                <w:sz w:val="20"/>
                <w:szCs w:val="20"/>
                <w:color w:val="auto"/>
              </w:rPr>
            </w:pPr>
            <w:r>
              <w:rPr>
                <w:rFonts w:ascii="Arial" w:cs="Arial" w:eastAsia="Arial" w:hAnsi="Arial"/>
                <w:sz w:val="17"/>
                <w:szCs w:val="17"/>
                <w:color w:val="auto"/>
              </w:rPr>
              <w:t>Packing</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(433)</w:t>
            </w: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 labor</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w:t>
            </w:r>
          </w:p>
        </w:tc>
      </w:tr>
      <w:tr>
        <w:trPr>
          <w:trHeight w:val="212"/>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Inventory costs</w:t>
            </w:r>
          </w:p>
        </w:tc>
        <w:tc>
          <w:tcPr>
            <w:tcW w:w="3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w:t>
            </w:r>
          </w:p>
        </w:tc>
      </w:tr>
      <w:tr>
        <w:trPr>
          <w:trHeight w:val="204"/>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decrease in product costs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(4,861)</w:t>
            </w:r>
          </w:p>
        </w:tc>
      </w:tr>
      <w:tr>
        <w:trPr>
          <w:trHeight w:val="351"/>
        </w:trPr>
        <w:tc>
          <w:tcPr>
            <w:tcW w:w="4620" w:type="dxa"/>
            <w:vAlign w:val="bottom"/>
          </w:tcPr>
          <w:p>
            <w:pPr>
              <w:ind w:left="300"/>
              <w:spacing w:after="0"/>
              <w:rPr>
                <w:sz w:val="20"/>
                <w:szCs w:val="20"/>
                <w:color w:val="auto"/>
              </w:rPr>
            </w:pPr>
            <w:r>
              <w:rPr>
                <w:rFonts w:ascii="Arial" w:cs="Arial" w:eastAsia="Arial" w:hAnsi="Arial"/>
                <w:sz w:val="17"/>
                <w:szCs w:val="17"/>
                <w:i w:val="1"/>
                <w:iCs w:val="1"/>
                <w:color w:val="auto"/>
              </w:rPr>
              <w:t>Operating Expenses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6"/>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5"/>
          </w:tcPr>
          <w:p>
            <w:pPr>
              <w:ind w:left="42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24"/>
                <w:szCs w:val="24"/>
                <w:color w:val="auto"/>
              </w:rPr>
            </w:pPr>
          </w:p>
        </w:tc>
        <w:tc>
          <w:tcPr>
            <w:tcW w:w="1680" w:type="dxa"/>
            <w:vAlign w:val="bottom"/>
            <w:gridSpan w:val="4"/>
          </w:tcPr>
          <w:p>
            <w:pPr>
              <w:jc w:val="right"/>
              <w:ind w:right="25"/>
              <w:spacing w:after="0"/>
              <w:rPr>
                <w:sz w:val="20"/>
                <w:szCs w:val="20"/>
                <w:color w:val="auto"/>
              </w:rPr>
            </w:pPr>
            <w:r>
              <w:rPr>
                <w:rFonts w:ascii="Arial" w:cs="Arial" w:eastAsia="Arial" w:hAnsi="Arial"/>
                <w:sz w:val="13"/>
                <w:szCs w:val="13"/>
                <w:b w:val="1"/>
                <w:bCs w:val="1"/>
                <w:color w:val="auto"/>
              </w:rPr>
              <w:t>Change</w:t>
            </w:r>
          </w:p>
        </w:tc>
        <w:tc>
          <w:tcPr>
            <w:tcW w:w="1320" w:type="dxa"/>
            <w:vAlign w:val="bottom"/>
          </w:tcPr>
          <w:p>
            <w:pPr>
              <w:spacing w:after="0"/>
              <w:rPr>
                <w:sz w:val="24"/>
                <w:szCs w:val="24"/>
                <w:color w:val="auto"/>
              </w:rPr>
            </w:pPr>
          </w:p>
        </w:tc>
      </w:tr>
      <w:tr>
        <w:trPr>
          <w:trHeight w:val="167"/>
        </w:trPr>
        <w:tc>
          <w:tcPr>
            <w:tcW w:w="4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gridSpan w:val="4"/>
          </w:tcPr>
          <w:p>
            <w:pPr>
              <w:jc w:val="right"/>
              <w:ind w:right="905"/>
              <w:spacing w:after="0"/>
              <w:rPr>
                <w:sz w:val="20"/>
                <w:szCs w:val="20"/>
                <w:color w:val="auto"/>
              </w:rPr>
            </w:pPr>
            <w:r>
              <w:rPr>
                <w:rFonts w:ascii="Arial" w:cs="Arial" w:eastAsia="Arial" w:hAnsi="Arial"/>
                <w:sz w:val="13"/>
                <w:szCs w:val="13"/>
                <w:b w:val="1"/>
                <w:bCs w:val="1"/>
                <w:color w:val="auto"/>
              </w:rPr>
              <w:t>Amount</w:t>
            </w:r>
          </w:p>
        </w:tc>
        <w:tc>
          <w:tcPr>
            <w:tcW w:w="132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3"/>
                <w:szCs w:val="13"/>
                <w:b w:val="1"/>
                <w:bCs w:val="1"/>
                <w:color w:val="auto"/>
              </w:rPr>
              <w:t>%</w:t>
            </w:r>
          </w:p>
        </w:tc>
      </w:tr>
      <w:tr>
        <w:trPr>
          <w:trHeight w:val="167"/>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20" w:type="dxa"/>
            <w:vAlign w:val="bottom"/>
            <w:gridSpan w:val="7"/>
          </w:tcPr>
          <w:p>
            <w:pPr>
              <w:jc w:val="right"/>
              <w:ind w:right="785"/>
              <w:spacing w:after="0"/>
              <w:rPr>
                <w:sz w:val="20"/>
                <w:szCs w:val="20"/>
                <w:color w:val="auto"/>
              </w:rPr>
            </w:pPr>
            <w:r>
              <w:rPr>
                <w:rFonts w:ascii="Arial" w:cs="Arial" w:eastAsia="Arial" w:hAnsi="Arial"/>
                <w:sz w:val="13"/>
                <w:szCs w:val="13"/>
                <w:b w:val="1"/>
                <w:bCs w:val="1"/>
                <w:color w:val="auto"/>
              </w:rPr>
              <w:t>(in thousands, except percentages)</w:t>
            </w:r>
          </w:p>
        </w:tc>
        <w:tc>
          <w:tcPr>
            <w:tcW w:w="1320" w:type="dxa"/>
            <w:vAlign w:val="bottom"/>
          </w:tcPr>
          <w:p>
            <w:pPr>
              <w:spacing w:after="0"/>
              <w:rPr>
                <w:sz w:val="14"/>
                <w:szCs w:val="14"/>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Operations, product and technology</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r>
      <w:tr>
        <w:trPr>
          <w:trHeight w:val="212"/>
        </w:trPr>
        <w:tc>
          <w:tcPr>
            <w:tcW w:w="4620" w:type="dxa"/>
            <w:vAlign w:val="bottom"/>
          </w:tcPr>
          <w:p>
            <w:pPr>
              <w:ind w:left="20"/>
              <w:spacing w:after="0"/>
              <w:rPr>
                <w:sz w:val="20"/>
                <w:szCs w:val="20"/>
                <w:color w:val="auto"/>
              </w:rPr>
            </w:pPr>
            <w:r>
              <w:rPr>
                <w:rFonts w:ascii="Arial" w:cs="Arial" w:eastAsia="Arial" w:hAnsi="Arial"/>
                <w:sz w:val="17"/>
                <w:szCs w:val="17"/>
                <w:color w:val="auto"/>
              </w:rPr>
              <w:t>Marketing</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44,765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28 %</w:t>
            </w:r>
          </w:p>
        </w:tc>
      </w:tr>
      <w:tr>
        <w:trPr>
          <w:trHeight w:val="215"/>
        </w:trPr>
        <w:tc>
          <w:tcPr>
            <w:tcW w:w="462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149,311</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174,737</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25,426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17 %</w:t>
            </w:r>
          </w:p>
        </w:tc>
      </w:tr>
    </w:tbl>
    <w:p>
      <w:pPr>
        <w:spacing w:after="0" w:line="118"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Operating expenses grew 17%, compared to 14% gross profit growth in the same period. We compare operating expense growth to gross profit growth as a measure of our operating leverage given the shift in revenue mix towards primarily consignment since mid-2019. Results by operating expenses line item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Operations, Product and Technology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58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Change from 2019 to</w:t>
            </w:r>
          </w:p>
        </w:tc>
        <w:tc>
          <w:tcPr>
            <w:tcW w:w="80" w:type="dxa"/>
            <w:vAlign w:val="bottom"/>
          </w:tcPr>
          <w:p>
            <w:pPr>
              <w:spacing w:after="0"/>
              <w:rPr>
                <w:sz w:val="13"/>
                <w:szCs w:val="13"/>
                <w:color w:val="auto"/>
              </w:rPr>
            </w:pPr>
          </w:p>
        </w:tc>
        <w:tc>
          <w:tcPr>
            <w:tcW w:w="6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Explanation of change</w:t>
            </w:r>
          </w:p>
        </w:tc>
        <w:tc>
          <w:tcPr>
            <w:tcW w:w="0" w:type="dxa"/>
            <w:vAlign w:val="bottom"/>
          </w:tcPr>
          <w:p>
            <w:pPr>
              <w:spacing w:after="0"/>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2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Personnel-related costs</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782"/>
              <w:spacing w:after="0" w:line="154"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7"/>
                <w:szCs w:val="17"/>
                <w:color w:val="auto"/>
              </w:rPr>
              <w:t>8,769</w:t>
            </w:r>
          </w:p>
        </w:tc>
        <w:tc>
          <w:tcPr>
            <w:tcW w:w="80" w:type="dxa"/>
            <w:vAlign w:val="bottom"/>
            <w:tcBorders>
              <w:top w:val="single" w:sz="8" w:color="CCEEFF"/>
            </w:tcBorders>
            <w:shd w:val="clear" w:color="auto" w:fill="CCEEFF"/>
          </w:tcPr>
          <w:p>
            <w:pPr>
              <w:spacing w:after="0"/>
              <w:rPr>
                <w:sz w:val="13"/>
                <w:szCs w:val="13"/>
                <w:color w:val="auto"/>
              </w:rPr>
            </w:pPr>
          </w:p>
        </w:tc>
        <w:tc>
          <w:tcPr>
            <w:tcW w:w="646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The increase was due to increased headcount to support growth in our operations</w:t>
            </w: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8"/>
              </w:rPr>
              <w:t>partially offset by reduced payroll costs due to a 20% furlough for corporate employees</w:t>
            </w: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starting in April 2020 as well as a 60-day voluntary furlough for distribution center</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employees.</w:t>
            </w:r>
          </w:p>
        </w:tc>
        <w:tc>
          <w:tcPr>
            <w:tcW w:w="0" w:type="dxa"/>
            <w:vAlign w:val="bottom"/>
          </w:tcPr>
          <w:p>
            <w:pPr>
              <w:spacing w:after="0"/>
              <w:rPr>
                <w:sz w:val="1"/>
                <w:szCs w:val="1"/>
                <w:color w:val="auto"/>
              </w:rPr>
            </w:pPr>
          </w:p>
        </w:tc>
      </w:tr>
      <w:tr>
        <w:trPr>
          <w:trHeight w:val="212"/>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Facilities and other allocated costs</w:t>
            </w:r>
          </w:p>
        </w:tc>
        <w:tc>
          <w:tcPr>
            <w:tcW w:w="960" w:type="dxa"/>
            <w:vAlign w:val="bottom"/>
          </w:tcPr>
          <w:p>
            <w:pPr>
              <w:jc w:val="right"/>
              <w:ind w:right="782"/>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5,711</w:t>
            </w:r>
          </w:p>
        </w:tc>
        <w:tc>
          <w:tcPr>
            <w:tcW w:w="8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rPr>
              <w:t>The increase was due to growth of our processing infrastructure.</w:t>
            </w:r>
          </w:p>
        </w:tc>
        <w:tc>
          <w:tcPr>
            <w:tcW w:w="0" w:type="dxa"/>
            <w:vAlign w:val="bottom"/>
          </w:tcPr>
          <w:p>
            <w:pPr>
              <w:spacing w:after="0"/>
              <w:rPr>
                <w:sz w:val="1"/>
                <w:szCs w:val="1"/>
                <w:color w:val="auto"/>
              </w:rPr>
            </w:pPr>
          </w:p>
        </w:tc>
      </w:tr>
      <w:tr>
        <w:trPr>
          <w:trHeight w:val="162"/>
        </w:trPr>
        <w:tc>
          <w:tcPr>
            <w:tcW w:w="3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rPr>
              <w:t>Inbound shipping</w:t>
            </w:r>
          </w:p>
        </w:tc>
        <w:tc>
          <w:tcPr>
            <w:tcW w:w="960" w:type="dxa"/>
            <w:vAlign w:val="bottom"/>
            <w:shd w:val="clear" w:color="auto" w:fill="CCEEFF"/>
          </w:tcPr>
          <w:p>
            <w:pPr>
              <w:jc w:val="right"/>
              <w:ind w:right="782"/>
              <w:spacing w:after="0" w:line="162"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4,263</w:t>
            </w:r>
          </w:p>
        </w:tc>
        <w:tc>
          <w:tcPr>
            <w:tcW w:w="80" w:type="dxa"/>
            <w:vAlign w:val="bottom"/>
            <w:shd w:val="clear" w:color="auto" w:fill="CCEEFF"/>
          </w:tcPr>
          <w:p>
            <w:pPr>
              <w:spacing w:after="0"/>
              <w:rPr>
                <w:sz w:val="14"/>
                <w:szCs w:val="14"/>
                <w:color w:val="auto"/>
              </w:rPr>
            </w:pPr>
          </w:p>
        </w:tc>
        <w:tc>
          <w:tcPr>
            <w:tcW w:w="64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The increase was due an increase in Clean Out Kits received as a result of continued</w:t>
            </w: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growth in supply from sellers during the COVID-19 pandemic and increased shipping</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rates.</w:t>
            </w:r>
          </w:p>
        </w:tc>
        <w:tc>
          <w:tcPr>
            <w:tcW w:w="0" w:type="dxa"/>
            <w:vAlign w:val="bottom"/>
          </w:tcPr>
          <w:p>
            <w:pPr>
              <w:spacing w:after="0"/>
              <w:rPr>
                <w:sz w:val="1"/>
                <w:szCs w:val="1"/>
                <w:color w:val="auto"/>
              </w:rPr>
            </w:pPr>
          </w:p>
        </w:tc>
      </w:tr>
      <w:tr>
        <w:trPr>
          <w:trHeight w:val="212"/>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w:t>
            </w:r>
          </w:p>
        </w:tc>
        <w:tc>
          <w:tcPr>
            <w:tcW w:w="8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Total increase in operations, product and</w:t>
            </w:r>
          </w:p>
        </w:tc>
        <w:tc>
          <w:tcPr>
            <w:tcW w:w="960" w:type="dxa"/>
            <w:vAlign w:val="bottom"/>
            <w:vMerge w:val="restart"/>
            <w:shd w:val="clear" w:color="auto" w:fill="CCEEFF"/>
          </w:tcPr>
          <w:p>
            <w:pPr>
              <w:jc w:val="right"/>
              <w:ind w:right="782"/>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9"/>
              </w:rPr>
              <w:t>19,330</w:t>
            </w:r>
          </w:p>
        </w:tc>
        <w:tc>
          <w:tcPr>
            <w:tcW w:w="80" w:type="dxa"/>
            <w:vAlign w:val="bottom"/>
            <w:shd w:val="clear" w:color="auto" w:fill="CCEEFF"/>
          </w:tcPr>
          <w:p>
            <w:pPr>
              <w:spacing w:after="0"/>
              <w:rPr>
                <w:sz w:val="12"/>
                <w:szCs w:val="12"/>
                <w:color w:val="auto"/>
              </w:rPr>
            </w:pPr>
          </w:p>
        </w:tc>
        <w:tc>
          <w:tcPr>
            <w:tcW w:w="6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1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technology expenses</w:t>
            </w:r>
          </w:p>
        </w:tc>
        <w:tc>
          <w:tcPr>
            <w:tcW w:w="96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Operations, product and technology expense represented 55% of total revenue in the year ended December 31, 2020, compared to 50% in the year ended December 31, 2019. Operations, product and technology expense grew 24% in the same period, compared to 14% gross profit growth. The increase in costs is due to our continued investment in growing our business, increasing automation in our distribution centers and improving our technology.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Marketing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58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 from 2019 to</w:t>
            </w:r>
          </w:p>
        </w:tc>
        <w:tc>
          <w:tcPr>
            <w:tcW w:w="80" w:type="dxa"/>
            <w:vAlign w:val="bottom"/>
          </w:tcPr>
          <w:p>
            <w:pPr>
              <w:spacing w:after="0"/>
              <w:rPr>
                <w:sz w:val="13"/>
                <w:szCs w:val="13"/>
                <w:color w:val="auto"/>
              </w:rPr>
            </w:pPr>
          </w:p>
        </w:tc>
        <w:tc>
          <w:tcPr>
            <w:tcW w:w="6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Explanation of change</w:t>
            </w:r>
          </w:p>
        </w:tc>
        <w:tc>
          <w:tcPr>
            <w:tcW w:w="0" w:type="dxa"/>
            <w:vAlign w:val="bottom"/>
          </w:tcPr>
          <w:p>
            <w:pPr>
              <w:spacing w:after="0"/>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1040" w:type="dxa"/>
            <w:vAlign w:val="bottom"/>
          </w:tcPr>
          <w:p>
            <w:pPr>
              <w:jc w:val="right"/>
              <w:ind w:right="44"/>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Marketing and advertising costs</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(495)</w:t>
            </w:r>
          </w:p>
        </w:tc>
        <w:tc>
          <w:tcPr>
            <w:tcW w:w="80" w:type="dxa"/>
            <w:vAlign w:val="bottom"/>
            <w:tcBorders>
              <w:top w:val="single" w:sz="8" w:color="CCEEFF"/>
            </w:tcBorders>
            <w:shd w:val="clear" w:color="auto" w:fill="CCEEFF"/>
          </w:tcPr>
          <w:p>
            <w:pPr>
              <w:spacing w:after="0"/>
              <w:rPr>
                <w:sz w:val="19"/>
                <w:szCs w:val="19"/>
                <w:color w:val="auto"/>
              </w:rPr>
            </w:pPr>
          </w:p>
        </w:tc>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8"/>
              </w:rPr>
              <w:t>The decrease is due to temporarily reduced marketing spend while we reevaluated the</w:t>
            </w:r>
          </w:p>
        </w:tc>
        <w:tc>
          <w:tcPr>
            <w:tcW w:w="0" w:type="dxa"/>
            <w:vAlign w:val="bottom"/>
          </w:tcPr>
          <w:p>
            <w:pPr>
              <w:spacing w:after="0"/>
              <w:rPr>
                <w:sz w:val="1"/>
                <w:szCs w:val="1"/>
                <w:color w:val="auto"/>
              </w:rPr>
            </w:pPr>
          </w:p>
        </w:tc>
      </w:tr>
      <w:tr>
        <w:trPr>
          <w:trHeight w:val="137"/>
        </w:trPr>
        <w:tc>
          <w:tcPr>
            <w:tcW w:w="3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60" w:type="dxa"/>
            <w:vAlign w:val="bottom"/>
            <w:shd w:val="clear" w:color="auto" w:fill="CCEEFF"/>
          </w:tcPr>
          <w:p>
            <w:pPr>
              <w:ind w:left="20"/>
              <w:spacing w:after="0" w:line="137" w:lineRule="exact"/>
              <w:rPr>
                <w:sz w:val="20"/>
                <w:szCs w:val="20"/>
                <w:color w:val="auto"/>
              </w:rPr>
            </w:pPr>
            <w:r>
              <w:rPr>
                <w:rFonts w:ascii="Arial" w:cs="Arial" w:eastAsia="Arial" w:hAnsi="Arial"/>
                <w:sz w:val="15"/>
                <w:szCs w:val="15"/>
                <w:color w:val="auto"/>
              </w:rPr>
              <w:t>impact of COVID-19 on consumer demand.</w:t>
            </w:r>
          </w:p>
        </w:tc>
        <w:tc>
          <w:tcPr>
            <w:tcW w:w="0" w:type="dxa"/>
            <w:vAlign w:val="bottom"/>
          </w:tcPr>
          <w:p>
            <w:pPr>
              <w:spacing w:after="0"/>
              <w:rPr>
                <w:sz w:val="1"/>
                <w:szCs w:val="1"/>
                <w:color w:val="auto"/>
              </w:rPr>
            </w:pPr>
          </w:p>
        </w:tc>
      </w:tr>
      <w:tr>
        <w:trPr>
          <w:trHeight w:val="212"/>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center"/>
              <w:ind w:left="17"/>
              <w:spacing w:after="0"/>
              <w:rPr>
                <w:sz w:val="20"/>
                <w:szCs w:val="20"/>
                <w:color w:val="auto"/>
              </w:rPr>
            </w:pPr>
            <w:r>
              <w:rPr>
                <w:rFonts w:ascii="Arial" w:cs="Arial" w:eastAsia="Arial" w:hAnsi="Arial"/>
                <w:sz w:val="17"/>
                <w:szCs w:val="17"/>
                <w:color w:val="auto"/>
                <w:w w:val="98"/>
              </w:rPr>
              <w:t>280</w:t>
            </w:r>
          </w:p>
        </w:tc>
        <w:tc>
          <w:tcPr>
            <w:tcW w:w="8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decrease in marketing expense</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(215)</w:t>
            </w:r>
          </w:p>
        </w:tc>
        <w:tc>
          <w:tcPr>
            <w:tcW w:w="80" w:type="dxa"/>
            <w:vAlign w:val="bottom"/>
            <w:shd w:val="clear" w:color="auto" w:fill="CCEEFF"/>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Marketing represented 24% of revenue in the year ended December 31, 2020, compared to 27% in the prior year. Marketing expense remained consistent in the same period, compared to 14% gross profit growth.</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Sales, general and administrative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2"/>
                <w:szCs w:val="12"/>
                <w:color w:val="auto"/>
              </w:rPr>
            </w:pPr>
          </w:p>
        </w:tc>
        <w:tc>
          <w:tcPr>
            <w:tcW w:w="1460" w:type="dxa"/>
            <w:vAlign w:val="bottom"/>
          </w:tcPr>
          <w:p>
            <w:pPr>
              <w:jc w:val="right"/>
              <w:ind w:right="62"/>
              <w:spacing w:after="0"/>
              <w:rPr>
                <w:sz w:val="20"/>
                <w:szCs w:val="20"/>
                <w:color w:val="auto"/>
              </w:rPr>
            </w:pPr>
            <w:r>
              <w:rPr>
                <w:rFonts w:ascii="Arial" w:cs="Arial" w:eastAsia="Arial" w:hAnsi="Arial"/>
                <w:sz w:val="13"/>
                <w:szCs w:val="13"/>
                <w:b w:val="1"/>
                <w:bCs w:val="1"/>
                <w:color w:val="auto"/>
              </w:rPr>
              <w:t>Change from 2019 to</w:t>
            </w:r>
          </w:p>
        </w:tc>
        <w:tc>
          <w:tcPr>
            <w:tcW w:w="80" w:type="dxa"/>
            <w:vAlign w:val="bottom"/>
          </w:tcPr>
          <w:p>
            <w:pPr>
              <w:spacing w:after="0"/>
              <w:rPr>
                <w:sz w:val="12"/>
                <w:szCs w:val="12"/>
                <w:color w:val="auto"/>
              </w:rPr>
            </w:pPr>
          </w:p>
        </w:tc>
        <w:tc>
          <w:tcPr>
            <w:tcW w:w="6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Explanation of change</w:t>
            </w:r>
          </w:p>
        </w:tc>
        <w:tc>
          <w:tcPr>
            <w:tcW w:w="0" w:type="dxa"/>
            <w:vAlign w:val="bottom"/>
          </w:tcPr>
          <w:p>
            <w:pPr>
              <w:spacing w:after="0"/>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2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Professional services</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ind w:right="2"/>
              <w:spacing w:after="0" w:line="154" w:lineRule="exact"/>
              <w:rPr>
                <w:sz w:val="20"/>
                <w:szCs w:val="20"/>
                <w:color w:val="auto"/>
              </w:rPr>
            </w:pPr>
            <w:r>
              <w:rPr>
                <w:rFonts w:ascii="Arial" w:cs="Arial" w:eastAsia="Arial" w:hAnsi="Arial"/>
                <w:sz w:val="17"/>
                <w:szCs w:val="17"/>
                <w:color w:val="auto"/>
              </w:rPr>
              <w:t>2,626</w:t>
            </w:r>
          </w:p>
        </w:tc>
        <w:tc>
          <w:tcPr>
            <w:tcW w:w="80" w:type="dxa"/>
            <w:vAlign w:val="bottom"/>
            <w:tcBorders>
              <w:top w:val="single" w:sz="8" w:color="CCEEFF"/>
            </w:tcBorders>
            <w:shd w:val="clear" w:color="auto" w:fill="CCEEFF"/>
          </w:tcPr>
          <w:p>
            <w:pPr>
              <w:spacing w:after="0"/>
              <w:rPr>
                <w:sz w:val="13"/>
                <w:szCs w:val="13"/>
                <w:color w:val="auto"/>
              </w:rPr>
            </w:pPr>
          </w:p>
        </w:tc>
        <w:tc>
          <w:tcPr>
            <w:tcW w:w="646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The increase is due mainly to an increase in consulting fees as we prepare to become</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 public company.</w:t>
            </w:r>
          </w:p>
        </w:tc>
        <w:tc>
          <w:tcPr>
            <w:tcW w:w="0" w:type="dxa"/>
            <w:vAlign w:val="bottom"/>
          </w:tcPr>
          <w:p>
            <w:pPr>
              <w:spacing w:after="0"/>
              <w:rPr>
                <w:sz w:val="1"/>
                <w:szCs w:val="1"/>
                <w:color w:val="auto"/>
              </w:rPr>
            </w:pPr>
          </w:p>
        </w:tc>
      </w:tr>
      <w:tr>
        <w:trPr>
          <w:trHeight w:val="162"/>
        </w:trPr>
        <w:tc>
          <w:tcPr>
            <w:tcW w:w="312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Personnel-related costs</w:t>
            </w:r>
          </w:p>
        </w:tc>
        <w:tc>
          <w:tcPr>
            <w:tcW w:w="120" w:type="dxa"/>
            <w:vAlign w:val="bottom"/>
          </w:tcPr>
          <w:p>
            <w:pPr>
              <w:spacing w:after="0"/>
              <w:rPr>
                <w:sz w:val="14"/>
                <w:szCs w:val="14"/>
                <w:color w:val="auto"/>
              </w:rPr>
            </w:pPr>
          </w:p>
        </w:tc>
        <w:tc>
          <w:tcPr>
            <w:tcW w:w="1460" w:type="dxa"/>
            <w:vAlign w:val="bottom"/>
          </w:tcPr>
          <w:p>
            <w:pPr>
              <w:jc w:val="right"/>
              <w:ind w:right="2"/>
              <w:spacing w:after="0" w:line="162" w:lineRule="exact"/>
              <w:rPr>
                <w:sz w:val="20"/>
                <w:szCs w:val="20"/>
                <w:color w:val="auto"/>
              </w:rPr>
            </w:pPr>
            <w:r>
              <w:rPr>
                <w:rFonts w:ascii="Arial" w:cs="Arial" w:eastAsia="Arial" w:hAnsi="Arial"/>
                <w:sz w:val="17"/>
                <w:szCs w:val="17"/>
                <w:color w:val="auto"/>
              </w:rPr>
              <w:t>1,474</w:t>
            </w:r>
          </w:p>
        </w:tc>
        <w:tc>
          <w:tcPr>
            <w:tcW w:w="80" w:type="dxa"/>
            <w:vAlign w:val="bottom"/>
          </w:tcPr>
          <w:p>
            <w:pPr>
              <w:spacing w:after="0"/>
              <w:rPr>
                <w:sz w:val="14"/>
                <w:szCs w:val="14"/>
                <w:color w:val="auto"/>
              </w:rPr>
            </w:pPr>
          </w:p>
        </w:tc>
        <w:tc>
          <w:tcPr>
            <w:tcW w:w="6460" w:type="dxa"/>
            <w:vAlign w:val="bottom"/>
          </w:tcPr>
          <w:p>
            <w:pPr>
              <w:ind w:left="20"/>
              <w:spacing w:after="0" w:line="162" w:lineRule="exact"/>
              <w:rPr>
                <w:sz w:val="20"/>
                <w:szCs w:val="20"/>
                <w:color w:val="auto"/>
              </w:rPr>
            </w:pPr>
            <w:r>
              <w:rPr>
                <w:rFonts w:ascii="Arial" w:cs="Arial" w:eastAsia="Arial" w:hAnsi="Arial"/>
                <w:sz w:val="17"/>
                <w:szCs w:val="17"/>
                <w:color w:val="auto"/>
              </w:rPr>
              <w:t>The increase is due to increased headcount to support growth in our corporate</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60" w:type="dxa"/>
            <w:vAlign w:val="bottom"/>
          </w:tcPr>
          <w:p>
            <w:pPr>
              <w:ind w:left="20"/>
              <w:spacing w:after="0" w:line="162" w:lineRule="exact"/>
              <w:rPr>
                <w:sz w:val="20"/>
                <w:szCs w:val="20"/>
                <w:color w:val="auto"/>
              </w:rPr>
            </w:pPr>
            <w:r>
              <w:rPr>
                <w:rFonts w:ascii="Arial" w:cs="Arial" w:eastAsia="Arial" w:hAnsi="Arial"/>
                <w:sz w:val="17"/>
                <w:szCs w:val="17"/>
                <w:color w:val="auto"/>
              </w:rPr>
              <w:t>functions  offset  by  reduced  payroll  costs  due  to  a  20%  furlough  for  corporate</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rPr>
              <w:t>employees beginning in April 2020.</w:t>
            </w:r>
          </w:p>
        </w:tc>
        <w:tc>
          <w:tcPr>
            <w:tcW w:w="0" w:type="dxa"/>
            <w:vAlign w:val="bottom"/>
          </w:tcPr>
          <w:p>
            <w:pPr>
              <w:spacing w:after="0"/>
              <w:rPr>
                <w:sz w:val="1"/>
                <w:szCs w:val="1"/>
                <w:color w:val="auto"/>
              </w:rPr>
            </w:pPr>
          </w:p>
        </w:tc>
      </w:tr>
      <w:tr>
        <w:trPr>
          <w:trHeight w:val="162"/>
        </w:trPr>
        <w:tc>
          <w:tcPr>
            <w:tcW w:w="3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rPr>
              <w:t>Payment processing fees</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2"/>
              <w:spacing w:after="0" w:line="162" w:lineRule="exact"/>
              <w:rPr>
                <w:sz w:val="20"/>
                <w:szCs w:val="20"/>
                <w:color w:val="auto"/>
              </w:rPr>
            </w:pPr>
            <w:r>
              <w:rPr>
                <w:rFonts w:ascii="Arial" w:cs="Arial" w:eastAsia="Arial" w:hAnsi="Arial"/>
                <w:sz w:val="17"/>
                <w:szCs w:val="17"/>
                <w:color w:val="auto"/>
              </w:rPr>
              <w:t>1,620</w:t>
            </w:r>
          </w:p>
        </w:tc>
        <w:tc>
          <w:tcPr>
            <w:tcW w:w="80" w:type="dxa"/>
            <w:vAlign w:val="bottom"/>
            <w:shd w:val="clear" w:color="auto" w:fill="CCEEFF"/>
          </w:tcPr>
          <w:p>
            <w:pPr>
              <w:spacing w:after="0"/>
              <w:rPr>
                <w:sz w:val="14"/>
                <w:szCs w:val="14"/>
                <w:color w:val="auto"/>
              </w:rPr>
            </w:pPr>
          </w:p>
        </w:tc>
        <w:tc>
          <w:tcPr>
            <w:tcW w:w="64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The increase was primarily attributable to the increase in orders and a corresponding</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in revenue.</w:t>
            </w:r>
          </w:p>
        </w:tc>
        <w:tc>
          <w:tcPr>
            <w:tcW w:w="0" w:type="dxa"/>
            <w:vAlign w:val="bottom"/>
          </w:tcPr>
          <w:p>
            <w:pPr>
              <w:spacing w:after="0"/>
              <w:rPr>
                <w:sz w:val="1"/>
                <w:szCs w:val="1"/>
                <w:color w:val="auto"/>
              </w:rPr>
            </w:pPr>
          </w:p>
        </w:tc>
      </w:tr>
      <w:tr>
        <w:trPr>
          <w:trHeight w:val="212"/>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591</w:t>
            </w:r>
          </w:p>
        </w:tc>
        <w:tc>
          <w:tcPr>
            <w:tcW w:w="8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Total increase in sales, general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vMerge w:val="restart"/>
            <w:shd w:val="clear" w:color="auto" w:fill="CCEEFF"/>
          </w:tcPr>
          <w:p>
            <w:pPr>
              <w:jc w:val="right"/>
              <w:ind w:right="2"/>
              <w:spacing w:after="0"/>
              <w:rPr>
                <w:sz w:val="20"/>
                <w:szCs w:val="20"/>
                <w:color w:val="auto"/>
              </w:rPr>
            </w:pPr>
            <w:r>
              <w:rPr>
                <w:rFonts w:ascii="Arial" w:cs="Arial" w:eastAsia="Arial" w:hAnsi="Arial"/>
                <w:sz w:val="17"/>
                <w:szCs w:val="17"/>
                <w:color w:val="auto"/>
              </w:rPr>
              <w:t>6,311</w:t>
            </w:r>
          </w:p>
        </w:tc>
        <w:tc>
          <w:tcPr>
            <w:tcW w:w="80" w:type="dxa"/>
            <w:vAlign w:val="bottom"/>
            <w:shd w:val="clear" w:color="auto" w:fill="CCEEFF"/>
          </w:tcPr>
          <w:p>
            <w:pPr>
              <w:spacing w:after="0"/>
              <w:rPr>
                <w:sz w:val="12"/>
                <w:szCs w:val="12"/>
                <w:color w:val="auto"/>
              </w:rPr>
            </w:pPr>
          </w:p>
        </w:tc>
        <w:tc>
          <w:tcPr>
            <w:tcW w:w="6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120" w:type="dxa"/>
            <w:vAlign w:val="bottom"/>
            <w:tcBorders>
              <w:bottom w:val="single" w:sz="8" w:color="CCEEFF"/>
            </w:tcBorders>
            <w:gridSpan w:val="2"/>
            <w:shd w:val="clear" w:color="auto" w:fill="CCEEFF"/>
          </w:tcPr>
          <w:p>
            <w:pPr>
              <w:ind w:left="160"/>
              <w:spacing w:after="0" w:line="187" w:lineRule="exact"/>
              <w:rPr>
                <w:sz w:val="20"/>
                <w:szCs w:val="20"/>
                <w:color w:val="auto"/>
              </w:rPr>
            </w:pPr>
            <w:r>
              <w:rPr>
                <w:rFonts w:ascii="Arial" w:cs="Arial" w:eastAsia="Arial" w:hAnsi="Arial"/>
                <w:sz w:val="17"/>
                <w:szCs w:val="17"/>
                <w:color w:val="auto"/>
              </w:rPr>
              <w:t>administrative costs</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Sales, general and administrative represented 15% of revenue in the year ended December 31, 2020, compared to 14% in the prior year. Sales, general and administrative expense grew 28% in the same period, compared to 14% gross profit growth. This increase is the result of scaling our business and improving our processes as we prepare to be a public company.</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Comparison of the Years Ended December 31, 2018 and 2019</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gridSpan w:val="5"/>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15"/>
                <w:szCs w:val="15"/>
                <w:color w:val="auto"/>
              </w:rPr>
            </w:pPr>
          </w:p>
        </w:tc>
        <w:tc>
          <w:tcPr>
            <w:tcW w:w="1820" w:type="dxa"/>
            <w:vAlign w:val="bottom"/>
            <w:gridSpan w:val="3"/>
          </w:tcPr>
          <w:p>
            <w:pPr>
              <w:ind w:left="1080"/>
              <w:spacing w:after="0"/>
              <w:rPr>
                <w:sz w:val="20"/>
                <w:szCs w:val="20"/>
                <w:color w:val="auto"/>
              </w:rPr>
            </w:pPr>
            <w:r>
              <w:rPr>
                <w:rFonts w:ascii="Arial" w:cs="Arial" w:eastAsia="Arial" w:hAnsi="Arial"/>
                <w:sz w:val="13"/>
                <w:szCs w:val="13"/>
                <w:b w:val="1"/>
                <w:bCs w:val="1"/>
                <w:color w:val="auto"/>
              </w:rPr>
              <w:t>Change</w:t>
            </w:r>
          </w:p>
        </w:tc>
        <w:tc>
          <w:tcPr>
            <w:tcW w:w="1120" w:type="dxa"/>
            <w:vAlign w:val="bottom"/>
          </w:tcPr>
          <w:p>
            <w:pPr>
              <w:spacing w:after="0"/>
              <w:rPr>
                <w:sz w:val="15"/>
                <w:szCs w:val="15"/>
                <w:color w:val="auto"/>
              </w:rPr>
            </w:pPr>
          </w:p>
        </w:tc>
      </w:tr>
      <w:tr>
        <w:trPr>
          <w:trHeight w:val="167"/>
        </w:trPr>
        <w:tc>
          <w:tcPr>
            <w:tcW w:w="44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w:t>
            </w:r>
          </w:p>
        </w:tc>
      </w:tr>
      <w:tr>
        <w:trPr>
          <w:trHeight w:val="167"/>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80" w:type="dxa"/>
            <w:vAlign w:val="bottom"/>
            <w:gridSpan w:val="6"/>
          </w:tcPr>
          <w:p>
            <w:pPr>
              <w:ind w:left="220"/>
              <w:spacing w:after="0"/>
              <w:rPr>
                <w:sz w:val="20"/>
                <w:szCs w:val="20"/>
                <w:color w:val="auto"/>
              </w:rPr>
            </w:pPr>
            <w:r>
              <w:rPr>
                <w:rFonts w:ascii="Arial" w:cs="Arial" w:eastAsia="Arial" w:hAnsi="Arial"/>
                <w:sz w:val="13"/>
                <w:szCs w:val="13"/>
                <w:b w:val="1"/>
                <w:bCs w:val="1"/>
                <w:color w:val="auto"/>
              </w:rPr>
              <w:t>(in thousands, except percentages)</w:t>
            </w:r>
          </w:p>
        </w:tc>
        <w:tc>
          <w:tcPr>
            <w:tcW w:w="1120" w:type="dxa"/>
            <w:vAlign w:val="bottom"/>
          </w:tcPr>
          <w:p>
            <w:pPr>
              <w:spacing w:after="0"/>
              <w:rPr>
                <w:sz w:val="14"/>
                <w:szCs w:val="14"/>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Consignment revenue</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39,415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97,763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center"/>
              <w:ind w:left="484"/>
              <w:spacing w:after="0"/>
              <w:rPr>
                <w:sz w:val="20"/>
                <w:szCs w:val="20"/>
                <w:color w:val="auto"/>
              </w:rPr>
            </w:pPr>
            <w:r>
              <w:rPr>
                <w:rFonts w:ascii="Arial" w:cs="Arial" w:eastAsia="Arial" w:hAnsi="Arial"/>
                <w:sz w:val="17"/>
                <w:szCs w:val="17"/>
                <w:color w:val="auto"/>
                <w:w w:val="99"/>
              </w:rPr>
              <w:t>58,348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148 %</w:t>
            </w:r>
          </w:p>
        </w:tc>
      </w:tr>
      <w:tr>
        <w:trPr>
          <w:trHeight w:val="212"/>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Product revenue</w:t>
            </w:r>
          </w:p>
        </w:tc>
        <w:tc>
          <w:tcPr>
            <w:tcW w:w="4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7"/>
                <w:szCs w:val="17"/>
                <w:color w:val="auto"/>
              </w:rPr>
              <w:t>90,136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142"/>
              <w:spacing w:after="0"/>
              <w:rPr>
                <w:sz w:val="20"/>
                <w:szCs w:val="20"/>
                <w:color w:val="auto"/>
              </w:rPr>
            </w:pPr>
            <w:r>
              <w:rPr>
                <w:rFonts w:ascii="Arial" w:cs="Arial" w:eastAsia="Arial" w:hAnsi="Arial"/>
                <w:sz w:val="17"/>
                <w:szCs w:val="17"/>
                <w:color w:val="auto"/>
              </w:rPr>
              <w:t>66,049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center"/>
              <w:ind w:left="464"/>
              <w:spacing w:after="0"/>
              <w:rPr>
                <w:sz w:val="20"/>
                <w:szCs w:val="20"/>
                <w:color w:val="auto"/>
              </w:rPr>
            </w:pPr>
            <w:r>
              <w:rPr>
                <w:rFonts w:ascii="Arial" w:cs="Arial" w:eastAsia="Arial" w:hAnsi="Arial"/>
                <w:sz w:val="17"/>
                <w:szCs w:val="17"/>
                <w:color w:val="auto"/>
                <w:w w:val="97"/>
              </w:rPr>
              <w:t>(24,087)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04"/>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129,551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163,812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center"/>
              <w:ind w:left="484"/>
              <w:spacing w:after="0"/>
              <w:rPr>
                <w:sz w:val="20"/>
                <w:szCs w:val="20"/>
                <w:color w:val="auto"/>
              </w:rPr>
            </w:pPr>
            <w:r>
              <w:rPr>
                <w:rFonts w:ascii="Arial" w:cs="Arial" w:eastAsia="Arial" w:hAnsi="Arial"/>
                <w:sz w:val="17"/>
                <w:szCs w:val="17"/>
                <w:color w:val="auto"/>
                <w:w w:val="99"/>
              </w:rPr>
              <w:t>34,261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Consignment revenue as a % of total revenue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30 %</w:t>
            </w: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 as a % of total revenue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bl>
    <w:p>
      <w:pPr>
        <w:spacing w:after="0" w:line="129"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The 26% increase in total revenue compared to the prior year was primarily attributable to a 34% increase in Orders, which was primarily driven by growth in Active Buyers of 48% and partially offset by a decrease in revenue per Order of 5% over the same period. The increase in Active Buyer growth was due to investments in buyer acquisition as we expanded our processing capacity. The decrease in revenue per Order was due to a higher percentage of our sales being consignment sales as consignment sales result in lower revenue than product sales because revenue for consignment sales is recognized net of seller payouts, whereas, for product sales, seller payouts are recognized as a component of cost of revenue, leading to different gross margin profiles between consignment sales and product sales.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Consignment Revenue</w:t>
      </w:r>
    </w:p>
    <w:p>
      <w:pPr>
        <w:spacing w:after="0" w:line="15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148% increase in consignment revenue compared to the prior year was primarily attributable to the mix shift from product to consignment sales, which resulted in consignment sales representing 60% of our total revenue mix, up from 30% in the prior period, as well as a 34% increase in Orders overall.</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Product Revenue</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27% decrease in product revenue compared to the prior year was primarily attributable to the mix shift from product to consignment sales.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1080"/>
              <w:spacing w:after="0"/>
              <w:rPr>
                <w:sz w:val="20"/>
                <w:szCs w:val="20"/>
                <w:color w:val="auto"/>
              </w:rPr>
            </w:pPr>
            <w:r>
              <w:rPr>
                <w:rFonts w:ascii="Arial" w:cs="Arial" w:eastAsia="Arial" w:hAnsi="Arial"/>
                <w:sz w:val="13"/>
                <w:szCs w:val="13"/>
                <w:b w:val="1"/>
                <w:bCs w:val="1"/>
                <w:color w:val="auto"/>
              </w:rPr>
              <w:t>Change</w:t>
            </w:r>
          </w:p>
        </w:tc>
        <w:tc>
          <w:tcPr>
            <w:tcW w:w="1120" w:type="dxa"/>
            <w:vAlign w:val="bottom"/>
            <w:tcBorders>
              <w:bottom w:val="single" w:sz="8" w:color="auto"/>
            </w:tcBorders>
          </w:tcPr>
          <w:p>
            <w:pPr>
              <w:spacing w:after="0"/>
              <w:rPr>
                <w:sz w:val="15"/>
                <w:szCs w:val="15"/>
                <w:color w:val="auto"/>
              </w:rPr>
            </w:pPr>
          </w:p>
        </w:tc>
      </w:tr>
      <w:tr>
        <w:trPr>
          <w:trHeight w:val="167"/>
        </w:trPr>
        <w:tc>
          <w:tcPr>
            <w:tcW w:w="4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w:t>
            </w:r>
          </w:p>
        </w:tc>
      </w:tr>
      <w:tr>
        <w:trPr>
          <w:trHeight w:val="167"/>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80" w:type="dxa"/>
            <w:vAlign w:val="bottom"/>
            <w:gridSpan w:val="5"/>
          </w:tcPr>
          <w:p>
            <w:pPr>
              <w:ind w:left="220"/>
              <w:spacing w:after="0"/>
              <w:rPr>
                <w:sz w:val="20"/>
                <w:szCs w:val="20"/>
                <w:color w:val="auto"/>
              </w:rPr>
            </w:pPr>
            <w:r>
              <w:rPr>
                <w:rFonts w:ascii="Arial" w:cs="Arial" w:eastAsia="Arial" w:hAnsi="Arial"/>
                <w:sz w:val="13"/>
                <w:szCs w:val="13"/>
                <w:b w:val="1"/>
                <w:bCs w:val="1"/>
                <w:color w:val="auto"/>
              </w:rPr>
              <w:t>(in thousands, except percentages)</w:t>
            </w:r>
          </w:p>
        </w:tc>
        <w:tc>
          <w:tcPr>
            <w:tcW w:w="1120" w:type="dxa"/>
            <w:vAlign w:val="bottom"/>
          </w:tcPr>
          <w:p>
            <w:pPr>
              <w:spacing w:after="0"/>
              <w:rPr>
                <w:sz w:val="14"/>
                <w:szCs w:val="14"/>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consignment revenue</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43"/>
              <w:spacing w:after="0"/>
              <w:rPr>
                <w:sz w:val="20"/>
                <w:szCs w:val="20"/>
                <w:color w:val="auto"/>
              </w:rPr>
            </w:pPr>
            <w:r>
              <w:rPr>
                <w:rFonts w:ascii="Arial" w:cs="Arial" w:eastAsia="Arial" w:hAnsi="Arial"/>
                <w:sz w:val="17"/>
                <w:szCs w:val="17"/>
                <w:color w:val="auto"/>
              </w:rPr>
              <w:t>9,978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43"/>
              <w:spacing w:after="0"/>
              <w:rPr>
                <w:sz w:val="20"/>
                <w:szCs w:val="20"/>
                <w:color w:val="auto"/>
              </w:rPr>
            </w:pPr>
            <w:r>
              <w:rPr>
                <w:rFonts w:ascii="Arial" w:cs="Arial" w:eastAsia="Arial" w:hAnsi="Arial"/>
                <w:sz w:val="17"/>
                <w:szCs w:val="17"/>
                <w:color w:val="auto"/>
              </w:rPr>
              <w:t>22,764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12,786</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128 %</w:t>
            </w:r>
          </w:p>
        </w:tc>
      </w:tr>
      <w:tr>
        <w:trPr>
          <w:trHeight w:val="212"/>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product revenue</w:t>
            </w:r>
          </w:p>
        </w:tc>
        <w:tc>
          <w:tcPr>
            <w:tcW w:w="4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7"/>
                <w:szCs w:val="17"/>
                <w:color w:val="auto"/>
              </w:rPr>
              <w:t>41,563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7"/>
                <w:szCs w:val="17"/>
                <w:color w:val="auto"/>
              </w:rPr>
              <w:t>28,544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(13,019)</w:t>
            </w:r>
          </w:p>
        </w:tc>
        <w:tc>
          <w:tcPr>
            <w:tcW w:w="6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(31)%</w:t>
            </w:r>
          </w:p>
        </w:tc>
      </w:tr>
      <w:tr>
        <w:trPr>
          <w:trHeight w:val="204"/>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 of revenue</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43"/>
              <w:spacing w:after="0"/>
              <w:rPr>
                <w:sz w:val="20"/>
                <w:szCs w:val="20"/>
                <w:color w:val="auto"/>
              </w:rPr>
            </w:pPr>
            <w:r>
              <w:rPr>
                <w:rFonts w:ascii="Arial" w:cs="Arial" w:eastAsia="Arial" w:hAnsi="Arial"/>
                <w:sz w:val="17"/>
                <w:szCs w:val="17"/>
                <w:color w:val="auto"/>
              </w:rPr>
              <w:t>51,541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43"/>
              <w:spacing w:after="0"/>
              <w:rPr>
                <w:sz w:val="20"/>
                <w:szCs w:val="20"/>
                <w:color w:val="auto"/>
              </w:rPr>
            </w:pPr>
            <w:r>
              <w:rPr>
                <w:rFonts w:ascii="Arial" w:cs="Arial" w:eastAsia="Arial" w:hAnsi="Arial"/>
                <w:sz w:val="17"/>
                <w:szCs w:val="17"/>
                <w:color w:val="auto"/>
              </w:rPr>
              <w:t>51,308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43"/>
              <w:spacing w:after="0"/>
              <w:rPr>
                <w:sz w:val="20"/>
                <w:szCs w:val="20"/>
                <w:color w:val="auto"/>
              </w:rPr>
            </w:pPr>
            <w:r>
              <w:rPr>
                <w:rFonts w:ascii="Arial" w:cs="Arial" w:eastAsia="Arial" w:hAnsi="Arial"/>
                <w:sz w:val="17"/>
                <w:szCs w:val="17"/>
                <w:color w:val="auto"/>
              </w:rPr>
              <w:t>78,010</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43"/>
              <w:spacing w:after="0"/>
              <w:rPr>
                <w:sz w:val="20"/>
                <w:szCs w:val="20"/>
                <w:color w:val="auto"/>
              </w:rPr>
            </w:pPr>
            <w:r>
              <w:rPr>
                <w:rFonts w:ascii="Arial" w:cs="Arial" w:eastAsia="Arial" w:hAnsi="Arial"/>
                <w:sz w:val="17"/>
                <w:szCs w:val="17"/>
                <w:color w:val="auto"/>
              </w:rPr>
              <w:t>112,504</w:t>
            </w:r>
          </w:p>
        </w:tc>
        <w:tc>
          <w:tcPr>
            <w:tcW w:w="80" w:type="dxa"/>
            <w:vAlign w:val="bottom"/>
          </w:tcPr>
          <w:p>
            <w:pPr>
              <w:spacing w:after="0"/>
              <w:rPr>
                <w:sz w:val="18"/>
                <w:szCs w:val="18"/>
                <w:color w:val="auto"/>
              </w:rPr>
            </w:pP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34,494</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44 %</w:t>
            </w: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margin</w:t>
            </w:r>
          </w:p>
        </w:tc>
        <w:tc>
          <w:tcPr>
            <w:tcW w:w="1720" w:type="dxa"/>
            <w:vAlign w:val="bottom"/>
            <w:shd w:val="clear" w:color="auto" w:fill="CCEEFF"/>
          </w:tcPr>
          <w:p>
            <w:pPr>
              <w:jc w:val="right"/>
              <w:ind w:right="597"/>
              <w:spacing w:after="0"/>
              <w:rPr>
                <w:sz w:val="20"/>
                <w:szCs w:val="20"/>
                <w:color w:val="auto"/>
              </w:rPr>
            </w:pPr>
            <w:r>
              <w:rPr>
                <w:rFonts w:ascii="Arial" w:cs="Arial" w:eastAsia="Arial" w:hAnsi="Arial"/>
                <w:sz w:val="17"/>
                <w:szCs w:val="17"/>
                <w:color w:val="auto"/>
              </w:rPr>
              <w:t>60 %</w:t>
            </w:r>
          </w:p>
        </w:tc>
        <w:tc>
          <w:tcPr>
            <w:tcW w:w="2520" w:type="dxa"/>
            <w:vAlign w:val="bottom"/>
            <w:shd w:val="clear" w:color="auto" w:fill="CCEEFF"/>
          </w:tcPr>
          <w:p>
            <w:pPr>
              <w:jc w:val="right"/>
              <w:ind w:right="1377"/>
              <w:spacing w:after="0"/>
              <w:rPr>
                <w:sz w:val="20"/>
                <w:szCs w:val="20"/>
                <w:color w:val="auto"/>
              </w:rPr>
            </w:pPr>
            <w:r>
              <w:rPr>
                <w:rFonts w:ascii="Arial" w:cs="Arial" w:eastAsia="Arial" w:hAnsi="Arial"/>
                <w:sz w:val="17"/>
                <w:szCs w:val="17"/>
                <w:color w:val="auto"/>
              </w:rPr>
              <w:t>69 %</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12"/>
        </w:trPr>
        <w:tc>
          <w:tcPr>
            <w:tcW w:w="5100" w:type="dxa"/>
            <w:vAlign w:val="bottom"/>
          </w:tcPr>
          <w:p>
            <w:pPr>
              <w:ind w:left="20"/>
              <w:spacing w:after="0"/>
              <w:rPr>
                <w:sz w:val="20"/>
                <w:szCs w:val="20"/>
                <w:color w:val="auto"/>
              </w:rPr>
            </w:pPr>
            <w:r>
              <w:rPr>
                <w:rFonts w:ascii="Arial" w:cs="Arial" w:eastAsia="Arial" w:hAnsi="Arial"/>
                <w:sz w:val="17"/>
                <w:szCs w:val="17"/>
                <w:color w:val="auto"/>
              </w:rPr>
              <w:t>Cost of revenue as a % of total revenue</w:t>
            </w:r>
          </w:p>
        </w:tc>
        <w:tc>
          <w:tcPr>
            <w:tcW w:w="1720" w:type="dxa"/>
            <w:vAlign w:val="bottom"/>
          </w:tcPr>
          <w:p>
            <w:pPr>
              <w:jc w:val="right"/>
              <w:ind w:right="597"/>
              <w:spacing w:after="0"/>
              <w:rPr>
                <w:sz w:val="20"/>
                <w:szCs w:val="20"/>
                <w:color w:val="auto"/>
              </w:rPr>
            </w:pPr>
            <w:r>
              <w:rPr>
                <w:rFonts w:ascii="Arial" w:cs="Arial" w:eastAsia="Arial" w:hAnsi="Arial"/>
                <w:sz w:val="17"/>
                <w:szCs w:val="17"/>
                <w:color w:val="auto"/>
              </w:rPr>
              <w:t>40 %</w:t>
            </w:r>
          </w:p>
        </w:tc>
        <w:tc>
          <w:tcPr>
            <w:tcW w:w="2520" w:type="dxa"/>
            <w:vAlign w:val="bottom"/>
          </w:tcPr>
          <w:p>
            <w:pPr>
              <w:jc w:val="right"/>
              <w:ind w:right="1377"/>
              <w:spacing w:after="0"/>
              <w:rPr>
                <w:sz w:val="20"/>
                <w:szCs w:val="20"/>
                <w:color w:val="auto"/>
              </w:rPr>
            </w:pPr>
            <w:r>
              <w:rPr>
                <w:rFonts w:ascii="Arial" w:cs="Arial" w:eastAsia="Arial" w:hAnsi="Arial"/>
                <w:sz w:val="17"/>
                <w:szCs w:val="17"/>
                <w:color w:val="auto"/>
              </w:rPr>
              <w:t>31 %</w:t>
            </w:r>
          </w:p>
        </w:tc>
        <w:tc>
          <w:tcPr>
            <w:tcW w:w="19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consignment revenue as a % of total cost of revenue</w:t>
            </w:r>
          </w:p>
        </w:tc>
        <w:tc>
          <w:tcPr>
            <w:tcW w:w="1720" w:type="dxa"/>
            <w:vAlign w:val="bottom"/>
            <w:shd w:val="clear" w:color="auto" w:fill="CCEEFF"/>
          </w:tcPr>
          <w:p>
            <w:pPr>
              <w:jc w:val="right"/>
              <w:ind w:right="597"/>
              <w:spacing w:after="0"/>
              <w:rPr>
                <w:sz w:val="20"/>
                <w:szCs w:val="20"/>
                <w:color w:val="auto"/>
              </w:rPr>
            </w:pPr>
            <w:r>
              <w:rPr>
                <w:rFonts w:ascii="Arial" w:cs="Arial" w:eastAsia="Arial" w:hAnsi="Arial"/>
                <w:sz w:val="17"/>
                <w:szCs w:val="17"/>
                <w:color w:val="auto"/>
              </w:rPr>
              <w:t>19 %</w:t>
            </w:r>
          </w:p>
        </w:tc>
        <w:tc>
          <w:tcPr>
            <w:tcW w:w="2520" w:type="dxa"/>
            <w:vAlign w:val="bottom"/>
            <w:shd w:val="clear" w:color="auto" w:fill="CCEEFF"/>
          </w:tcPr>
          <w:p>
            <w:pPr>
              <w:jc w:val="right"/>
              <w:ind w:right="1377"/>
              <w:spacing w:after="0"/>
              <w:rPr>
                <w:sz w:val="20"/>
                <w:szCs w:val="20"/>
                <w:color w:val="auto"/>
              </w:rPr>
            </w:pPr>
            <w:r>
              <w:rPr>
                <w:rFonts w:ascii="Arial" w:cs="Arial" w:eastAsia="Arial" w:hAnsi="Arial"/>
                <w:sz w:val="17"/>
                <w:szCs w:val="17"/>
                <w:color w:val="auto"/>
              </w:rPr>
              <w:t>44 %</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r>
      <w:tr>
        <w:trPr>
          <w:trHeight w:val="222"/>
        </w:trPr>
        <w:tc>
          <w:tcPr>
            <w:tcW w:w="5100" w:type="dxa"/>
            <w:vAlign w:val="bottom"/>
          </w:tcPr>
          <w:p>
            <w:pPr>
              <w:ind w:left="20"/>
              <w:spacing w:after="0"/>
              <w:rPr>
                <w:sz w:val="20"/>
                <w:szCs w:val="20"/>
                <w:color w:val="auto"/>
              </w:rPr>
            </w:pPr>
            <w:r>
              <w:rPr>
                <w:rFonts w:ascii="Arial" w:cs="Arial" w:eastAsia="Arial" w:hAnsi="Arial"/>
                <w:sz w:val="17"/>
                <w:szCs w:val="17"/>
                <w:color w:val="auto"/>
              </w:rPr>
              <w:t>Cost of product revenue as a % of total cost of revenue</w:t>
            </w:r>
          </w:p>
        </w:tc>
        <w:tc>
          <w:tcPr>
            <w:tcW w:w="1720" w:type="dxa"/>
            <w:vAlign w:val="bottom"/>
          </w:tcPr>
          <w:p>
            <w:pPr>
              <w:jc w:val="right"/>
              <w:ind w:right="597"/>
              <w:spacing w:after="0"/>
              <w:rPr>
                <w:sz w:val="20"/>
                <w:szCs w:val="20"/>
                <w:color w:val="auto"/>
              </w:rPr>
            </w:pPr>
            <w:r>
              <w:rPr>
                <w:rFonts w:ascii="Arial" w:cs="Arial" w:eastAsia="Arial" w:hAnsi="Arial"/>
                <w:sz w:val="17"/>
                <w:szCs w:val="17"/>
                <w:color w:val="auto"/>
              </w:rPr>
              <w:t>81 %</w:t>
            </w:r>
          </w:p>
        </w:tc>
        <w:tc>
          <w:tcPr>
            <w:tcW w:w="2520" w:type="dxa"/>
            <w:vAlign w:val="bottom"/>
          </w:tcPr>
          <w:p>
            <w:pPr>
              <w:jc w:val="right"/>
              <w:ind w:right="1377"/>
              <w:spacing w:after="0"/>
              <w:rPr>
                <w:sz w:val="20"/>
                <w:szCs w:val="20"/>
                <w:color w:val="auto"/>
              </w:rPr>
            </w:pPr>
            <w:r>
              <w:rPr>
                <w:rFonts w:ascii="Arial" w:cs="Arial" w:eastAsia="Arial" w:hAnsi="Arial"/>
                <w:sz w:val="17"/>
                <w:szCs w:val="17"/>
                <w:color w:val="auto"/>
              </w:rPr>
              <w:t>56 %</w:t>
            </w:r>
          </w:p>
        </w:tc>
        <w:tc>
          <w:tcPr>
            <w:tcW w:w="1900" w:type="dxa"/>
            <w:vAlign w:val="bottom"/>
          </w:tcPr>
          <w:p>
            <w:pPr>
              <w:jc w:val="right"/>
              <w:spacing w:after="0"/>
              <w:rPr>
                <w:sz w:val="20"/>
                <w:szCs w:val="20"/>
                <w:color w:val="auto"/>
              </w:rPr>
            </w:pPr>
            <w:r>
              <w:rPr>
                <w:rFonts w:ascii="Arial" w:cs="Arial" w:eastAsia="Arial" w:hAnsi="Arial"/>
                <w:sz w:val="17"/>
                <w:szCs w:val="17"/>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6"/>
          <w:szCs w:val="16"/>
          <w:color w:val="auto"/>
        </w:rPr>
        <w:t>The 9% improvement in the total cost of revenue as a percentage of total revenue, from 40% to 31%, was primarily attributable to the mix shift from product to consignment sales, because consignment sales have a higher gross margin profile than product sales. Additionally, we gained cost efficiencies in outbound direct labor and packaging as we were able to leverage these costs over a larger volume of Orders, which grew 34% over the same period.</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Cost of Consignment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3580" w:type="dxa"/>
            <w:vAlign w:val="bottom"/>
            <w:gridSpan w:val="5"/>
          </w:tcPr>
          <w:p>
            <w:pPr>
              <w:ind w:left="9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15"/>
                <w:szCs w:val="15"/>
                <w:color w:val="auto"/>
              </w:rPr>
            </w:pPr>
          </w:p>
        </w:tc>
        <w:tc>
          <w:tcPr>
            <w:tcW w:w="1820" w:type="dxa"/>
            <w:vAlign w:val="bottom"/>
          </w:tcPr>
          <w:p>
            <w:pPr>
              <w:jc w:val="right"/>
              <w:ind w:right="188"/>
              <w:spacing w:after="0"/>
              <w:rPr>
                <w:sz w:val="20"/>
                <w:szCs w:val="20"/>
                <w:color w:val="auto"/>
              </w:rPr>
            </w:pPr>
            <w:r>
              <w:rPr>
                <w:rFonts w:ascii="Arial" w:cs="Arial" w:eastAsia="Arial" w:hAnsi="Arial"/>
                <w:sz w:val="13"/>
                <w:szCs w:val="13"/>
                <w:b w:val="1"/>
                <w:bCs w:val="1"/>
                <w:color w:val="auto"/>
              </w:rPr>
              <w:t>Change</w:t>
            </w:r>
          </w:p>
        </w:tc>
        <w:tc>
          <w:tcPr>
            <w:tcW w:w="1120" w:type="dxa"/>
            <w:vAlign w:val="bottom"/>
          </w:tcPr>
          <w:p>
            <w:pPr>
              <w:spacing w:after="0"/>
              <w:rPr>
                <w:sz w:val="15"/>
                <w:szCs w:val="15"/>
                <w:color w:val="auto"/>
              </w:rPr>
            </w:pPr>
          </w:p>
        </w:tc>
      </w:tr>
      <w:tr>
        <w:trPr>
          <w:trHeight w:val="167"/>
        </w:trPr>
        <w:tc>
          <w:tcPr>
            <w:tcW w:w="44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7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1048"/>
              <w:spacing w:after="0"/>
              <w:rPr>
                <w:sz w:val="20"/>
                <w:szCs w:val="20"/>
                <w:color w:val="auto"/>
              </w:rPr>
            </w:pPr>
            <w:r>
              <w:rPr>
                <w:rFonts w:ascii="Arial" w:cs="Arial" w:eastAsia="Arial" w:hAnsi="Arial"/>
                <w:sz w:val="13"/>
                <w:szCs w:val="13"/>
                <w:b w:val="1"/>
                <w:bCs w:val="1"/>
                <w:color w:val="auto"/>
              </w:rPr>
              <w:t>Amount</w:t>
            </w:r>
          </w:p>
        </w:tc>
        <w:tc>
          <w:tcPr>
            <w:tcW w:w="112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w:t>
            </w:r>
          </w:p>
        </w:tc>
      </w:tr>
      <w:tr>
        <w:trPr>
          <w:trHeight w:val="167"/>
        </w:trPr>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40" w:type="dxa"/>
            <w:vAlign w:val="bottom"/>
            <w:gridSpan w:val="4"/>
          </w:tcPr>
          <w:p>
            <w:pPr>
              <w:jc w:val="right"/>
              <w:ind w:right="1108"/>
              <w:spacing w:after="0"/>
              <w:rPr>
                <w:sz w:val="20"/>
                <w:szCs w:val="20"/>
                <w:color w:val="auto"/>
              </w:rPr>
            </w:pPr>
            <w:r>
              <w:rPr>
                <w:rFonts w:ascii="Arial" w:cs="Arial" w:eastAsia="Arial" w:hAnsi="Arial"/>
                <w:sz w:val="13"/>
                <w:szCs w:val="13"/>
                <w:b w:val="1"/>
                <w:bCs w:val="1"/>
                <w:color w:val="auto"/>
              </w:rPr>
              <w:t>(in thousands, except percentages)</w:t>
            </w:r>
          </w:p>
        </w:tc>
        <w:tc>
          <w:tcPr>
            <w:tcW w:w="1120" w:type="dxa"/>
            <w:vAlign w:val="bottom"/>
          </w:tcPr>
          <w:p>
            <w:pPr>
              <w:spacing w:after="0"/>
              <w:rPr>
                <w:sz w:val="14"/>
                <w:szCs w:val="14"/>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consignment revenue</w:t>
            </w: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98"/>
              </w:rPr>
              <w:t>9,978</w:t>
            </w:r>
          </w:p>
        </w:tc>
        <w:tc>
          <w:tcPr>
            <w:tcW w:w="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224"/>
              <w:spacing w:after="0"/>
              <w:rPr>
                <w:sz w:val="20"/>
                <w:szCs w:val="20"/>
                <w:color w:val="auto"/>
              </w:rPr>
            </w:pPr>
            <w:r>
              <w:rPr>
                <w:rFonts w:ascii="Arial" w:cs="Arial" w:eastAsia="Arial" w:hAnsi="Arial"/>
                <w:sz w:val="17"/>
                <w:szCs w:val="17"/>
                <w:color w:val="auto"/>
              </w:rPr>
              <w:t>22,764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ind w:right="608"/>
              <w:spacing w:after="0"/>
              <w:rPr>
                <w:sz w:val="20"/>
                <w:szCs w:val="20"/>
                <w:color w:val="auto"/>
              </w:rPr>
            </w:pPr>
            <w:r>
              <w:rPr>
                <w:rFonts w:ascii="Arial" w:cs="Arial" w:eastAsia="Arial" w:hAnsi="Arial"/>
                <w:sz w:val="17"/>
                <w:szCs w:val="17"/>
                <w:color w:val="auto"/>
              </w:rPr>
              <w:t>12,786</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128 %</w:t>
            </w:r>
          </w:p>
        </w:tc>
      </w:tr>
      <w:tr>
        <w:trPr>
          <w:trHeight w:val="212"/>
        </w:trPr>
        <w:tc>
          <w:tcPr>
            <w:tcW w:w="4400" w:type="dxa"/>
            <w:vAlign w:val="bottom"/>
          </w:tcPr>
          <w:p>
            <w:pPr>
              <w:ind w:left="20"/>
              <w:spacing w:after="0"/>
              <w:rPr>
                <w:sz w:val="20"/>
                <w:szCs w:val="20"/>
                <w:color w:val="auto"/>
              </w:rPr>
            </w:pPr>
            <w:r>
              <w:rPr>
                <w:rFonts w:ascii="Arial" w:cs="Arial" w:eastAsia="Arial" w:hAnsi="Arial"/>
                <w:sz w:val="17"/>
                <w:szCs w:val="17"/>
                <w:color w:val="auto"/>
              </w:rPr>
              <w:t>As a percent of consignment revenue</w:t>
            </w: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25 %</w:t>
            </w:r>
          </w:p>
        </w:tc>
        <w:tc>
          <w:tcPr>
            <w:tcW w:w="380" w:type="dxa"/>
            <w:vAlign w:val="bottom"/>
          </w:tcPr>
          <w:p>
            <w:pPr>
              <w:spacing w:after="0"/>
              <w:rPr>
                <w:sz w:val="18"/>
                <w:szCs w:val="18"/>
                <w:color w:val="auto"/>
              </w:rPr>
            </w:pPr>
          </w:p>
        </w:tc>
        <w:tc>
          <w:tcPr>
            <w:tcW w:w="1420" w:type="dxa"/>
            <w:vAlign w:val="bottom"/>
          </w:tcPr>
          <w:p>
            <w:pPr>
              <w:jc w:val="right"/>
              <w:ind w:right="24"/>
              <w:spacing w:after="0"/>
              <w:rPr>
                <w:sz w:val="20"/>
                <w:szCs w:val="20"/>
                <w:color w:val="auto"/>
              </w:rPr>
            </w:pPr>
            <w:r>
              <w:rPr>
                <w:rFonts w:ascii="Arial" w:cs="Arial" w:eastAsia="Arial" w:hAnsi="Arial"/>
                <w:sz w:val="17"/>
                <w:szCs w:val="17"/>
                <w:color w:val="auto"/>
              </w:rPr>
              <w:t>23 %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Consignment gross margin</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77 %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r>
    </w:tbl>
    <w:p>
      <w:pPr>
        <w:spacing w:after="0" w:line="12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128% increase in the cost of consignment revenue compared to the prior year was primarily driven by the increase in consignment revenue, which resulted in increases to the costs listed in the below table. At the same time, our consignment gross margin improved from 75% to 77% as a result of our ability to drive leverage in outbound direct labor and packaging.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23"/>
              <w:spacing w:after="0"/>
              <w:rPr>
                <w:sz w:val="20"/>
                <w:szCs w:val="20"/>
                <w:color w:val="auto"/>
              </w:rPr>
            </w:pPr>
            <w:r>
              <w:rPr>
                <w:rFonts w:ascii="Arial" w:cs="Arial" w:eastAsia="Arial" w:hAnsi="Arial"/>
                <w:sz w:val="13"/>
                <w:szCs w:val="13"/>
                <w:b w:val="1"/>
                <w:bCs w:val="1"/>
                <w:color w:val="auto"/>
              </w:rPr>
              <w:t>Change from 2018 to</w:t>
            </w:r>
          </w:p>
        </w:tc>
      </w:tr>
      <w:tr>
        <w:trPr>
          <w:trHeight w:val="162"/>
        </w:trPr>
        <w:tc>
          <w:tcPr>
            <w:tcW w:w="9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6"/>
              </w:rPr>
              <w:t>2019</w:t>
            </w:r>
          </w:p>
        </w:tc>
      </w:tr>
      <w:tr>
        <w:trPr>
          <w:trHeight w:val="167"/>
        </w:trPr>
        <w:tc>
          <w:tcPr>
            <w:tcW w:w="9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23"/>
              <w:spacing w:after="0"/>
              <w:rPr>
                <w:sz w:val="20"/>
                <w:szCs w:val="20"/>
                <w:color w:val="auto"/>
              </w:rPr>
            </w:pPr>
            <w:r>
              <w:rPr>
                <w:rFonts w:ascii="Arial" w:cs="Arial" w:eastAsia="Arial" w:hAnsi="Arial"/>
                <w:sz w:val="13"/>
                <w:szCs w:val="13"/>
                <w:b w:val="1"/>
                <w:bCs w:val="1"/>
                <w:color w:val="auto"/>
              </w:rPr>
              <w:t>(in thousands)</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Outbound shipping</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9,949</w:t>
            </w:r>
          </w:p>
        </w:tc>
      </w:tr>
      <w:tr>
        <w:trPr>
          <w:trHeight w:val="212"/>
        </w:trPr>
        <w:tc>
          <w:tcPr>
            <w:tcW w:w="9660" w:type="dxa"/>
            <w:vAlign w:val="bottom"/>
          </w:tcPr>
          <w:p>
            <w:pPr>
              <w:ind w:left="20"/>
              <w:spacing w:after="0"/>
              <w:rPr>
                <w:sz w:val="20"/>
                <w:szCs w:val="20"/>
                <w:color w:val="auto"/>
              </w:rPr>
            </w:pPr>
            <w:r>
              <w:rPr>
                <w:rFonts w:ascii="Arial" w:cs="Arial" w:eastAsia="Arial" w:hAnsi="Arial"/>
                <w:sz w:val="17"/>
                <w:szCs w:val="17"/>
                <w:color w:val="auto"/>
              </w:rPr>
              <w:t>Packaging</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1,875</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 labor</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r>
      <w:tr>
        <w:trPr>
          <w:trHeight w:val="212"/>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w:t>
            </w: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increase in consignment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Cost of Product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0" w:type="dxa"/>
            <w:vAlign w:val="bottom"/>
            <w:gridSpan w:val="4"/>
          </w:tcPr>
          <w:p>
            <w:pPr>
              <w:ind w:left="54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Pr>
          <w:p>
            <w:pPr>
              <w:spacing w:after="0"/>
              <w:rPr>
                <w:sz w:val="15"/>
                <w:szCs w:val="15"/>
                <w:color w:val="auto"/>
              </w:rPr>
            </w:pPr>
          </w:p>
        </w:tc>
        <w:tc>
          <w:tcPr>
            <w:tcW w:w="1820" w:type="dxa"/>
            <w:vAlign w:val="bottom"/>
          </w:tcPr>
          <w:p>
            <w:pPr>
              <w:jc w:val="right"/>
              <w:ind w:right="168"/>
              <w:spacing w:after="0"/>
              <w:rPr>
                <w:sz w:val="20"/>
                <w:szCs w:val="20"/>
                <w:color w:val="auto"/>
              </w:rPr>
            </w:pPr>
            <w:r>
              <w:rPr>
                <w:rFonts w:ascii="Arial" w:cs="Arial" w:eastAsia="Arial" w:hAnsi="Arial"/>
                <w:sz w:val="13"/>
                <w:szCs w:val="13"/>
                <w:b w:val="1"/>
                <w:bCs w:val="1"/>
                <w:color w:val="auto"/>
              </w:rPr>
              <w:t>Change</w:t>
            </w:r>
          </w:p>
        </w:tc>
        <w:tc>
          <w:tcPr>
            <w:tcW w:w="1140" w:type="dxa"/>
            <w:vAlign w:val="bottom"/>
          </w:tcPr>
          <w:p>
            <w:pPr>
              <w:spacing w:after="0"/>
              <w:rPr>
                <w:sz w:val="15"/>
                <w:szCs w:val="15"/>
                <w:color w:val="auto"/>
              </w:rPr>
            </w:pPr>
          </w:p>
        </w:tc>
      </w:tr>
      <w:tr>
        <w:trPr>
          <w:trHeight w:val="167"/>
        </w:trPr>
        <w:tc>
          <w:tcPr>
            <w:tcW w:w="43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3"/>
                <w:szCs w:val="13"/>
                <w:b w:val="1"/>
                <w:bCs w:val="1"/>
                <w:color w:val="auto"/>
              </w:rPr>
              <w:t>2018</w:t>
            </w:r>
          </w:p>
        </w:tc>
        <w:tc>
          <w:tcPr>
            <w:tcW w:w="3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1028"/>
              <w:spacing w:after="0"/>
              <w:rPr>
                <w:sz w:val="20"/>
                <w:szCs w:val="20"/>
                <w:color w:val="auto"/>
              </w:rPr>
            </w:pPr>
            <w:r>
              <w:rPr>
                <w:rFonts w:ascii="Arial" w:cs="Arial" w:eastAsia="Arial" w:hAnsi="Arial"/>
                <w:sz w:val="13"/>
                <w:szCs w:val="13"/>
                <w:b w:val="1"/>
                <w:bCs w:val="1"/>
                <w:color w:val="auto"/>
              </w:rPr>
              <w:t>Amount</w:t>
            </w:r>
          </w:p>
        </w:tc>
        <w:tc>
          <w:tcPr>
            <w:tcW w:w="11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w:t>
            </w:r>
          </w:p>
        </w:tc>
      </w:tr>
      <w:tr>
        <w:trPr>
          <w:trHeight w:val="167"/>
        </w:trPr>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20" w:type="dxa"/>
            <w:vAlign w:val="bottom"/>
            <w:gridSpan w:val="4"/>
          </w:tcPr>
          <w:p>
            <w:pPr>
              <w:jc w:val="right"/>
              <w:ind w:right="1108"/>
              <w:spacing w:after="0"/>
              <w:rPr>
                <w:sz w:val="20"/>
                <w:szCs w:val="20"/>
                <w:color w:val="auto"/>
              </w:rPr>
            </w:pPr>
            <w:r>
              <w:rPr>
                <w:rFonts w:ascii="Arial" w:cs="Arial" w:eastAsia="Arial" w:hAnsi="Arial"/>
                <w:sz w:val="13"/>
                <w:szCs w:val="13"/>
                <w:b w:val="1"/>
                <w:bCs w:val="1"/>
                <w:color w:val="auto"/>
              </w:rPr>
              <w:t>(in thousands, except percentages)</w:t>
            </w:r>
          </w:p>
        </w:tc>
        <w:tc>
          <w:tcPr>
            <w:tcW w:w="1140" w:type="dxa"/>
            <w:vAlign w:val="bottom"/>
          </w:tcPr>
          <w:p>
            <w:pPr>
              <w:spacing w:after="0"/>
              <w:rPr>
                <w:sz w:val="14"/>
                <w:szCs w:val="14"/>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product revenue</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204"/>
              <w:spacing w:after="0"/>
              <w:rPr>
                <w:sz w:val="20"/>
                <w:szCs w:val="20"/>
                <w:color w:val="auto"/>
              </w:rPr>
            </w:pPr>
            <w:r>
              <w:rPr>
                <w:rFonts w:ascii="Arial" w:cs="Arial" w:eastAsia="Arial" w:hAnsi="Arial"/>
                <w:sz w:val="17"/>
                <w:szCs w:val="17"/>
                <w:color w:val="auto"/>
              </w:rPr>
              <w:t>41,563</w:t>
            </w:r>
          </w:p>
        </w:tc>
        <w:tc>
          <w:tcPr>
            <w:tcW w:w="3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224"/>
              <w:spacing w:after="0"/>
              <w:rPr>
                <w:sz w:val="20"/>
                <w:szCs w:val="20"/>
                <w:color w:val="auto"/>
              </w:rPr>
            </w:pPr>
            <w:r>
              <w:rPr>
                <w:rFonts w:ascii="Arial" w:cs="Arial" w:eastAsia="Arial" w:hAnsi="Arial"/>
                <w:sz w:val="17"/>
                <w:szCs w:val="17"/>
                <w:color w:val="auto"/>
              </w:rPr>
              <w:t>28,544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ind w:right="548"/>
              <w:spacing w:after="0"/>
              <w:rPr>
                <w:sz w:val="20"/>
                <w:szCs w:val="20"/>
                <w:color w:val="auto"/>
              </w:rPr>
            </w:pPr>
            <w:r>
              <w:rPr>
                <w:rFonts w:ascii="Arial" w:cs="Arial" w:eastAsia="Arial" w:hAnsi="Arial"/>
                <w:sz w:val="17"/>
                <w:szCs w:val="17"/>
                <w:color w:val="auto"/>
              </w:rPr>
              <w:t>(13,019)</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2"/>
        </w:trPr>
        <w:tc>
          <w:tcPr>
            <w:tcW w:w="4380" w:type="dxa"/>
            <w:vAlign w:val="bottom"/>
          </w:tcPr>
          <w:p>
            <w:pPr>
              <w:ind w:left="20"/>
              <w:spacing w:after="0"/>
              <w:rPr>
                <w:sz w:val="20"/>
                <w:szCs w:val="20"/>
                <w:color w:val="auto"/>
              </w:rPr>
            </w:pPr>
            <w:r>
              <w:rPr>
                <w:rFonts w:ascii="Arial" w:cs="Arial" w:eastAsia="Arial" w:hAnsi="Arial"/>
                <w:sz w:val="17"/>
                <w:szCs w:val="17"/>
                <w:color w:val="auto"/>
              </w:rPr>
              <w:t>As a percent of product revenue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46 %</w:t>
            </w:r>
          </w:p>
        </w:tc>
        <w:tc>
          <w:tcPr>
            <w:tcW w:w="380" w:type="dxa"/>
            <w:vAlign w:val="bottom"/>
          </w:tcPr>
          <w:p>
            <w:pPr>
              <w:spacing w:after="0"/>
              <w:rPr>
                <w:sz w:val="18"/>
                <w:szCs w:val="18"/>
                <w:color w:val="auto"/>
              </w:rPr>
            </w:pPr>
          </w:p>
        </w:tc>
        <w:tc>
          <w:tcPr>
            <w:tcW w:w="1400" w:type="dxa"/>
            <w:vAlign w:val="bottom"/>
          </w:tcPr>
          <w:p>
            <w:pPr>
              <w:jc w:val="right"/>
              <w:ind w:right="24"/>
              <w:spacing w:after="0"/>
              <w:rPr>
                <w:sz w:val="20"/>
                <w:szCs w:val="20"/>
                <w:color w:val="auto"/>
              </w:rPr>
            </w:pPr>
            <w:r>
              <w:rPr>
                <w:rFonts w:ascii="Arial" w:cs="Arial" w:eastAsia="Arial" w:hAnsi="Arial"/>
                <w:sz w:val="17"/>
                <w:szCs w:val="17"/>
                <w:color w:val="auto"/>
              </w:rPr>
              <w:t>43 %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gross margin</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57 %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r>
    </w:tbl>
    <w:p>
      <w:pPr>
        <w:spacing w:after="0" w:line="12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31% decrease in the cost of product revenue compared to the prior year was primarily driven by the decrease in product revenue, which resulted in decreases to the costs listed in the below table. Product gross margin improved from 54% to 57% as a result of our ability to drive leverage in outbound direct labor and packaging.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23"/>
              <w:spacing w:after="0"/>
              <w:rPr>
                <w:sz w:val="20"/>
                <w:szCs w:val="20"/>
                <w:color w:val="auto"/>
              </w:rPr>
            </w:pPr>
            <w:r>
              <w:rPr>
                <w:rFonts w:ascii="Arial" w:cs="Arial" w:eastAsia="Arial" w:hAnsi="Arial"/>
                <w:sz w:val="13"/>
                <w:szCs w:val="13"/>
                <w:b w:val="1"/>
                <w:bCs w:val="1"/>
                <w:color w:val="auto"/>
              </w:rPr>
              <w:t>Change from 2018 to</w:t>
            </w:r>
          </w:p>
        </w:tc>
      </w:tr>
      <w:tr>
        <w:trPr>
          <w:trHeight w:val="162"/>
        </w:trPr>
        <w:tc>
          <w:tcPr>
            <w:tcW w:w="9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6"/>
              </w:rPr>
              <w:t>2019</w:t>
            </w:r>
          </w:p>
        </w:tc>
      </w:tr>
      <w:tr>
        <w:trPr>
          <w:trHeight w:val="167"/>
        </w:trPr>
        <w:tc>
          <w:tcPr>
            <w:tcW w:w="9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23"/>
              <w:spacing w:after="0"/>
              <w:rPr>
                <w:sz w:val="20"/>
                <w:szCs w:val="20"/>
                <w:color w:val="auto"/>
              </w:rPr>
            </w:pPr>
            <w:r>
              <w:rPr>
                <w:rFonts w:ascii="Arial" w:cs="Arial" w:eastAsia="Arial" w:hAnsi="Arial"/>
                <w:sz w:val="13"/>
                <w:szCs w:val="13"/>
                <w:b w:val="1"/>
                <w:bCs w:val="1"/>
                <w:color w:val="auto"/>
              </w:rPr>
              <w:t>(in thousands)</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Outbound shipping</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w:t>
            </w:r>
          </w:p>
        </w:tc>
      </w:tr>
      <w:tr>
        <w:trPr>
          <w:trHeight w:val="212"/>
        </w:trPr>
        <w:tc>
          <w:tcPr>
            <w:tcW w:w="9660" w:type="dxa"/>
            <w:vAlign w:val="bottom"/>
          </w:tcPr>
          <w:p>
            <w:pPr>
              <w:ind w:left="20"/>
              <w:spacing w:after="0"/>
              <w:rPr>
                <w:sz w:val="20"/>
                <w:szCs w:val="20"/>
                <w:color w:val="auto"/>
              </w:rPr>
            </w:pPr>
            <w:r>
              <w:rPr>
                <w:rFonts w:ascii="Arial" w:cs="Arial" w:eastAsia="Arial" w:hAnsi="Arial"/>
                <w:sz w:val="17"/>
                <w:szCs w:val="17"/>
                <w:color w:val="auto"/>
              </w:rPr>
              <w:t>Packing</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(1,709)</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 labor</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(2,552)</w:t>
            </w:r>
          </w:p>
        </w:tc>
      </w:tr>
      <w:tr>
        <w:trPr>
          <w:trHeight w:val="212"/>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Inventory costs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(6,496)</w:t>
            </w: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decrease in product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6"/>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15"/>
                <w:szCs w:val="15"/>
                <w:color w:val="auto"/>
              </w:rPr>
            </w:pPr>
          </w:p>
        </w:tc>
        <w:tc>
          <w:tcPr>
            <w:tcW w:w="1840" w:type="dxa"/>
            <w:vAlign w:val="bottom"/>
            <w:gridSpan w:val="2"/>
          </w:tcPr>
          <w:p>
            <w:pPr>
              <w:ind w:left="1100"/>
              <w:spacing w:after="0"/>
              <w:rPr>
                <w:sz w:val="20"/>
                <w:szCs w:val="20"/>
                <w:color w:val="auto"/>
              </w:rPr>
            </w:pPr>
            <w:r>
              <w:rPr>
                <w:rFonts w:ascii="Arial" w:cs="Arial" w:eastAsia="Arial" w:hAnsi="Arial"/>
                <w:sz w:val="13"/>
                <w:szCs w:val="13"/>
                <w:b w:val="1"/>
                <w:bCs w:val="1"/>
                <w:color w:val="auto"/>
              </w:rPr>
              <w:t>Change</w:t>
            </w:r>
          </w:p>
        </w:tc>
        <w:tc>
          <w:tcPr>
            <w:tcW w:w="1160" w:type="dxa"/>
            <w:vAlign w:val="bottom"/>
          </w:tcPr>
          <w:p>
            <w:pPr>
              <w:spacing w:after="0"/>
              <w:rPr>
                <w:sz w:val="15"/>
                <w:szCs w:val="15"/>
                <w:color w:val="auto"/>
              </w:rPr>
            </w:pPr>
          </w:p>
        </w:tc>
      </w:tr>
      <w:tr>
        <w:trPr>
          <w:trHeight w:val="167"/>
        </w:trPr>
        <w:tc>
          <w:tcPr>
            <w:tcW w:w="45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Amount</w:t>
            </w:r>
          </w:p>
        </w:tc>
        <w:tc>
          <w:tcPr>
            <w:tcW w:w="1160" w:type="dxa"/>
            <w:vAlign w:val="bottom"/>
            <w:tcBorders>
              <w:top w:val="single" w:sz="8" w:color="auto"/>
              <w:bottom w:val="single" w:sz="8" w:color="auto"/>
            </w:tcBorders>
          </w:tcPr>
          <w:p>
            <w:pPr>
              <w:jc w:val="right"/>
              <w:ind w:right="700"/>
              <w:spacing w:after="0"/>
              <w:rPr>
                <w:sz w:val="20"/>
                <w:szCs w:val="20"/>
                <w:color w:val="auto"/>
              </w:rPr>
            </w:pPr>
            <w:r>
              <w:rPr>
                <w:rFonts w:ascii="Arial" w:cs="Arial" w:eastAsia="Arial" w:hAnsi="Arial"/>
                <w:sz w:val="13"/>
                <w:szCs w:val="13"/>
                <w:b w:val="1"/>
                <w:bCs w:val="1"/>
                <w:color w:val="auto"/>
              </w:rPr>
              <w:t>%</w:t>
            </w:r>
          </w:p>
        </w:tc>
      </w:tr>
      <w:tr>
        <w:trPr>
          <w:trHeight w:val="167"/>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40" w:type="dxa"/>
            <w:vAlign w:val="bottom"/>
            <w:gridSpan w:val="6"/>
          </w:tcPr>
          <w:p>
            <w:pPr>
              <w:ind w:left="240"/>
              <w:spacing w:after="0"/>
              <w:rPr>
                <w:sz w:val="20"/>
                <w:szCs w:val="20"/>
                <w:color w:val="auto"/>
              </w:rPr>
            </w:pPr>
            <w:r>
              <w:rPr>
                <w:rFonts w:ascii="Arial" w:cs="Arial" w:eastAsia="Arial" w:hAnsi="Arial"/>
                <w:sz w:val="13"/>
                <w:szCs w:val="13"/>
                <w:b w:val="1"/>
                <w:bCs w:val="1"/>
                <w:color w:val="auto"/>
              </w:rPr>
              <w:t>(in thousands, except percentages)</w:t>
            </w:r>
          </w:p>
        </w:tc>
        <w:tc>
          <w:tcPr>
            <w:tcW w:w="1160" w:type="dxa"/>
            <w:vAlign w:val="bottom"/>
          </w:tcPr>
          <w:p>
            <w:pPr>
              <w:spacing w:after="0"/>
              <w:rPr>
                <w:sz w:val="14"/>
                <w:szCs w:val="14"/>
                <w:color w:val="auto"/>
              </w:rPr>
            </w:pPr>
          </w:p>
        </w:tc>
      </w:tr>
      <w:tr>
        <w:trPr>
          <w:trHeight w:val="212"/>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Operations, product and technology</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67,896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82,078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14,182</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12"/>
        </w:trPr>
        <w:tc>
          <w:tcPr>
            <w:tcW w:w="4540" w:type="dxa"/>
            <w:vAlign w:val="bottom"/>
          </w:tcPr>
          <w:p>
            <w:pPr>
              <w:ind w:left="20"/>
              <w:spacing w:after="0"/>
              <w:rPr>
                <w:sz w:val="20"/>
                <w:szCs w:val="20"/>
                <w:color w:val="auto"/>
              </w:rPr>
            </w:pPr>
            <w:r>
              <w:rPr>
                <w:rFonts w:ascii="Arial" w:cs="Arial" w:eastAsia="Arial" w:hAnsi="Arial"/>
                <w:sz w:val="17"/>
                <w:szCs w:val="17"/>
                <w:color w:val="auto"/>
              </w:rPr>
              <w:t>Marketing</w:t>
            </w:r>
          </w:p>
        </w:tc>
        <w:tc>
          <w:tcPr>
            <w:tcW w:w="38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7"/>
                <w:szCs w:val="17"/>
                <w:color w:val="auto"/>
              </w:rPr>
              <w:t>27,235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7"/>
                <w:szCs w:val="17"/>
                <w:color w:val="auto"/>
              </w:rPr>
              <w:t>44,980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17,745</w:t>
            </w:r>
          </w:p>
        </w:tc>
        <w:tc>
          <w:tcPr>
            <w:tcW w:w="6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65 %</w:t>
            </w:r>
          </w:p>
        </w:tc>
      </w:tr>
      <w:tr>
        <w:trPr>
          <w:trHeight w:val="212"/>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17,135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22,253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5,118</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r>
      <w:tr>
        <w:trPr>
          <w:trHeight w:val="215"/>
        </w:trPr>
        <w:tc>
          <w:tcPr>
            <w:tcW w:w="454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
              <w:spacing w:after="0"/>
              <w:rPr>
                <w:sz w:val="20"/>
                <w:szCs w:val="20"/>
                <w:color w:val="auto"/>
              </w:rPr>
            </w:pPr>
            <w:r>
              <w:rPr>
                <w:rFonts w:ascii="Arial" w:cs="Arial" w:eastAsia="Arial" w:hAnsi="Arial"/>
                <w:sz w:val="17"/>
                <w:szCs w:val="17"/>
                <w:color w:val="auto"/>
              </w:rPr>
              <w:t>112,266</w:t>
            </w:r>
          </w:p>
        </w:tc>
        <w:tc>
          <w:tcPr>
            <w:tcW w:w="80" w:type="dxa"/>
            <w:vAlign w:val="bottom"/>
          </w:tcPr>
          <w:p>
            <w:pPr>
              <w:spacing w:after="0"/>
              <w:rPr>
                <w:sz w:val="18"/>
                <w:szCs w:val="18"/>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
              <w:spacing w:after="0"/>
              <w:rPr>
                <w:sz w:val="20"/>
                <w:szCs w:val="20"/>
                <w:color w:val="auto"/>
              </w:rPr>
            </w:pPr>
            <w:r>
              <w:rPr>
                <w:rFonts w:ascii="Arial" w:cs="Arial" w:eastAsia="Arial" w:hAnsi="Arial"/>
                <w:sz w:val="17"/>
                <w:szCs w:val="17"/>
                <w:color w:val="auto"/>
              </w:rPr>
              <w:t>149,311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37,045</w:t>
            </w:r>
          </w:p>
        </w:tc>
        <w:tc>
          <w:tcPr>
            <w:tcW w:w="6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33 %</w:t>
            </w:r>
          </w:p>
        </w:tc>
      </w:tr>
    </w:tbl>
    <w:p>
      <w:pPr>
        <w:spacing w:after="0" w:line="118"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Operating expenses grew 33%, compared to 44% gross profit growth in the same period. We compared operating expense growth to gross profit growth as a measure of our operating leverage given the shift in revenue mix towards primarily consignment in mid-2019. Results by operating expenses line item are discussed below.</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Operations, Product and Technology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58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Change from 2018 to</w:t>
            </w:r>
          </w:p>
        </w:tc>
        <w:tc>
          <w:tcPr>
            <w:tcW w:w="80" w:type="dxa"/>
            <w:vAlign w:val="bottom"/>
          </w:tcPr>
          <w:p>
            <w:pPr>
              <w:spacing w:after="0"/>
              <w:rPr>
                <w:sz w:val="13"/>
                <w:szCs w:val="13"/>
                <w:color w:val="auto"/>
              </w:rPr>
            </w:pPr>
          </w:p>
        </w:tc>
        <w:tc>
          <w:tcPr>
            <w:tcW w:w="6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Explanation of change</w:t>
            </w:r>
          </w:p>
        </w:tc>
        <w:tc>
          <w:tcPr>
            <w:tcW w:w="0" w:type="dxa"/>
            <w:vAlign w:val="bottom"/>
          </w:tcPr>
          <w:p>
            <w:pPr>
              <w:spacing w:after="0"/>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2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Personnel-related costs</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781"/>
              <w:spacing w:after="0" w:line="154"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7"/>
                <w:szCs w:val="17"/>
                <w:color w:val="auto"/>
              </w:rPr>
              <w:t>8,079</w:t>
            </w:r>
          </w:p>
        </w:tc>
        <w:tc>
          <w:tcPr>
            <w:tcW w:w="80" w:type="dxa"/>
            <w:vAlign w:val="bottom"/>
            <w:tcBorders>
              <w:top w:val="single" w:sz="8" w:color="CCEEFF"/>
            </w:tcBorders>
            <w:shd w:val="clear" w:color="auto" w:fill="CCEEFF"/>
          </w:tcPr>
          <w:p>
            <w:pPr>
              <w:spacing w:after="0"/>
              <w:rPr>
                <w:sz w:val="13"/>
                <w:szCs w:val="13"/>
                <w:color w:val="auto"/>
              </w:rPr>
            </w:pPr>
          </w:p>
        </w:tc>
        <w:tc>
          <w:tcPr>
            <w:tcW w:w="646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The increase was due to increased headcount to support growth in our operations as</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well as an increase in stock-based compensation due largely to the 2019 Tender Offer.</w:t>
            </w:r>
          </w:p>
        </w:tc>
        <w:tc>
          <w:tcPr>
            <w:tcW w:w="0" w:type="dxa"/>
            <w:vAlign w:val="bottom"/>
          </w:tcPr>
          <w:p>
            <w:pPr>
              <w:spacing w:after="0"/>
              <w:rPr>
                <w:sz w:val="1"/>
                <w:szCs w:val="1"/>
                <w:color w:val="auto"/>
              </w:rPr>
            </w:pPr>
          </w:p>
        </w:tc>
      </w:tr>
      <w:tr>
        <w:trPr>
          <w:trHeight w:val="162"/>
        </w:trPr>
        <w:tc>
          <w:tcPr>
            <w:tcW w:w="312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Inbound shipping</w:t>
            </w:r>
          </w:p>
        </w:tc>
        <w:tc>
          <w:tcPr>
            <w:tcW w:w="960" w:type="dxa"/>
            <w:vAlign w:val="bottom"/>
          </w:tcPr>
          <w:p>
            <w:pPr>
              <w:jc w:val="right"/>
              <w:ind w:right="781"/>
              <w:spacing w:after="0" w:line="162" w:lineRule="exact"/>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line="162" w:lineRule="exact"/>
              <w:rPr>
                <w:sz w:val="20"/>
                <w:szCs w:val="20"/>
                <w:color w:val="auto"/>
              </w:rPr>
            </w:pPr>
            <w:r>
              <w:rPr>
                <w:rFonts w:ascii="Arial" w:cs="Arial" w:eastAsia="Arial" w:hAnsi="Arial"/>
                <w:sz w:val="17"/>
                <w:szCs w:val="17"/>
                <w:color w:val="auto"/>
              </w:rPr>
              <w:t>3,018</w:t>
            </w:r>
          </w:p>
        </w:tc>
        <w:tc>
          <w:tcPr>
            <w:tcW w:w="80" w:type="dxa"/>
            <w:vAlign w:val="bottom"/>
          </w:tcPr>
          <w:p>
            <w:pPr>
              <w:spacing w:after="0"/>
              <w:rPr>
                <w:sz w:val="14"/>
                <w:szCs w:val="14"/>
                <w:color w:val="auto"/>
              </w:rPr>
            </w:pPr>
          </w:p>
        </w:tc>
        <w:tc>
          <w:tcPr>
            <w:tcW w:w="6460" w:type="dxa"/>
            <w:vAlign w:val="bottom"/>
          </w:tcPr>
          <w:p>
            <w:pPr>
              <w:ind w:left="20"/>
              <w:spacing w:after="0" w:line="162" w:lineRule="exact"/>
              <w:rPr>
                <w:sz w:val="20"/>
                <w:szCs w:val="20"/>
                <w:color w:val="auto"/>
              </w:rPr>
            </w:pPr>
            <w:r>
              <w:rPr>
                <w:rFonts w:ascii="Arial" w:cs="Arial" w:eastAsia="Arial" w:hAnsi="Arial"/>
                <w:sz w:val="17"/>
                <w:szCs w:val="17"/>
                <w:color w:val="auto"/>
              </w:rPr>
              <w:t>The increase was due to an increase in Clean Out Kits received, due to continued</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rPr>
              <w:t>growth in supply from sellers and an increase in sellers.</w:t>
            </w:r>
          </w:p>
        </w:tc>
        <w:tc>
          <w:tcPr>
            <w:tcW w:w="0" w:type="dxa"/>
            <w:vAlign w:val="bottom"/>
          </w:tcPr>
          <w:p>
            <w:pPr>
              <w:spacing w:after="0"/>
              <w:rPr>
                <w:sz w:val="1"/>
                <w:szCs w:val="1"/>
                <w:color w:val="auto"/>
              </w:rPr>
            </w:pPr>
          </w:p>
        </w:tc>
      </w:tr>
      <w:tr>
        <w:trPr>
          <w:trHeight w:val="21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Facilities and other allocated costs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 increase was due to growth of our processing infrastructure.</w:t>
            </w:r>
          </w:p>
        </w:tc>
        <w:tc>
          <w:tcPr>
            <w:tcW w:w="0" w:type="dxa"/>
            <w:vAlign w:val="bottom"/>
          </w:tcPr>
          <w:p>
            <w:pPr>
              <w:spacing w:after="0"/>
              <w:rPr>
                <w:sz w:val="1"/>
                <w:szCs w:val="1"/>
                <w:color w:val="auto"/>
              </w:rPr>
            </w:pPr>
          </w:p>
        </w:tc>
      </w:tr>
      <w:tr>
        <w:trPr>
          <w:trHeight w:val="162"/>
        </w:trPr>
        <w:tc>
          <w:tcPr>
            <w:tcW w:w="312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Professional service costs</w:t>
            </w:r>
          </w:p>
        </w:tc>
        <w:tc>
          <w:tcPr>
            <w:tcW w:w="960" w:type="dxa"/>
            <w:vAlign w:val="bottom"/>
          </w:tcPr>
          <w:p>
            <w:pPr>
              <w:jc w:val="right"/>
              <w:ind w:right="781"/>
              <w:spacing w:after="0" w:line="162" w:lineRule="exact"/>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line="162" w:lineRule="exact"/>
              <w:rPr>
                <w:sz w:val="20"/>
                <w:szCs w:val="20"/>
                <w:color w:val="auto"/>
              </w:rPr>
            </w:pPr>
            <w:r>
              <w:rPr>
                <w:rFonts w:ascii="Arial" w:cs="Arial" w:eastAsia="Arial" w:hAnsi="Arial"/>
                <w:sz w:val="17"/>
                <w:szCs w:val="17"/>
                <w:color w:val="auto"/>
              </w:rPr>
              <w:t>1,139</w:t>
            </w:r>
          </w:p>
        </w:tc>
        <w:tc>
          <w:tcPr>
            <w:tcW w:w="80" w:type="dxa"/>
            <w:vAlign w:val="bottom"/>
          </w:tcPr>
          <w:p>
            <w:pPr>
              <w:spacing w:after="0"/>
              <w:rPr>
                <w:sz w:val="14"/>
                <w:szCs w:val="14"/>
                <w:color w:val="auto"/>
              </w:rPr>
            </w:pPr>
          </w:p>
        </w:tc>
        <w:tc>
          <w:tcPr>
            <w:tcW w:w="6460" w:type="dxa"/>
            <w:vAlign w:val="bottom"/>
          </w:tcPr>
          <w:p>
            <w:pPr>
              <w:ind w:left="20"/>
              <w:spacing w:after="0" w:line="162" w:lineRule="exact"/>
              <w:rPr>
                <w:sz w:val="20"/>
                <w:szCs w:val="20"/>
                <w:color w:val="auto"/>
              </w:rPr>
            </w:pPr>
            <w:r>
              <w:rPr>
                <w:rFonts w:ascii="Arial" w:cs="Arial" w:eastAsia="Arial" w:hAnsi="Arial"/>
                <w:sz w:val="17"/>
                <w:szCs w:val="17"/>
                <w:color w:val="auto"/>
              </w:rPr>
              <w:t>The increase was due to an increase in professional contractors and consultants that</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rPr>
              <w:t>supplement our workforce.</w:t>
            </w:r>
          </w:p>
        </w:tc>
        <w:tc>
          <w:tcPr>
            <w:tcW w:w="0" w:type="dxa"/>
            <w:vAlign w:val="bottom"/>
          </w:tcPr>
          <w:p>
            <w:pPr>
              <w:spacing w:after="0"/>
              <w:rPr>
                <w:sz w:val="1"/>
                <w:szCs w:val="1"/>
                <w:color w:val="auto"/>
              </w:rPr>
            </w:pPr>
          </w:p>
        </w:tc>
      </w:tr>
      <w:tr>
        <w:trPr>
          <w:trHeight w:val="21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2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Total increase in operations, product and</w:t>
            </w:r>
          </w:p>
        </w:tc>
        <w:tc>
          <w:tcPr>
            <w:tcW w:w="960" w:type="dxa"/>
            <w:vAlign w:val="bottom"/>
            <w:vMerge w:val="restart"/>
          </w:tcPr>
          <w:p>
            <w:pPr>
              <w:jc w:val="right"/>
              <w:ind w:right="781"/>
              <w:spacing w:after="0"/>
              <w:rPr>
                <w:sz w:val="20"/>
                <w:szCs w:val="20"/>
                <w:color w:val="auto"/>
              </w:rPr>
            </w:pPr>
            <w:r>
              <w:rPr>
                <w:rFonts w:ascii="Arial" w:cs="Arial" w:eastAsia="Arial" w:hAnsi="Arial"/>
                <w:sz w:val="17"/>
                <w:szCs w:val="17"/>
                <w:color w:val="auto"/>
                <w:w w:val="84"/>
              </w:rPr>
              <w:t>$</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w w:val="99"/>
              </w:rPr>
              <w:t>14,182</w:t>
            </w:r>
          </w:p>
        </w:tc>
        <w:tc>
          <w:tcPr>
            <w:tcW w:w="8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20" w:type="dxa"/>
            <w:vAlign w:val="bottom"/>
            <w:gridSpan w:val="2"/>
          </w:tcPr>
          <w:p>
            <w:pPr>
              <w:ind w:left="160"/>
              <w:spacing w:after="0" w:line="187" w:lineRule="exact"/>
              <w:rPr>
                <w:sz w:val="20"/>
                <w:szCs w:val="20"/>
                <w:color w:val="auto"/>
              </w:rPr>
            </w:pPr>
            <w:r>
              <w:rPr>
                <w:rFonts w:ascii="Arial" w:cs="Arial" w:eastAsia="Arial" w:hAnsi="Arial"/>
                <w:sz w:val="17"/>
                <w:szCs w:val="17"/>
                <w:color w:val="auto"/>
              </w:rPr>
              <w:t>technology expenses</w:t>
            </w:r>
          </w:p>
        </w:tc>
        <w:tc>
          <w:tcPr>
            <w:tcW w:w="9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Operations, product and technology expense represented 50% of total revenue in the year ended December 31, 2019, compared to 52% in the year ended December 31, 2018. Operations, product and technology expense grew 21% in the same period, compared to 44% gross profit growth. This operating leverage was the result of reaching existing capacity and increasing automation in our distribution centers, as well as leverage of fixed costs in product and technology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Marketing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2"/>
                <w:szCs w:val="12"/>
                <w:color w:val="auto"/>
              </w:rPr>
            </w:pPr>
          </w:p>
        </w:tc>
        <w:tc>
          <w:tcPr>
            <w:tcW w:w="1460" w:type="dxa"/>
            <w:vAlign w:val="bottom"/>
          </w:tcPr>
          <w:p>
            <w:pPr>
              <w:jc w:val="right"/>
              <w:ind w:right="63"/>
              <w:spacing w:after="0"/>
              <w:rPr>
                <w:sz w:val="20"/>
                <w:szCs w:val="20"/>
                <w:color w:val="auto"/>
              </w:rPr>
            </w:pPr>
            <w:r>
              <w:rPr>
                <w:rFonts w:ascii="Arial" w:cs="Arial" w:eastAsia="Arial" w:hAnsi="Arial"/>
                <w:sz w:val="13"/>
                <w:szCs w:val="13"/>
                <w:b w:val="1"/>
                <w:bCs w:val="1"/>
                <w:color w:val="auto"/>
              </w:rPr>
              <w:t>Change from 2018 to</w:t>
            </w:r>
          </w:p>
        </w:tc>
        <w:tc>
          <w:tcPr>
            <w:tcW w:w="80" w:type="dxa"/>
            <w:vAlign w:val="bottom"/>
          </w:tcPr>
          <w:p>
            <w:pPr>
              <w:spacing w:after="0"/>
              <w:rPr>
                <w:sz w:val="12"/>
                <w:szCs w:val="12"/>
                <w:color w:val="auto"/>
              </w:rPr>
            </w:pPr>
          </w:p>
        </w:tc>
        <w:tc>
          <w:tcPr>
            <w:tcW w:w="6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Explanation of change</w:t>
            </w:r>
          </w:p>
        </w:tc>
        <w:tc>
          <w:tcPr>
            <w:tcW w:w="0" w:type="dxa"/>
            <w:vAlign w:val="bottom"/>
          </w:tcPr>
          <w:p>
            <w:pPr>
              <w:spacing w:after="0"/>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583"/>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4"/>
                <w:szCs w:val="14"/>
                <w:color w:val="auto"/>
              </w:rPr>
            </w:pP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2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Marketing and advertising costs</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16,247</w:t>
            </w:r>
          </w:p>
        </w:tc>
        <w:tc>
          <w:tcPr>
            <w:tcW w:w="80" w:type="dxa"/>
            <w:vAlign w:val="bottom"/>
            <w:tcBorders>
              <w:top w:val="single" w:sz="8" w:color="CCEEFF"/>
            </w:tcBorders>
            <w:shd w:val="clear" w:color="auto" w:fill="CCEEFF"/>
          </w:tcPr>
          <w:p>
            <w:pPr>
              <w:spacing w:after="0"/>
              <w:rPr>
                <w:sz w:val="13"/>
                <w:szCs w:val="13"/>
                <w:color w:val="auto"/>
              </w:rPr>
            </w:pPr>
          </w:p>
        </w:tc>
        <w:tc>
          <w:tcPr>
            <w:tcW w:w="646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The increase was primarily due to investments in marketing to drive growth in Active</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Buyers and Orders.</w:t>
            </w:r>
          </w:p>
        </w:tc>
        <w:tc>
          <w:tcPr>
            <w:tcW w:w="0" w:type="dxa"/>
            <w:vAlign w:val="bottom"/>
          </w:tcPr>
          <w:p>
            <w:pPr>
              <w:spacing w:after="0"/>
              <w:rPr>
                <w:sz w:val="1"/>
                <w:szCs w:val="1"/>
                <w:color w:val="auto"/>
              </w:rPr>
            </w:pPr>
          </w:p>
        </w:tc>
      </w:tr>
      <w:tr>
        <w:trPr>
          <w:trHeight w:val="162"/>
        </w:trPr>
        <w:tc>
          <w:tcPr>
            <w:tcW w:w="312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Personnel-related costs</w:t>
            </w:r>
          </w:p>
        </w:tc>
        <w:tc>
          <w:tcPr>
            <w:tcW w:w="120" w:type="dxa"/>
            <w:vAlign w:val="bottom"/>
          </w:tcPr>
          <w:p>
            <w:pPr>
              <w:jc w:val="right"/>
              <w:spacing w:after="0" w:line="162" w:lineRule="exact"/>
              <w:rPr>
                <w:sz w:val="20"/>
                <w:szCs w:val="20"/>
                <w:color w:val="auto"/>
              </w:rPr>
            </w:pPr>
            <w:r>
              <w:rPr>
                <w:rFonts w:ascii="Arial" w:cs="Arial" w:eastAsia="Arial" w:hAnsi="Arial"/>
                <w:sz w:val="17"/>
                <w:szCs w:val="17"/>
                <w:color w:val="auto"/>
                <w:w w:val="84"/>
              </w:rPr>
              <w:t>$</w:t>
            </w:r>
          </w:p>
        </w:tc>
        <w:tc>
          <w:tcPr>
            <w:tcW w:w="1460" w:type="dxa"/>
            <w:vAlign w:val="bottom"/>
          </w:tcPr>
          <w:p>
            <w:pPr>
              <w:jc w:val="right"/>
              <w:ind w:right="3"/>
              <w:spacing w:after="0" w:line="162" w:lineRule="exact"/>
              <w:rPr>
                <w:sz w:val="20"/>
                <w:szCs w:val="20"/>
                <w:color w:val="auto"/>
              </w:rPr>
            </w:pPr>
            <w:r>
              <w:rPr>
                <w:rFonts w:ascii="Arial" w:cs="Arial" w:eastAsia="Arial" w:hAnsi="Arial"/>
                <w:sz w:val="17"/>
                <w:szCs w:val="17"/>
                <w:color w:val="auto"/>
              </w:rPr>
              <w:t>1,077</w:t>
            </w:r>
          </w:p>
        </w:tc>
        <w:tc>
          <w:tcPr>
            <w:tcW w:w="80" w:type="dxa"/>
            <w:vAlign w:val="bottom"/>
          </w:tcPr>
          <w:p>
            <w:pPr>
              <w:spacing w:after="0"/>
              <w:rPr>
                <w:sz w:val="14"/>
                <w:szCs w:val="14"/>
                <w:color w:val="auto"/>
              </w:rPr>
            </w:pPr>
          </w:p>
        </w:tc>
        <w:tc>
          <w:tcPr>
            <w:tcW w:w="6460" w:type="dxa"/>
            <w:vAlign w:val="bottom"/>
          </w:tcPr>
          <w:p>
            <w:pPr>
              <w:ind w:left="20"/>
              <w:spacing w:after="0" w:line="162" w:lineRule="exact"/>
              <w:rPr>
                <w:sz w:val="20"/>
                <w:szCs w:val="20"/>
                <w:color w:val="auto"/>
              </w:rPr>
            </w:pPr>
            <w:r>
              <w:rPr>
                <w:rFonts w:ascii="Arial" w:cs="Arial" w:eastAsia="Arial" w:hAnsi="Arial"/>
                <w:sz w:val="17"/>
                <w:szCs w:val="17"/>
                <w:color w:val="auto"/>
                <w:w w:val="98"/>
              </w:rPr>
              <w:t>The increase was primarily due to increased marketing headcount to support growth as</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w w:val="98"/>
              </w:rPr>
              <w:t>well as an increase in stock-based compensation due largely to the 2019 Tender Offer.</w:t>
            </w:r>
          </w:p>
        </w:tc>
        <w:tc>
          <w:tcPr>
            <w:tcW w:w="0" w:type="dxa"/>
            <w:vAlign w:val="bottom"/>
          </w:tcPr>
          <w:p>
            <w:pPr>
              <w:spacing w:after="0"/>
              <w:rPr>
                <w:sz w:val="1"/>
                <w:szCs w:val="1"/>
                <w:color w:val="auto"/>
              </w:rPr>
            </w:pPr>
          </w:p>
        </w:tc>
      </w:tr>
      <w:tr>
        <w:trPr>
          <w:trHeight w:val="21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421</w:t>
            </w: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20" w:type="dxa"/>
            <w:vAlign w:val="bottom"/>
            <w:gridSpan w:val="2"/>
          </w:tcPr>
          <w:p>
            <w:pPr>
              <w:ind w:left="20"/>
              <w:spacing w:after="0"/>
              <w:rPr>
                <w:sz w:val="20"/>
                <w:szCs w:val="20"/>
                <w:color w:val="auto"/>
              </w:rPr>
            </w:pPr>
            <w:r>
              <w:rPr>
                <w:rFonts w:ascii="Arial" w:cs="Arial" w:eastAsia="Arial" w:hAnsi="Arial"/>
                <w:sz w:val="17"/>
                <w:szCs w:val="17"/>
                <w:color w:val="auto"/>
              </w:rPr>
              <w:t>Total increase in marketing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17,745</w:t>
            </w:r>
          </w:p>
        </w:tc>
        <w:tc>
          <w:tcPr>
            <w:tcW w:w="8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Marketing represented 27% of revenue in the year ended December 31, 2019, compared to 21% in the prior year. Marketing expense grew 65% in the same period, compared to 44% gross profit growth. We accelerated marketing spend in order to drive demand and take advantage of expanding capacity in our distribution centers.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Sales, general and administrative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3"/>
                <w:szCs w:val="13"/>
                <w:color w:val="auto"/>
              </w:rPr>
            </w:pPr>
          </w:p>
        </w:tc>
        <w:tc>
          <w:tcPr>
            <w:tcW w:w="1460" w:type="dxa"/>
            <w:vAlign w:val="bottom"/>
          </w:tcPr>
          <w:p>
            <w:pPr>
              <w:jc w:val="right"/>
              <w:ind w:right="63"/>
              <w:spacing w:after="0"/>
              <w:rPr>
                <w:sz w:val="20"/>
                <w:szCs w:val="20"/>
                <w:color w:val="auto"/>
              </w:rPr>
            </w:pPr>
            <w:r>
              <w:rPr>
                <w:rFonts w:ascii="Arial" w:cs="Arial" w:eastAsia="Arial" w:hAnsi="Arial"/>
                <w:sz w:val="13"/>
                <w:szCs w:val="13"/>
                <w:b w:val="1"/>
                <w:bCs w:val="1"/>
                <w:color w:val="auto"/>
              </w:rPr>
              <w:t>Change from 2018 to</w:t>
            </w:r>
          </w:p>
        </w:tc>
        <w:tc>
          <w:tcPr>
            <w:tcW w:w="80" w:type="dxa"/>
            <w:vAlign w:val="bottom"/>
          </w:tcPr>
          <w:p>
            <w:pPr>
              <w:spacing w:after="0"/>
              <w:rPr>
                <w:sz w:val="13"/>
                <w:szCs w:val="13"/>
                <w:color w:val="auto"/>
              </w:rPr>
            </w:pPr>
          </w:p>
        </w:tc>
        <w:tc>
          <w:tcPr>
            <w:tcW w:w="6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Explanation of change</w:t>
            </w:r>
          </w:p>
        </w:tc>
        <w:tc>
          <w:tcPr>
            <w:tcW w:w="0" w:type="dxa"/>
            <w:vAlign w:val="bottom"/>
          </w:tcPr>
          <w:p>
            <w:pPr>
              <w:spacing w:after="0"/>
              <w:rPr>
                <w:sz w:val="1"/>
                <w:szCs w:val="1"/>
                <w:color w:val="auto"/>
              </w:rPr>
            </w:pPr>
          </w:p>
        </w:tc>
      </w:tr>
      <w:tr>
        <w:trPr>
          <w:trHeight w:val="162"/>
        </w:trPr>
        <w:tc>
          <w:tcPr>
            <w:tcW w:w="3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583"/>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4"/>
                <w:szCs w:val="14"/>
                <w:color w:val="auto"/>
              </w:rPr>
            </w:pP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2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Personnel-related costs</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ind w:right="3"/>
              <w:spacing w:after="0" w:line="154" w:lineRule="exact"/>
              <w:rPr>
                <w:sz w:val="20"/>
                <w:szCs w:val="20"/>
                <w:color w:val="auto"/>
              </w:rPr>
            </w:pPr>
            <w:r>
              <w:rPr>
                <w:rFonts w:ascii="Arial" w:cs="Arial" w:eastAsia="Arial" w:hAnsi="Arial"/>
                <w:sz w:val="17"/>
                <w:szCs w:val="17"/>
                <w:color w:val="auto"/>
              </w:rPr>
              <w:t>3,963</w:t>
            </w:r>
          </w:p>
        </w:tc>
        <w:tc>
          <w:tcPr>
            <w:tcW w:w="80" w:type="dxa"/>
            <w:vAlign w:val="bottom"/>
            <w:tcBorders>
              <w:top w:val="single" w:sz="8" w:color="CCEEFF"/>
            </w:tcBorders>
            <w:shd w:val="clear" w:color="auto" w:fill="CCEEFF"/>
          </w:tcPr>
          <w:p>
            <w:pPr>
              <w:spacing w:after="0"/>
              <w:rPr>
                <w:sz w:val="13"/>
                <w:szCs w:val="13"/>
                <w:color w:val="auto"/>
              </w:rPr>
            </w:pPr>
          </w:p>
        </w:tc>
        <w:tc>
          <w:tcPr>
            <w:tcW w:w="646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The increase due to increased headcount to support growth in our corporate functions</w:t>
            </w: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as well as an increase in stock-based compensation due largely to the 2019 Tender</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Offer.</w:t>
            </w:r>
          </w:p>
        </w:tc>
        <w:tc>
          <w:tcPr>
            <w:tcW w:w="0" w:type="dxa"/>
            <w:vAlign w:val="bottom"/>
          </w:tcPr>
          <w:p>
            <w:pPr>
              <w:spacing w:after="0"/>
              <w:rPr>
                <w:sz w:val="1"/>
                <w:szCs w:val="1"/>
                <w:color w:val="auto"/>
              </w:rPr>
            </w:pPr>
          </w:p>
        </w:tc>
      </w:tr>
      <w:tr>
        <w:trPr>
          <w:trHeight w:val="162"/>
        </w:trPr>
        <w:tc>
          <w:tcPr>
            <w:tcW w:w="312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Payment processing fees</w:t>
            </w:r>
          </w:p>
        </w:tc>
        <w:tc>
          <w:tcPr>
            <w:tcW w:w="120" w:type="dxa"/>
            <w:vAlign w:val="bottom"/>
          </w:tcPr>
          <w:p>
            <w:pPr>
              <w:spacing w:after="0"/>
              <w:rPr>
                <w:sz w:val="14"/>
                <w:szCs w:val="14"/>
                <w:color w:val="auto"/>
              </w:rPr>
            </w:pPr>
          </w:p>
        </w:tc>
        <w:tc>
          <w:tcPr>
            <w:tcW w:w="1460" w:type="dxa"/>
            <w:vAlign w:val="bottom"/>
          </w:tcPr>
          <w:p>
            <w:pPr>
              <w:jc w:val="right"/>
              <w:ind w:right="3"/>
              <w:spacing w:after="0" w:line="162" w:lineRule="exact"/>
              <w:rPr>
                <w:sz w:val="20"/>
                <w:szCs w:val="20"/>
                <w:color w:val="auto"/>
              </w:rPr>
            </w:pPr>
            <w:r>
              <w:rPr>
                <w:rFonts w:ascii="Arial" w:cs="Arial" w:eastAsia="Arial" w:hAnsi="Arial"/>
                <w:sz w:val="17"/>
                <w:szCs w:val="17"/>
                <w:color w:val="auto"/>
              </w:rPr>
              <w:t>1,343</w:t>
            </w:r>
          </w:p>
        </w:tc>
        <w:tc>
          <w:tcPr>
            <w:tcW w:w="80" w:type="dxa"/>
            <w:vAlign w:val="bottom"/>
          </w:tcPr>
          <w:p>
            <w:pPr>
              <w:spacing w:after="0"/>
              <w:rPr>
                <w:sz w:val="14"/>
                <w:szCs w:val="14"/>
                <w:color w:val="auto"/>
              </w:rPr>
            </w:pPr>
          </w:p>
        </w:tc>
        <w:tc>
          <w:tcPr>
            <w:tcW w:w="6460" w:type="dxa"/>
            <w:vAlign w:val="bottom"/>
          </w:tcPr>
          <w:p>
            <w:pPr>
              <w:ind w:left="20"/>
              <w:spacing w:after="0" w:line="162" w:lineRule="exact"/>
              <w:rPr>
                <w:sz w:val="20"/>
                <w:szCs w:val="20"/>
                <w:color w:val="auto"/>
              </w:rPr>
            </w:pPr>
            <w:r>
              <w:rPr>
                <w:rFonts w:ascii="Arial" w:cs="Arial" w:eastAsia="Arial" w:hAnsi="Arial"/>
                <w:sz w:val="17"/>
                <w:szCs w:val="17"/>
                <w:color w:val="auto"/>
              </w:rPr>
              <w:t>The increase was primarily attributable to the increase in Orders and a corresponding</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rPr>
              <w:t>increase in revenue.</w:t>
            </w:r>
          </w:p>
        </w:tc>
        <w:tc>
          <w:tcPr>
            <w:tcW w:w="0" w:type="dxa"/>
            <w:vAlign w:val="bottom"/>
          </w:tcPr>
          <w:p>
            <w:pPr>
              <w:spacing w:after="0"/>
              <w:rPr>
                <w:sz w:val="1"/>
                <w:szCs w:val="1"/>
                <w:color w:val="auto"/>
              </w:rPr>
            </w:pPr>
          </w:p>
        </w:tc>
      </w:tr>
      <w:tr>
        <w:trPr>
          <w:trHeight w:val="21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2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Total increase in sales, general and</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vMerge w:val="restart"/>
          </w:tcPr>
          <w:p>
            <w:pPr>
              <w:jc w:val="right"/>
              <w:ind w:right="3"/>
              <w:spacing w:after="0"/>
              <w:rPr>
                <w:sz w:val="20"/>
                <w:szCs w:val="20"/>
                <w:color w:val="auto"/>
              </w:rPr>
            </w:pPr>
            <w:r>
              <w:rPr>
                <w:rFonts w:ascii="Arial" w:cs="Arial" w:eastAsia="Arial" w:hAnsi="Arial"/>
                <w:sz w:val="17"/>
                <w:szCs w:val="17"/>
                <w:color w:val="auto"/>
              </w:rPr>
              <w:t>5,118</w:t>
            </w:r>
          </w:p>
        </w:tc>
        <w:tc>
          <w:tcPr>
            <w:tcW w:w="8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20" w:type="dxa"/>
            <w:vAlign w:val="bottom"/>
            <w:gridSpan w:val="2"/>
          </w:tcPr>
          <w:p>
            <w:pPr>
              <w:ind w:left="160"/>
              <w:spacing w:after="0" w:line="187" w:lineRule="exact"/>
              <w:rPr>
                <w:sz w:val="20"/>
                <w:szCs w:val="20"/>
                <w:color w:val="auto"/>
              </w:rPr>
            </w:pPr>
            <w:r>
              <w:rPr>
                <w:rFonts w:ascii="Arial" w:cs="Arial" w:eastAsia="Arial" w:hAnsi="Arial"/>
                <w:sz w:val="17"/>
                <w:szCs w:val="17"/>
                <w:color w:val="auto"/>
              </w:rPr>
              <w:t>administrative costs</w:t>
            </w:r>
          </w:p>
        </w:tc>
        <w:tc>
          <w:tcPr>
            <w:tcW w:w="12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Sales, general and administrative represented 14% of revenue in the year ended December 31, 2019, compared to 13% in the prior year. Sales, general and administrative expense grew 30% in the same period, compared to 44% gross profit growth. This operating efficiency was the result of increased leverage in our general and administration infrastructure, including personnel costs, as we scaled.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15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following table sets forth our unaudited quarterly consolidated results of operations for each of the quarterly periods for the years ended December 31, 2019 and 2020. These unaudited quarterly results of operations have been prepared on the same basis as our audited consolidated financial statements included elsewhere in this prospectus. In the opinion of management, the financial information set forth in the table below reflects all normal recurring adjustments necessary for the fair statement of results of operations for these periods. Our historical results are not necessarily indicative of the results that may be expected in the future and the results of a particular quarter or other interim period are not necessarily indicative of the results for a full year. You should read the following unaudited quarterly consolidated results of operations in conjunction with the section titled “Management’s Discussion and Analysis of Financial Condition and Results of Operations” and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9"/>
          </w:tcPr>
          <w:p>
            <w:pPr>
              <w:ind w:left="360"/>
              <w:spacing w:after="0"/>
              <w:rPr>
                <w:sz w:val="20"/>
                <w:szCs w:val="20"/>
                <w:color w:val="auto"/>
              </w:rPr>
            </w:pPr>
            <w:r>
              <w:rPr>
                <w:rFonts w:ascii="Arial" w:cs="Arial" w:eastAsia="Arial" w:hAnsi="Arial"/>
                <w:sz w:val="13"/>
                <w:szCs w:val="13"/>
                <w:b w:val="1"/>
                <w:bCs w:val="1"/>
                <w:color w:val="auto"/>
              </w:rPr>
              <w:t>Three months ended</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60" w:type="dxa"/>
            <w:vAlign w:val="bottom"/>
            <w:gridSpan w:val="2"/>
            <w:vMerge w:val="restart"/>
          </w:tcPr>
          <w:p>
            <w:pPr>
              <w:ind w:left="20"/>
              <w:spacing w:after="0"/>
              <w:rPr>
                <w:sz w:val="20"/>
                <w:szCs w:val="20"/>
                <w:color w:val="auto"/>
              </w:rPr>
            </w:pPr>
            <w:r>
              <w:rPr>
                <w:rFonts w:ascii="Arial" w:cs="Arial" w:eastAsia="Arial" w:hAnsi="Arial"/>
                <w:sz w:val="13"/>
                <w:szCs w:val="13"/>
                <w:color w:val="auto"/>
              </w:rPr>
              <w:t>(in thousands)</w:t>
            </w:r>
          </w:p>
        </w:tc>
        <w:tc>
          <w:tcPr>
            <w:tcW w:w="360" w:type="dxa"/>
            <w:vAlign w:val="bottom"/>
          </w:tcPr>
          <w:p>
            <w:pPr>
              <w:spacing w:after="0"/>
              <w:rPr>
                <w:sz w:val="11"/>
                <w:szCs w:val="11"/>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March 31, 2019</w:t>
            </w:r>
          </w:p>
        </w:tc>
        <w:tc>
          <w:tcPr>
            <w:tcW w:w="80" w:type="dxa"/>
            <w:vAlign w:val="bottom"/>
          </w:tcPr>
          <w:p>
            <w:pPr>
              <w:spacing w:after="0"/>
              <w:rPr>
                <w:sz w:val="11"/>
                <w:szCs w:val="11"/>
                <w:color w:val="auto"/>
              </w:rPr>
            </w:pPr>
          </w:p>
        </w:tc>
        <w:tc>
          <w:tcPr>
            <w:tcW w:w="1000" w:type="dxa"/>
            <w:vAlign w:val="bottom"/>
            <w:gridSpan w:val="6"/>
            <w:vMerge w:val="restart"/>
          </w:tcPr>
          <w:p>
            <w:pPr>
              <w:ind w:left="40"/>
              <w:spacing w:after="0"/>
              <w:rPr>
                <w:sz w:val="20"/>
                <w:szCs w:val="20"/>
                <w:color w:val="auto"/>
              </w:rPr>
            </w:pPr>
            <w:r>
              <w:rPr>
                <w:rFonts w:ascii="Arial" w:cs="Arial" w:eastAsia="Arial" w:hAnsi="Arial"/>
                <w:sz w:val="13"/>
                <w:szCs w:val="13"/>
                <w:b w:val="1"/>
                <w:bCs w:val="1"/>
                <w:color w:val="auto"/>
              </w:rPr>
              <w:t>June 30, 2019</w:t>
            </w:r>
          </w:p>
        </w:tc>
        <w:tc>
          <w:tcPr>
            <w:tcW w:w="120" w:type="dxa"/>
            <w:vAlign w:val="bottom"/>
          </w:tcPr>
          <w:p>
            <w:pPr>
              <w:spacing w:after="0"/>
              <w:rPr>
                <w:sz w:val="11"/>
                <w:szCs w:val="11"/>
                <w:color w:val="auto"/>
              </w:rPr>
            </w:pPr>
          </w:p>
        </w:tc>
        <w:tc>
          <w:tcPr>
            <w:tcW w:w="1100" w:type="dxa"/>
            <w:vAlign w:val="bottom"/>
            <w:gridSpan w:val="4"/>
          </w:tcPr>
          <w:p>
            <w:pPr>
              <w:spacing w:after="0" w:line="12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w w:val="99"/>
              </w:rPr>
              <w:t>March 31, 2020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June 30, 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September 30,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6"/>
              <w:spacing w:after="0" w:line="12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2"/>
        </w:trPr>
        <w:tc>
          <w:tcPr>
            <w:tcW w:w="2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06"/>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9"/>
        </w:trPr>
        <w:tc>
          <w:tcPr>
            <w:tcW w:w="2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60" w:type="dxa"/>
            <w:vAlign w:val="bottom"/>
            <w:gridSpan w:val="2"/>
          </w:tcPr>
          <w:p>
            <w:pPr>
              <w:ind w:left="220"/>
              <w:spacing w:after="0"/>
              <w:rPr>
                <w:sz w:val="20"/>
                <w:szCs w:val="20"/>
                <w:color w:val="auto"/>
              </w:rPr>
            </w:pPr>
            <w:r>
              <w:rPr>
                <w:rFonts w:ascii="Arial" w:cs="Arial" w:eastAsia="Arial" w:hAnsi="Arial"/>
                <w:sz w:val="15"/>
                <w:szCs w:val="15"/>
                <w:color w:val="auto"/>
              </w:rPr>
              <w:t>Consignment</w:t>
            </w:r>
          </w:p>
        </w:tc>
        <w:tc>
          <w:tcPr>
            <w:tcW w:w="36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16,399</w:t>
            </w:r>
          </w:p>
        </w:tc>
        <w:tc>
          <w:tcPr>
            <w:tcW w:w="24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60" w:type="dxa"/>
            <w:vAlign w:val="bottom"/>
            <w:gridSpan w:val="4"/>
          </w:tcPr>
          <w:p>
            <w:pPr>
              <w:jc w:val="right"/>
              <w:spacing w:after="0"/>
              <w:rPr>
                <w:sz w:val="20"/>
                <w:szCs w:val="20"/>
                <w:color w:val="auto"/>
              </w:rPr>
            </w:pPr>
            <w:r>
              <w:rPr>
                <w:rFonts w:ascii="Arial" w:cs="Arial" w:eastAsia="Arial" w:hAnsi="Arial"/>
                <w:sz w:val="15"/>
                <w:szCs w:val="15"/>
                <w:color w:val="auto"/>
              </w:rPr>
              <w:t>22,000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3"/>
          </w:tcPr>
          <w:p>
            <w:pPr>
              <w:jc w:val="right"/>
              <w:spacing w:after="0"/>
              <w:rPr>
                <w:sz w:val="20"/>
                <w:szCs w:val="20"/>
                <w:color w:val="auto"/>
              </w:rPr>
            </w:pPr>
            <w:r>
              <w:rPr>
                <w:rFonts w:ascii="Arial" w:cs="Arial" w:eastAsia="Arial" w:hAnsi="Arial"/>
                <w:sz w:val="15"/>
                <w:szCs w:val="15"/>
                <w:color w:val="auto"/>
              </w:rPr>
              <w:t>27,338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4"/>
          </w:tcPr>
          <w:p>
            <w:pPr>
              <w:jc w:val="right"/>
              <w:spacing w:after="0"/>
              <w:rPr>
                <w:sz w:val="20"/>
                <w:szCs w:val="20"/>
                <w:color w:val="auto"/>
              </w:rPr>
            </w:pPr>
            <w:r>
              <w:rPr>
                <w:rFonts w:ascii="Arial" w:cs="Arial" w:eastAsia="Arial" w:hAnsi="Arial"/>
                <w:sz w:val="15"/>
                <w:szCs w:val="15"/>
                <w:color w:val="auto"/>
              </w:rPr>
              <w:t>32,026</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35,314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34,914</w:t>
            </w: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33,657</w:t>
            </w:r>
          </w:p>
        </w:tc>
        <w:tc>
          <w:tcPr>
            <w:tcW w:w="40" w:type="dxa"/>
            <w:vAlign w:val="bottom"/>
          </w:tcPr>
          <w:p>
            <w:pPr>
              <w:spacing w:after="0"/>
              <w:rPr>
                <w:sz w:val="17"/>
                <w:szCs w:val="17"/>
                <w:color w:val="auto"/>
              </w:rPr>
            </w:pPr>
          </w:p>
        </w:tc>
        <w:tc>
          <w:tcPr>
            <w:tcW w:w="320" w:type="dxa"/>
            <w:vAlign w:val="bottom"/>
            <w:gridSpan w:val="3"/>
          </w:tcPr>
          <w:p>
            <w:pPr>
              <w:jc w:val="right"/>
              <w:ind w:right="51"/>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34,211</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Product</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16,708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18,118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18,612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12,611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13,001</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12,421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13,275</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9,222</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Total revenue</w:t>
            </w:r>
          </w:p>
        </w:tc>
        <w:tc>
          <w:tcPr>
            <w:tcW w:w="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33,107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40,118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45,950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44,637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48,315</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47,335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46,932</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43,433</w:t>
            </w:r>
          </w:p>
        </w:tc>
        <w:tc>
          <w:tcPr>
            <w:tcW w:w="0" w:type="dxa"/>
            <w:vAlign w:val="bottom"/>
          </w:tcPr>
          <w:p>
            <w:pPr>
              <w:spacing w:after="0"/>
              <w:rPr>
                <w:sz w:val="1"/>
                <w:szCs w:val="1"/>
                <w:color w:val="auto"/>
              </w:rPr>
            </w:pPr>
          </w:p>
        </w:tc>
      </w:tr>
      <w:tr>
        <w:trPr>
          <w:trHeight w:val="17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60" w:type="dxa"/>
            <w:vAlign w:val="bottom"/>
            <w:gridSpan w:val="2"/>
          </w:tcPr>
          <w:p>
            <w:pPr>
              <w:ind w:left="220"/>
              <w:spacing w:after="0"/>
              <w:rPr>
                <w:sz w:val="20"/>
                <w:szCs w:val="20"/>
                <w:color w:val="auto"/>
              </w:rPr>
            </w:pPr>
            <w:r>
              <w:rPr>
                <w:rFonts w:ascii="Arial" w:cs="Arial" w:eastAsia="Arial" w:hAnsi="Arial"/>
                <w:sz w:val="15"/>
                <w:szCs w:val="15"/>
                <w:color w:val="auto"/>
              </w:rPr>
              <w:t>Consignment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4,209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5"/>
                <w:szCs w:val="15"/>
                <w:color w:val="auto"/>
              </w:rPr>
              <w:t>5,119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5"/>
                <w:szCs w:val="15"/>
                <w:color w:val="auto"/>
              </w:rPr>
              <w:t>5,837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5"/>
                <w:szCs w:val="15"/>
                <w:color w:val="auto"/>
              </w:rPr>
              <w:t>7,599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8,816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8,297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7,984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9,087</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Product</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7,903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7,402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7,579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5,660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6,873</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6,172</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4,611</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Total cost of revenue</w:t>
            </w:r>
          </w:p>
        </w:tc>
        <w:tc>
          <w:tcPr>
            <w:tcW w:w="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12,112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12,521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13,416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13,259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15,689</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14,324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14,156</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13,698</w:t>
            </w:r>
          </w:p>
        </w:tc>
        <w:tc>
          <w:tcPr>
            <w:tcW w:w="0" w:type="dxa"/>
            <w:vAlign w:val="bottom"/>
          </w:tcPr>
          <w:p>
            <w:pPr>
              <w:spacing w:after="0"/>
              <w:rPr>
                <w:sz w:val="1"/>
                <w:szCs w:val="1"/>
                <w:color w:val="auto"/>
              </w:rPr>
            </w:pPr>
          </w:p>
        </w:tc>
      </w:tr>
      <w:tr>
        <w:trPr>
          <w:trHeight w:val="192"/>
        </w:trPr>
        <w:tc>
          <w:tcPr>
            <w:tcW w:w="20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Gross profit</w:t>
            </w:r>
          </w:p>
        </w:tc>
        <w:tc>
          <w:tcPr>
            <w:tcW w:w="3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20,995</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27,597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32,534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31,378</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32,626</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33,011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32,776</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29,735</w:t>
            </w:r>
          </w:p>
        </w:tc>
        <w:tc>
          <w:tcPr>
            <w:tcW w:w="0" w:type="dxa"/>
            <w:vAlign w:val="bottom"/>
          </w:tcPr>
          <w:p>
            <w:pPr>
              <w:spacing w:after="0"/>
              <w:rPr>
                <w:sz w:val="1"/>
                <w:szCs w:val="1"/>
                <w:color w:val="auto"/>
              </w:rPr>
            </w:pPr>
          </w:p>
        </w:tc>
      </w:tr>
      <w:tr>
        <w:trPr>
          <w:trHeight w:val="179"/>
        </w:trPr>
        <w:tc>
          <w:tcPr>
            <w:tcW w:w="2060" w:type="dxa"/>
            <w:vAlign w:val="bottom"/>
            <w:gridSpan w:val="2"/>
          </w:tcPr>
          <w:p>
            <w:pPr>
              <w:ind w:left="20"/>
              <w:spacing w:after="0"/>
              <w:rPr>
                <w:sz w:val="20"/>
                <w:szCs w:val="20"/>
                <w:color w:val="auto"/>
              </w:rPr>
            </w:pPr>
            <w:r>
              <w:rPr>
                <w:rFonts w:ascii="Arial" w:cs="Arial" w:eastAsia="Arial" w:hAnsi="Arial"/>
                <w:sz w:val="15"/>
                <w:szCs w:val="15"/>
                <w:color w:val="auto"/>
              </w:rPr>
              <w:t>Operating expenses: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rPr>
              <w:t>Operations, product and</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16,397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19,270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20,831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25,580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25,475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22,149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25,856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27,928</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technology</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60" w:type="dxa"/>
            <w:vAlign w:val="bottom"/>
            <w:gridSpan w:val="2"/>
          </w:tcPr>
          <w:p>
            <w:pPr>
              <w:ind w:left="220"/>
              <w:spacing w:after="0"/>
              <w:rPr>
                <w:sz w:val="20"/>
                <w:szCs w:val="20"/>
                <w:color w:val="auto"/>
              </w:rPr>
            </w:pPr>
            <w:r>
              <w:rPr>
                <w:rFonts w:ascii="Arial" w:cs="Arial" w:eastAsia="Arial" w:hAnsi="Arial"/>
                <w:sz w:val="15"/>
                <w:szCs w:val="15"/>
                <w:color w:val="auto"/>
              </w:rPr>
              <w:t>Marketing</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9,250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5"/>
                <w:szCs w:val="15"/>
                <w:color w:val="auto"/>
              </w:rPr>
              <w:t>9,499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5"/>
                <w:szCs w:val="15"/>
                <w:color w:val="auto"/>
              </w:rPr>
              <w:t>13,557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5"/>
                <w:szCs w:val="15"/>
                <w:color w:val="auto"/>
              </w:rPr>
              <w:t>12,674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13,001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10,898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10,614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10,252</w:t>
            </w: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rPr>
              <w:t>Sales, general and</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4,065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5,018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5,199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7,971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7,433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6,438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6,891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7,802</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administrative</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gridSpan w:val="3"/>
          </w:tcPr>
          <w:p>
            <w:pPr>
              <w:ind w:left="420"/>
              <w:spacing w:after="0"/>
              <w:rPr>
                <w:sz w:val="20"/>
                <w:szCs w:val="20"/>
                <w:color w:val="auto"/>
              </w:rPr>
            </w:pPr>
            <w:r>
              <w:rPr>
                <w:rFonts w:ascii="Arial" w:cs="Arial" w:eastAsia="Arial" w:hAnsi="Arial"/>
                <w:sz w:val="15"/>
                <w:szCs w:val="15"/>
                <w:color w:val="auto"/>
              </w:rPr>
              <w:t>Total operating expenses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29,712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33,787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39,587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46,225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45,909</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39,485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43,361</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45,982</w:t>
            </w:r>
          </w:p>
        </w:tc>
        <w:tc>
          <w:tcPr>
            <w:tcW w:w="0" w:type="dxa"/>
            <w:vAlign w:val="bottom"/>
          </w:tcPr>
          <w:p>
            <w:pPr>
              <w:spacing w:after="0"/>
              <w:rPr>
                <w:sz w:val="1"/>
                <w:szCs w:val="1"/>
                <w:color w:val="auto"/>
              </w:rPr>
            </w:pPr>
          </w:p>
        </w:tc>
      </w:tr>
      <w:tr>
        <w:trPr>
          <w:trHeight w:val="192"/>
        </w:trPr>
        <w:tc>
          <w:tcPr>
            <w:tcW w:w="206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Operating loss</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(8,717)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(6,190)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(7,053)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(14,847)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(13,283)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(6,474)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(10,585)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(16,247)</w:t>
            </w:r>
          </w:p>
        </w:tc>
        <w:tc>
          <w:tcPr>
            <w:tcW w:w="0" w:type="dxa"/>
            <w:vAlign w:val="bottom"/>
          </w:tcPr>
          <w:p>
            <w:pPr>
              <w:spacing w:after="0"/>
              <w:rPr>
                <w:sz w:val="1"/>
                <w:szCs w:val="1"/>
                <w:color w:val="auto"/>
              </w:rPr>
            </w:pPr>
          </w:p>
        </w:tc>
      </w:tr>
      <w:tr>
        <w:trPr>
          <w:trHeight w:val="199"/>
        </w:trPr>
        <w:tc>
          <w:tcPr>
            <w:tcW w:w="206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(296)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5"/>
                <w:szCs w:val="15"/>
                <w:color w:val="auto"/>
              </w:rPr>
              <w:t>(388)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5"/>
                <w:szCs w:val="15"/>
                <w:color w:val="auto"/>
              </w:rPr>
              <w:t>(379)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5"/>
                <w:szCs w:val="15"/>
                <w:color w:val="auto"/>
              </w:rPr>
              <w:t>(365)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jc w:val="right"/>
              <w:spacing w:after="0"/>
              <w:rPr>
                <w:sz w:val="20"/>
                <w:szCs w:val="20"/>
                <w:color w:val="auto"/>
              </w:rPr>
            </w:pPr>
            <w:r>
              <w:rPr>
                <w:rFonts w:ascii="Arial" w:cs="Arial" w:eastAsia="Arial" w:hAnsi="Arial"/>
                <w:sz w:val="15"/>
                <w:szCs w:val="15"/>
                <w:color w:val="auto"/>
              </w:rPr>
              <w:t>(273)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(224)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(368)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89"/>
              </w:rPr>
              <w:t>(11)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129"/>
        </w:trPr>
        <w:tc>
          <w:tcPr>
            <w:tcW w:w="2060" w:type="dxa"/>
            <w:vAlign w:val="bottom"/>
            <w:gridSpan w:val="2"/>
          </w:tcPr>
          <w:p>
            <w:pPr>
              <w:ind w:left="420"/>
              <w:spacing w:after="0" w:line="129" w:lineRule="exact"/>
              <w:rPr>
                <w:sz w:val="20"/>
                <w:szCs w:val="20"/>
                <w:color w:val="auto"/>
              </w:rPr>
            </w:pPr>
            <w:r>
              <w:rPr>
                <w:rFonts w:ascii="Arial" w:cs="Arial" w:eastAsia="Arial" w:hAnsi="Arial"/>
                <w:sz w:val="14"/>
                <w:szCs w:val="14"/>
                <w:color w:val="auto"/>
              </w:rPr>
              <w:t>Loss before provision for</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5"/>
                <w:szCs w:val="15"/>
                <w:color w:val="auto"/>
              </w:rPr>
              <w:t>(9,387)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4"/>
            <w:vMerge w:val="restart"/>
          </w:tcPr>
          <w:p>
            <w:pPr>
              <w:jc w:val="right"/>
              <w:spacing w:after="0"/>
              <w:rPr>
                <w:sz w:val="20"/>
                <w:szCs w:val="20"/>
                <w:color w:val="auto"/>
              </w:rPr>
            </w:pPr>
            <w:r>
              <w:rPr>
                <w:rFonts w:ascii="Arial" w:cs="Arial" w:eastAsia="Arial" w:hAnsi="Arial"/>
                <w:sz w:val="15"/>
                <w:szCs w:val="15"/>
                <w:color w:val="auto"/>
              </w:rPr>
              <w:t>(6,589)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5"/>
                <w:szCs w:val="15"/>
                <w:color w:val="auto"/>
              </w:rPr>
              <w:t>(7,244)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right"/>
              <w:spacing w:after="0"/>
              <w:rPr>
                <w:sz w:val="20"/>
                <w:szCs w:val="20"/>
                <w:color w:val="auto"/>
              </w:rPr>
            </w:pPr>
            <w:r>
              <w:rPr>
                <w:rFonts w:ascii="Arial" w:cs="Arial" w:eastAsia="Arial" w:hAnsi="Arial"/>
                <w:sz w:val="15"/>
                <w:szCs w:val="15"/>
                <w:color w:val="auto"/>
              </w:rPr>
              <w:t>(14,941)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vMerge w:val="restart"/>
          </w:tcPr>
          <w:p>
            <w:pPr>
              <w:jc w:val="right"/>
              <w:spacing w:after="0"/>
              <w:rPr>
                <w:sz w:val="20"/>
                <w:szCs w:val="20"/>
                <w:color w:val="auto"/>
              </w:rPr>
            </w:pPr>
            <w:r>
              <w:rPr>
                <w:rFonts w:ascii="Arial" w:cs="Arial" w:eastAsia="Arial" w:hAnsi="Arial"/>
                <w:sz w:val="15"/>
                <w:szCs w:val="15"/>
                <w:color w:val="auto"/>
              </w:rPr>
              <w:t>(13,215)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(6,657)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(11,004)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(16,945)</w:t>
            </w:r>
          </w:p>
        </w:tc>
        <w:tc>
          <w:tcPr>
            <w:tcW w:w="0" w:type="dxa"/>
            <w:vAlign w:val="bottom"/>
          </w:tcPr>
          <w:p>
            <w:pPr>
              <w:spacing w:after="0"/>
              <w:rPr>
                <w:sz w:val="1"/>
                <w:szCs w:val="1"/>
                <w:color w:val="auto"/>
              </w:rPr>
            </w:pPr>
          </w:p>
        </w:tc>
      </w:tr>
      <w:tr>
        <w:trPr>
          <w:trHeight w:val="199"/>
        </w:trPr>
        <w:tc>
          <w:tcPr>
            <w:tcW w:w="2060" w:type="dxa"/>
            <w:vAlign w:val="bottom"/>
            <w:gridSpan w:val="2"/>
          </w:tcPr>
          <w:p>
            <w:pPr>
              <w:ind w:left="560"/>
              <w:spacing w:after="0"/>
              <w:rPr>
                <w:sz w:val="20"/>
                <w:szCs w:val="20"/>
                <w:color w:val="auto"/>
              </w:rPr>
            </w:pPr>
            <w:r>
              <w:rPr>
                <w:rFonts w:ascii="Arial" w:cs="Arial" w:eastAsia="Arial" w:hAnsi="Arial"/>
                <w:sz w:val="15"/>
                <w:szCs w:val="15"/>
                <w:color w:val="auto"/>
              </w:rPr>
              <w:t>income taxes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2"/>
        </w:trPr>
        <w:tc>
          <w:tcPr>
            <w:tcW w:w="2060" w:type="dxa"/>
            <w:vAlign w:val="bottom"/>
            <w:gridSpan w:val="2"/>
          </w:tcPr>
          <w:p>
            <w:pPr>
              <w:ind w:left="420"/>
              <w:spacing w:after="0"/>
              <w:rPr>
                <w:sz w:val="20"/>
                <w:szCs w:val="20"/>
                <w:color w:val="auto"/>
              </w:rPr>
            </w:pPr>
            <w:r>
              <w:rPr>
                <w:rFonts w:ascii="Arial" w:cs="Arial" w:eastAsia="Arial" w:hAnsi="Arial"/>
                <w:sz w:val="15"/>
                <w:szCs w:val="15"/>
                <w:color w:val="auto"/>
              </w:rPr>
              <w:t>Net loss</w:t>
            </w:r>
          </w:p>
        </w:tc>
        <w:tc>
          <w:tcPr>
            <w:tcW w:w="36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color w:val="auto"/>
              </w:rPr>
              <w:t>(9,387)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5"/>
                <w:szCs w:val="15"/>
                <w:color w:val="auto"/>
              </w:rPr>
              <w:t>(6,589)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color w:val="auto"/>
              </w:rPr>
              <w:t>(7,244)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5"/>
                <w:szCs w:val="15"/>
                <w:color w:val="auto"/>
              </w:rPr>
              <w:t>(14,977)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5"/>
                <w:szCs w:val="15"/>
                <w:color w:val="auto"/>
              </w:rPr>
              <w:t>(13,215)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(6,657)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(11,004)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(17,001)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180" w:type="dxa"/>
            <w:vAlign w:val="bottom"/>
            <w:gridSpan w:val="6"/>
          </w:tcPr>
          <w:p>
            <w:pPr>
              <w:ind w:left="300"/>
              <w:spacing w:after="0"/>
              <w:rPr>
                <w:sz w:val="20"/>
                <w:szCs w:val="20"/>
                <w:color w:val="auto"/>
              </w:rPr>
            </w:pPr>
            <w:r>
              <w:rPr>
                <w:rFonts w:ascii="Arial" w:cs="Arial" w:eastAsia="Arial" w:hAnsi="Arial"/>
                <w:sz w:val="17"/>
                <w:szCs w:val="17"/>
                <w:b w:val="1"/>
                <w:bCs w:val="1"/>
                <w:i w:val="1"/>
                <w:iCs w:val="1"/>
                <w:color w:val="auto"/>
                <w:w w:val="97"/>
              </w:rPr>
              <w:t>Key Financial and Operating Metrics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ind w:left="180"/>
              <w:spacing w:after="0"/>
              <w:rPr>
                <w:sz w:val="20"/>
                <w:szCs w:val="20"/>
                <w:color w:val="auto"/>
              </w:rPr>
            </w:pPr>
            <w:r>
              <w:rPr>
                <w:rFonts w:ascii="Arial" w:cs="Arial" w:eastAsia="Arial" w:hAnsi="Arial"/>
                <w:sz w:val="13"/>
                <w:szCs w:val="13"/>
                <w:b w:val="1"/>
                <w:bCs w:val="1"/>
                <w:color w:val="auto"/>
              </w:rPr>
              <w:t>Three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March 31, 2019</w:t>
            </w:r>
          </w:p>
        </w:tc>
        <w:tc>
          <w:tcPr>
            <w:tcW w:w="9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June 30, 2019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jc w:val="right"/>
              <w:ind w:right="46"/>
              <w:spacing w:after="0" w:line="12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1"/>
                <w:szCs w:val="11"/>
                <w:color w:val="auto"/>
              </w:rPr>
            </w:pPr>
          </w:p>
        </w:tc>
        <w:tc>
          <w:tcPr>
            <w:tcW w:w="1200" w:type="dxa"/>
            <w:vAlign w:val="bottom"/>
            <w:gridSpan w:val="6"/>
          </w:tcPr>
          <w:p>
            <w:pPr>
              <w:ind w:left="120"/>
              <w:spacing w:after="0" w:line="129" w:lineRule="exact"/>
              <w:rPr>
                <w:sz w:val="20"/>
                <w:szCs w:val="20"/>
                <w:color w:val="auto"/>
              </w:rPr>
            </w:pPr>
            <w:r>
              <w:rPr>
                <w:rFonts w:ascii="Arial" w:cs="Arial" w:eastAsia="Arial" w:hAnsi="Arial"/>
                <w:sz w:val="13"/>
                <w:szCs w:val="13"/>
                <w:b w:val="1"/>
                <w:bCs w:val="1"/>
                <w:color w:val="auto"/>
              </w:rPr>
              <w:t>December 31,</w:t>
            </w:r>
          </w:p>
        </w:tc>
        <w:tc>
          <w:tcPr>
            <w:tcW w:w="116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auto"/>
              </w:rPr>
              <w:t>March 31, 2020</w:t>
            </w:r>
          </w:p>
        </w:tc>
        <w:tc>
          <w:tcPr>
            <w:tcW w:w="40" w:type="dxa"/>
            <w:vAlign w:val="bottom"/>
          </w:tcPr>
          <w:p>
            <w:pPr>
              <w:spacing w:after="0"/>
              <w:rPr>
                <w:sz w:val="11"/>
                <w:szCs w:val="11"/>
                <w:color w:val="auto"/>
              </w:rPr>
            </w:pPr>
          </w:p>
        </w:tc>
        <w:tc>
          <w:tcPr>
            <w:tcW w:w="1000" w:type="dxa"/>
            <w:vAlign w:val="bottom"/>
            <w:gridSpan w:val="4"/>
            <w:vMerge w:val="restart"/>
          </w:tcPr>
          <w:p>
            <w:pPr>
              <w:jc w:val="right"/>
              <w:ind w:right="140"/>
              <w:spacing w:after="0"/>
              <w:rPr>
                <w:sz w:val="20"/>
                <w:szCs w:val="20"/>
                <w:color w:val="auto"/>
              </w:rPr>
            </w:pPr>
            <w:r>
              <w:rPr>
                <w:rFonts w:ascii="Arial" w:cs="Arial" w:eastAsia="Arial" w:hAnsi="Arial"/>
                <w:sz w:val="13"/>
                <w:szCs w:val="13"/>
                <w:b w:val="1"/>
                <w:bCs w:val="1"/>
                <w:color w:val="auto"/>
                <w:w w:val="99"/>
              </w:rPr>
              <w:t>June 30, 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right"/>
              <w:ind w:right="180"/>
              <w:spacing w:after="0" w:line="129" w:lineRule="exact"/>
              <w:rPr>
                <w:sz w:val="20"/>
                <w:szCs w:val="20"/>
                <w:color w:val="auto"/>
              </w:rPr>
            </w:pPr>
            <w:r>
              <w:rPr>
                <w:rFonts w:ascii="Arial" w:cs="Arial" w:eastAsia="Arial" w:hAnsi="Arial"/>
                <w:sz w:val="13"/>
                <w:szCs w:val="13"/>
                <w:b w:val="1"/>
                <w:bCs w:val="1"/>
                <w:color w:val="auto"/>
              </w:rPr>
              <w:t>September 30,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46"/>
              <w:spacing w:after="0" w:line="12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4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2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Active Buyers (as of period</w:t>
            </w:r>
          </w:p>
        </w:tc>
        <w:tc>
          <w:tcPr>
            <w:tcW w:w="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vMerge w:val="restart"/>
            <w:shd w:val="clear" w:color="auto" w:fill="CCEEFF"/>
          </w:tcPr>
          <w:p>
            <w:pPr>
              <w:jc w:val="right"/>
              <w:ind w:right="105"/>
              <w:spacing w:after="0"/>
              <w:rPr>
                <w:sz w:val="20"/>
                <w:szCs w:val="20"/>
                <w:color w:val="auto"/>
              </w:rPr>
            </w:pPr>
            <w:r>
              <w:rPr>
                <w:rFonts w:ascii="Arial" w:cs="Arial" w:eastAsia="Arial" w:hAnsi="Arial"/>
                <w:sz w:val="15"/>
                <w:szCs w:val="15"/>
                <w:color w:val="auto"/>
              </w:rPr>
              <w:t>679</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vMerge w:val="restart"/>
            <w:shd w:val="clear" w:color="auto" w:fill="CCEEFF"/>
          </w:tcPr>
          <w:p>
            <w:pPr>
              <w:jc w:val="right"/>
              <w:ind w:right="105"/>
              <w:spacing w:after="0"/>
              <w:rPr>
                <w:sz w:val="20"/>
                <w:szCs w:val="20"/>
                <w:color w:val="auto"/>
              </w:rPr>
            </w:pPr>
            <w:r>
              <w:rPr>
                <w:rFonts w:ascii="Arial" w:cs="Arial" w:eastAsia="Arial" w:hAnsi="Arial"/>
                <w:sz w:val="15"/>
                <w:szCs w:val="15"/>
                <w:color w:val="auto"/>
              </w:rPr>
              <w:t>724</w:t>
            </w: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841</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vMerge w:val="restart"/>
            <w:shd w:val="clear" w:color="auto" w:fill="CCEEFF"/>
          </w:tcPr>
          <w:p>
            <w:pPr>
              <w:jc w:val="right"/>
              <w:ind w:right="107"/>
              <w:spacing w:after="0"/>
              <w:rPr>
                <w:sz w:val="20"/>
                <w:szCs w:val="20"/>
                <w:color w:val="auto"/>
              </w:rPr>
            </w:pPr>
            <w:r>
              <w:rPr>
                <w:rFonts w:ascii="Arial" w:cs="Arial" w:eastAsia="Arial" w:hAnsi="Arial"/>
                <w:sz w:val="15"/>
                <w:szCs w:val="15"/>
                <w:color w:val="auto"/>
              </w:rPr>
              <w:t>997</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125"/>
              <w:spacing w:after="0"/>
              <w:rPr>
                <w:sz w:val="20"/>
                <w:szCs w:val="20"/>
                <w:color w:val="auto"/>
              </w:rPr>
            </w:pPr>
            <w:r>
              <w:rPr>
                <w:rFonts w:ascii="Arial" w:cs="Arial" w:eastAsia="Arial" w:hAnsi="Arial"/>
                <w:sz w:val="15"/>
                <w:szCs w:val="15"/>
                <w:color w:val="auto"/>
              </w:rPr>
              <w:t>1,135</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105"/>
              <w:spacing w:after="0"/>
              <w:rPr>
                <w:sz w:val="20"/>
                <w:szCs w:val="20"/>
                <w:color w:val="auto"/>
              </w:rPr>
            </w:pPr>
            <w:r>
              <w:rPr>
                <w:rFonts w:ascii="Arial" w:cs="Arial" w:eastAsia="Arial" w:hAnsi="Arial"/>
                <w:sz w:val="15"/>
                <w:szCs w:val="15"/>
                <w:color w:val="auto"/>
              </w:rPr>
              <w:t>1,240</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5"/>
                <w:szCs w:val="15"/>
                <w:color w:val="auto"/>
              </w:rPr>
              <w:t>1,257</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5"/>
                <w:szCs w:val="15"/>
                <w:color w:val="auto"/>
              </w:rPr>
              <w:t>1,240</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end)</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60" w:type="dxa"/>
            <w:vAlign w:val="bottom"/>
            <w:gridSpan w:val="2"/>
          </w:tcPr>
          <w:p>
            <w:pPr>
              <w:ind w:left="20"/>
              <w:spacing w:after="0" w:line="199" w:lineRule="exact"/>
              <w:rPr>
                <w:sz w:val="20"/>
                <w:szCs w:val="20"/>
                <w:color w:val="auto"/>
              </w:rPr>
            </w:pPr>
            <w:r>
              <w:rPr>
                <w:rFonts w:ascii="Arial" w:cs="Arial" w:eastAsia="Arial" w:hAnsi="Arial"/>
                <w:sz w:val="15"/>
                <w:szCs w:val="15"/>
                <w:color w:val="auto"/>
              </w:rPr>
              <w:t>Active Buyers Growth</w:t>
            </w:r>
            <w:r>
              <w:rPr>
                <w:rFonts w:ascii="Arial" w:cs="Arial" w:eastAsia="Arial" w:hAnsi="Arial"/>
                <w:sz w:val="19"/>
                <w:szCs w:val="19"/>
                <w:color w:val="auto"/>
                <w:vertAlign w:val="superscript"/>
              </w:rPr>
              <w:t>(1)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67 %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71 %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Orders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601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699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957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956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998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1,012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998</w:t>
            </w:r>
          </w:p>
        </w:tc>
        <w:tc>
          <w:tcPr>
            <w:tcW w:w="0" w:type="dxa"/>
            <w:vAlign w:val="bottom"/>
          </w:tcPr>
          <w:p>
            <w:pPr>
              <w:spacing w:after="0"/>
              <w:rPr>
                <w:sz w:val="1"/>
                <w:szCs w:val="1"/>
                <w:color w:val="auto"/>
              </w:rPr>
            </w:pPr>
          </w:p>
        </w:tc>
      </w:tr>
      <w:tr>
        <w:trPr>
          <w:trHeight w:val="199"/>
        </w:trPr>
        <w:tc>
          <w:tcPr>
            <w:tcW w:w="2060" w:type="dxa"/>
            <w:vAlign w:val="bottom"/>
            <w:gridSpan w:val="2"/>
          </w:tcPr>
          <w:p>
            <w:pPr>
              <w:ind w:left="20"/>
              <w:spacing w:after="0" w:line="199" w:lineRule="exact"/>
              <w:rPr>
                <w:sz w:val="20"/>
                <w:szCs w:val="20"/>
                <w:color w:val="auto"/>
              </w:rPr>
            </w:pPr>
            <w:r>
              <w:rPr>
                <w:rFonts w:ascii="Arial" w:cs="Arial" w:eastAsia="Arial" w:hAnsi="Arial"/>
                <w:sz w:val="15"/>
                <w:szCs w:val="15"/>
                <w:color w:val="auto"/>
              </w:rPr>
              <w:t>Orders Growth</w:t>
            </w:r>
            <w:r>
              <w:rPr>
                <w:rFonts w:ascii="Arial" w:cs="Arial" w:eastAsia="Arial" w:hAnsi="Arial"/>
                <w:sz w:val="19"/>
                <w:szCs w:val="19"/>
                <w:color w:val="auto"/>
                <w:vertAlign w:val="superscript"/>
              </w:rPr>
              <w:t>(1)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79 %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59 %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43 %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4 %</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33,107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gridSpan w:val="3"/>
            <w:shd w:val="clear" w:color="auto" w:fill="CCEEFF"/>
          </w:tcPr>
          <w:p>
            <w:pPr>
              <w:jc w:val="right"/>
              <w:ind w:right="105"/>
              <w:spacing w:after="0"/>
              <w:rPr>
                <w:sz w:val="20"/>
                <w:szCs w:val="20"/>
                <w:color w:val="auto"/>
              </w:rPr>
            </w:pPr>
            <w:r>
              <w:rPr>
                <w:rFonts w:ascii="Arial" w:cs="Arial" w:eastAsia="Arial" w:hAnsi="Arial"/>
                <w:sz w:val="15"/>
                <w:szCs w:val="15"/>
                <w:color w:val="auto"/>
              </w:rPr>
              <w:t>40,118</w:t>
            </w:r>
          </w:p>
        </w:tc>
        <w:tc>
          <w:tcPr>
            <w:tcW w:w="280" w:type="dxa"/>
            <w:vAlign w:val="bottom"/>
            <w:gridSpan w:val="3"/>
            <w:shd w:val="clear" w:color="auto" w:fill="CCEEFF"/>
          </w:tcPr>
          <w:p>
            <w:pPr>
              <w:jc w:val="right"/>
              <w:ind w:right="1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45,950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44,637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48,315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47,335</w:t>
            </w: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46,932</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1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43,433</w:t>
            </w:r>
          </w:p>
        </w:tc>
        <w:tc>
          <w:tcPr>
            <w:tcW w:w="0" w:type="dxa"/>
            <w:vAlign w:val="bottom"/>
          </w:tcPr>
          <w:p>
            <w:pPr>
              <w:spacing w:after="0"/>
              <w:rPr>
                <w:sz w:val="1"/>
                <w:szCs w:val="1"/>
                <w:color w:val="auto"/>
              </w:rPr>
            </w:pPr>
          </w:p>
        </w:tc>
      </w:tr>
      <w:tr>
        <w:trPr>
          <w:trHeight w:val="199"/>
        </w:trPr>
        <w:tc>
          <w:tcPr>
            <w:tcW w:w="2060" w:type="dxa"/>
            <w:vAlign w:val="bottom"/>
            <w:gridSpan w:val="2"/>
          </w:tcPr>
          <w:p>
            <w:pPr>
              <w:ind w:left="20"/>
              <w:spacing w:after="0" w:line="199" w:lineRule="exact"/>
              <w:rPr>
                <w:sz w:val="20"/>
                <w:szCs w:val="20"/>
                <w:color w:val="auto"/>
              </w:rPr>
            </w:pPr>
            <w:r>
              <w:rPr>
                <w:rFonts w:ascii="Arial" w:cs="Arial" w:eastAsia="Arial" w:hAnsi="Arial"/>
                <w:sz w:val="15"/>
                <w:szCs w:val="15"/>
                <w:color w:val="auto"/>
              </w:rPr>
              <w:t>Revenue Growth</w:t>
            </w:r>
            <w:r>
              <w:rPr>
                <w:rFonts w:ascii="Arial" w:cs="Arial" w:eastAsia="Arial" w:hAnsi="Arial"/>
                <w:sz w:val="19"/>
                <w:szCs w:val="19"/>
                <w:color w:val="auto"/>
                <w:vertAlign w:val="superscript"/>
              </w:rPr>
              <w:t>(1)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46 %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20,995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gridSpan w:val="3"/>
            <w:shd w:val="clear" w:color="auto" w:fill="CCEEFF"/>
          </w:tcPr>
          <w:p>
            <w:pPr>
              <w:jc w:val="right"/>
              <w:ind w:right="105"/>
              <w:spacing w:after="0"/>
              <w:rPr>
                <w:sz w:val="20"/>
                <w:szCs w:val="20"/>
                <w:color w:val="auto"/>
              </w:rPr>
            </w:pPr>
            <w:r>
              <w:rPr>
                <w:rFonts w:ascii="Arial" w:cs="Arial" w:eastAsia="Arial" w:hAnsi="Arial"/>
                <w:sz w:val="15"/>
                <w:szCs w:val="15"/>
                <w:color w:val="auto"/>
              </w:rPr>
              <w:t>27,597</w:t>
            </w:r>
          </w:p>
        </w:tc>
        <w:tc>
          <w:tcPr>
            <w:tcW w:w="280" w:type="dxa"/>
            <w:vAlign w:val="bottom"/>
            <w:gridSpan w:val="3"/>
            <w:shd w:val="clear" w:color="auto" w:fill="CCEEFF"/>
          </w:tcPr>
          <w:p>
            <w:pPr>
              <w:jc w:val="right"/>
              <w:ind w:right="1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32,534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31,378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32,626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33,011</w:t>
            </w: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32,776</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1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29,735</w:t>
            </w:r>
          </w:p>
        </w:tc>
        <w:tc>
          <w:tcPr>
            <w:tcW w:w="0" w:type="dxa"/>
            <w:vAlign w:val="bottom"/>
          </w:tcPr>
          <w:p>
            <w:pPr>
              <w:spacing w:after="0"/>
              <w:rPr>
                <w:sz w:val="1"/>
                <w:szCs w:val="1"/>
                <w:color w:val="auto"/>
              </w:rPr>
            </w:pPr>
          </w:p>
        </w:tc>
      </w:tr>
      <w:tr>
        <w:trPr>
          <w:trHeight w:val="199"/>
        </w:trPr>
        <w:tc>
          <w:tcPr>
            <w:tcW w:w="2060" w:type="dxa"/>
            <w:vAlign w:val="bottom"/>
            <w:gridSpan w:val="2"/>
          </w:tcPr>
          <w:p>
            <w:pPr>
              <w:ind w:left="20"/>
              <w:spacing w:after="0" w:line="199" w:lineRule="exact"/>
              <w:rPr>
                <w:sz w:val="20"/>
                <w:szCs w:val="20"/>
                <w:color w:val="auto"/>
              </w:rPr>
            </w:pPr>
            <w:r>
              <w:rPr>
                <w:rFonts w:ascii="Arial" w:cs="Arial" w:eastAsia="Arial" w:hAnsi="Arial"/>
                <w:sz w:val="15"/>
                <w:szCs w:val="15"/>
                <w:color w:val="auto"/>
              </w:rPr>
              <w:t>Gross Profit Growth</w:t>
            </w:r>
            <w:r>
              <w:rPr>
                <w:rFonts w:ascii="Arial" w:cs="Arial" w:eastAsia="Arial" w:hAnsi="Arial"/>
                <w:sz w:val="19"/>
                <w:szCs w:val="19"/>
                <w:color w:val="auto"/>
                <w:vertAlign w:val="superscript"/>
              </w:rPr>
              <w:t>(1)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rPr>
              <w:t>(9,387)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gridSpan w:val="3"/>
            <w:shd w:val="clear" w:color="auto" w:fill="CCEEFF"/>
          </w:tcPr>
          <w:p>
            <w:pPr>
              <w:jc w:val="right"/>
              <w:ind w:right="65"/>
              <w:spacing w:after="0"/>
              <w:rPr>
                <w:sz w:val="20"/>
                <w:szCs w:val="20"/>
                <w:color w:val="auto"/>
              </w:rPr>
            </w:pPr>
            <w:r>
              <w:rPr>
                <w:rFonts w:ascii="Arial" w:cs="Arial" w:eastAsia="Arial" w:hAnsi="Arial"/>
                <w:sz w:val="15"/>
                <w:szCs w:val="15"/>
                <w:color w:val="auto"/>
              </w:rPr>
              <w:t>(6,589)</w:t>
            </w:r>
          </w:p>
        </w:tc>
        <w:tc>
          <w:tcPr>
            <w:tcW w:w="280" w:type="dxa"/>
            <w:vAlign w:val="bottom"/>
            <w:gridSpan w:val="3"/>
            <w:shd w:val="clear" w:color="auto" w:fill="CCEEFF"/>
          </w:tcPr>
          <w:p>
            <w:pPr>
              <w:jc w:val="right"/>
              <w:ind w:right="1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(7,244)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(14,977)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(13,215)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(6,657)</w:t>
            </w: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(11,004)</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1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(17,001)</w:t>
            </w:r>
          </w:p>
        </w:tc>
        <w:tc>
          <w:tcPr>
            <w:tcW w:w="0" w:type="dxa"/>
            <w:vAlign w:val="bottom"/>
          </w:tcPr>
          <w:p>
            <w:pPr>
              <w:spacing w:after="0"/>
              <w:rPr>
                <w:sz w:val="1"/>
                <w:szCs w:val="1"/>
                <w:color w:val="auto"/>
              </w:rPr>
            </w:pPr>
          </w:p>
        </w:tc>
      </w:tr>
      <w:tr>
        <w:trPr>
          <w:trHeight w:val="199"/>
        </w:trPr>
        <w:tc>
          <w:tcPr>
            <w:tcW w:w="2060" w:type="dxa"/>
            <w:vAlign w:val="bottom"/>
            <w:gridSpan w:val="2"/>
          </w:tcPr>
          <w:p>
            <w:pPr>
              <w:ind w:left="20"/>
              <w:spacing w:after="0"/>
              <w:rPr>
                <w:sz w:val="20"/>
                <w:szCs w:val="20"/>
                <w:color w:val="auto"/>
              </w:rPr>
            </w:pPr>
            <w:r>
              <w:rPr>
                <w:rFonts w:ascii="Arial" w:cs="Arial" w:eastAsia="Arial" w:hAnsi="Arial"/>
                <w:sz w:val="15"/>
                <w:szCs w:val="15"/>
                <w:color w:val="auto"/>
              </w:rPr>
              <w:t>Net Loss Margin</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(2)</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rPr>
              <w:t>(6,920)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gridSpan w:val="3"/>
            <w:shd w:val="clear" w:color="auto" w:fill="CCEEFF"/>
          </w:tcPr>
          <w:p>
            <w:pPr>
              <w:jc w:val="right"/>
              <w:ind w:right="65"/>
              <w:spacing w:after="0"/>
              <w:rPr>
                <w:sz w:val="20"/>
                <w:szCs w:val="20"/>
                <w:color w:val="auto"/>
              </w:rPr>
            </w:pPr>
            <w:r>
              <w:rPr>
                <w:rFonts w:ascii="Arial" w:cs="Arial" w:eastAsia="Arial" w:hAnsi="Arial"/>
                <w:sz w:val="15"/>
                <w:szCs w:val="15"/>
                <w:color w:val="auto"/>
              </w:rPr>
              <w:t>(4,169)</w:t>
            </w:r>
          </w:p>
        </w:tc>
        <w:tc>
          <w:tcPr>
            <w:tcW w:w="280" w:type="dxa"/>
            <w:vAlign w:val="bottom"/>
            <w:gridSpan w:val="3"/>
            <w:shd w:val="clear" w:color="auto" w:fill="CCEEFF"/>
          </w:tcPr>
          <w:p>
            <w:pPr>
              <w:jc w:val="right"/>
              <w:ind w:right="1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(4,883)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(8,371)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(10,427)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(3,270)</w:t>
            </w: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(7,473)</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1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(12,228)</w:t>
            </w:r>
          </w:p>
        </w:tc>
        <w:tc>
          <w:tcPr>
            <w:tcW w:w="0" w:type="dxa"/>
            <w:vAlign w:val="bottom"/>
          </w:tcPr>
          <w:p>
            <w:pPr>
              <w:spacing w:after="0"/>
              <w:rPr>
                <w:sz w:val="1"/>
                <w:szCs w:val="1"/>
                <w:color w:val="auto"/>
              </w:rPr>
            </w:pPr>
          </w:p>
        </w:tc>
      </w:tr>
      <w:tr>
        <w:trPr>
          <w:trHeight w:val="183"/>
        </w:trPr>
        <w:tc>
          <w:tcPr>
            <w:tcW w:w="2060" w:type="dxa"/>
            <w:vAlign w:val="bottom"/>
            <w:gridSpan w:val="2"/>
          </w:tcPr>
          <w:p>
            <w:pPr>
              <w:ind w:left="20"/>
              <w:spacing w:after="0"/>
              <w:rPr>
                <w:sz w:val="20"/>
                <w:szCs w:val="20"/>
                <w:color w:val="auto"/>
              </w:rPr>
            </w:pPr>
            <w:r>
              <w:rPr>
                <w:rFonts w:ascii="Arial" w:cs="Arial" w:eastAsia="Arial" w:hAnsi="Arial"/>
                <w:sz w:val="15"/>
                <w:szCs w:val="15"/>
                <w:color w:val="auto"/>
              </w:rPr>
              <w:t>Adjusted EBITDA Margin</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20"/>
                <w:szCs w:val="20"/>
                <w:color w:val="auto"/>
              </w:rPr>
            </w:pPr>
            <w:r>
              <w:rPr>
                <w:rFonts w:ascii="Arial" w:cs="Arial" w:eastAsia="Arial" w:hAnsi="Arial"/>
                <w:sz w:val="15"/>
                <w:szCs w:val="15"/>
                <w:color w:val="auto"/>
              </w:rPr>
              <w:t>______________</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growth rates represent percentage growth over the comparative prior year quarter.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25" w:lineRule="exact"/>
        <w:rPr>
          <w:rFonts w:ascii="Arial" w:cs="Arial" w:eastAsia="Arial" w:hAnsi="Arial"/>
          <w:sz w:val="15"/>
          <w:szCs w:val="15"/>
          <w:color w:val="auto"/>
        </w:rPr>
      </w:pPr>
    </w:p>
    <w:p>
      <w:pPr>
        <w:ind w:left="5480"/>
        <w:spacing w:after="0"/>
        <w:rPr>
          <w:rFonts w:ascii="Arial" w:cs="Arial" w:eastAsia="Arial" w:hAnsi="Arial"/>
          <w:sz w:val="15"/>
          <w:szCs w:val="15"/>
          <w:color w:val="auto"/>
        </w:rPr>
      </w:pPr>
      <w:r>
        <w:rPr>
          <w:rFonts w:ascii="Arial" w:cs="Arial" w:eastAsia="Arial" w:hAnsi="Arial"/>
          <w:sz w:val="17"/>
          <w:szCs w:val="17"/>
          <w:color w:val="auto"/>
        </w:rPr>
        <w:t>101</w:t>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(2)  See below for a reconciliation of Adjusted EBITDA to net loss.</w:t>
      </w:r>
    </w:p>
    <w:p>
      <w:pPr>
        <w:spacing w:after="0" w:line="42"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June 30,</w:t>
            </w:r>
          </w:p>
        </w:tc>
        <w:tc>
          <w:tcPr>
            <w:tcW w:w="1180" w:type="dxa"/>
            <w:vAlign w:val="bottom"/>
            <w:gridSpan w:val="3"/>
          </w:tcPr>
          <w:p>
            <w:pPr>
              <w:ind w:left="80"/>
              <w:spacing w:after="0" w:line="129" w:lineRule="exact"/>
              <w:rPr>
                <w:sz w:val="20"/>
                <w:szCs w:val="20"/>
                <w:color w:val="auto"/>
              </w:rPr>
            </w:pPr>
            <w:r>
              <w:rPr>
                <w:rFonts w:ascii="Arial" w:cs="Arial" w:eastAsia="Arial" w:hAnsi="Arial"/>
                <w:sz w:val="13"/>
                <w:szCs w:val="13"/>
                <w:b w:val="1"/>
                <w:bCs w:val="1"/>
                <w:color w:val="auto"/>
              </w:rPr>
              <w:t>September 30,</w:t>
            </w:r>
          </w:p>
        </w:tc>
        <w:tc>
          <w:tcPr>
            <w:tcW w:w="1100" w:type="dxa"/>
            <w:vAlign w:val="bottom"/>
            <w:gridSpan w:val="3"/>
          </w:tcPr>
          <w:p>
            <w:pPr>
              <w:ind w:left="80"/>
              <w:spacing w:after="0" w:line="129"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March 31, 2020</w:t>
            </w:r>
          </w:p>
        </w:tc>
        <w:tc>
          <w:tcPr>
            <w:tcW w:w="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June 30, 2020</w:t>
            </w:r>
          </w:p>
        </w:tc>
        <w:tc>
          <w:tcPr>
            <w:tcW w:w="1180" w:type="dxa"/>
            <w:vAlign w:val="bottom"/>
            <w:gridSpan w:val="3"/>
          </w:tcPr>
          <w:p>
            <w:pPr>
              <w:ind w:left="80"/>
              <w:spacing w:after="0" w:line="129" w:lineRule="exact"/>
              <w:rPr>
                <w:sz w:val="20"/>
                <w:szCs w:val="20"/>
                <w:color w:val="auto"/>
              </w:rPr>
            </w:pPr>
            <w:r>
              <w:rPr>
                <w:rFonts w:ascii="Arial" w:cs="Arial" w:eastAsia="Arial" w:hAnsi="Arial"/>
                <w:sz w:val="13"/>
                <w:szCs w:val="13"/>
                <w:b w:val="1"/>
                <w:bCs w:val="1"/>
                <w:color w:val="auto"/>
              </w:rPr>
              <w:t>September 30,</w:t>
            </w:r>
          </w:p>
        </w:tc>
        <w:tc>
          <w:tcPr>
            <w:tcW w:w="1040" w:type="dxa"/>
            <w:vAlign w:val="bottom"/>
            <w:gridSpan w:val="2"/>
          </w:tcPr>
          <w:p>
            <w:pPr>
              <w:jc w:val="right"/>
              <w:ind w:right="26"/>
              <w:spacing w:after="0" w:line="12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67"/>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2"/>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(9,387)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(7,244)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(14,977)</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(13,215)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(11,004)</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(17,001)</w:t>
            </w:r>
          </w:p>
        </w:tc>
        <w:tc>
          <w:tcPr>
            <w:tcW w:w="0" w:type="dxa"/>
            <w:vAlign w:val="bottom"/>
          </w:tcPr>
          <w:p>
            <w:pPr>
              <w:spacing w:after="0"/>
              <w:rPr>
                <w:sz w:val="1"/>
                <w:szCs w:val="1"/>
                <w:color w:val="auto"/>
              </w:rPr>
            </w:pPr>
          </w:p>
        </w:tc>
      </w:tr>
      <w:tr>
        <w:trPr>
          <w:trHeight w:val="199"/>
        </w:trPr>
        <w:tc>
          <w:tcPr>
            <w:tcW w:w="1960" w:type="dxa"/>
            <w:vAlign w:val="bottom"/>
          </w:tcPr>
          <w:p>
            <w:pPr>
              <w:ind w:left="20"/>
              <w:spacing w:after="0"/>
              <w:rPr>
                <w:sz w:val="20"/>
                <w:szCs w:val="20"/>
                <w:color w:val="auto"/>
              </w:rPr>
            </w:pPr>
            <w:r>
              <w:rPr>
                <w:rFonts w:ascii="Arial" w:cs="Arial" w:eastAsia="Arial" w:hAnsi="Arial"/>
                <w:sz w:val="15"/>
                <w:szCs w:val="15"/>
                <w:color w:val="auto"/>
              </w:rPr>
              <w:t>Add (deduct):</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20"/>
              <w:spacing w:after="0" w:line="149" w:lineRule="exact"/>
              <w:rPr>
                <w:sz w:val="20"/>
                <w:szCs w:val="20"/>
                <w:color w:val="auto"/>
              </w:rPr>
            </w:pPr>
            <w:r>
              <w:rPr>
                <w:rFonts w:ascii="Arial" w:cs="Arial" w:eastAsia="Arial" w:hAnsi="Arial"/>
                <w:sz w:val="15"/>
                <w:szCs w:val="15"/>
                <w:color w:val="auto"/>
              </w:rPr>
              <w:t>Depreciation and</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1,064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1,090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1,198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1,425</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1,713</w:t>
            </w: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amortization</w:t>
            </w: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20"/>
              <w:spacing w:after="0" w:line="149" w:lineRule="exact"/>
              <w:rPr>
                <w:sz w:val="20"/>
                <w:szCs w:val="20"/>
                <w:color w:val="auto"/>
              </w:rPr>
            </w:pPr>
            <w:r>
              <w:rPr>
                <w:rFonts w:ascii="Arial" w:cs="Arial" w:eastAsia="Arial" w:hAnsi="Arial"/>
                <w:sz w:val="15"/>
                <w:szCs w:val="15"/>
                <w:color w:val="auto"/>
              </w:rPr>
              <w:t>Stock-based</w:t>
            </w:r>
          </w:p>
        </w:tc>
        <w:tc>
          <w:tcPr>
            <w:tcW w:w="140" w:type="dxa"/>
            <w:vAlign w:val="bottom"/>
          </w:tcPr>
          <w:p>
            <w:pPr>
              <w:spacing w:after="0"/>
              <w:rPr>
                <w:sz w:val="12"/>
                <w:szCs w:val="12"/>
                <w:color w:val="auto"/>
              </w:rPr>
            </w:pPr>
          </w:p>
        </w:tc>
        <w:tc>
          <w:tcPr>
            <w:tcW w:w="840" w:type="dxa"/>
            <w:vAlign w:val="bottom"/>
            <w:vMerge w:val="restart"/>
          </w:tcPr>
          <w:p>
            <w:pPr>
              <w:jc w:val="right"/>
              <w:ind w:right="7"/>
              <w:spacing w:after="0"/>
              <w:rPr>
                <w:sz w:val="20"/>
                <w:szCs w:val="20"/>
                <w:color w:val="auto"/>
              </w:rPr>
            </w:pPr>
            <w:r>
              <w:rPr>
                <w:rFonts w:ascii="Arial" w:cs="Arial" w:eastAsia="Arial" w:hAnsi="Arial"/>
                <w:sz w:val="15"/>
                <w:szCs w:val="15"/>
                <w:color w:val="auto"/>
              </w:rPr>
              <w:t>681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938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941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7"/>
              <w:spacing w:after="0"/>
              <w:rPr>
                <w:sz w:val="20"/>
                <w:szCs w:val="20"/>
                <w:color w:val="auto"/>
              </w:rPr>
            </w:pPr>
            <w:r>
              <w:rPr>
                <w:rFonts w:ascii="Arial" w:cs="Arial" w:eastAsia="Arial" w:hAnsi="Arial"/>
                <w:sz w:val="15"/>
                <w:szCs w:val="15"/>
                <w:color w:val="auto"/>
              </w:rPr>
              <w:t>5,118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1,442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1,966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5"/>
                <w:szCs w:val="15"/>
                <w:color w:val="auto"/>
              </w:rPr>
              <w:t>1,649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5"/>
                <w:szCs w:val="15"/>
                <w:color w:val="auto"/>
              </w:rPr>
              <w:t>2,279</w:t>
            </w:r>
          </w:p>
        </w:tc>
        <w:tc>
          <w:tcPr>
            <w:tcW w:w="0" w:type="dxa"/>
            <w:vAlign w:val="bottom"/>
          </w:tcPr>
          <w:p>
            <w:pPr>
              <w:spacing w:after="0"/>
              <w:rPr>
                <w:sz w:val="1"/>
                <w:szCs w:val="1"/>
                <w:color w:val="auto"/>
              </w:rPr>
            </w:pPr>
          </w:p>
        </w:tc>
      </w:tr>
      <w:tr>
        <w:trPr>
          <w:trHeight w:val="199"/>
        </w:trPr>
        <w:tc>
          <w:tcPr>
            <w:tcW w:w="1960" w:type="dxa"/>
            <w:vAlign w:val="bottom"/>
          </w:tcPr>
          <w:p>
            <w:pPr>
              <w:ind w:left="360"/>
              <w:spacing w:after="0"/>
              <w:rPr>
                <w:sz w:val="20"/>
                <w:szCs w:val="20"/>
                <w:color w:val="auto"/>
              </w:rPr>
            </w:pPr>
            <w:r>
              <w:rPr>
                <w:rFonts w:ascii="Arial" w:cs="Arial" w:eastAsia="Arial" w:hAnsi="Arial"/>
                <w:sz w:val="15"/>
                <w:szCs w:val="15"/>
                <w:color w:val="auto"/>
              </w:rPr>
              <w:t>compensation</w:t>
            </w: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365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149"/>
        </w:trPr>
        <w:tc>
          <w:tcPr>
            <w:tcW w:w="1960" w:type="dxa"/>
            <w:vAlign w:val="bottom"/>
          </w:tcPr>
          <w:p>
            <w:pPr>
              <w:ind w:left="220"/>
              <w:spacing w:after="0" w:line="149" w:lineRule="exact"/>
              <w:rPr>
                <w:sz w:val="20"/>
                <w:szCs w:val="20"/>
                <w:color w:val="auto"/>
              </w:rPr>
            </w:pPr>
            <w:r>
              <w:rPr>
                <w:rFonts w:ascii="Arial" w:cs="Arial" w:eastAsia="Arial" w:hAnsi="Arial"/>
                <w:sz w:val="15"/>
                <w:szCs w:val="15"/>
                <w:color w:val="auto"/>
              </w:rPr>
              <w:t>Change in fair value of</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60"/>
              <w:spacing w:after="0" w:line="149" w:lineRule="exact"/>
              <w:rPr>
                <w:sz w:val="20"/>
                <w:szCs w:val="20"/>
                <w:color w:val="auto"/>
              </w:rPr>
            </w:pPr>
            <w:r>
              <w:rPr>
                <w:rFonts w:ascii="Arial" w:cs="Arial" w:eastAsia="Arial" w:hAnsi="Arial"/>
                <w:sz w:val="15"/>
                <w:szCs w:val="15"/>
                <w:color w:val="auto"/>
              </w:rPr>
              <w:t>convertible preferred</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5"/>
                <w:szCs w:val="15"/>
                <w:color w:val="auto"/>
              </w:rPr>
              <w:t>89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99"/>
        </w:trPr>
        <w:tc>
          <w:tcPr>
            <w:tcW w:w="1960" w:type="dxa"/>
            <w:vAlign w:val="bottom"/>
          </w:tcPr>
          <w:p>
            <w:pPr>
              <w:ind w:left="360"/>
              <w:spacing w:after="0" w:line="199" w:lineRule="exact"/>
              <w:rPr>
                <w:sz w:val="20"/>
                <w:szCs w:val="20"/>
                <w:color w:val="auto"/>
              </w:rPr>
            </w:pPr>
            <w:r>
              <w:rPr>
                <w:rFonts w:ascii="Arial" w:cs="Arial" w:eastAsia="Arial" w:hAnsi="Arial"/>
                <w:sz w:val="15"/>
                <w:szCs w:val="15"/>
                <w:color w:val="auto"/>
                <w:w w:val="99"/>
              </w:rPr>
              <w:t xml:space="preserve">stock warrant liability </w:t>
            </w:r>
            <w:r>
              <w:rPr>
                <w:rFonts w:ascii="Arial" w:cs="Arial" w:eastAsia="Arial" w:hAnsi="Arial"/>
                <w:sz w:val="19"/>
                <w:szCs w:val="19"/>
                <w:color w:val="auto"/>
                <w:w w:val="99"/>
                <w:vertAlign w:val="superscript"/>
              </w:rPr>
              <w:t>(1)</w:t>
            </w: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20"/>
              <w:spacing w:after="0" w:line="149" w:lineRule="exact"/>
              <w:rPr>
                <w:sz w:val="20"/>
                <w:szCs w:val="20"/>
                <w:color w:val="auto"/>
              </w:rPr>
            </w:pPr>
            <w:r>
              <w:rPr>
                <w:rFonts w:ascii="Arial" w:cs="Arial" w:eastAsia="Arial" w:hAnsi="Arial"/>
                <w:sz w:val="15"/>
                <w:szCs w:val="15"/>
                <w:color w:val="auto"/>
              </w:rPr>
              <w:t>Loss on extinguishment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432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ind w:left="360"/>
              <w:spacing w:after="0" w:line="199" w:lineRule="exact"/>
              <w:rPr>
                <w:sz w:val="20"/>
                <w:szCs w:val="20"/>
                <w:color w:val="auto"/>
              </w:rPr>
            </w:pPr>
            <w:r>
              <w:rPr>
                <w:rFonts w:ascii="Arial" w:cs="Arial" w:eastAsia="Arial" w:hAnsi="Arial"/>
                <w:sz w:val="15"/>
                <w:szCs w:val="15"/>
                <w:color w:val="auto"/>
              </w:rPr>
              <w:t xml:space="preserve">of debt </w:t>
            </w:r>
            <w:r>
              <w:rPr>
                <w:rFonts w:ascii="Arial" w:cs="Arial" w:eastAsia="Arial" w:hAnsi="Arial"/>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20"/>
              <w:spacing w:after="0" w:line="149" w:lineRule="exact"/>
              <w:rPr>
                <w:sz w:val="20"/>
                <w:szCs w:val="20"/>
                <w:color w:val="auto"/>
              </w:rPr>
            </w:pPr>
            <w:r>
              <w:rPr>
                <w:rFonts w:ascii="Arial" w:cs="Arial" w:eastAsia="Arial" w:hAnsi="Arial"/>
                <w:sz w:val="15"/>
                <w:szCs w:val="15"/>
                <w:color w:val="auto"/>
              </w:rPr>
              <w:t>Provision for income</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800" w:type="dxa"/>
            <w:vAlign w:val="bottom"/>
            <w:vMerge w:val="restart"/>
          </w:tcPr>
          <w:p>
            <w:pPr>
              <w:jc w:val="right"/>
              <w:ind w:right="7"/>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9"/>
        </w:trPr>
        <w:tc>
          <w:tcPr>
            <w:tcW w:w="1960" w:type="dxa"/>
            <w:vAlign w:val="bottom"/>
          </w:tcPr>
          <w:p>
            <w:pPr>
              <w:ind w:left="360"/>
              <w:spacing w:after="0"/>
              <w:rPr>
                <w:sz w:val="20"/>
                <w:szCs w:val="20"/>
                <w:color w:val="auto"/>
              </w:rPr>
            </w:pPr>
            <w:r>
              <w:rPr>
                <w:rFonts w:ascii="Arial" w:cs="Arial" w:eastAsia="Arial" w:hAnsi="Arial"/>
                <w:sz w:val="15"/>
                <w:szCs w:val="15"/>
                <w:color w:val="auto"/>
              </w:rPr>
              <w:t>taxes</w:t>
            </w: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(12,228)</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600" w:hanging="302"/>
        <w:spacing w:after="0" w:line="242" w:lineRule="auto"/>
        <w:tabs>
          <w:tab w:leader="none" w:pos="596" w:val="left"/>
        </w:tabs>
        <w:numPr>
          <w:ilvl w:val="0"/>
          <w:numId w:val="70"/>
        </w:numPr>
        <w:rPr>
          <w:rFonts w:ascii="Arial" w:cs="Arial" w:eastAsia="Arial" w:hAnsi="Arial"/>
          <w:sz w:val="15"/>
          <w:szCs w:val="15"/>
          <w:color w:val="auto"/>
        </w:rPr>
      </w:pPr>
      <w:r>
        <w:rPr>
          <w:rFonts w:ascii="Arial" w:cs="Arial" w:eastAsia="Arial" w:hAnsi="Arial"/>
          <w:sz w:val="15"/>
          <w:szCs w:val="15"/>
          <w:color w:val="auto"/>
        </w:rPr>
        <w:t>Our convertible preferred stock warrants are subject to re-measurement at the end of each reporting period and the change in the fair value of the convertible preferred stock warrant liability is included in other income, net in our statement of operations and comprehensive loss. Our convertible preferred stock warrants will be converted to common stock warrants (which will not be subject to remeasurement) and the related convertible preferred stock warrant liability will be reclassified to additional paid-in capital immediately prior to the completion of this offering.</w:t>
      </w:r>
    </w:p>
    <w:p>
      <w:pPr>
        <w:spacing w:after="0" w:line="1" w:lineRule="exact"/>
        <w:rPr>
          <w:rFonts w:ascii="Arial" w:cs="Arial" w:eastAsia="Arial" w:hAnsi="Arial"/>
          <w:sz w:val="15"/>
          <w:szCs w:val="15"/>
          <w:color w:val="auto"/>
        </w:rPr>
      </w:pPr>
    </w:p>
    <w:p>
      <w:pPr>
        <w:jc w:val="both"/>
        <w:ind w:left="600" w:hanging="302"/>
        <w:spacing w:after="0" w:line="249" w:lineRule="auto"/>
        <w:tabs>
          <w:tab w:leader="none" w:pos="596" w:val="left"/>
        </w:tabs>
        <w:numPr>
          <w:ilvl w:val="0"/>
          <w:numId w:val="70"/>
        </w:numPr>
        <w:rPr>
          <w:rFonts w:ascii="Arial" w:cs="Arial" w:eastAsia="Arial" w:hAnsi="Arial"/>
          <w:sz w:val="15"/>
          <w:szCs w:val="15"/>
          <w:color w:val="auto"/>
        </w:rPr>
      </w:pPr>
      <w:r>
        <w:rPr>
          <w:rFonts w:ascii="Arial" w:cs="Arial" w:eastAsia="Arial" w:hAnsi="Arial"/>
          <w:sz w:val="15"/>
          <w:szCs w:val="15"/>
          <w:color w:val="auto"/>
        </w:rPr>
        <w:t>We recorded a loss on the extinguishment of our loan and security agreement with Silicon Valley Bank in February 2019, which is included in other income, net in our statement of operations and comprehensive loss. See Note 7 to our consolidated financial statements included elsewhere in this prospectus for more information.</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Quarterly Trends</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Our quarterly revenue increased for all periods presented through the first quarter of 2020 primarily due to increases in Active Buyers and Orders. Our quarterly revenue decreased in the second through fourth quarters of 2020 primarily due to the impacts of the COVID-19 pandemic. In March 2020, we experienced a 10% reduction in average monthly Orders through our site, as compared to February 2020, which we attribute to the general economic uncertainty at the beginning of the COVID-19 pandemic. Beginning in the second quarter of 2020, we chose to strategically increase discounts and incentives to encourage our existing buyer base to shop with us, as consumers generally prioritize value in times of economic uncertainty. While average monthly Orders have generally returned to pre-COVID-19 pandemic levels, we have not seen growth in Orders or revenue per Order through 2020. As a result, we have experienced an overall reduction in revenue growth rates during the second through fourth quarters of 2020, and that reduction in our revenue growth rates may continue in light of the ongoing impacts of COVID-19.</w:t>
      </w:r>
    </w:p>
    <w:p>
      <w:pPr>
        <w:spacing w:after="0" w:line="12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Our operating expenses increased for all periods presented through the first quarter of 2020 as we scaled to support our growth in operations. In 2020, we implemented several cost-saving measures to address the challenges from the COVID-19 pandemic. For example, in the first quarter of 2020, we temporarily reduced marketing spend while we reevaluated the impact of COVID-19 on consumer demand. Additionally, in April 2020, we reduced salaries by 20% for the vast majority of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employees and in June 2020 we laid off the staff at our three small retail stores and permanently closed our retail stores during 2020.</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each of the first, third and fourth quarters of 2020, our net losses were greater than in the comparable quarterly periods in 2019. This was primarily a result of increased quarterly operating expenses that outpaced growth in gross profit during each of these periods. Our increased quarterly operating expenses were primarily a result of our efforts to increase the number of items available for sale, and increased sales, general and administrative expenses to enhance our back office processes. Our net loss for the second quarter of 2020 was slightly less than the comparable quarterly period in 2019, primarily because of lower growth in our sales, general and administrative expenses on a period over period basis compared to growth in our gross profit on a period over period basis, as a result of cost-saving measures we implemented in the second quarter due to the COVID-19 pandemic, as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55"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6"/>
          <w:szCs w:val="16"/>
          <w:color w:val="auto"/>
        </w:rPr>
        <w:t>As of December 31, 2020, we had cash and cash equivalents of $64.5 million and an accumulated deficit of $252.2 million. Since our founding, we have generated negative cash flows from operations and have primarily financed our operations through private sales of equity securities and debt. We currently have a term loan facility with Western Alliance Bank as discussed below in the section titled “—Contractual Obligations and Commitments.”</w:t>
      </w:r>
    </w:p>
    <w:p>
      <w:pPr>
        <w:spacing w:after="0" w:line="9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expect operating losses and negative cash flows from operations to continue into the foreseeable future as we continue to invest in growing our business and expanding our infrastructure. Our primary use of cash includes operating costs such as distribution center operating costs and product and technology expenses, marketing expenses, personnel expenses and other expenditures necessary to support our operations and our growth. Additionally, our primary capital expenditures are related to the set-up, automation and expansion of our distribution centers. Based upon our current operating plans, we believe that our existing cash and cash equivalents will be sufficient to fund our operations for at least the next twelve months from the date of this prospectus. Our forecast of the period of time through which our financial resources will be adequate to support our operations is a forward-looking statement that involves risks and uncertainties, and actual results could vary materially.</w:t>
      </w:r>
    </w:p>
    <w:p>
      <w:pPr>
        <w:spacing w:after="0" w:line="12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partnerships, the continuing growth of our marketplace and overall economic conditions. We may seek additional equity or debt financing. If we raise equity financing, our stockholders may experience significant dilution of their ownership interests. If we conduct an additional debt financing, the terms of such debt financing may be similar or more restrictive than our current term loan facility and we would have additional debt service obligations. In the event that additional financing is required from outside sources, we may not be able to raise it on terms acceptable to us or at all. If we are unable to raise additional capital when desired, our business, financial condition and results of operations could be harmed. See the section titled “Risk Factors —Risks Relating to Our Business and Industry—We may require additional capital to support business growth, and this capital might not be available or may be available only by diluting existing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Flows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43"/>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4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940" w:type="dxa"/>
            <w:vAlign w:val="bottom"/>
          </w:tcPr>
          <w:p>
            <w:pPr>
              <w:jc w:val="right"/>
              <w:ind w:right="76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(22,490)</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(10,090)</w:t>
            </w:r>
          </w:p>
        </w:tc>
        <w:tc>
          <w:tcPr>
            <w:tcW w:w="80" w:type="dxa"/>
            <w:vAlign w:val="bottom"/>
          </w:tcPr>
          <w:p>
            <w:pPr>
              <w:spacing w:after="0"/>
              <w:rPr>
                <w:sz w:val="18"/>
                <w:szCs w:val="18"/>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center"/>
              <w:ind w:left="460"/>
              <w:spacing w:after="0"/>
              <w:rPr>
                <w:sz w:val="20"/>
                <w:szCs w:val="20"/>
                <w:color w:val="auto"/>
              </w:rPr>
            </w:pPr>
            <w:r>
              <w:rPr>
                <w:rFonts w:ascii="Arial" w:cs="Arial" w:eastAsia="Arial" w:hAnsi="Arial"/>
                <w:sz w:val="17"/>
                <w:szCs w:val="17"/>
                <w:color w:val="auto"/>
                <w:w w:val="97"/>
              </w:rPr>
              <w:t>(19,105)</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(22,016)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460"/>
              <w:spacing w:after="0"/>
              <w:rPr>
                <w:sz w:val="20"/>
                <w:szCs w:val="20"/>
                <w:color w:val="auto"/>
              </w:rPr>
            </w:pPr>
            <w:r>
              <w:rPr>
                <w:rFonts w:ascii="Arial" w:cs="Arial" w:eastAsia="Arial" w:hAnsi="Arial"/>
                <w:sz w:val="17"/>
                <w:szCs w:val="17"/>
                <w:color w:val="auto"/>
                <w:w w:val="97"/>
              </w:rPr>
              <w:t>(19,424)</w:t>
            </w:r>
          </w:p>
        </w:tc>
        <w:tc>
          <w:tcPr>
            <w:tcW w:w="0" w:type="dxa"/>
            <w:vAlign w:val="bottom"/>
          </w:tcPr>
          <w:p>
            <w:pPr>
              <w:spacing w:after="0"/>
              <w:rPr>
                <w:sz w:val="1"/>
                <w:szCs w:val="1"/>
                <w:color w:val="auto"/>
              </w:rPr>
            </w:pPr>
          </w:p>
        </w:tc>
      </w:tr>
      <w:tr>
        <w:trPr>
          <w:trHeight w:val="212"/>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Financing activities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38,970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91,182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500"/>
              <w:spacing w:after="0"/>
              <w:rPr>
                <w:sz w:val="20"/>
                <w:szCs w:val="20"/>
                <w:color w:val="auto"/>
              </w:rPr>
            </w:pPr>
            <w:r>
              <w:rPr>
                <w:rFonts w:ascii="Arial" w:cs="Arial" w:eastAsia="Arial" w:hAnsi="Arial"/>
                <w:sz w:val="17"/>
                <w:szCs w:val="17"/>
                <w:color w:val="auto"/>
                <w:w w:val="96"/>
              </w:rPr>
              <w:t>18,215</w:t>
            </w:r>
          </w:p>
        </w:tc>
        <w:tc>
          <w:tcPr>
            <w:tcW w:w="0" w:type="dxa"/>
            <w:vAlign w:val="bottom"/>
          </w:tcPr>
          <w:p>
            <w:pPr>
              <w:spacing w:after="0"/>
              <w:rPr>
                <w:sz w:val="1"/>
                <w:szCs w:val="1"/>
                <w:color w:val="auto"/>
              </w:rPr>
            </w:pPr>
          </w:p>
        </w:tc>
      </w:tr>
      <w:tr>
        <w:trPr>
          <w:trHeight w:val="142"/>
        </w:trPr>
        <w:tc>
          <w:tcPr>
            <w:tcW w:w="63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940" w:type="dxa"/>
            <w:vAlign w:val="bottom"/>
            <w:vMerge w:val="restart"/>
            <w:shd w:val="clear" w:color="auto" w:fill="CCEEFF"/>
          </w:tcPr>
          <w:p>
            <w:pPr>
              <w:jc w:val="right"/>
              <w:ind w:right="763"/>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(5,536)</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79,838</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center"/>
              <w:ind w:left="460"/>
              <w:spacing w:after="0"/>
              <w:rPr>
                <w:sz w:val="20"/>
                <w:szCs w:val="20"/>
                <w:color w:val="auto"/>
              </w:rPr>
            </w:pPr>
            <w:r>
              <w:rPr>
                <w:rFonts w:ascii="Arial" w:cs="Arial" w:eastAsia="Arial" w:hAnsi="Arial"/>
                <w:sz w:val="17"/>
                <w:szCs w:val="17"/>
                <w:color w:val="auto"/>
                <w:w w:val="97"/>
              </w:rPr>
              <w:t>(20,314)</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ind w:left="160"/>
              <w:spacing w:after="0" w:line="187" w:lineRule="exact"/>
              <w:rPr>
                <w:sz w:val="20"/>
                <w:szCs w:val="20"/>
                <w:color w:val="auto"/>
              </w:rPr>
            </w:pPr>
            <w:r>
              <w:rPr>
                <w:rFonts w:ascii="Arial" w:cs="Arial" w:eastAsia="Arial" w:hAnsi="Arial"/>
                <w:sz w:val="17"/>
                <w:szCs w:val="17"/>
                <w:color w:val="auto"/>
              </w:rPr>
              <w:t>equivalents</w:t>
            </w:r>
          </w:p>
        </w:tc>
        <w:tc>
          <w:tcPr>
            <w:tcW w:w="9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During 2020, net cash used in operating activities was $19.1 million, which consisted of a net loss of $47.9 million, partially offset by non-cash charges of $17.5 million and a net change of $11.3 million in our operating assets and liabilities. The change in operating assets and liabilities is due to a $5.2 million increase in accrued and other current liabilities due mainly to an increase in deferred revenue for loyalty points of $3.5 million and an increase of $ 1.1 million site credit and gift card liabilities, a $ 4.4 million increase in seller payables, and a $3.5 million increase in accounts payable due to the timing of payments and increased operating expenses as we grow our business partially offset by a reduction in operating lease liabilities of $3.8 million.</w:t>
      </w:r>
    </w:p>
    <w:p>
      <w:pPr>
        <w:spacing w:after="0" w:line="122"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During 2019, net cash used in operating activities was $10.1 million, which consisted of a net loss of $38.2 million, partially offset by non-cash charges of $13.0 million and a net change of $15.1 million in our operating assets and liabilities largely driven by an increase of $14.2 million in accrued and other current liabilities. The increase in accrued and other current liabilities is largely due to a $4.7 million increase in site credits and gift card liabilities when we converted $4.0 million seller payables to gift cards in late 2019. Additionally, we experienced a $2.2 million increase in taxes primarily due to sales tax accruals, a $1.8 million increase in accrued marketing consistent with the overall increase in marketing expense as we accelerated marketing spend in order to drive demand and take advantage of expanding capacity in our distribution centers, $1.5 million and $1.8 million increases for deferred revenue and allowance for returns, respectively, consistent with increased sales, and a $1.2 million increase in accrued compensation costs due to increased headcount. Additionally, our inventory balance decreased by $2.3 million as a result of the shift in revenue towards primarily consignment sales in mid-2019, which resulted in less up-front purchases of inventory.</w:t>
      </w:r>
    </w:p>
    <w:p>
      <w:pPr>
        <w:spacing w:after="0" w:line="12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During 2018, net cash used in operating activities was $22.5 million, which consisted of a net loss of $34.2 million, partially offset by non-cash charges of $ 6.8 million and a net change of $4.9 million in our operating assets and liabilities. The change in operating assets and liabilities was driven by an increase of $2.1 million in accounts payable due to increased operating expenses as we grow our business and $2.0 million in accrued and other current liabilities, primarily due to an increase of $1.3 million in sales tax payable and an increase of $0.8 million in site credit liabilities.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Cash Used in Investing Activities</w:t>
      </w:r>
    </w:p>
    <w:p>
      <w:pPr>
        <w:spacing w:after="0" w:line="153" w:lineRule="exact"/>
        <w:rPr>
          <w:sz w:val="20"/>
          <w:szCs w:val="20"/>
          <w:color w:val="auto"/>
        </w:rPr>
      </w:pPr>
    </w:p>
    <w:p>
      <w:pPr>
        <w:jc w:val="both"/>
        <w:ind w:firstLine="299"/>
        <w:spacing w:after="0" w:line="309" w:lineRule="auto"/>
        <w:rPr>
          <w:sz w:val="20"/>
          <w:szCs w:val="20"/>
          <w:color w:val="auto"/>
        </w:rPr>
      </w:pPr>
      <w:r>
        <w:rPr>
          <w:rFonts w:ascii="Arial" w:cs="Arial" w:eastAsia="Arial" w:hAnsi="Arial"/>
          <w:sz w:val="16"/>
          <w:szCs w:val="16"/>
          <w:color w:val="auto"/>
        </w:rPr>
        <w:t>During 2020, net cash used in investing activities was $ 19.4 million, which is attributable entirely to purchases of property and equipment. The majority of the investment in property and equipment is related to the purchase of automation assets for DC06 in Georgia, our newest distribution center.</w:t>
      </w:r>
    </w:p>
    <w:p>
      <w:pPr>
        <w:spacing w:after="0" w:line="74"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During 2019, net cash used in investing activities was $1.3 million, which consisted of additional purchases of property and equipment of $9.5 million, which was partially offset by $8.3 million in maturities of marketable securities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During 2018, net cash used in investing activities was $22.0 million, which consisted of additional purchases of property and equipment of $13.9 million and purchases of marketable securities of $35.1 million, partially offset by $27.0 million in maturities of marketable securities during the period.</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During 2020, net cash provided by financing activities was $18.2 million, which consisted mainly of debt financing proceeds of $18.4 million, net of issuance costs.</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During 2019, net cash provided by financing activities was $91.2 million, which consisted of proceeds of $ 82.5 million from the issuance of convertible preferred stock, net of issuance costs, and debt financing proceeds of $19.8 million, net of issuance costs, partially offset by the repayment of debt of $11.8 million.</w:t>
      </w:r>
    </w:p>
    <w:p>
      <w:pPr>
        <w:spacing w:after="0" w:line="11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During 2018, net cash provided by financing activities was $39.0 million, which primarily consisted of proceeds of $35.6 million from the issuance of convertible preferred stock, net of issuance costs and debt financing proceeds of $6.5 million, net of issuance costs, partially offset by the repayment of debt of $3.1 million.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contractual obligations and commitments as of December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Payments Due by Period</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3"/>
                <w:szCs w:val="13"/>
                <w:b w:val="1"/>
                <w:bCs w:val="1"/>
                <w:color w:val="auto"/>
              </w:rPr>
              <w:t>Less Than 1 Year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9"/>
              </w:rPr>
              <w:t>1 to 3</w:t>
            </w:r>
          </w:p>
        </w:tc>
        <w:tc>
          <w:tcPr>
            <w:tcW w:w="320" w:type="dxa"/>
            <w:vAlign w:val="bottom"/>
          </w:tcPr>
          <w:p>
            <w:pPr>
              <w:spacing w:after="0"/>
              <w:rPr>
                <w:sz w:val="11"/>
                <w:szCs w:val="11"/>
                <w:color w:val="auto"/>
              </w:rPr>
            </w:pPr>
          </w:p>
        </w:tc>
        <w:tc>
          <w:tcPr>
            <w:tcW w:w="1200" w:type="dxa"/>
            <w:vAlign w:val="bottom"/>
            <w:gridSpan w:val="2"/>
          </w:tcPr>
          <w:p>
            <w:pPr>
              <w:ind w:left="220"/>
              <w:spacing w:after="0" w:line="129" w:lineRule="exact"/>
              <w:rPr>
                <w:sz w:val="20"/>
                <w:szCs w:val="20"/>
                <w:color w:val="auto"/>
              </w:rPr>
            </w:pPr>
            <w:r>
              <w:rPr>
                <w:rFonts w:ascii="Arial" w:cs="Arial" w:eastAsia="Arial" w:hAnsi="Arial"/>
                <w:sz w:val="13"/>
                <w:szCs w:val="13"/>
                <w:b w:val="1"/>
                <w:bCs w:val="1"/>
                <w:color w:val="auto"/>
              </w:rPr>
              <w:t>3 to 5</w:t>
            </w:r>
          </w:p>
        </w:tc>
        <w:tc>
          <w:tcPr>
            <w:tcW w:w="260" w:type="dxa"/>
            <w:vAlign w:val="bottom"/>
          </w:tcPr>
          <w:p>
            <w:pPr>
              <w:spacing w:after="0"/>
              <w:rPr>
                <w:sz w:val="11"/>
                <w:szCs w:val="11"/>
                <w:color w:val="auto"/>
              </w:rPr>
            </w:pPr>
          </w:p>
        </w:tc>
        <w:tc>
          <w:tcPr>
            <w:tcW w:w="1180" w:type="dxa"/>
            <w:vAlign w:val="bottom"/>
          </w:tcPr>
          <w:p>
            <w:pPr>
              <w:jc w:val="right"/>
              <w:ind w:right="303"/>
              <w:spacing w:after="0" w:line="12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rPr>
              <w:t>Years</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Years</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6,916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12,292</w:t>
            </w: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Arial" w:cs="Arial" w:eastAsia="Arial" w:hAnsi="Arial"/>
                <w:sz w:val="17"/>
                <w:szCs w:val="17"/>
                <w:color w:val="auto"/>
              </w:rPr>
              <w:t>Term loan, including interest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14,000</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
              <w:spacing w:after="0"/>
              <w:rPr>
                <w:sz w:val="20"/>
                <w:szCs w:val="20"/>
                <w:color w:val="auto"/>
              </w:rPr>
            </w:pPr>
            <w:r>
              <w:rPr>
                <w:rFonts w:ascii="Arial" w:cs="Arial" w:eastAsia="Arial" w:hAnsi="Arial"/>
                <w:sz w:val="17"/>
                <w:szCs w:val="17"/>
                <w:color w:val="auto"/>
              </w:rPr>
              <w:t>17,500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Noncancellable purchase commitments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700" w:type="dxa"/>
            <w:vAlign w:val="bottom"/>
          </w:tcPr>
          <w:p>
            <w:pPr>
              <w:ind w:left="22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78,253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16,084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25,461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rPr>
              <w:t>24,416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12,292</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5"/>
                <w:szCs w:val="15"/>
                <w:color w:val="auto"/>
              </w:rPr>
              <w:t>________________</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Noncancellable purchase commitments primarily consists of $3.6 million for Amazon Web Services and $5.6 million related to the Company’s distribution centers.</w:t>
      </w:r>
    </w:p>
    <w:p>
      <w:pPr>
        <w:spacing w:after="0" w:line="128"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Term Loan</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February 2019, we entered into a loan and security agreement with Western Alliance Bank. We borrowed $20.0 million under this loan and security agreement through December 31, 2019, with $17.6 million principal outstanding as of such date. In May 2020, we and Western Alliance Bank amended the loan and security agreement. We borrowed an additional $13.6 million under this agreement through September 30, 2020, for total outstanding principal under this agreement of $30.0 million as of September 30, 2020.</w:t>
      </w:r>
    </w:p>
    <w:p>
      <w:pPr>
        <w:spacing w:after="0" w:line="11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November 2020, we entered into a second amendment to the loan and security agreement with Western Alliance Bank. In connection with the second amendment to the agreement, we received credit approval to borrow an additional $10.0 million, or up to $40.0 million in aggregate. We then borrowed an additional $5.0 million in November 2020, for a total outstanding principal amount under this agreement of $35.0 million as of November 30, 2020.</w:t>
      </w:r>
    </w:p>
    <w:p>
      <w:pPr>
        <w:spacing w:after="0" w:line="11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Under the amended agreement, the loan maturity date is May 29, 2024 and the interest rate is the greater of either the Wall Street Journal Prime Rate + 1.50% or 5.75% per annum. Additionally, a fee equal to 1% of aggregate borrowings is due upon final payment. The term loan can be prepaid without penalty or premium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The term loan includes affirmative, negative and financial covenants that restrict our ability to, among other things, incur additional indebtedness, make investments, sell or otherwise dispose of assets, pay dividends or repurchase stock. The loan also contains financial and non-financial covenants, which, if not met, allow the lender to call all outstanding borrowings plus accrued interest. The financial covenants include minimum cash and liquidity requirements, a debt service requirement and quarterly minimum net revenue and revenue growth thresholds specified by the term loan. The loan and security facility is secured with a first ranking lien on all corporate assets and a negative pledge on intellectual property. As of December 31, 2019, we were not in compliance with our debt covenants regarding (i) limitations on capital expenditures, (ii) limitations on the maximum principal amount in our existing depository accounts without a control agreement, (iii) the requirement to transfer certain accounts to Western Alliance Bank and (iv) the delivery of financial information in a timely manner. As part of the amendment in May 2020, the existing covenant defaults were waived and the covenants were revised to increase minimum cash and liquidity requirements, extend the timing of debt service requirements and add specific net revenue targets and revenue growth requirements. We were in compliance with the revised covenants as of September 30, 2020.</w:t>
      </w:r>
    </w:p>
    <w:p>
      <w:pPr>
        <w:spacing w:after="0" w:line="109"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In December 2020, we entered into a third amendment to the loan and security agreement with Western Alliance Bank. As part of the amendment in December 2020, the covenants were revised to amend the minimum cash and liquidity requirements, further extend the timing of debt service requirements, amend the specific net revenue targets and revenue growth requirements, and add a capital raising milestone requiring us to raise at least $50.0 million in equity or convertible debt by March 31, 2022, which could be satisfied by this offering. Additionally, the success fee equal to 1.0% of the principal amount borrowed under the agreement was amended to be payable to Western Alliance Bank upon the earlier of payoff of the loan, maturity of the loan or our initial public offering.</w:t>
      </w:r>
    </w:p>
    <w:p>
      <w:pPr>
        <w:spacing w:after="0" w:line="122"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February 2021, we amended and restated the loan and security agreement with Western Alliance Bank to reflect all waivers and amendments to date. Subsequently, the Company borrowed an additional $5.0 million for an aggregate amount of $40.0 million. In connection with the additional $5.0 million draw, the Company issued additional warrant shares for Series E-1 preferred stock in the amount of 15,979 or (i) two percent of the additional advance amount drawn under the Term A loans, divided by (ii) the applicable exercise price at the time the warrant is exercised.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5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the ordinary course of business, we enter into agreements of varying scope and terms pursuant to which we agree to indemnify vendors, lessors, business partners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and comprehensive loss or consolidated statements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any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Qualitative and Quantitative Disclosures about Market Risk</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are exposed to market risks in the ordinary course of our business. These risks primarily include: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As of December 31, 2020, we had unrestricted cash and cash equivalents of $64.5 million, consisting primarily of money market funds, which carry a degree of interest rate risk. Fluctuations in interest rates have not been significant to date.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Fluctuations in interest rates have not been significant to date.</w:t>
      </w:r>
    </w:p>
    <w:p>
      <w:pPr>
        <w:spacing w:after="0" w:line="122"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Interest rates under our loan and security agreement with Western Alliance Bank are tied to the prime rate with a floor of 5.75% and therefore carry interest rate risk. As of December 31, 2020, we had borrowed $ 35.0 million under our loan and security agreement, with $35.0 million principal outstanding as of such date, at an interest rate of 5.75% Fluctuations in interest rates have not been significant to date.</w:t>
      </w:r>
    </w:p>
    <w:p>
      <w:pPr>
        <w:spacing w:after="0" w:line="11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 hypothetical 100 basis point change in interest rates would not have a material impact on our financial condition or results of operations for the periods presented.</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Inflation Risk</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55"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our management to make judgments and estimates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generate revenue from the sale of secondhand women’s and kids’ apparel, shoes and accessories on behalf of sellers. We retain a percentage of the proceeds received as payment for our consignment service. We report consignment revenue on a net basis as an agent and not the gross amount collected from the buyer. We recognize consignment revenue upon purchase of the seller’s secondhand item by the buyer.</w:t>
      </w:r>
    </w:p>
    <w:p>
      <w:pPr>
        <w:spacing w:after="0" w:line="11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also generate revenue from the sale of our purchased inventory which we refer to as product revenue. We sell our purchased inventory through our retail stores, our third-party retail partners and our online marketplace. We recognize product revenue on a gross basis. Online sales and sales to our 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partners are recognized upon shipment of the purchased secondhand items to the buyer. Sales at retail stores are recognized upon checkout and sales of accepted items from goody boxes are recognized upon acceptance, which generally occurs at the same time as payment.</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Both consignment and product revenue are recognized net of discounts, incentives and returns. Sales tax assessed by governmental authorities is excluded from revenue.</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3" w:lineRule="exact"/>
        <w:rPr>
          <w:sz w:val="20"/>
          <w:szCs w:val="20"/>
          <w:color w:val="auto"/>
        </w:rPr>
      </w:pPr>
    </w:p>
    <w:p>
      <w:pPr>
        <w:jc w:val="both"/>
        <w:ind w:firstLine="299"/>
        <w:spacing w:after="0" w:line="309" w:lineRule="auto"/>
        <w:rPr>
          <w:sz w:val="20"/>
          <w:szCs w:val="20"/>
          <w:color w:val="auto"/>
        </w:rPr>
      </w:pPr>
      <w:r>
        <w:rPr>
          <w:rFonts w:ascii="Arial" w:cs="Arial" w:eastAsia="Arial" w:hAnsi="Arial"/>
          <w:sz w:val="16"/>
          <w:szCs w:val="16"/>
          <w:color w:val="auto"/>
        </w:rPr>
        <w:t>We estimate the fair value of stock options granted to employees, non-employees and directors using the Black-Scholes option-pricing model. The fair value of stock options that is expected to vest is recognized as compensation expense on a straight-line basis over the requisite service period.</w:t>
      </w:r>
    </w:p>
    <w:p>
      <w:pPr>
        <w:spacing w:after="0" w:line="74"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Black-Scholes model considers several variables and assumptions in estimating the fair value of stock-based awards. These variables include per share fair value of the underlying common stock, expected term, risk-free interest rate, expected annual dividend yield and expected stock price volatility over the expected term. For all stock options granted to date, we calculated the expected term using the simplified method. We determine volatility using the historical volatility of the stock price of similar publicly traded peer companies. The risk-free interest rate is based on the yield available on U.S. Treasury zero-coupon issues similar in duration to the expected term of the equity-settled award.</w:t>
      </w:r>
    </w:p>
    <w:p>
      <w:pPr>
        <w:spacing w:after="0" w:line="119"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fair value of the shares of common stock underlying the stock options has historically been determined by our board of directors as there was no public market for the common stock. The board of directors determines the fair value of our common stock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For information on recently issued accounting pronouncements, see Note 2 to our consolidated financial statements titled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40"/>
          </w:cols>
          <w:pgMar w:left="320" w:top="118" w:right="339" w:bottom="1440" w:gutter="0" w:footer="0" w:header="0"/>
        </w:sectPr>
      </w:pPr>
    </w:p>
    <w:bookmarkStart w:id="117" w:name="page118"/>
    <w:bookmarkEnd w:id="117"/>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LETTER FROM JAMES REINHART, CO-FOUNDER AND CHIEF EXECUTIVE OFFICER</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 came up with the idea for thredUP in 2009 after staring at a closet full of clothes that I didn’t want to wear anymore. I knew there was value locked up in those clothes and I knew I wasn’t the only one who felt this way. Looking back on that moment, I certainly didn’t appreciate how that insight could eventually UPend innovation in retail, the apparel industry and our environment.</w:t>
      </w:r>
    </w:p>
    <w:p>
      <w:pPr>
        <w:spacing w:after="0" w:line="11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More than 10 years later, not only is thredUP’s platform enabling consumers to buy and sell through our marketplace, but we’re now the vanguard of a movement to help a generation of brands and retailers embrace a more sustainable, circular future.</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 xml:space="preserve">I’m honored and humbled that you would take time to learn more about our approach to building the next generation of resale. In my view, not since the advent of off-price stores has a new model so structurally disruptive come to pass in retail. But this time, I believe that the disruption will serve consumers better </w:t>
      </w:r>
      <w:r>
        <w:rPr>
          <w:rFonts w:ascii="Arial" w:cs="Arial" w:eastAsia="Arial" w:hAnsi="Arial"/>
          <w:sz w:val="17"/>
          <w:szCs w:val="17"/>
          <w:i w:val="1"/>
          <w:iCs w:val="1"/>
          <w:color w:val="auto"/>
        </w:rPr>
        <w:t>and</w:t>
      </w:r>
      <w:r>
        <w:rPr>
          <w:rFonts w:ascii="Arial" w:cs="Arial" w:eastAsia="Arial" w:hAnsi="Arial"/>
          <w:sz w:val="17"/>
          <w:szCs w:val="17"/>
          <w:color w:val="auto"/>
        </w:rPr>
        <w:t xml:space="preserve"> will usher in a more sustainable future for the fashion industry. This last part is very meaningful to thredUP because the environment is one of our most important stakeholders.</w:t>
      </w:r>
    </w:p>
    <w:p>
      <w:pPr>
        <w:spacing w:after="0" w:line="11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Our impact flows from our strategy. I believe that clear strategy is essential to building enduring, transformational companies. Since the earliest days of thredUP, we have been told that our strategy was contrarian. That our commitment to cracking the hardest infrastructure, supply chain and data challenges in the service of a better customer experience was risky or could lead to failure. “Touching things” is hard. “Low price points” are hard. “Single SKUs” is just plain crazy. Yes...We are doing the hard things that meaningfully expand this opportunity and enhance our leadership position. I have been willing to be misunderstood and even underestimated in taking this approach, driven by my belief that businesses that are harder to build in the short-term can have extraordinary long-term impact.</w:t>
      </w:r>
    </w:p>
    <w:p>
      <w:pPr>
        <w:spacing w:after="0" w:line="122"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To help you better understand our vision and strategy, I thought I’d sketch out what I have dubbed the “Do Good Flywheel” (note: I am a visual person and a former teacher, so no offense to you auditory or tactile learners out there! Can’t a guy get a whiteboard?!). The Do Good Flywheel illustrates the three axes upon which our business spins (supply, demand, platform), each helping to drive our competitive advantage and to create the conditions for thredUP’s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86360</wp:posOffset>
            </wp:positionV>
            <wp:extent cx="4930775" cy="2773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30775" cy="277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As thredUP enters life as a public company, I couldn’t be more proud of what we have accomplished. Fortunately, having started this business in the midst of the 2009 financial crisis, I have enough perspective to understand that we are in the early days of this massive transformation in resale and that there is still much work to do. I hope you will join us as we continue to inspire a new generation of consumers to think secondhand first.</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110490</wp:posOffset>
            </wp:positionV>
            <wp:extent cx="1185545" cy="829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85545" cy="82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240"/>
          </w:cols>
          <w:pgMar w:left="320" w:top="1440" w:right="339" w:bottom="1440" w:gutter="0" w:footer="0" w:header="0"/>
        </w:sectPr>
      </w:pPr>
    </w:p>
    <w:bookmarkStart w:id="119" w:name="page120"/>
    <w:bookmarkEnd w:id="11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Mission</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mission is to inspire a new generation of consumers to think secondhand first.</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That means…</w:t>
      </w:r>
    </w:p>
    <w:p>
      <w:pPr>
        <w:spacing w:after="0" w:line="153" w:lineRule="exact"/>
        <w:rPr>
          <w:sz w:val="20"/>
          <w:szCs w:val="20"/>
          <w:color w:val="auto"/>
        </w:rPr>
      </w:pPr>
    </w:p>
    <w:p>
      <w:pPr>
        <w:ind w:left="600" w:hanging="302"/>
        <w:spacing w:after="0" w:line="277" w:lineRule="auto"/>
        <w:tabs>
          <w:tab w:leader="none" w:pos="596"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Enabling a generation of new buyers to effortlessly find high-quality secondhand items from brands they love at incredible prices, while delivering the joy, selection and engagement of online shopping;</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Enabling a generation of new sellers to participate in the resale economy by helping sellers conveniently clean out their closets and earn a payout or a charitable donation receipt for the items they no longer wear; and</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Enabling brands and retailers to deliver modern resale experiences that help their consumers shop in more environmentally sustainable ways.</w:t>
      </w:r>
    </w:p>
    <w:p>
      <w:pPr>
        <w:spacing w:after="0" w:line="164"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are a mission-driven company. Our core business creates a positive impact to the benefit of our buyers, sellers, partners, employees, investors and the environment. Our management team – with an average tenure of nearly seven years – lives our mission every day while maintaining a focus on our long-term vision. This commitment and the transformation of resale are central to our continuing success.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55" w:lineRule="exact"/>
        <w:rPr>
          <w:sz w:val="20"/>
          <w:szCs w:val="20"/>
          <w:color w:val="auto"/>
        </w:rPr>
      </w:pPr>
    </w:p>
    <w:p>
      <w:pPr>
        <w:jc w:val="both"/>
        <w:ind w:firstLine="299"/>
        <w:spacing w:after="0" w:line="241" w:lineRule="auto"/>
        <w:rPr>
          <w:sz w:val="20"/>
          <w:szCs w:val="20"/>
          <w:color w:val="auto"/>
        </w:rPr>
      </w:pPr>
      <w:r>
        <w:rPr>
          <w:rFonts w:ascii="Arial" w:cs="Arial" w:eastAsia="Arial" w:hAnsi="Arial"/>
          <w:sz w:val="17"/>
          <w:szCs w:val="17"/>
          <w:color w:val="auto"/>
        </w:rPr>
        <w:t>thredUP is one of the world’s largest online resale platforms for women’s and kids’ apparel, shoes and accessories. Our custom-built operating platform is powering the rapidly emerging resale economy, the fastest growing sector in retail, according to the GlobalData Market Survey. As of December 31, 2020, we had 1.24 million Active Buyers and 428,000 Active Sellers. thredUP’s platform consists of distributed processing infrastructure, proprietary software and systems and data science expertise. Since our founding in 2009, we have processed over 100 million unique secondhand items from 35,000 brands across 100 categories, saving our buyers an estimated $3.3 billion off estimated retail price. We estimate that we have positively impacted the environment by saving 1.0 billion pounds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2.0 billion kWh of energy and 4.4 billion gallons of water simply by empowering consumers to buy and sell secondhand. The traditional fashion industry is one of the most environmentally damaging sectors in the global economy and we believe our scalable resale business model is a powerful solution to the fashion industry’s wastefulness.</w:t>
      </w:r>
    </w:p>
    <w:p>
      <w:pPr>
        <w:spacing w:after="0" w:line="126"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RaaS offering. We believe RaaS will accelerate the growth of this emerging category and form the backbone of the modern resale experience.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built a differentiated and defensible operating platform to enable resale at scale, combining:</w:t>
      </w:r>
    </w:p>
    <w:p>
      <w:pPr>
        <w:spacing w:after="0" w:line="151" w:lineRule="exact"/>
        <w:rPr>
          <w:sz w:val="20"/>
          <w:szCs w:val="20"/>
          <w:color w:val="auto"/>
        </w:rPr>
      </w:pPr>
    </w:p>
    <w:p>
      <w:pPr>
        <w:ind w:left="600" w:hanging="302"/>
        <w:spacing w:after="0" w:line="279" w:lineRule="auto"/>
        <w:tabs>
          <w:tab w:leader="none" w:pos="596"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Distributed Processing Infrastructure. </w:t>
      </w:r>
      <w:r>
        <w:rPr>
          <w:rFonts w:ascii="Arial" w:cs="Arial" w:eastAsia="Arial" w:hAnsi="Arial"/>
          <w:sz w:val="17"/>
          <w:szCs w:val="17"/>
          <w:color w:val="auto"/>
        </w:rPr>
        <w:t>Our infrastructure is purpose-built for “single SKU” logistics, meaning that every item processed is</w:t>
      </w:r>
      <w:r>
        <w:rPr>
          <w:rFonts w:ascii="Arial" w:cs="Arial" w:eastAsia="Arial" w:hAnsi="Arial"/>
          <w:sz w:val="17"/>
          <w:szCs w:val="17"/>
          <w:b w:val="1"/>
          <w:bCs w:val="1"/>
          <w:color w:val="auto"/>
        </w:rPr>
        <w:t xml:space="preserve"> </w:t>
      </w:r>
      <w:r>
        <w:rPr>
          <w:rFonts w:ascii="Arial" w:cs="Arial" w:eastAsia="Arial" w:hAnsi="Arial"/>
          <w:sz w:val="17"/>
          <w:szCs w:val="17"/>
          <w:color w:val="auto"/>
        </w:rPr>
        <w:t>unique, came from or belongs to an individual seller and is individually tracked using its own SKU. We believe our logistics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00"/>
        <w:spacing w:after="0" w:line="255" w:lineRule="auto"/>
        <w:rPr>
          <w:sz w:val="20"/>
          <w:szCs w:val="20"/>
          <w:color w:val="auto"/>
        </w:rPr>
      </w:pPr>
      <w:r>
        <w:rPr>
          <w:rFonts w:ascii="Arial" w:cs="Arial" w:eastAsia="Arial" w:hAnsi="Arial"/>
          <w:sz w:val="17"/>
          <w:szCs w:val="17"/>
          <w:color w:val="auto"/>
        </w:rPr>
        <w:t>have never been executed at our scale in the online resale market. We operate distribution centers that can collectively hold 5.5 million items in three strategic locations across the country. Our operations are highly scalable, and we have the ability to process more than 100,000 unique SKUs per day across our existing distribution footprint. We drive continuous operational efficiency through proprietary technology and ongoing automation of our infrastructure.</w:t>
      </w:r>
    </w:p>
    <w:p>
      <w:pPr>
        <w:spacing w:after="0" w:line="113" w:lineRule="exact"/>
        <w:rPr>
          <w:sz w:val="20"/>
          <w:szCs w:val="20"/>
          <w:color w:val="auto"/>
        </w:rPr>
      </w:pPr>
    </w:p>
    <w:p>
      <w:pPr>
        <w:jc w:val="both"/>
        <w:ind w:left="600" w:hanging="302"/>
        <w:spacing w:after="0" w:line="251" w:lineRule="auto"/>
        <w:tabs>
          <w:tab w:leader="none" w:pos="596"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Proprietary Software and Systems. </w:t>
      </w:r>
      <w:r>
        <w:rPr>
          <w:rFonts w:ascii="Arial" w:cs="Arial" w:eastAsia="Arial" w:hAnsi="Arial"/>
          <w:sz w:val="17"/>
          <w:szCs w:val="17"/>
          <w:color w:val="auto"/>
        </w:rPr>
        <w:t>Our facilities run on a suite of our custom-built applications designed for “single SKU” operations. Our</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engineering team has implemented large-scale, innovative and patented automation for put-away, storage, picking and packing at scale. This automation results in reduced labor and fixed costs while increasing storage density and throughput capacity. Our proprietary software, systems and processes enable efficient quality assurance, item-attribution, sizing and photography. As we continue to scale this modern resale experience, our continuous improvement cycle drives increased throughput and we expect average order contribution margins to improve over time.</w:t>
      </w:r>
    </w:p>
    <w:p>
      <w:pPr>
        <w:spacing w:after="0" w:line="117" w:lineRule="exact"/>
        <w:rPr>
          <w:rFonts w:ascii="Arial" w:cs="Arial" w:eastAsia="Arial" w:hAnsi="Arial"/>
          <w:sz w:val="17"/>
          <w:szCs w:val="17"/>
          <w:color w:val="auto"/>
        </w:rPr>
      </w:pPr>
    </w:p>
    <w:p>
      <w:pPr>
        <w:jc w:val="both"/>
        <w:ind w:left="600" w:hanging="302"/>
        <w:spacing w:after="0" w:line="253" w:lineRule="auto"/>
        <w:tabs>
          <w:tab w:leader="none" w:pos="596"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Data Science Expertise. </w:t>
      </w:r>
      <w:r>
        <w:rPr>
          <w:rFonts w:ascii="Arial" w:cs="Arial" w:eastAsia="Arial" w:hAnsi="Arial"/>
          <w:sz w:val="17"/>
          <w:szCs w:val="17"/>
          <w:color w:val="auto"/>
        </w:rPr>
        <w:t>There are no barcodes on clothing, so we invented a real-time database to identify, categorize and value each</w:t>
      </w:r>
      <w:r>
        <w:rPr>
          <w:rFonts w:ascii="Arial" w:cs="Arial" w:eastAsia="Arial" w:hAnsi="Arial"/>
          <w:sz w:val="17"/>
          <w:szCs w:val="17"/>
          <w:b w:val="1"/>
          <w:bCs w:val="1"/>
          <w:color w:val="auto"/>
        </w:rPr>
        <w:t xml:space="preserve"> </w:t>
      </w:r>
      <w:r>
        <w:rPr>
          <w:rFonts w:ascii="Arial" w:cs="Arial" w:eastAsia="Arial" w:hAnsi="Arial"/>
          <w:sz w:val="17"/>
          <w:szCs w:val="17"/>
          <w:color w:val="auto"/>
        </w:rPr>
        <w:t>secondhand clothing item that we receive. We continue to expand our proprietary data set that spans over 100 million unique secondhand items processed across 35,000 brands and 100 categories. We harness this robust, structured data set across our business to optimize economic decisions, such as pricing, seller payouts, item acceptance, merchandising and sell-through. We also leverage data to power efficient customer acquisition and lifetime engagement, and to provide a personalized shopping experience.</w:t>
      </w:r>
    </w:p>
    <w:p>
      <w:pPr>
        <w:spacing w:after="0" w:line="116"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Our managed marketplace unlocks valuable clothing supply from sellers and increases demand for high-quality online resale items. We take items that previously had minimal value and were sitting idle in closets, and we create value for sellers in an environmentally-friendly manner by enabling longer useful lives for their secondhand items. Because of the value and convenience sellers get with thredUP, we attract high-quality supply without directly spending money to acquire sellers. Sellers choose our managed marketplace to conveniently clean out their closets and earn a payout that can be received in the form of cash, thredUP online credits, select RaaS partner credits or a charitable donation receipt. Sellers send their secondhand items to our distribution centers, and we then process items using our proprietary operating platform. We provide end-to-end resale services for sellers using our platform, including managing item selection and pricing, merchandising, fulfillment, payments and customer service. We offer great brands at great prices in an ever-changing assortment, creating a fun shopping experience for our buyers. Since our items are secondhand and more affordably priced, our buyers can feel good when they shop.</w:t>
      </w:r>
    </w:p>
    <w:p>
      <w:pPr>
        <w:spacing w:after="0" w:line="123"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In 2018, we expanded our platform to drive sustainability for the broader apparel ecosystem. Our partners look to our RaaS offering to meet a variety of objectives that require specific resale expertise and infrastructure, most of which they cannot do themselves. Utilizing our operations, software and data, we have tailored our offerings for RaaS partners to provide a real-time feed of items on our marketplace to their websites, power their closet clean out services, add our assortment to their physical stores or promote customer loyalty through partner credits from Clean Out Kits. We have also helped our partners sell their worn, returned inventory through our marketplace. As of December 31, 2020, we worked with 21 RaaS partners, and we are rapidly growing our RaaS offering as more brands and retailers recognize the importance of resale in the minds of their current and future customers.</w:t>
      </w:r>
    </w:p>
    <w:p>
      <w:pPr>
        <w:spacing w:after="0" w:line="107"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generate revenue from items that are sold to buyers on our website and mobile app and through our RaaS partners. We operate with consignment sales and direct product sales. In 2019, we shifted to primarily consignment sales. With consignment sales, we recognize revenue net of seller payouts, and cost of revenue includes outbound shipping, outbound labor and packaging costs. With direct product sales, we recognize revenue on a gross basis, and cost of revenue includes inventory cost, inbound shipping and inventory write-downs, as well as outbound shipping, outbound labor and packaging costs. With both consignment sales and direct product sales, we optimize for gross profit dollar growth, which was 43% in 2018, 44% in 2019 and 14% in 2020. 2020 gross profit dollar growth slowed primarily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overall impact of the COVID-19 pandemic, including lower demand for apparel in general, higher discounts and incentives plus fewer secondhand items being listed for sale on our marketplace.</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Our buyers pay us upfront when they purchase an item. For items held on consignment, after the end of the 14-day return window for buyers, we credit our sellers’ accounts with their seller payout. Our sellers then take an average of more than 60 days to use their funds, which results in a working capital dynamic that is favorable for our business given that the buyers pay us upon purchase. We have methodically scaled operating capacity and revenue, while increasing gross profit and improving our operating performance.</w:t>
      </w:r>
    </w:p>
    <w:p>
      <w:pPr>
        <w:spacing w:after="0" w:line="115" w:lineRule="exact"/>
        <w:rPr>
          <w:sz w:val="20"/>
          <w:szCs w:val="20"/>
          <w:color w:val="auto"/>
        </w:rPr>
      </w:pPr>
    </w:p>
    <w:p>
      <w:pPr>
        <w:jc w:val="both"/>
        <w:ind w:left="600" w:hanging="302"/>
        <w:spacing w:after="0" w:line="255" w:lineRule="auto"/>
        <w:tabs>
          <w:tab w:leader="none" w:pos="596"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of December 31, 2020, we had 1.24 million Active Buyers, up 24% over December 31, 2019, and 428,000 Active Sellers, down 4% from December 31, 2019. Active Sellers decreased primarily because, beginning in July 2020, we temporarily limited the number of Clean Out Kits available for sellers in order to manage the number of unprocessed Clean Out Kits resulting from the impacts of COVID-19 on our processing capacity.</w:t>
      </w:r>
    </w:p>
    <w:p>
      <w:pPr>
        <w:spacing w:after="0" w:line="114" w:lineRule="exact"/>
        <w:rPr>
          <w:rFonts w:ascii="Arial" w:cs="Arial" w:eastAsia="Arial" w:hAnsi="Arial"/>
          <w:sz w:val="17"/>
          <w:szCs w:val="17"/>
          <w:color w:val="auto"/>
        </w:rPr>
      </w:pPr>
    </w:p>
    <w:p>
      <w:pPr>
        <w:ind w:left="600" w:hanging="30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of December 31, 2020, our distribution centers could hold 5.5 million items.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Our revenue was $186.0 million in 2020, up 14% over 2019. Our consignment revenue was $138.1 million in 2020, up 41% over 2019.</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75"/>
        </w:numPr>
        <w:rPr>
          <w:rFonts w:ascii="Arial" w:cs="Arial" w:eastAsia="Arial" w:hAnsi="Arial"/>
          <w:sz w:val="17"/>
          <w:szCs w:val="17"/>
          <w:color w:val="auto"/>
        </w:rPr>
      </w:pPr>
      <w:r>
        <w:rPr>
          <w:rFonts w:ascii="Arial" w:cs="Arial" w:eastAsia="Arial" w:hAnsi="Arial"/>
          <w:sz w:val="17"/>
          <w:szCs w:val="17"/>
          <w:color w:val="auto"/>
        </w:rPr>
        <w:t>Our gross profit was $128.1 million in 2020, up 14% over 2019. Our overall gross margin was 69% in 2020 and 2019. Our consignment gross margin was 75% in 2020, as compared to 77% in 2019.</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Our net loss was $47.9 million in 2020 and $38.2 million in 2019. Our net loss margin was 26% in 2020 and 23% in 2019.</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2020, our Adjusted EBITDA was $(33.4) million with an Adjusted EBITDA margin of (18)%. In 2019, our Adjusted EBITDA was $(24.3) million with an Adjusted EBITDA margin of (15)%.</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 Opportunity</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believe that we are in the early stages of capitalizing on a large and growing market opportunity in secondhand clothing. Our market benefits from, and we are helping to drive, powerful consumer trends in our favor. Our addressable opportunity is represented by the following demand and supply-side market sizing:</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U.S. Demand-Side Secondhand Total Addressable Market</w:t>
      </w:r>
    </w:p>
    <w:p>
      <w:pPr>
        <w:spacing w:after="0" w:line="15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According to the GlobalData Market Survey, the demand-side market for all U.S. secondhand clothing, footwear and accessories was estimated to be $28 billion in 2019. This market is expected to grow to $64 billion by 2024, representing a compound annual growth rate of 18%. This projected expansion in the secondhand market implies that the segment could become 17% of total retail clothing, footwear and accessories spend by 2024, up from 7% in 2019.</w:t>
      </w:r>
    </w:p>
    <w:p>
      <w:pPr>
        <w:spacing w:after="0" w:line="11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The secondhand market consists of resale and thrift apparel, footwear and accessories. The primary difference between resale and thrift is that resale items are selectively sorted, processed and curated for sale by sellers. Resale represents the fastest growing segment in the total retail clothing market and is our core addressable market today. According to the GlobalData Market Survey, the resale market is expected to grow from $7 billion in 2019 to $36 billion by 2024, representing a compound annual growth rate of 39%. We believe resale is driving a significant expansion of the secondhand market because it unlocks dormant, high-quality supply by taking the friction out of selling, and provides a buying experience for consumers that is similar to shopping new.</w:t>
      </w:r>
    </w:p>
    <w:p>
      <w:pPr>
        <w:spacing w:after="0" w:line="122"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In addition, more of the secondhand market is expected to move online. According to the GlobalData Market Survey, only 25% of the total secondhand market was sold through online channels in 2019.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percentage is expected to reach 44% by 2024 as buyers continue to shift secondhand buying to online channels and declining foot traffic impacts the ability to reach consumers through physical stores.</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U.S. Supply-Side Secondhand Total Addressable Market</w:t>
      </w:r>
    </w:p>
    <w:p>
      <w:pPr>
        <w:spacing w:after="0" w:line="15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believe there is a massive opportunity to unlock secondhand supply and increase the lifecycle of existing apparel that sits unworn in closets. The Environmental Protection Agency estimates that 17.8 billion pounds of clothing and footwear were landfilled in the United States in 2017, which is the equivalent of nearly 55 pounds per person when applied to the 325 million people in the U.S. population in 2017. According to the Secondary Materials and Recycled Textiles Association, nearly 95% of used apparel and textiles can be recycled and reused. Based on these figures, we estimate that 16.9 billion pounds of the apparel thrown away in the United States could be recycled and reused, which we estimate is enough supply to fill approximately one billion thredUP Clean Out bags every year. In 2020, we processed just over one million bags through our platform, which represents less than 0.1% of this potential supply we could unlock from closets in the United States.</w:t>
      </w:r>
    </w:p>
    <w:p>
      <w:pPr>
        <w:spacing w:after="0" w:line="12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believe we are in the early stages of unlocking this valuable supply opportunity from closets across the United States. According to the GlobalData April 2020 Consumer Survey, only 18% of consumers have resold clothing, and 81% of consumers that have not resold clothing have said they are open to doing so. By doing so, we believe that sellers will be able to successfully make room in their closets, utilize resale as part of a solution to fashion waste, and generate income to refresh their closets.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Trends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This secondhand market opportunity is underpinned by the convergence of the following consumer trends:</w:t>
      </w:r>
    </w:p>
    <w:p>
      <w:pPr>
        <w:spacing w:after="0" w:line="151" w:lineRule="exact"/>
        <w:rPr>
          <w:sz w:val="20"/>
          <w:szCs w:val="20"/>
          <w:color w:val="auto"/>
        </w:rPr>
      </w:pPr>
    </w:p>
    <w:p>
      <w:pPr>
        <w:jc w:val="both"/>
        <w:ind w:left="600" w:hanging="302"/>
        <w:spacing w:after="0" w:line="253" w:lineRule="auto"/>
        <w:tabs>
          <w:tab w:leader="none" w:pos="596"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Generational Shift. </w:t>
      </w:r>
      <w:r>
        <w:rPr>
          <w:rFonts w:ascii="Arial" w:cs="Arial" w:eastAsia="Arial" w:hAnsi="Arial"/>
          <w:sz w:val="17"/>
          <w:szCs w:val="17"/>
          <w:color w:val="auto"/>
        </w:rPr>
        <w:t>More Millennial and Generation Z consumers are driving the shift to secondhand each year. As these consumers mature,</w:t>
      </w:r>
      <w:r>
        <w:rPr>
          <w:rFonts w:ascii="Arial" w:cs="Arial" w:eastAsia="Arial" w:hAnsi="Arial"/>
          <w:sz w:val="17"/>
          <w:szCs w:val="17"/>
          <w:b w:val="1"/>
          <w:bCs w:val="1"/>
          <w:color w:val="auto"/>
        </w:rPr>
        <w:t xml:space="preserve"> </w:t>
      </w:r>
      <w:r>
        <w:rPr>
          <w:rFonts w:ascii="Arial" w:cs="Arial" w:eastAsia="Arial" w:hAnsi="Arial"/>
          <w:sz w:val="17"/>
          <w:szCs w:val="17"/>
          <w:color w:val="auto"/>
        </w:rPr>
        <w:t>generate more disposable income and become a larger portion of consumer wallet share, we expect that secondhand will benefit. According to the GlobalData January 2020 Consumer Survey, Millennial and Generation Z consumers are adopting secondhand faster than any other age group. In addition, they are shopping secondhand at higher rates each year. 40% of Generation Z and 30% of Millennials purchased secondhand in 2019, which is 14 percentage points and 9 percentage points more, respectively, than in 2016.</w:t>
      </w:r>
    </w:p>
    <w:p>
      <w:pPr>
        <w:spacing w:after="0" w:line="160"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Young Shoppers are Adopting Secondhand Fashion</w:t>
      </w:r>
    </w:p>
    <w:p>
      <w:pPr>
        <w:ind w:left="2060"/>
        <w:spacing w:after="0"/>
        <w:rPr>
          <w:sz w:val="20"/>
          <w:szCs w:val="20"/>
          <w:color w:val="auto"/>
        </w:rPr>
      </w:pPr>
      <w:r>
        <w:rPr>
          <w:rFonts w:ascii="Arial" w:cs="Arial" w:eastAsia="Arial" w:hAnsi="Arial"/>
          <w:sz w:val="23"/>
          <w:szCs w:val="23"/>
          <w:color w:val="auto"/>
        </w:rPr>
        <w:t>Faster than Any Other Age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99695</wp:posOffset>
            </wp:positionV>
            <wp:extent cx="493077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30775" cy="762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297180</wp:posOffset>
            </wp:positionV>
            <wp:extent cx="2054225" cy="15963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422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Source: GlobalData January 2020 Consumer Survey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00" w:hanging="302"/>
        <w:spacing w:after="0" w:line="253" w:lineRule="auto"/>
        <w:tabs>
          <w:tab w:leader="none" w:pos="596"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Sustainability Matters. </w:t>
      </w:r>
      <w:r>
        <w:rPr>
          <w:rFonts w:ascii="Arial" w:cs="Arial" w:eastAsia="Arial" w:hAnsi="Arial"/>
          <w:sz w:val="17"/>
          <w:szCs w:val="17"/>
          <w:color w:val="auto"/>
        </w:rPr>
        <w:t>Conscious consumerism is on the rise. Whether it is the cars we buy, the water we drink, the makeup we wear or the</w:t>
      </w:r>
      <w:r>
        <w:rPr>
          <w:rFonts w:ascii="Arial" w:cs="Arial" w:eastAsia="Arial" w:hAnsi="Arial"/>
          <w:sz w:val="17"/>
          <w:szCs w:val="17"/>
          <w:b w:val="1"/>
          <w:bCs w:val="1"/>
          <w:color w:val="auto"/>
        </w:rPr>
        <w:t xml:space="preserve"> </w:t>
      </w:r>
      <w:r>
        <w:rPr>
          <w:rFonts w:ascii="Arial" w:cs="Arial" w:eastAsia="Arial" w:hAnsi="Arial"/>
          <w:sz w:val="17"/>
          <w:szCs w:val="17"/>
          <w:color w:val="auto"/>
        </w:rPr>
        <w:t>food we eat, consumers increasingly care about the impact their choices are making on the environment. In the same way that consumers formed habits around recycling to help the environment, we believe that thredUP will help drive a habit shift among consumers to think secondhand first. According to the GlobalData April 2020 and January 2019 Consumer Surveys, 43% of consumers in 2020 said they plan to spend more with sustainable brands within the next five years, a 2.4 times increase from 2019.</w:t>
      </w:r>
    </w:p>
    <w:p>
      <w:pPr>
        <w:spacing w:after="0" w:line="160"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Nearly 2.4x More Consumers Plan to Shift Their</w:t>
      </w:r>
    </w:p>
    <w:p>
      <w:pPr>
        <w:ind w:left="2060"/>
        <w:spacing w:after="0"/>
        <w:rPr>
          <w:sz w:val="20"/>
          <w:szCs w:val="20"/>
          <w:color w:val="auto"/>
        </w:rPr>
      </w:pPr>
      <w:r>
        <w:rPr>
          <w:rFonts w:ascii="Arial" w:cs="Arial" w:eastAsia="Arial" w:hAnsi="Arial"/>
          <w:sz w:val="23"/>
          <w:szCs w:val="23"/>
          <w:color w:val="auto"/>
        </w:rPr>
        <w:t>Spend to Sustainable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99695</wp:posOffset>
            </wp:positionV>
            <wp:extent cx="493077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307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Source: GlobalData April 2020 and January 2019 Consumer Surveys</w:t>
      </w:r>
    </w:p>
    <w:p>
      <w:pPr>
        <w:spacing w:after="0" w:line="127" w:lineRule="exact"/>
        <w:rPr>
          <w:sz w:val="20"/>
          <w:szCs w:val="20"/>
          <w:color w:val="auto"/>
        </w:rPr>
      </w:pPr>
    </w:p>
    <w:p>
      <w:pPr>
        <w:jc w:val="both"/>
        <w:ind w:left="600" w:hanging="302"/>
        <w:spacing w:after="0" w:line="250" w:lineRule="auto"/>
        <w:tabs>
          <w:tab w:leader="none" w:pos="596"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Secondhand Becomes Mainstream. </w:t>
      </w:r>
      <w:r>
        <w:rPr>
          <w:rFonts w:ascii="Arial" w:cs="Arial" w:eastAsia="Arial" w:hAnsi="Arial"/>
          <w:sz w:val="17"/>
          <w:szCs w:val="17"/>
          <w:color w:val="auto"/>
        </w:rPr>
        <w:t>More consumers are shopping secondhand than ever before. Secondhand is gaining share of wallet at</w:t>
      </w:r>
      <w:r>
        <w:rPr>
          <w:rFonts w:ascii="Arial" w:cs="Arial" w:eastAsia="Arial" w:hAnsi="Arial"/>
          <w:sz w:val="17"/>
          <w:szCs w:val="17"/>
          <w:b w:val="1"/>
          <w:bCs w:val="1"/>
          <w:color w:val="auto"/>
        </w:rPr>
        <w:t xml:space="preserve"> </w:t>
      </w:r>
      <w:r>
        <w:rPr>
          <w:rFonts w:ascii="Arial" w:cs="Arial" w:eastAsia="Arial" w:hAnsi="Arial"/>
          <w:sz w:val="17"/>
          <w:szCs w:val="17"/>
          <w:color w:val="auto"/>
        </w:rPr>
        <w:t>the expense of fast fashion brands, department stores and luxury brands. According to the GlobalData Market Survey, resale has grown 25 times faster than the retail clothing market on average over the past five years. Further, according to the GlobalData January 2020 Consumer Survey, 62 million women bought secondhand products in 2019, up from 56 million in 2018. In addition, 70% of those surveyed said that they have or are open to shopping secondhand, while 82% said they already buy secondhand or are more open to shopping secondhand when finances are tighter in their households. Notably, nearly 2 out of 3 consumers do not think there is a stigma to wearing secondhand clothing as the category gains mainstream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Buyers, Sellers and Resale-as-a-Service (RaaS) Partners</w:t>
      </w:r>
    </w:p>
    <w:p>
      <w:pPr>
        <w:spacing w:after="0" w:line="155"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As of December 31, 2020, we had 1.24 million Active Buyers and 428,000 Active Sellers on our platform. In the year ended December 31, 2020, our buyers placed 3.96 million Orders. We serve a broad and diverse group of buyers and sellers across age, household income distribution and U.S. geography. Based on our 2020 Brand Health survey, 39% of our buyers and 34% of our sellers were Millennial and Generation Z consumers. The 2020 Brand Health survey was conducted between October 2019 and August 2020, and surveyed over 55,000 customers in the United States based on the following criteria: (i) for new buyers, after the first purchase; (ii) for repeat buyers, after four or more purchases; (iii) for new sellers, after receipt of a Clean Out Kit; and (iv) for repeat sellers, after processing a Clean Out Kit. According to the GlobalData January 2020 Consumer Survey, Millennial and Generation Z consumers are key constituents in leading the shift towards resale and conscious consumption. Our buyers are geographically diverse, while also distributed across household income, with the majority having an income over $50,000. Additionally, as of December 31, 2020, we worked with 21 RaaS partners, including GAP, Madewell, Reformation and Walmart.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Buyer and Seller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62109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30775" cy="621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Percentages may not total 100%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139"/>
          </w:cols>
          <w:pgMar w:left="320" w:top="118" w:right="1440" w:bottom="1440" w:gutter="0" w:footer="0" w:header="0"/>
        </w:sectPr>
      </w:pPr>
    </w:p>
    <w:bookmarkStart w:id="126" w:name="page127"/>
    <w:bookmarkEnd w:id="12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Resale-as-a-Service (RaaS) Partners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55880</wp:posOffset>
            </wp:positionV>
            <wp:extent cx="4930775" cy="279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0775" cy="279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Percentages may not total 100% due to rounding.</w:t>
      </w:r>
    </w:p>
    <w:p>
      <w:pPr>
        <w:spacing w:after="0" w:line="127" w:lineRule="exact"/>
        <w:rPr>
          <w:sz w:val="20"/>
          <w:szCs w:val="20"/>
          <w:color w:val="auto"/>
        </w:rPr>
      </w:pPr>
    </w:p>
    <w:p>
      <w:pPr>
        <w:ind w:firstLine="299"/>
        <w:spacing w:after="0" w:line="279" w:lineRule="auto"/>
        <w:rPr>
          <w:sz w:val="20"/>
          <w:szCs w:val="20"/>
          <w:color w:val="auto"/>
        </w:rPr>
      </w:pPr>
      <w:r>
        <w:rPr>
          <w:rFonts w:ascii="Arial" w:cs="Arial" w:eastAsia="Arial" w:hAnsi="Arial"/>
          <w:sz w:val="17"/>
          <w:szCs w:val="17"/>
          <w:b w:val="1"/>
          <w:bCs w:val="1"/>
          <w:color w:val="auto"/>
        </w:rPr>
        <w:t xml:space="preserve">Benefits for thredUP Buyers. </w:t>
      </w:r>
      <w:r>
        <w:rPr>
          <w:rFonts w:ascii="Arial" w:cs="Arial" w:eastAsia="Arial" w:hAnsi="Arial"/>
          <w:sz w:val="17"/>
          <w:szCs w:val="17"/>
          <w:color w:val="auto"/>
        </w:rPr>
        <w:t>When our 1.24 million Active Buyers shop on thredUP they are making a stylish choice for themselves and a smart</w:t>
      </w:r>
      <w:r>
        <w:rPr>
          <w:rFonts w:ascii="Arial" w:cs="Arial" w:eastAsia="Arial" w:hAnsi="Arial"/>
          <w:sz w:val="17"/>
          <w:szCs w:val="17"/>
          <w:b w:val="1"/>
          <w:bCs w:val="1"/>
          <w:color w:val="auto"/>
        </w:rPr>
        <w:t xml:space="preserve"> </w:t>
      </w:r>
      <w:r>
        <w:rPr>
          <w:rFonts w:ascii="Arial" w:cs="Arial" w:eastAsia="Arial" w:hAnsi="Arial"/>
          <w:sz w:val="17"/>
          <w:szCs w:val="17"/>
          <w:color w:val="auto"/>
        </w:rPr>
        <w:t>choice for their wallets and for the environment.</w:t>
      </w:r>
    </w:p>
    <w:p>
      <w:pPr>
        <w:spacing w:after="0" w:line="93" w:lineRule="exact"/>
        <w:rPr>
          <w:sz w:val="20"/>
          <w:szCs w:val="20"/>
          <w:color w:val="auto"/>
        </w:rPr>
      </w:pPr>
    </w:p>
    <w:p>
      <w:pPr>
        <w:ind w:left="600" w:hanging="302"/>
        <w:spacing w:after="0" w:line="279" w:lineRule="auto"/>
        <w:tabs>
          <w:tab w:leader="none" w:pos="596"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Value. </w:t>
      </w:r>
      <w:r>
        <w:rPr>
          <w:rFonts w:ascii="Arial" w:cs="Arial" w:eastAsia="Arial" w:hAnsi="Arial"/>
          <w:sz w:val="17"/>
          <w:szCs w:val="17"/>
          <w:color w:val="auto"/>
        </w:rPr>
        <w:t>Buyers love shopping value, premium and luxury brands all in one place, at up to 90% off estimated retail price. Since our founding, we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 that we have saved our buyers $3.3 billion off retail price.</w:t>
      </w:r>
    </w:p>
    <w:p>
      <w:pPr>
        <w:spacing w:after="0" w:line="93" w:lineRule="exact"/>
        <w:rPr>
          <w:rFonts w:ascii="Arial" w:cs="Arial" w:eastAsia="Arial" w:hAnsi="Arial"/>
          <w:sz w:val="17"/>
          <w:szCs w:val="17"/>
          <w:color w:val="auto"/>
        </w:rPr>
      </w:pPr>
    </w:p>
    <w:p>
      <w:pPr>
        <w:jc w:val="both"/>
        <w:ind w:left="600" w:hanging="302"/>
        <w:spacing w:after="0" w:line="312" w:lineRule="auto"/>
        <w:tabs>
          <w:tab w:leader="none" w:pos="59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Selection. </w:t>
      </w:r>
      <w:r>
        <w:rPr>
          <w:rFonts w:ascii="Arial" w:cs="Arial" w:eastAsia="Arial" w:hAnsi="Arial"/>
          <w:sz w:val="16"/>
          <w:szCs w:val="16"/>
          <w:color w:val="auto"/>
        </w:rPr>
        <w:t>Our assortment is unique and ever-changing, with an average of over 280,000 new secondhand items listed each week in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2020. We have an incredible breadth of assortment with over 35,000 brands across 100 categories and across price points.</w:t>
      </w:r>
    </w:p>
    <w:p>
      <w:pPr>
        <w:spacing w:after="0" w:line="69" w:lineRule="exact"/>
        <w:rPr>
          <w:rFonts w:ascii="Arial" w:cs="Arial" w:eastAsia="Arial" w:hAnsi="Arial"/>
          <w:sz w:val="16"/>
          <w:szCs w:val="16"/>
          <w:color w:val="auto"/>
        </w:rPr>
      </w:pPr>
    </w:p>
    <w:p>
      <w:pPr>
        <w:jc w:val="both"/>
        <w:ind w:left="600" w:hanging="302"/>
        <w:spacing w:after="0" w:line="256" w:lineRule="auto"/>
        <w:tabs>
          <w:tab w:leader="none" w:pos="596"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Engagement. </w:t>
      </w:r>
      <w:r>
        <w:rPr>
          <w:rFonts w:ascii="Arial" w:cs="Arial" w:eastAsia="Arial" w:hAnsi="Arial"/>
          <w:sz w:val="17"/>
          <w:szCs w:val="17"/>
          <w:color w:val="auto"/>
        </w:rPr>
        <w:t>We have created an online resale shopping experience that is fun and convenient. In the past, shopping secondhand often meant</w:t>
      </w:r>
      <w:r>
        <w:rPr>
          <w:rFonts w:ascii="Arial" w:cs="Arial" w:eastAsia="Arial" w:hAnsi="Arial"/>
          <w:sz w:val="17"/>
          <w:szCs w:val="17"/>
          <w:b w:val="1"/>
          <w:bCs w:val="1"/>
          <w:color w:val="auto"/>
        </w:rPr>
        <w:t xml:space="preserve"> </w:t>
      </w:r>
      <w:r>
        <w:rPr>
          <w:rFonts w:ascii="Arial" w:cs="Arial" w:eastAsia="Arial" w:hAnsi="Arial"/>
          <w:sz w:val="17"/>
          <w:szCs w:val="17"/>
          <w:color w:val="auto"/>
        </w:rPr>
        <w:t>sifting through piles of random clothing at thrift stores. Through our website and apps, our buyers can shop whenever, wherever they want. We create ongoing engagement because of our ever-changing assortment, unique SKUs and the thrill of “treasure hunting” on our marketplace. In the year ended December 31, 2020, on average, our Active Buyers visited our website six times per month.</w:t>
      </w:r>
    </w:p>
    <w:p>
      <w:pPr>
        <w:spacing w:after="0" w:line="111" w:lineRule="exact"/>
        <w:rPr>
          <w:rFonts w:ascii="Arial" w:cs="Arial" w:eastAsia="Arial" w:hAnsi="Arial"/>
          <w:sz w:val="17"/>
          <w:szCs w:val="17"/>
          <w:color w:val="auto"/>
        </w:rPr>
      </w:pPr>
    </w:p>
    <w:p>
      <w:pPr>
        <w:jc w:val="both"/>
        <w:ind w:left="600" w:hanging="302"/>
        <w:spacing w:after="0" w:line="285" w:lineRule="auto"/>
        <w:tabs>
          <w:tab w:leader="none" w:pos="59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Personalization. </w:t>
      </w:r>
      <w:r>
        <w:rPr>
          <w:rFonts w:ascii="Arial" w:cs="Arial" w:eastAsia="Arial" w:hAnsi="Arial"/>
          <w:sz w:val="16"/>
          <w:szCs w:val="16"/>
          <w:color w:val="auto"/>
        </w:rPr>
        <w:t>We use our data science capabilities to enable our buyers to navigate the breadth of items available, providing a more</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personalized shopping experience. We also are able to customize our assortment based on the time of year and the location of our buyers, including allowing buyers to shop only from their closest distribution center for faster delivery, lower prices and decreased environmental impact.</w:t>
      </w:r>
    </w:p>
    <w:p>
      <w:pPr>
        <w:spacing w:after="0" w:line="91" w:lineRule="exact"/>
        <w:rPr>
          <w:rFonts w:ascii="Arial" w:cs="Arial" w:eastAsia="Arial" w:hAnsi="Arial"/>
          <w:sz w:val="16"/>
          <w:szCs w:val="16"/>
          <w:color w:val="auto"/>
        </w:rPr>
      </w:pPr>
    </w:p>
    <w:p>
      <w:pPr>
        <w:ind w:left="600" w:hanging="302"/>
        <w:spacing w:after="0" w:line="312" w:lineRule="auto"/>
        <w:tabs>
          <w:tab w:leader="none" w:pos="596"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Quality. </w:t>
      </w:r>
      <w:r>
        <w:rPr>
          <w:rFonts w:ascii="Arial" w:cs="Arial" w:eastAsia="Arial" w:hAnsi="Arial"/>
          <w:sz w:val="16"/>
          <w:szCs w:val="16"/>
          <w:color w:val="auto"/>
        </w:rPr>
        <w:t>Each item in our marketplace has undergone a rigorous twelve-point quality inspection. Our buyers rely on us to provide a curated,</w:t>
      </w:r>
      <w:r>
        <w:rPr>
          <w:rFonts w:ascii="Arial" w:cs="Arial" w:eastAsia="Arial" w:hAnsi="Arial"/>
          <w:sz w:val="16"/>
          <w:szCs w:val="16"/>
          <w:b w:val="1"/>
          <w:bCs w:val="1"/>
          <w:color w:val="auto"/>
        </w:rPr>
        <w:t xml:space="preserve"> </w:t>
      </w:r>
      <w:r>
        <w:rPr>
          <w:rFonts w:ascii="Arial" w:cs="Arial" w:eastAsia="Arial" w:hAnsi="Arial"/>
          <w:sz w:val="16"/>
          <w:szCs w:val="16"/>
          <w:color w:val="auto"/>
        </w:rPr>
        <w:t>high-quality resale experience that is like shopping new. In the year ended December 31, 2020, we listed only 59% of the items that we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spacing w:after="0" w:line="277" w:lineRule="auto"/>
        <w:rPr>
          <w:sz w:val="20"/>
          <w:szCs w:val="20"/>
          <w:color w:val="auto"/>
        </w:rPr>
      </w:pPr>
      <w:r>
        <w:rPr>
          <w:rFonts w:ascii="Arial" w:cs="Arial" w:eastAsia="Arial" w:hAnsi="Arial"/>
          <w:sz w:val="17"/>
          <w:szCs w:val="17"/>
          <w:color w:val="auto"/>
        </w:rPr>
        <w:t>from sellers on our marketplace after curation and processing. As evidence of the high quality of items on our marketplace, in the year ended December 31, 2020, we had a return rate of 12% of items sold and returns due to quality accounted for less than 2% of items sold.</w:t>
      </w:r>
    </w:p>
    <w:p>
      <w:pPr>
        <w:spacing w:after="0" w:line="94" w:lineRule="exact"/>
        <w:rPr>
          <w:sz w:val="20"/>
          <w:szCs w:val="20"/>
          <w:color w:val="auto"/>
        </w:rPr>
      </w:pPr>
    </w:p>
    <w:p>
      <w:pPr>
        <w:jc w:val="both"/>
        <w:ind w:left="600" w:hanging="302"/>
        <w:spacing w:after="0" w:line="236" w:lineRule="auto"/>
        <w:tabs>
          <w:tab w:leader="none" w:pos="596"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Sustainable. </w:t>
      </w:r>
      <w:r>
        <w:rPr>
          <w:rFonts w:ascii="Arial" w:cs="Arial" w:eastAsia="Arial" w:hAnsi="Arial"/>
          <w:sz w:val="17"/>
          <w:szCs w:val="17"/>
          <w:color w:val="auto"/>
        </w:rPr>
        <w:t>Buyers feel good about buying secondhand because they are reducing waste. Since our founding, based in part on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Green Story, we estimate our buyers have positively impacted the environment by saving 1.0 billion pounds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2.0 billion kWh of energy and 4.4 billion gallons of water by shopping secondhand.</w:t>
      </w:r>
    </w:p>
    <w:p>
      <w:pPr>
        <w:spacing w:after="0" w:line="125" w:lineRule="exact"/>
        <w:rPr>
          <w:sz w:val="20"/>
          <w:szCs w:val="20"/>
          <w:color w:val="auto"/>
        </w:rPr>
      </w:pPr>
    </w:p>
    <w:p>
      <w:pPr>
        <w:ind w:firstLine="299"/>
        <w:spacing w:after="0" w:line="279" w:lineRule="auto"/>
        <w:rPr>
          <w:sz w:val="20"/>
          <w:szCs w:val="20"/>
          <w:color w:val="auto"/>
        </w:rPr>
      </w:pPr>
      <w:r>
        <w:rPr>
          <w:rFonts w:ascii="Arial" w:cs="Arial" w:eastAsia="Arial" w:hAnsi="Arial"/>
          <w:sz w:val="17"/>
          <w:szCs w:val="17"/>
          <w:b w:val="1"/>
          <w:bCs w:val="1"/>
          <w:color w:val="auto"/>
        </w:rPr>
        <w:t xml:space="preserve">Benefits for thredUP Sellers. </w:t>
      </w:r>
      <w:r>
        <w:rPr>
          <w:rFonts w:ascii="Arial" w:cs="Arial" w:eastAsia="Arial" w:hAnsi="Arial"/>
          <w:sz w:val="17"/>
          <w:szCs w:val="17"/>
          <w:color w:val="auto"/>
        </w:rPr>
        <w:t>We enable our 428,000 Active Sellers to conveniently clean out their closets and unlock value for themselves or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charity of their choice while doing good for the environment at the same time.</w:t>
      </w:r>
    </w:p>
    <w:p>
      <w:pPr>
        <w:spacing w:after="0" w:line="93" w:lineRule="exact"/>
        <w:rPr>
          <w:sz w:val="20"/>
          <w:szCs w:val="20"/>
          <w:color w:val="auto"/>
        </w:rPr>
      </w:pPr>
    </w:p>
    <w:p>
      <w:pPr>
        <w:jc w:val="both"/>
        <w:ind w:left="600" w:hanging="302"/>
        <w:spacing w:after="0" w:line="256" w:lineRule="auto"/>
        <w:tabs>
          <w:tab w:leader="none" w:pos="596"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Convenient Clean Out. </w:t>
      </w:r>
      <w:r>
        <w:rPr>
          <w:rFonts w:ascii="Arial" w:cs="Arial" w:eastAsia="Arial" w:hAnsi="Arial"/>
          <w:sz w:val="17"/>
          <w:szCs w:val="17"/>
          <w:color w:val="auto"/>
        </w:rPr>
        <w:t>According to the GlobalData January 2020 consumer survey, 60% of an average consumer’s closet is not worn</w:t>
      </w:r>
      <w:r>
        <w:rPr>
          <w:rFonts w:ascii="Arial" w:cs="Arial" w:eastAsia="Arial" w:hAnsi="Arial"/>
          <w:sz w:val="17"/>
          <w:szCs w:val="17"/>
          <w:b w:val="1"/>
          <w:bCs w:val="1"/>
          <w:color w:val="auto"/>
        </w:rPr>
        <w:t xml:space="preserve"> </w:t>
      </w:r>
      <w:r>
        <w:rPr>
          <w:rFonts w:ascii="Arial" w:cs="Arial" w:eastAsia="Arial" w:hAnsi="Arial"/>
          <w:sz w:val="17"/>
          <w:szCs w:val="17"/>
          <w:color w:val="auto"/>
        </w:rPr>
        <w:t>regularly. Most people do not enjoy cleaning out their closet. But we make it easy for sellers to clean out their closets using our prepaid bag, prepaid label and pick-up service. Sellers fill the bag and leave it on their doorsteps for mail carrier pick up. Sellers can also drop bags off at a retail location of one of our RaaS partners, at the post office or at a location of one of our logistics partners.</w:t>
      </w:r>
    </w:p>
    <w:p>
      <w:pPr>
        <w:spacing w:after="0" w:line="111" w:lineRule="exact"/>
        <w:rPr>
          <w:rFonts w:ascii="Arial" w:cs="Arial" w:eastAsia="Arial" w:hAnsi="Arial"/>
          <w:sz w:val="17"/>
          <w:szCs w:val="17"/>
          <w:color w:val="auto"/>
        </w:rPr>
      </w:pPr>
    </w:p>
    <w:p>
      <w:pPr>
        <w:jc w:val="both"/>
        <w:ind w:left="600" w:hanging="302"/>
        <w:spacing w:after="0" w:line="262" w:lineRule="auto"/>
        <w:tabs>
          <w:tab w:leader="none" w:pos="596"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No Active Management. </w:t>
      </w:r>
      <w:r>
        <w:rPr>
          <w:rFonts w:ascii="Arial" w:cs="Arial" w:eastAsia="Arial" w:hAnsi="Arial"/>
          <w:sz w:val="17"/>
          <w:szCs w:val="17"/>
          <w:color w:val="auto"/>
        </w:rPr>
        <w:t>For sellers that want to unlock value, our managed marketplace model does the work for the seller in a convenient and</w:t>
      </w:r>
      <w:r>
        <w:rPr>
          <w:rFonts w:ascii="Arial" w:cs="Arial" w:eastAsia="Arial" w:hAnsi="Arial"/>
          <w:sz w:val="17"/>
          <w:szCs w:val="17"/>
          <w:b w:val="1"/>
          <w:bCs w:val="1"/>
          <w:color w:val="auto"/>
        </w:rPr>
        <w:t xml:space="preserve"> </w:t>
      </w:r>
      <w:r>
        <w:rPr>
          <w:rFonts w:ascii="Arial" w:cs="Arial" w:eastAsia="Arial" w:hAnsi="Arial"/>
          <w:sz w:val="17"/>
          <w:szCs w:val="17"/>
          <w:color w:val="auto"/>
        </w:rPr>
        <w:t>easy way. We provide end-to-end resale services for sellers using our platform, including managing item selection and pricing, merchandising, fulfillment, payments and customer service.</w:t>
      </w:r>
    </w:p>
    <w:p>
      <w:pPr>
        <w:spacing w:after="0" w:line="106" w:lineRule="exact"/>
        <w:rPr>
          <w:rFonts w:ascii="Arial" w:cs="Arial" w:eastAsia="Arial" w:hAnsi="Arial"/>
          <w:sz w:val="17"/>
          <w:szCs w:val="17"/>
          <w:color w:val="auto"/>
        </w:rPr>
      </w:pPr>
    </w:p>
    <w:p>
      <w:pPr>
        <w:ind w:left="600" w:hanging="302"/>
        <w:spacing w:after="0" w:line="279" w:lineRule="auto"/>
        <w:tabs>
          <w:tab w:leader="none" w:pos="596"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Unlocking Value. </w:t>
      </w:r>
      <w:r>
        <w:rPr>
          <w:rFonts w:ascii="Arial" w:cs="Arial" w:eastAsia="Arial" w:hAnsi="Arial"/>
          <w:sz w:val="17"/>
          <w:szCs w:val="17"/>
          <w:color w:val="auto"/>
        </w:rPr>
        <w:t>There are multiple ways to unlock value on thredUP. We offer sellers cash, thredUP online credits, select RaaS partner credits</w:t>
      </w:r>
      <w:r>
        <w:rPr>
          <w:rFonts w:ascii="Arial" w:cs="Arial" w:eastAsia="Arial" w:hAnsi="Arial"/>
          <w:sz w:val="17"/>
          <w:szCs w:val="17"/>
          <w:b w:val="1"/>
          <w:bCs w:val="1"/>
          <w:color w:val="auto"/>
        </w:rPr>
        <w:t xml:space="preserve"> </w:t>
      </w:r>
      <w:r>
        <w:rPr>
          <w:rFonts w:ascii="Arial" w:cs="Arial" w:eastAsia="Arial" w:hAnsi="Arial"/>
          <w:sz w:val="17"/>
          <w:szCs w:val="17"/>
          <w:color w:val="auto"/>
        </w:rPr>
        <w:t>or charitable donation receipts for items that sell on our marketplace. Sellers select their payout method with a simple click on our site.</w:t>
      </w:r>
    </w:p>
    <w:p>
      <w:pPr>
        <w:spacing w:after="0" w:line="93" w:lineRule="exact"/>
        <w:rPr>
          <w:rFonts w:ascii="Arial" w:cs="Arial" w:eastAsia="Arial" w:hAnsi="Arial"/>
          <w:sz w:val="17"/>
          <w:szCs w:val="17"/>
          <w:color w:val="auto"/>
        </w:rPr>
      </w:pPr>
    </w:p>
    <w:p>
      <w:pPr>
        <w:ind w:left="600" w:hanging="302"/>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Magic of Cleaning Out. </w:t>
      </w:r>
      <w:r>
        <w:rPr>
          <w:rFonts w:ascii="Arial" w:cs="Arial" w:eastAsia="Arial" w:hAnsi="Arial"/>
          <w:sz w:val="17"/>
          <w:szCs w:val="17"/>
          <w:color w:val="auto"/>
        </w:rPr>
        <w:t>Like a sparkling clean house or a sparkling clean car, an organized closet full of clothes you love just feels good.</w:t>
      </w:r>
    </w:p>
    <w:p>
      <w:pPr>
        <w:spacing w:after="0" w:line="152" w:lineRule="exact"/>
        <w:rPr>
          <w:rFonts w:ascii="Arial" w:cs="Arial" w:eastAsia="Arial" w:hAnsi="Arial"/>
          <w:sz w:val="17"/>
          <w:szCs w:val="17"/>
          <w:color w:val="auto"/>
        </w:rPr>
      </w:pPr>
    </w:p>
    <w:p>
      <w:pPr>
        <w:jc w:val="both"/>
        <w:ind w:left="600" w:hanging="302"/>
        <w:spacing w:after="0" w:line="262" w:lineRule="auto"/>
        <w:tabs>
          <w:tab w:leader="none" w:pos="596"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Sustainability. </w:t>
      </w:r>
      <w:r>
        <w:rPr>
          <w:rFonts w:ascii="Arial" w:cs="Arial" w:eastAsia="Arial" w:hAnsi="Arial"/>
          <w:sz w:val="17"/>
          <w:szCs w:val="17"/>
          <w:color w:val="auto"/>
        </w:rPr>
        <w:t>According to the Environmental Protection Agency, 8.9 million tons of clothing and footwear went to landfill in 2017. Sellers feel</w:t>
      </w:r>
      <w:r>
        <w:rPr>
          <w:rFonts w:ascii="Arial" w:cs="Arial" w:eastAsia="Arial" w:hAnsi="Arial"/>
          <w:sz w:val="17"/>
          <w:szCs w:val="17"/>
          <w:b w:val="1"/>
          <w:bCs w:val="1"/>
          <w:color w:val="auto"/>
        </w:rPr>
        <w:t xml:space="preserve"> </w:t>
      </w:r>
      <w:r>
        <w:rPr>
          <w:rFonts w:ascii="Arial" w:cs="Arial" w:eastAsia="Arial" w:hAnsi="Arial"/>
          <w:sz w:val="17"/>
          <w:szCs w:val="17"/>
          <w:color w:val="auto"/>
        </w:rPr>
        <w:t>good when they choose to be sustainable with thredUP. Not only do sellers find the process convenient, but they like knowing that their clothing is being reused or recycled.</w:t>
      </w:r>
    </w:p>
    <w:p>
      <w:pPr>
        <w:spacing w:after="0" w:line="106" w:lineRule="exact"/>
        <w:rPr>
          <w:sz w:val="20"/>
          <w:szCs w:val="20"/>
          <w:color w:val="auto"/>
        </w:rPr>
      </w:pPr>
    </w:p>
    <w:p>
      <w:pPr>
        <w:jc w:val="both"/>
        <w:ind w:firstLine="299"/>
        <w:spacing w:after="0" w:line="256" w:lineRule="auto"/>
        <w:rPr>
          <w:sz w:val="20"/>
          <w:szCs w:val="20"/>
          <w:color w:val="auto"/>
        </w:rPr>
      </w:pPr>
      <w:r>
        <w:rPr>
          <w:rFonts w:ascii="Arial" w:cs="Arial" w:eastAsia="Arial" w:hAnsi="Arial"/>
          <w:sz w:val="17"/>
          <w:szCs w:val="17"/>
          <w:b w:val="1"/>
          <w:bCs w:val="1"/>
          <w:color w:val="auto"/>
        </w:rPr>
        <w:t xml:space="preserve">Benefits for Resale-as-a-Service (RaaS) Partners. </w:t>
      </w:r>
      <w:r>
        <w:rPr>
          <w:rFonts w:ascii="Arial" w:cs="Arial" w:eastAsia="Arial" w:hAnsi="Arial"/>
          <w:sz w:val="17"/>
          <w:szCs w:val="17"/>
          <w:color w:val="auto"/>
        </w:rPr>
        <w:t>We work with brands and retailers through our RaaS offering to power resale experiences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tailored to their needs. According to the GlobalData Fashion Retailer Survey, 72% of retail executives surveyed said they are interested in testing resale within the next 10 years as they look to increase foot traffic to their stores, drive sustainability for the apparel ecosystem, reach a younger consumer and build brand loyalty with their consumers.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By partnering with us, RaaS partners are able to:</w:t>
      </w:r>
    </w:p>
    <w:p>
      <w:pPr>
        <w:spacing w:after="0" w:line="101" w:lineRule="exact"/>
        <w:rPr>
          <w:sz w:val="20"/>
          <w:szCs w:val="20"/>
          <w:color w:val="auto"/>
        </w:rPr>
      </w:pPr>
    </w:p>
    <w:p>
      <w:pPr>
        <w:jc w:val="both"/>
        <w:ind w:left="600" w:hanging="302"/>
        <w:spacing w:after="0" w:line="262" w:lineRule="auto"/>
        <w:tabs>
          <w:tab w:leader="none" w:pos="596"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Resale Operating Platform. </w:t>
      </w:r>
      <w:r>
        <w:rPr>
          <w:rFonts w:ascii="Arial" w:cs="Arial" w:eastAsia="Arial" w:hAnsi="Arial"/>
          <w:sz w:val="17"/>
          <w:szCs w:val="17"/>
          <w:color w:val="auto"/>
        </w:rPr>
        <w:t>We enable brands and retailers to plug into our operating platform and unlock the resale value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closets of their customers. Traditional retail and e-commerce models are not set up to intake, process, price and sell millions of unique resale items at scale in a predominantly online marketplace.</w:t>
      </w:r>
    </w:p>
    <w:p>
      <w:pPr>
        <w:spacing w:after="0" w:line="106" w:lineRule="exact"/>
        <w:rPr>
          <w:rFonts w:ascii="Arial" w:cs="Arial" w:eastAsia="Arial" w:hAnsi="Arial"/>
          <w:sz w:val="17"/>
          <w:szCs w:val="17"/>
          <w:color w:val="auto"/>
        </w:rPr>
      </w:pPr>
    </w:p>
    <w:p>
      <w:pPr>
        <w:jc w:val="both"/>
        <w:ind w:left="600" w:hanging="302"/>
        <w:spacing w:after="0" w:line="262" w:lineRule="auto"/>
        <w:tabs>
          <w:tab w:leader="none" w:pos="596"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Drive Incremental Revenue. </w:t>
      </w:r>
      <w:r>
        <w:rPr>
          <w:rFonts w:ascii="Arial" w:cs="Arial" w:eastAsia="Arial" w:hAnsi="Arial"/>
          <w:sz w:val="17"/>
          <w:szCs w:val="17"/>
          <w:color w:val="auto"/>
        </w:rPr>
        <w:t>We have developed multiple initiatives to drive incremental revenue for our partners. For some RaaS partners, we</w:t>
      </w:r>
      <w:r>
        <w:rPr>
          <w:rFonts w:ascii="Arial" w:cs="Arial" w:eastAsia="Arial" w:hAnsi="Arial"/>
          <w:sz w:val="17"/>
          <w:szCs w:val="17"/>
          <w:b w:val="1"/>
          <w:bCs w:val="1"/>
          <w:color w:val="auto"/>
        </w:rPr>
        <w:t xml:space="preserve"> </w:t>
      </w:r>
      <w:r>
        <w:rPr>
          <w:rFonts w:ascii="Arial" w:cs="Arial" w:eastAsia="Arial" w:hAnsi="Arial"/>
          <w:sz w:val="17"/>
          <w:szCs w:val="17"/>
          <w:color w:val="auto"/>
        </w:rPr>
        <w:t>power clean out services that enable them to sell worn, returned inventory through our marketplace. We also provide their consumers with the ability to shop and access resale, either through our marketplace or by providing a feed of our items on our partners’ websites.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00" w:hanging="302"/>
        <w:spacing w:after="0" w:line="262" w:lineRule="auto"/>
        <w:tabs>
          <w:tab w:leader="none" w:pos="596"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Access New Consumers. </w:t>
      </w:r>
      <w:r>
        <w:rPr>
          <w:rFonts w:ascii="Arial" w:cs="Arial" w:eastAsia="Arial" w:hAnsi="Arial"/>
          <w:sz w:val="17"/>
          <w:szCs w:val="17"/>
          <w:color w:val="auto"/>
        </w:rPr>
        <w:t>We enable brands and retailers that partner with us to build brand awareness with an important consumer</w:t>
      </w:r>
      <w:r>
        <w:rPr>
          <w:rFonts w:ascii="Arial" w:cs="Arial" w:eastAsia="Arial" w:hAnsi="Arial"/>
          <w:sz w:val="17"/>
          <w:szCs w:val="17"/>
          <w:b w:val="1"/>
          <w:bCs w:val="1"/>
          <w:color w:val="auto"/>
        </w:rPr>
        <w:t xml:space="preserve"> </w:t>
      </w:r>
      <w:r>
        <w:rPr>
          <w:rFonts w:ascii="Arial" w:cs="Arial" w:eastAsia="Arial" w:hAnsi="Arial"/>
          <w:sz w:val="17"/>
          <w:szCs w:val="17"/>
          <w:color w:val="auto"/>
        </w:rPr>
        <w:t>demographic and increase wallet share by expanding their retail proposition into the high growth resale segment. This access is increasingly important as resale becomes mainstream for shoppers of all price points, from value to premium to luxury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742950</wp:posOffset>
            </wp:positionV>
            <wp:extent cx="4977765" cy="6668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77765" cy="666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139"/>
          </w:cols>
          <w:pgMar w:left="320" w:top="118" w:right="1440" w:bottom="1440" w:gutter="0" w:footer="0" w:header="0"/>
        </w:sectPr>
      </w:pPr>
    </w:p>
    <w:bookmarkStart w:id="130" w:name="page131"/>
    <w:bookmarkEnd w:id="13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742950</wp:posOffset>
            </wp:positionV>
            <wp:extent cx="4930775" cy="6273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30775" cy="627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139"/>
          </w:cols>
          <w:pgMar w:left="320" w:top="118" w:right="1440" w:bottom="1440" w:gutter="0" w:footer="0" w:header="0"/>
        </w:sectPr>
      </w:pPr>
    </w:p>
    <w:bookmarkStart w:id="131" w:name="page132"/>
    <w:bookmarkEnd w:id="13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thredUP Operating Platform</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Our operating platform is built to best serve our buyers, sellers, and RaaS partners. To address the complexities of resale, we have built a platform consisting of distributed processing infrastructure, proprietary software and systems and data science expertise.</w:t>
      </w:r>
    </w:p>
    <w:p>
      <w:pPr>
        <w:spacing w:after="0" w:line="94" w:lineRule="exact"/>
        <w:rPr>
          <w:sz w:val="20"/>
          <w:szCs w:val="20"/>
          <w:color w:val="auto"/>
        </w:rPr>
      </w:pPr>
    </w:p>
    <w:p>
      <w:pPr>
        <w:jc w:val="both"/>
        <w:ind w:firstLine="299"/>
        <w:spacing w:after="0" w:line="256" w:lineRule="auto"/>
        <w:rPr>
          <w:sz w:val="20"/>
          <w:szCs w:val="20"/>
          <w:color w:val="auto"/>
        </w:rPr>
      </w:pPr>
      <w:r>
        <w:rPr>
          <w:rFonts w:ascii="Arial" w:cs="Arial" w:eastAsia="Arial" w:hAnsi="Arial"/>
          <w:sz w:val="17"/>
          <w:szCs w:val="17"/>
          <w:b w:val="1"/>
          <w:bCs w:val="1"/>
          <w:i w:val="1"/>
          <w:iCs w:val="1"/>
          <w:color w:val="auto"/>
        </w:rPr>
        <w:t>Distributed Processing Infrastructure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operate large-scale distribution centers across three strategic locations in Arizona, Georgia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Pennsylvania. We efficiently process tens of millions of items each year in more than 500,000 square feet of infrastructure as we utilize the full cubic height of our buildings. Our patented conveyor and item on-hanger systems in our automated distribution centers are built three stories high to optimize for space efficiency. Among our network of facilities, we believe we operate the three largest item on-hanger systems in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742950</wp:posOffset>
            </wp:positionV>
            <wp:extent cx="4930775" cy="66611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30775" cy="666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139"/>
          </w:cols>
          <w:pgMar w:left="320" w:top="118" w:right="1440" w:bottom="1440" w:gutter="0" w:footer="0" w:header="0"/>
        </w:sectPr>
      </w:pPr>
    </w:p>
    <w:bookmarkStart w:id="133" w:name="page134"/>
    <w:bookmarkEnd w:id="13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Other differentiating features of our processing infrastructure include:</w:t>
      </w:r>
    </w:p>
    <w:p>
      <w:pPr>
        <w:spacing w:after="0" w:line="151" w:lineRule="exact"/>
        <w:rPr>
          <w:sz w:val="20"/>
          <w:szCs w:val="20"/>
          <w:color w:val="auto"/>
        </w:rPr>
      </w:pPr>
    </w:p>
    <w:p>
      <w:pPr>
        <w:jc w:val="both"/>
        <w:ind w:left="600" w:hanging="302"/>
        <w:spacing w:after="0" w:line="256" w:lineRule="auto"/>
        <w:tabs>
          <w:tab w:leader="none" w:pos="596"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Proven Scalability. </w:t>
      </w:r>
      <w:r>
        <w:rPr>
          <w:rFonts w:ascii="Arial" w:cs="Arial" w:eastAsia="Arial" w:hAnsi="Arial"/>
          <w:sz w:val="17"/>
          <w:szCs w:val="17"/>
          <w:color w:val="auto"/>
        </w:rPr>
        <w:t>Our infrastructure is highly scalable. Our distribution centers can currently hold 5.5 million items and we expect this to</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to 6.5 million items by the end of 2021. We currently have the ability to process more than 100,000 unique SKUs per day, and we expect our daily processing capacity to increase over time. Since our founding, we have processed over 100 million unique secondhand items, and we are rapidly expanding our capacity to serve our buyers, sellers and RaaS partners.</w:t>
      </w:r>
    </w:p>
    <w:p>
      <w:pPr>
        <w:spacing w:after="0" w:line="111" w:lineRule="exact"/>
        <w:rPr>
          <w:rFonts w:ascii="Arial" w:cs="Arial" w:eastAsia="Arial" w:hAnsi="Arial"/>
          <w:sz w:val="17"/>
          <w:szCs w:val="17"/>
          <w:color w:val="auto"/>
        </w:rPr>
      </w:pPr>
    </w:p>
    <w:p>
      <w:pPr>
        <w:jc w:val="both"/>
        <w:ind w:left="600" w:hanging="302"/>
        <w:spacing w:after="0" w:line="253" w:lineRule="auto"/>
        <w:tabs>
          <w:tab w:leader="none" w:pos="596"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Technology-Driven Processing, Storage and Fulfillment. </w:t>
      </w:r>
      <w:r>
        <w:rPr>
          <w:rFonts w:ascii="Arial" w:cs="Arial" w:eastAsia="Arial" w:hAnsi="Arial"/>
          <w:sz w:val="17"/>
          <w:szCs w:val="17"/>
          <w:color w:val="auto"/>
        </w:rPr>
        <w:t>We drive operational efficiency through proprietary technology and automation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our infrastructure. Key processes that involve technology and automation include visual recognition of items, supply acceptance and itemization, pricing and merchandising, photography, and storage and fulfillment. We optimize for storage by balancing speed and efficiency of fulfillment, while also minimizing waste and maximizing storage capacity through our supply chain. We have streamlined the buyer fulfillment process and developed systems that enable us to quickly fulfill orders.</w:t>
      </w:r>
    </w:p>
    <w:p>
      <w:pPr>
        <w:spacing w:after="0" w:line="114" w:lineRule="exact"/>
        <w:rPr>
          <w:rFonts w:ascii="Arial" w:cs="Arial" w:eastAsia="Arial" w:hAnsi="Arial"/>
          <w:sz w:val="17"/>
          <w:szCs w:val="17"/>
          <w:color w:val="auto"/>
        </w:rPr>
      </w:pPr>
    </w:p>
    <w:p>
      <w:pPr>
        <w:jc w:val="both"/>
        <w:ind w:left="600" w:hanging="302"/>
        <w:spacing w:after="0" w:line="250" w:lineRule="auto"/>
        <w:tabs>
          <w:tab w:leader="none" w:pos="596"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Strategic Distribution. </w:t>
      </w:r>
      <w:r>
        <w:rPr>
          <w:rFonts w:ascii="Arial" w:cs="Arial" w:eastAsia="Arial" w:hAnsi="Arial"/>
          <w:sz w:val="17"/>
          <w:szCs w:val="17"/>
          <w:color w:val="auto"/>
        </w:rPr>
        <w:t>Our distribution centers are located in Arizona, Georgia and Pennsylvania. By locating our facilities in strategic locations</w:t>
      </w:r>
      <w:r>
        <w:rPr>
          <w:rFonts w:ascii="Arial" w:cs="Arial" w:eastAsia="Arial" w:hAnsi="Arial"/>
          <w:sz w:val="17"/>
          <w:szCs w:val="17"/>
          <w:b w:val="1"/>
          <w:bCs w:val="1"/>
          <w:color w:val="auto"/>
        </w:rPr>
        <w:t xml:space="preserve"> </w:t>
      </w:r>
      <w:r>
        <w:rPr>
          <w:rFonts w:ascii="Arial" w:cs="Arial" w:eastAsia="Arial" w:hAnsi="Arial"/>
          <w:sz w:val="17"/>
          <w:szCs w:val="17"/>
          <w:color w:val="auto"/>
        </w:rPr>
        <w:t>across the country we can be closer to our buyers and sellers, which allows us to reduce shipping times in transit, and lower our inbound and outbound shipping costs. We have also been able to maintain uptime throughout the year, such as during snowstorms, hurricanes, fires and power outages. We personalize our assortment for buyers based on their season and location by matching items they view on our website to items that are in the distribution center closest to them. We rank Clean Out Kits that we receive from repeat sellers using a supplier score matrix, which enables us to strategically direct Clean Out Kits to optimize for a facility’s assortment, based on localized supply and demand. We also do the same for buyers’ returns.</w:t>
      </w:r>
    </w:p>
    <w:p>
      <w:pPr>
        <w:spacing w:after="0" w:line="12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b w:val="1"/>
          <w:bCs w:val="1"/>
          <w:i w:val="1"/>
          <w:iCs w:val="1"/>
          <w:color w:val="auto"/>
        </w:rPr>
        <w:t xml:space="preserve">Proprietary Software and Systems. </w:t>
      </w:r>
      <w:r>
        <w:rPr>
          <w:rFonts w:ascii="Arial" w:cs="Arial" w:eastAsia="Arial" w:hAnsi="Arial"/>
          <w:sz w:val="17"/>
          <w:szCs w:val="17"/>
          <w:color w:val="auto"/>
        </w:rPr>
        <w:t>Our facilities run on a large suite of custom-built applications designed for “single SKU” operations.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invested significantly in developing proprietary software and processes to deliver a modern resale experience. Our industrial and software engineering teams have implemented large-scale, innovative and patented automation. We aim to increase automation in our distribution centers in order to continue to reduce our operating expenses, and drive a more attractive financial model as we scale.</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automated processes in all of our distribution centers include:</w:t>
      </w:r>
    </w:p>
    <w:p>
      <w:pPr>
        <w:spacing w:after="0" w:line="151" w:lineRule="exact"/>
        <w:rPr>
          <w:sz w:val="20"/>
          <w:szCs w:val="20"/>
          <w:color w:val="auto"/>
        </w:rPr>
      </w:pPr>
    </w:p>
    <w:p>
      <w:pPr>
        <w:jc w:val="both"/>
        <w:ind w:left="600" w:hanging="302"/>
        <w:spacing w:after="0" w:line="262" w:lineRule="auto"/>
        <w:tabs>
          <w:tab w:leader="none" w:pos="596"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 xml:space="preserve">Intelligent Item Acceptance and Listing. </w:t>
      </w:r>
      <w:r>
        <w:rPr>
          <w:rFonts w:ascii="Arial" w:cs="Arial" w:eastAsia="Arial" w:hAnsi="Arial"/>
          <w:sz w:val="17"/>
          <w:szCs w:val="17"/>
          <w:color w:val="auto"/>
        </w:rPr>
        <w:t>We use multi-layered algorithms to predict demand and pricing for an item, along with the optimal</w:t>
      </w:r>
      <w:r>
        <w:rPr>
          <w:rFonts w:ascii="Arial" w:cs="Arial" w:eastAsia="Arial" w:hAnsi="Arial"/>
          <w:sz w:val="17"/>
          <w:szCs w:val="17"/>
          <w:b w:val="1"/>
          <w:bCs w:val="1"/>
          <w:color w:val="auto"/>
        </w:rPr>
        <w:t xml:space="preserve"> </w:t>
      </w:r>
      <w:r>
        <w:rPr>
          <w:rFonts w:ascii="Arial" w:cs="Arial" w:eastAsia="Arial" w:hAnsi="Arial"/>
          <w:sz w:val="17"/>
          <w:szCs w:val="17"/>
          <w:color w:val="auto"/>
        </w:rPr>
        <w:t>payout rate to the seller. As such, after our quality review, we make our decision of accepting or rejecting an item based on a framework that balances sell-through, unit economics and the seller’s payout rate.</w:t>
      </w:r>
    </w:p>
    <w:p>
      <w:pPr>
        <w:spacing w:after="0" w:line="106" w:lineRule="exact"/>
        <w:rPr>
          <w:rFonts w:ascii="Arial" w:cs="Arial" w:eastAsia="Arial" w:hAnsi="Arial"/>
          <w:sz w:val="17"/>
          <w:szCs w:val="17"/>
          <w:color w:val="auto"/>
        </w:rPr>
      </w:pPr>
    </w:p>
    <w:p>
      <w:pPr>
        <w:ind w:left="600" w:hanging="302"/>
        <w:spacing w:after="0" w:line="279" w:lineRule="auto"/>
        <w:tabs>
          <w:tab w:leader="none" w:pos="596"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 xml:space="preserve">Visual Recognition. </w:t>
      </w:r>
      <w:r>
        <w:rPr>
          <w:rFonts w:ascii="Arial" w:cs="Arial" w:eastAsia="Arial" w:hAnsi="Arial"/>
          <w:sz w:val="17"/>
          <w:szCs w:val="17"/>
          <w:color w:val="auto"/>
        </w:rPr>
        <w:t>We utilize machine learning and artificial intelligence to power visual recognition of items we receive from sellers to</w:t>
      </w:r>
      <w:r>
        <w:rPr>
          <w:rFonts w:ascii="Arial" w:cs="Arial" w:eastAsia="Arial" w:hAnsi="Arial"/>
          <w:sz w:val="17"/>
          <w:szCs w:val="17"/>
          <w:b w:val="1"/>
          <w:bCs w:val="1"/>
          <w:color w:val="auto"/>
        </w:rPr>
        <w:t xml:space="preserve"> </w:t>
      </w:r>
      <w:r>
        <w:rPr>
          <w:rFonts w:ascii="Arial" w:cs="Arial" w:eastAsia="Arial" w:hAnsi="Arial"/>
          <w:sz w:val="17"/>
          <w:szCs w:val="17"/>
          <w:color w:val="auto"/>
        </w:rPr>
        <w:t>automate inspection and item attribution.</w:t>
      </w:r>
    </w:p>
    <w:p>
      <w:pPr>
        <w:spacing w:after="0" w:line="93" w:lineRule="exact"/>
        <w:rPr>
          <w:rFonts w:ascii="Arial" w:cs="Arial" w:eastAsia="Arial" w:hAnsi="Arial"/>
          <w:sz w:val="17"/>
          <w:szCs w:val="17"/>
          <w:color w:val="auto"/>
        </w:rPr>
      </w:pPr>
    </w:p>
    <w:p>
      <w:pPr>
        <w:jc w:val="both"/>
        <w:ind w:left="600" w:hanging="302"/>
        <w:spacing w:after="0" w:line="277" w:lineRule="auto"/>
        <w:tabs>
          <w:tab w:leader="none" w:pos="596"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Photo Selection. </w:t>
      </w:r>
      <w:r>
        <w:rPr>
          <w:rFonts w:ascii="Arial" w:cs="Arial" w:eastAsia="Arial" w:hAnsi="Arial"/>
          <w:sz w:val="16"/>
          <w:szCs w:val="16"/>
          <w:color w:val="auto"/>
        </w:rPr>
        <w:t>We have developed software that automatically selects the optimum photo to drive buyer engagement, balanced against the</w:t>
      </w:r>
      <w:r>
        <w:rPr>
          <w:rFonts w:ascii="Arial" w:cs="Arial" w:eastAsia="Arial" w:hAnsi="Arial"/>
          <w:sz w:val="16"/>
          <w:szCs w:val="16"/>
          <w:b w:val="1"/>
          <w:bCs w:val="1"/>
          <w:color w:val="auto"/>
        </w:rPr>
        <w:t xml:space="preserve"> </w:t>
      </w:r>
      <w:r>
        <w:rPr>
          <w:rFonts w:ascii="Arial" w:cs="Arial" w:eastAsia="Arial" w:hAnsi="Arial"/>
          <w:sz w:val="16"/>
          <w:szCs w:val="16"/>
          <w:color w:val="auto"/>
        </w:rPr>
        <w:t>cost of photography, which is one of the largest expenses when prepping an item for sale online. This specialized photo selection capability enables us to produce hundreds of thousands of high-quality photos a day without a professional photographer. We can automatically sharpen, color correct and enhance photos as needed, before uploading to our marketplace in a continuous flow, 24 hours a day, 7 days a week.</w:t>
      </w:r>
    </w:p>
    <w:p>
      <w:pPr>
        <w:spacing w:after="0" w:line="96" w:lineRule="exact"/>
        <w:rPr>
          <w:rFonts w:ascii="Arial" w:cs="Arial" w:eastAsia="Arial" w:hAnsi="Arial"/>
          <w:sz w:val="16"/>
          <w:szCs w:val="16"/>
          <w:color w:val="auto"/>
        </w:rPr>
      </w:pPr>
    </w:p>
    <w:p>
      <w:pPr>
        <w:jc w:val="both"/>
        <w:ind w:left="600" w:hanging="302"/>
        <w:spacing w:after="0" w:line="262" w:lineRule="auto"/>
        <w:tabs>
          <w:tab w:leader="none" w:pos="596"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 xml:space="preserve">Location-Based Assortment. </w:t>
      </w:r>
      <w:r>
        <w:rPr>
          <w:rFonts w:ascii="Arial" w:cs="Arial" w:eastAsia="Arial" w:hAnsi="Arial"/>
          <w:sz w:val="17"/>
          <w:szCs w:val="17"/>
          <w:color w:val="auto"/>
        </w:rPr>
        <w:t>We match buyers to the closest distribution center and personalize the assortment that they see on our</w:t>
      </w:r>
      <w:r>
        <w:rPr>
          <w:rFonts w:ascii="Arial" w:cs="Arial" w:eastAsia="Arial" w:hAnsi="Arial"/>
          <w:sz w:val="17"/>
          <w:szCs w:val="17"/>
          <w:b w:val="1"/>
          <w:bCs w:val="1"/>
          <w:color w:val="auto"/>
        </w:rPr>
        <w:t xml:space="preserve"> </w:t>
      </w:r>
      <w:r>
        <w:rPr>
          <w:rFonts w:ascii="Arial" w:cs="Arial" w:eastAsia="Arial" w:hAnsi="Arial"/>
          <w:sz w:val="17"/>
          <w:szCs w:val="17"/>
          <w:color w:val="auto"/>
        </w:rPr>
        <w:t>marketplace to items that are physically closest to them. Our geographical personalization enables buyers to find items that are lower priced (the closer the item, the lower the price) and more likely to arrive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b w:val="1"/>
          <w:bCs w:val="1"/>
          <w:i w:val="1"/>
          <w:iCs w:val="1"/>
          <w:color w:val="auto"/>
        </w:rPr>
        <w:t>Data Science Expertise</w:t>
      </w:r>
      <w:r>
        <w:rPr>
          <w:rFonts w:ascii="Arial" w:cs="Arial" w:eastAsia="Arial" w:hAnsi="Arial"/>
          <w:sz w:val="17"/>
          <w:szCs w:val="17"/>
          <w:color w:val="auto"/>
        </w:rPr>
        <w:t>. Over the last 10 years, we have built a deep competitive moat through our proprietary data set that spans over 100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unique items processed across 35,000 brands and 100 categories. We use data to build a compelling assortment of secondhand items and optimize economic decisions across our platform, including item acceptance, pricing and seller payouts, merchandising and markdown decisions. We also leverage data to power buyer acquisition and to provide a personalized shopping experience for buyers.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ways in which we utilize data include:</w:t>
      </w:r>
    </w:p>
    <w:p>
      <w:pPr>
        <w:spacing w:after="0" w:line="151" w:lineRule="exact"/>
        <w:rPr>
          <w:sz w:val="20"/>
          <w:szCs w:val="20"/>
          <w:color w:val="auto"/>
        </w:rPr>
      </w:pPr>
    </w:p>
    <w:p>
      <w:pPr>
        <w:jc w:val="both"/>
        <w:ind w:left="600" w:hanging="302"/>
        <w:spacing w:after="0" w:line="272" w:lineRule="auto"/>
        <w:tabs>
          <w:tab w:leader="none" w:pos="596"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Supply Quality Management. </w:t>
      </w:r>
      <w:r>
        <w:rPr>
          <w:rFonts w:ascii="Arial" w:cs="Arial" w:eastAsia="Arial" w:hAnsi="Arial"/>
          <w:sz w:val="16"/>
          <w:szCs w:val="16"/>
          <w:color w:val="auto"/>
        </w:rPr>
        <w:t>We aim to increase the yield from items processed to items listed from each Clean Out Kit by encouraging repeat</w:t>
      </w:r>
      <w:r>
        <w:rPr>
          <w:rFonts w:ascii="Arial" w:cs="Arial" w:eastAsia="Arial" w:hAnsi="Arial"/>
          <w:sz w:val="16"/>
          <w:szCs w:val="16"/>
          <w:b w:val="1"/>
          <w:bCs w:val="1"/>
          <w:color w:val="auto"/>
        </w:rPr>
        <w:t xml:space="preserve"> </w:t>
      </w:r>
      <w:r>
        <w:rPr>
          <w:rFonts w:ascii="Arial" w:cs="Arial" w:eastAsia="Arial" w:hAnsi="Arial"/>
          <w:sz w:val="16"/>
          <w:szCs w:val="16"/>
          <w:color w:val="auto"/>
        </w:rPr>
        <w:t>sellers that have high-quality secondhand items to continue consigning and engaging with thredUP. Given that the majority of our supply comes from repeat sellers, we track transactional and behavioral data that enables us to prioritize sellers with high-quality secondhand items and de-prioritize items that are not as suitable for our marketplace, based on their historical track record. We do this by attributing a quantitative supplier score to each Clean Out Kit that we receive. We expect this process to become more efficient as we scale and collate more seller data.</w:t>
      </w:r>
    </w:p>
    <w:p>
      <w:pPr>
        <w:spacing w:after="0" w:line="102" w:lineRule="exact"/>
        <w:rPr>
          <w:rFonts w:ascii="Arial" w:cs="Arial" w:eastAsia="Arial" w:hAnsi="Arial"/>
          <w:sz w:val="16"/>
          <w:szCs w:val="16"/>
          <w:color w:val="auto"/>
        </w:rPr>
      </w:pPr>
    </w:p>
    <w:p>
      <w:pPr>
        <w:jc w:val="both"/>
        <w:ind w:left="600" w:hanging="302"/>
        <w:spacing w:after="0" w:line="249" w:lineRule="auto"/>
        <w:tabs>
          <w:tab w:leader="none" w:pos="596"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Item Pricing. </w:t>
      </w:r>
      <w:r>
        <w:rPr>
          <w:rFonts w:ascii="Arial" w:cs="Arial" w:eastAsia="Arial" w:hAnsi="Arial"/>
          <w:sz w:val="17"/>
          <w:szCs w:val="17"/>
          <w:color w:val="auto"/>
        </w:rPr>
        <w:t>Our software algorithms ingest millions of data points each day to determine how we price items. We set pricing at the item level</w:t>
      </w:r>
      <w:r>
        <w:rPr>
          <w:rFonts w:ascii="Arial" w:cs="Arial" w:eastAsia="Arial" w:hAnsi="Arial"/>
          <w:sz w:val="17"/>
          <w:szCs w:val="17"/>
          <w:b w:val="1"/>
          <w:bCs w:val="1"/>
          <w:color w:val="auto"/>
        </w:rPr>
        <w:t xml:space="preserve"> </w:t>
      </w:r>
      <w:r>
        <w:rPr>
          <w:rFonts w:ascii="Arial" w:cs="Arial" w:eastAsia="Arial" w:hAnsi="Arial"/>
          <w:sz w:val="17"/>
          <w:szCs w:val="17"/>
          <w:color w:val="auto"/>
        </w:rPr>
        <w:t>because each item is unique. Our approach is layered, leveraging machine vision as well as dozens of attributes such as brand, category, style, color and materials. We combine these data points with information about similar items, aggregate marketplace supply and demand data and human-driven pricing research. Based on each item, these layers of algorithms are combined in different ways to set our reference prices and listing price and to accelerate sell-through with intelligent, targeted discounting. Depending on the time of year, the mix of items currently available, or the opportunity cost of storage and incoming supply in our facilities, we adjust prices to deliver maximum value to our business while offering exceptional value for the buyer. Lower priced items tend to have higher expected turn rates, while higher priced items tend to have slower turn rates.</w:t>
      </w:r>
    </w:p>
    <w:p>
      <w:pPr>
        <w:spacing w:after="0" w:line="119" w:lineRule="exact"/>
        <w:rPr>
          <w:rFonts w:ascii="Arial" w:cs="Arial" w:eastAsia="Arial" w:hAnsi="Arial"/>
          <w:sz w:val="17"/>
          <w:szCs w:val="17"/>
          <w:color w:val="auto"/>
        </w:rPr>
      </w:pPr>
    </w:p>
    <w:p>
      <w:pPr>
        <w:jc w:val="both"/>
        <w:ind w:left="600" w:hanging="302"/>
        <w:spacing w:after="0" w:line="256" w:lineRule="auto"/>
        <w:tabs>
          <w:tab w:leader="none" w:pos="596"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Seller Payouts. </w:t>
      </w:r>
      <w:r>
        <w:rPr>
          <w:rFonts w:ascii="Arial" w:cs="Arial" w:eastAsia="Arial" w:hAnsi="Arial"/>
          <w:sz w:val="17"/>
          <w:szCs w:val="17"/>
          <w:color w:val="auto"/>
        </w:rPr>
        <w:t>Once we have identified the target selling price for an item to maximize its sell-through and contribution margin, we then set the</w:t>
      </w:r>
      <w:r>
        <w:rPr>
          <w:rFonts w:ascii="Arial" w:cs="Arial" w:eastAsia="Arial" w:hAnsi="Arial"/>
          <w:sz w:val="17"/>
          <w:szCs w:val="17"/>
          <w:b w:val="1"/>
          <w:bCs w:val="1"/>
          <w:color w:val="auto"/>
        </w:rPr>
        <w:t xml:space="preserve"> </w:t>
      </w:r>
      <w:r>
        <w:rPr>
          <w:rFonts w:ascii="Arial" w:cs="Arial" w:eastAsia="Arial" w:hAnsi="Arial"/>
          <w:sz w:val="17"/>
          <w:szCs w:val="17"/>
          <w:color w:val="auto"/>
        </w:rPr>
        <w:t>payout rate for sellers. Similar to our pricing algorithms, we refine our seller payouts on a regular basis to be competitive relative to the market for resale. For example, if we know that an item has strong potential demand with buyers, we are able to calibrate our payout to incentivize sellers to choose thredUP over other managed platforms.</w:t>
      </w:r>
    </w:p>
    <w:p>
      <w:pPr>
        <w:spacing w:after="0" w:line="111" w:lineRule="exact"/>
        <w:rPr>
          <w:rFonts w:ascii="Arial" w:cs="Arial" w:eastAsia="Arial" w:hAnsi="Arial"/>
          <w:sz w:val="17"/>
          <w:szCs w:val="17"/>
          <w:color w:val="auto"/>
        </w:rPr>
      </w:pPr>
    </w:p>
    <w:p>
      <w:pPr>
        <w:jc w:val="both"/>
        <w:ind w:left="600" w:hanging="302"/>
        <w:spacing w:after="0" w:line="253" w:lineRule="auto"/>
        <w:tabs>
          <w:tab w:leader="none" w:pos="596"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Personalization. </w:t>
      </w:r>
      <w:r>
        <w:rPr>
          <w:rFonts w:ascii="Arial" w:cs="Arial" w:eastAsia="Arial" w:hAnsi="Arial"/>
          <w:sz w:val="17"/>
          <w:szCs w:val="17"/>
          <w:color w:val="auto"/>
        </w:rPr>
        <w:t>We use data to help buyers better navigate millions of unique items and tens of thousands of new items posted daily so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they are able to have a more personalized shopping experience. We use a combination of inferences based on their behavior, on top of explicit choices that they make when shopping, to refine our insights on what buyers are seeking. We help buyers save items, sign-up for alerts on new items and hear about price drops on products they are in the market to buy. These inputs are then cycled back into our data-driven consumer models to personalize the shopping experience for buyers.</w:t>
      </w:r>
    </w:p>
    <w:p>
      <w:pPr>
        <w:spacing w:after="0" w:line="114" w:lineRule="exact"/>
        <w:rPr>
          <w:rFonts w:ascii="Arial" w:cs="Arial" w:eastAsia="Arial" w:hAnsi="Arial"/>
          <w:sz w:val="17"/>
          <w:szCs w:val="17"/>
          <w:color w:val="auto"/>
        </w:rPr>
      </w:pPr>
    </w:p>
    <w:p>
      <w:pPr>
        <w:jc w:val="both"/>
        <w:ind w:left="600" w:hanging="302"/>
        <w:spacing w:after="0" w:line="250" w:lineRule="auto"/>
        <w:tabs>
          <w:tab w:leader="none" w:pos="596"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Marketing Automation. </w:t>
      </w:r>
      <w:r>
        <w:rPr>
          <w:rFonts w:ascii="Arial" w:cs="Arial" w:eastAsia="Arial" w:hAnsi="Arial"/>
          <w:sz w:val="17"/>
          <w:szCs w:val="17"/>
          <w:color w:val="auto"/>
        </w:rPr>
        <w:t>We have built proprietary in-house software, managed by our marketing automation team, to deliver compelling,</w:t>
      </w:r>
      <w:r>
        <w:rPr>
          <w:rFonts w:ascii="Arial" w:cs="Arial" w:eastAsia="Arial" w:hAnsi="Arial"/>
          <w:sz w:val="17"/>
          <w:szCs w:val="17"/>
          <w:b w:val="1"/>
          <w:bCs w:val="1"/>
          <w:color w:val="auto"/>
        </w:rPr>
        <w:t xml:space="preserve"> </w:t>
      </w:r>
      <w:r>
        <w:rPr>
          <w:rFonts w:ascii="Arial" w:cs="Arial" w:eastAsia="Arial" w:hAnsi="Arial"/>
          <w:sz w:val="17"/>
          <w:szCs w:val="17"/>
          <w:color w:val="auto"/>
        </w:rPr>
        <w:t>scalable buyer acquisition results. In practice, that means our data pipelines have been built to help our teams identify which advertising activities are performing, and to calibrate our marketing spend across channels and campaigns to drive return on investment. We also use browsing and engagement data in our models that help us estimate (i) the future value of a potential buyer in terms of potential contribution profit for their first order and (ii) the future value of an existing buyer in terms of potential contribution profit for the next twelve months. We ingest and calibrate multiple data points including the advertising unit viewed by the potential buyer, sign-on method, search or filter keywords and add-to-cart behavior, amongst others, to predict the quality of this potential buyer and the expected lifetime value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spacing w:after="0" w:line="277" w:lineRule="auto"/>
        <w:rPr>
          <w:sz w:val="20"/>
          <w:szCs w:val="20"/>
          <w:color w:val="auto"/>
        </w:rPr>
      </w:pPr>
      <w:r>
        <w:rPr>
          <w:rFonts w:ascii="Arial" w:cs="Arial" w:eastAsia="Arial" w:hAnsi="Arial"/>
          <w:sz w:val="17"/>
          <w:szCs w:val="17"/>
          <w:color w:val="auto"/>
        </w:rPr>
        <w:t>payback on marketing over time. We calculate marketing payback as the time it takes for the cumulative contribution profit of a buyer to equal the marketing dollars spent to acquire such buyer.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Strengths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believe the following strengths contribute to our success:</w:t>
      </w:r>
    </w:p>
    <w:p>
      <w:pPr>
        <w:spacing w:after="0" w:line="151" w:lineRule="exact"/>
        <w:rPr>
          <w:sz w:val="20"/>
          <w:szCs w:val="20"/>
          <w:color w:val="auto"/>
        </w:rPr>
      </w:pPr>
    </w:p>
    <w:p>
      <w:pPr>
        <w:jc w:val="both"/>
        <w:ind w:left="600" w:hanging="302"/>
        <w:spacing w:after="0" w:line="251" w:lineRule="auto"/>
        <w:tabs>
          <w:tab w:leader="none" w:pos="596"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Powerful, Extensible Operating Platform. </w:t>
      </w:r>
      <w:r>
        <w:rPr>
          <w:rFonts w:ascii="Arial" w:cs="Arial" w:eastAsia="Arial" w:hAnsi="Arial"/>
          <w:sz w:val="17"/>
          <w:szCs w:val="17"/>
          <w:color w:val="auto"/>
        </w:rPr>
        <w:t>We are driving modern resale by solving the challenge of unlocking supply in closets at scale and</w:t>
      </w:r>
      <w:r>
        <w:rPr>
          <w:rFonts w:ascii="Arial" w:cs="Arial" w:eastAsia="Arial" w:hAnsi="Arial"/>
          <w:sz w:val="17"/>
          <w:szCs w:val="17"/>
          <w:b w:val="1"/>
          <w:bCs w:val="1"/>
          <w:color w:val="auto"/>
        </w:rPr>
        <w:t xml:space="preserve"> </w:t>
      </w:r>
      <w:r>
        <w:rPr>
          <w:rFonts w:ascii="Arial" w:cs="Arial" w:eastAsia="Arial" w:hAnsi="Arial"/>
          <w:sz w:val="17"/>
          <w:szCs w:val="17"/>
          <w:color w:val="auto"/>
        </w:rPr>
        <w:t>creating a valuable, compelling offering for buyers. We have invested significant resources in building a differentiated and defensible operating platform consisting of distributed processing infrastructure, proprietary software and systems and data science expertise. We designed our platform with the goal of making buying and selling secondhand convenient for consumers, and we extended it to support brand and retail experiences via our RaaS offering. As a result of our investments in our platform, we expect that buyers, sellers, brands, retailers and other partners will continue to seek out thredUP as their resale partner, providing us with the opportunity to extend our platform further.</w:t>
      </w:r>
    </w:p>
    <w:p>
      <w:pPr>
        <w:spacing w:after="0" w:line="117" w:lineRule="exact"/>
        <w:rPr>
          <w:rFonts w:ascii="Arial" w:cs="Arial" w:eastAsia="Arial" w:hAnsi="Arial"/>
          <w:sz w:val="17"/>
          <w:szCs w:val="17"/>
          <w:color w:val="auto"/>
        </w:rPr>
      </w:pPr>
    </w:p>
    <w:p>
      <w:pPr>
        <w:jc w:val="both"/>
        <w:ind w:left="600" w:hanging="302"/>
        <w:spacing w:after="0" w:line="253" w:lineRule="auto"/>
        <w:tabs>
          <w:tab w:leader="none" w:pos="596"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Data Driven Model. </w:t>
      </w:r>
      <w:r>
        <w:rPr>
          <w:rFonts w:ascii="Arial" w:cs="Arial" w:eastAsia="Arial" w:hAnsi="Arial"/>
          <w:sz w:val="17"/>
          <w:szCs w:val="17"/>
          <w:color w:val="auto"/>
        </w:rPr>
        <w:t>Our business model allows us to capture and utilize large volumes of data from touch points throughout the resale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transactional and pricing data across more than 35,000 brands and 100 categories, along with behavioral data from our buyers and sellers. We believe that our data gives us unparalleled insight into the entire resale economy. Our team of data scientists and engineers utilize this data to enhance our operating platform, from optimizing economic decisions and operational efficiencies, to powering customer acquisition, and providing a better product experience for buyers and sellers.</w:t>
      </w:r>
    </w:p>
    <w:p>
      <w:pPr>
        <w:spacing w:after="0" w:line="114" w:lineRule="exact"/>
        <w:rPr>
          <w:rFonts w:ascii="Arial" w:cs="Arial" w:eastAsia="Arial" w:hAnsi="Arial"/>
          <w:sz w:val="17"/>
          <w:szCs w:val="17"/>
          <w:color w:val="auto"/>
        </w:rPr>
      </w:pPr>
    </w:p>
    <w:p>
      <w:pPr>
        <w:jc w:val="both"/>
        <w:ind w:left="600" w:hanging="302"/>
        <w:spacing w:after="0" w:line="250" w:lineRule="auto"/>
        <w:tabs>
          <w:tab w:leader="none" w:pos="596"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Managed Marketplace. </w:t>
      </w:r>
      <w:r>
        <w:rPr>
          <w:rFonts w:ascii="Arial" w:cs="Arial" w:eastAsia="Arial" w:hAnsi="Arial"/>
          <w:sz w:val="17"/>
          <w:szCs w:val="17"/>
          <w:color w:val="auto"/>
        </w:rPr>
        <w:t>We provide end-to-end resale services for sellers using our platform, including managing item selection and pricing,</w:t>
      </w:r>
      <w:r>
        <w:rPr>
          <w:rFonts w:ascii="Arial" w:cs="Arial" w:eastAsia="Arial" w:hAnsi="Arial"/>
          <w:sz w:val="17"/>
          <w:szCs w:val="17"/>
          <w:b w:val="1"/>
          <w:bCs w:val="1"/>
          <w:color w:val="auto"/>
        </w:rPr>
        <w:t xml:space="preserve"> </w:t>
      </w:r>
      <w:r>
        <w:rPr>
          <w:rFonts w:ascii="Arial" w:cs="Arial" w:eastAsia="Arial" w:hAnsi="Arial"/>
          <w:sz w:val="17"/>
          <w:szCs w:val="17"/>
          <w:color w:val="auto"/>
        </w:rPr>
        <w:t>merchandising, fulfillment, payments and customer service. As a result, we can offer a broad selection of secondhand items across more than 35,000 brands and 100 categories. Our buyers and sellers trust thredUP to deliver value, selection and quality. We believe that operating primarily on consignment also gives us the ability to drive stronger future margins than traditional inventory-taking business models because we incur minimal inventory risk and benefit from favorable working capital dynamics. Our buyers pay us upfront when they purchase an item. For items held on consignment, after the end of the 14-day return window for buyers, we credit our sellers’ accounts with their seller payout. Our sellers then take an average of more than 60 days to use their funds.</w:t>
      </w:r>
    </w:p>
    <w:p>
      <w:pPr>
        <w:spacing w:after="0" w:line="117" w:lineRule="exact"/>
        <w:rPr>
          <w:rFonts w:ascii="Arial" w:cs="Arial" w:eastAsia="Arial" w:hAnsi="Arial"/>
          <w:sz w:val="17"/>
          <w:szCs w:val="17"/>
          <w:color w:val="auto"/>
        </w:rPr>
      </w:pPr>
    </w:p>
    <w:p>
      <w:pPr>
        <w:jc w:val="both"/>
        <w:ind w:left="600" w:hanging="302"/>
        <w:spacing w:after="0" w:line="253" w:lineRule="auto"/>
        <w:tabs>
          <w:tab w:leader="none" w:pos="596"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Strong Network Effects. </w:t>
      </w:r>
      <w:r>
        <w:rPr>
          <w:rFonts w:ascii="Arial" w:cs="Arial" w:eastAsia="Arial" w:hAnsi="Arial"/>
          <w:sz w:val="17"/>
          <w:szCs w:val="17"/>
          <w:color w:val="auto"/>
        </w:rPr>
        <w:t>The growth of buyers and sellers on our marketplace generates strong network effects. More assortment on our</w:t>
      </w:r>
      <w:r>
        <w:rPr>
          <w:rFonts w:ascii="Arial" w:cs="Arial" w:eastAsia="Arial" w:hAnsi="Arial"/>
          <w:sz w:val="17"/>
          <w:szCs w:val="17"/>
          <w:b w:val="1"/>
          <w:bCs w:val="1"/>
          <w:color w:val="auto"/>
        </w:rPr>
        <w:t xml:space="preserve"> </w:t>
      </w:r>
      <w:r>
        <w:rPr>
          <w:rFonts w:ascii="Arial" w:cs="Arial" w:eastAsia="Arial" w:hAnsi="Arial"/>
          <w:sz w:val="17"/>
          <w:szCs w:val="17"/>
          <w:color w:val="auto"/>
        </w:rPr>
        <w:t>marketplace increases the choices available to buyers, and more buyers on our marketplace increases potential sales for our sellers through a self-reinforcing, mutually beneficial network effect. Our network effects grow as we scale due to our ability to harness a larger trove of proprietary pricing, transactional and behavioral data to optimize our marketplace. In addition, converting buyers into sellers and vice versa amplifies the flywheel that drives user acquisition, engagement and retention in our marketplace.</w:t>
      </w:r>
    </w:p>
    <w:p>
      <w:pPr>
        <w:spacing w:after="0" w:line="114" w:lineRule="exact"/>
        <w:rPr>
          <w:rFonts w:ascii="Arial" w:cs="Arial" w:eastAsia="Arial" w:hAnsi="Arial"/>
          <w:sz w:val="17"/>
          <w:szCs w:val="17"/>
          <w:color w:val="auto"/>
        </w:rPr>
      </w:pPr>
    </w:p>
    <w:p>
      <w:pPr>
        <w:jc w:val="both"/>
        <w:ind w:left="600" w:hanging="302"/>
        <w:spacing w:after="0" w:line="256" w:lineRule="auto"/>
        <w:tabs>
          <w:tab w:leader="none" w:pos="596"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Founder-Led Management Team. </w:t>
      </w:r>
      <w:r>
        <w:rPr>
          <w:rFonts w:ascii="Arial" w:cs="Arial" w:eastAsia="Arial" w:hAnsi="Arial"/>
          <w:sz w:val="17"/>
          <w:szCs w:val="17"/>
          <w:color w:val="auto"/>
        </w:rPr>
        <w:t>We are led by our co-founders James Reinhart and Chris Homer. The average tenure of the thredUP</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team is seven years. Our management team’s clear sense of mission, commitment to our values and long-term focus on transforming resale through technology are central to our success. Members of our team have created and grown leading technology, retail and consumer businesses, and they retain a strong entrepreneurial spirit.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key elements of our growth strategy include:</w:t>
      </w:r>
    </w:p>
    <w:p>
      <w:pPr>
        <w:spacing w:after="0" w:line="151" w:lineRule="exact"/>
        <w:rPr>
          <w:sz w:val="20"/>
          <w:szCs w:val="20"/>
          <w:color w:val="auto"/>
        </w:rPr>
      </w:pPr>
    </w:p>
    <w:p>
      <w:pPr>
        <w:jc w:val="both"/>
        <w:ind w:left="600" w:hanging="302"/>
        <w:spacing w:after="0" w:line="253" w:lineRule="auto"/>
        <w:tabs>
          <w:tab w:leader="none" w:pos="596"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Expand Our Operating Platform. </w:t>
      </w:r>
      <w:r>
        <w:rPr>
          <w:rFonts w:ascii="Arial" w:cs="Arial" w:eastAsia="Arial" w:hAnsi="Arial"/>
          <w:sz w:val="17"/>
          <w:szCs w:val="17"/>
          <w:color w:val="auto"/>
        </w:rPr>
        <w:t>We will continue to invest in our operating platform to drive innovation and growth in resale. This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expanding and optimizing our distributed processing infrastructure and automation capabilities, including increasing automated distribution centers, so we can serve more buyers, sellers and RaaS partners over time. We also plan to grow by improving our proprietary software and systems and data science capabilities in order to better attract and serve our customers. We expect to drive operating leverage and higher margins as we grow and scale our business.</w:t>
      </w:r>
    </w:p>
    <w:p>
      <w:pPr>
        <w:spacing w:after="0" w:line="114" w:lineRule="exact"/>
        <w:rPr>
          <w:rFonts w:ascii="Arial" w:cs="Arial" w:eastAsia="Arial" w:hAnsi="Arial"/>
          <w:sz w:val="17"/>
          <w:szCs w:val="17"/>
          <w:color w:val="auto"/>
        </w:rPr>
      </w:pPr>
    </w:p>
    <w:p>
      <w:pPr>
        <w:jc w:val="both"/>
        <w:ind w:left="600" w:hanging="302"/>
        <w:spacing w:after="0" w:line="250" w:lineRule="auto"/>
        <w:tabs>
          <w:tab w:leader="none" w:pos="596"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Increase Selection of High-Quality Items. </w:t>
      </w:r>
      <w:r>
        <w:rPr>
          <w:rFonts w:ascii="Arial" w:cs="Arial" w:eastAsia="Arial" w:hAnsi="Arial"/>
          <w:sz w:val="17"/>
          <w:szCs w:val="17"/>
          <w:color w:val="auto"/>
        </w:rPr>
        <w:t>The availability of high-quality secondhand items on our marketplace drives buyer demand and</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increasing buyer share of wallet for secondhand apparel. Having a vast selection of high-quality secondhand items is core to the growth of our business, and we plan to continue to attract additional sellers and engage with our RaaS partners to bring an ongoing, high-quality assortment to our marketplace.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retail locations, our RaaS partnership programs, referral programs, organic word-of-mouth and other methods of discovery, such as mentions in the press.</w:t>
      </w:r>
    </w:p>
    <w:p>
      <w:pPr>
        <w:spacing w:after="0" w:line="117" w:lineRule="exact"/>
        <w:rPr>
          <w:rFonts w:ascii="Arial" w:cs="Arial" w:eastAsia="Arial" w:hAnsi="Arial"/>
          <w:sz w:val="17"/>
          <w:szCs w:val="17"/>
          <w:color w:val="auto"/>
        </w:rPr>
      </w:pPr>
    </w:p>
    <w:p>
      <w:pPr>
        <w:ind w:left="600" w:hanging="302"/>
        <w:spacing w:after="0"/>
        <w:tabs>
          <w:tab w:leader="none" w:pos="60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Increase Lifetime Value of Existing Buyers and Attract New Buyers.</w:t>
      </w:r>
    </w:p>
    <w:p>
      <w:pPr>
        <w:spacing w:after="0" w:line="154" w:lineRule="exact"/>
        <w:rPr>
          <w:rFonts w:ascii="Arial" w:cs="Arial" w:eastAsia="Arial" w:hAnsi="Arial"/>
          <w:sz w:val="17"/>
          <w:szCs w:val="17"/>
          <w:color w:val="auto"/>
        </w:rPr>
      </w:pPr>
    </w:p>
    <w:p>
      <w:pPr>
        <w:jc w:val="both"/>
        <w:ind w:left="900" w:hanging="303"/>
        <w:spacing w:after="0" w:line="260" w:lineRule="auto"/>
        <w:tabs>
          <w:tab w:leader="none" w:pos="896" w:val="left"/>
        </w:tabs>
        <w:numPr>
          <w:ilvl w:val="1"/>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Increasing the lifetime value of existing buyers. </w:t>
      </w:r>
      <w:r>
        <w:rPr>
          <w:rFonts w:ascii="Arial" w:cs="Arial" w:eastAsia="Arial" w:hAnsi="Arial"/>
          <w:sz w:val="17"/>
          <w:szCs w:val="17"/>
          <w:color w:val="auto"/>
        </w:rPr>
        <w:t>We intend to increase the lifetime value of our buyers by driving order frequency. For buyers,</w:t>
      </w:r>
      <w:r>
        <w:rPr>
          <w:rFonts w:ascii="Arial" w:cs="Arial" w:eastAsia="Arial" w:hAnsi="Arial"/>
          <w:sz w:val="17"/>
          <w:szCs w:val="17"/>
          <w:i w:val="1"/>
          <w:iCs w:val="1"/>
          <w:color w:val="auto"/>
        </w:rPr>
        <w:t xml:space="preserve"> </w:t>
      </w:r>
      <w:r>
        <w:rPr>
          <w:rFonts w:ascii="Arial" w:cs="Arial" w:eastAsia="Arial" w:hAnsi="Arial"/>
          <w:sz w:val="17"/>
          <w:szCs w:val="17"/>
          <w:color w:val="auto"/>
        </w:rPr>
        <w:t>we drive repeat purchases by enhancing our assortment and leveraging our data insights to improve personalization and increase conversion. We also increase lifetime value by encouraging purchases across multiple categories.</w:t>
      </w:r>
    </w:p>
    <w:p>
      <w:pPr>
        <w:spacing w:after="0" w:line="111" w:lineRule="exact"/>
        <w:rPr>
          <w:rFonts w:ascii="Arial" w:cs="Arial" w:eastAsia="Arial" w:hAnsi="Arial"/>
          <w:sz w:val="17"/>
          <w:szCs w:val="17"/>
          <w:color w:val="auto"/>
        </w:rPr>
      </w:pPr>
    </w:p>
    <w:p>
      <w:pPr>
        <w:jc w:val="both"/>
        <w:ind w:left="900" w:hanging="303"/>
        <w:spacing w:after="0" w:line="249" w:lineRule="auto"/>
        <w:tabs>
          <w:tab w:leader="none" w:pos="896" w:val="left"/>
        </w:tabs>
        <w:numPr>
          <w:ilvl w:val="1"/>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Attracting new buyers. </w:t>
      </w:r>
      <w:r>
        <w:rPr>
          <w:rFonts w:ascii="Arial" w:cs="Arial" w:eastAsia="Arial" w:hAnsi="Arial"/>
          <w:sz w:val="17"/>
          <w:szCs w:val="17"/>
          <w:color w:val="auto"/>
        </w:rPr>
        <w:t>We are focused on growing our buyer base. As of December 31, 2020, we had 1.24 million Active Buyers,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less than 1% penetration of the U.S. total population. We believe we are significantly under-penetrated given our buyers span broad income, age ranges and U.S. geographies, leaving significant opportunity for us to grow. According to the GlobalData January 2020 Consumer Survey, 62 million women bought secondhand products in 2019, up from 56 million in 2018. In addition, 70% of those surveyed said that they have or are open to shopping secondhand, while 82% said they are more open to shopping secondhand when finances are tighter in their households. Through our targeted, data-driven marketing efforts we aim to generate meaningful returns on our buyer acquisition investments.</w:t>
      </w:r>
    </w:p>
    <w:p>
      <w:pPr>
        <w:spacing w:after="0" w:line="121" w:lineRule="exact"/>
        <w:rPr>
          <w:rFonts w:ascii="Arial" w:cs="Arial" w:eastAsia="Arial" w:hAnsi="Arial"/>
          <w:sz w:val="17"/>
          <w:szCs w:val="17"/>
          <w:color w:val="auto"/>
        </w:rPr>
      </w:pPr>
    </w:p>
    <w:p>
      <w:pPr>
        <w:jc w:val="both"/>
        <w:ind w:left="600" w:hanging="302"/>
        <w:spacing w:after="0" w:line="262" w:lineRule="auto"/>
        <w:tabs>
          <w:tab w:leader="none" w:pos="596"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Expand our Resale-as-a-Service (RaaS) Offering. </w:t>
      </w:r>
      <w:r>
        <w:rPr>
          <w:rFonts w:ascii="Arial" w:cs="Arial" w:eastAsia="Arial" w:hAnsi="Arial"/>
          <w:sz w:val="17"/>
          <w:szCs w:val="17"/>
          <w:color w:val="auto"/>
        </w:rPr>
        <w:t>We plan to invest in and extend our RaaS offering to power resale for more brands and</w:t>
      </w:r>
      <w:r>
        <w:rPr>
          <w:rFonts w:ascii="Arial" w:cs="Arial" w:eastAsia="Arial" w:hAnsi="Arial"/>
          <w:sz w:val="17"/>
          <w:szCs w:val="17"/>
          <w:b w:val="1"/>
          <w:bCs w:val="1"/>
          <w:color w:val="auto"/>
        </w:rPr>
        <w:t xml:space="preserve"> </w:t>
      </w:r>
      <w:r>
        <w:rPr>
          <w:rFonts w:ascii="Arial" w:cs="Arial" w:eastAsia="Arial" w:hAnsi="Arial"/>
          <w:sz w:val="17"/>
          <w:szCs w:val="17"/>
          <w:color w:val="auto"/>
        </w:rPr>
        <w:t>retailers. More brand and retail partners on our platform drives more supply for our marketplace and creates brand awareness with buyers for thredUP and our partners.</w:t>
      </w:r>
    </w:p>
    <w:p>
      <w:pPr>
        <w:spacing w:after="0" w:line="106" w:lineRule="exact"/>
        <w:rPr>
          <w:rFonts w:ascii="Arial" w:cs="Arial" w:eastAsia="Arial" w:hAnsi="Arial"/>
          <w:sz w:val="17"/>
          <w:szCs w:val="17"/>
          <w:color w:val="auto"/>
        </w:rPr>
      </w:pPr>
    </w:p>
    <w:p>
      <w:pPr>
        <w:jc w:val="both"/>
        <w:ind w:left="600" w:hanging="302"/>
        <w:spacing w:after="0" w:line="253" w:lineRule="auto"/>
        <w:tabs>
          <w:tab w:leader="none" w:pos="596"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Increase Brand Awareness. </w:t>
      </w:r>
      <w:r>
        <w:rPr>
          <w:rFonts w:ascii="Arial" w:cs="Arial" w:eastAsia="Arial" w:hAnsi="Arial"/>
          <w:sz w:val="17"/>
          <w:szCs w:val="17"/>
          <w:color w:val="auto"/>
        </w:rPr>
        <w:t>We have an opportunity to increase our brand awareness, as our unaided brand awareness was 13.8% as of</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2021, based on a first quarter 2021 survey of over 2,000 women in the United States of ages 18 - 65. In the survey, 13.8% of participants said they think of thredUP when they think of online clothing resale (buying or selling secondhand clothes online) websites. We believe that with continued investment in brand marketing, data-led insights and effective consumer targeting, we can expand and strengthen our reach. We also rely on word of mouth to amplify brand awareness and intend to continue to focus on seller and buyer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0" w:hanging="302"/>
        <w:spacing w:after="0" w:line="253" w:lineRule="auto"/>
        <w:tabs>
          <w:tab w:leader="none" w:pos="596"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Expand into New Categories and Offerings. </w:t>
      </w:r>
      <w:r>
        <w:rPr>
          <w:rFonts w:ascii="Arial" w:cs="Arial" w:eastAsia="Arial" w:hAnsi="Arial"/>
          <w:sz w:val="17"/>
          <w:szCs w:val="17"/>
          <w:color w:val="auto"/>
        </w:rPr>
        <w:t>We aim to enhance our product offering for buyers and unlock more supply from sellers by</w:t>
      </w:r>
      <w:r>
        <w:rPr>
          <w:rFonts w:ascii="Arial" w:cs="Arial" w:eastAsia="Arial" w:hAnsi="Arial"/>
          <w:sz w:val="17"/>
          <w:szCs w:val="17"/>
          <w:b w:val="1"/>
          <w:bCs w:val="1"/>
          <w:color w:val="auto"/>
        </w:rPr>
        <w:t xml:space="preserve"> </w:t>
      </w:r>
      <w:r>
        <w:rPr>
          <w:rFonts w:ascii="Arial" w:cs="Arial" w:eastAsia="Arial" w:hAnsi="Arial"/>
          <w:sz w:val="17"/>
          <w:szCs w:val="17"/>
          <w:color w:val="auto"/>
        </w:rPr>
        <w:t>expanding into new categories and offerings that can leverage our conveyor and item on-hanger systems. Our ability to expand into adjacent categories within the secondhand market will enable us to increase our penetration of a large and robust addressable market. We also anticipate being able to leverage our marketplace scale and brand credibility to amplify and promote independent apparel brands with sustainable consumer propositions.</w:t>
      </w:r>
    </w:p>
    <w:p>
      <w:pPr>
        <w:spacing w:after="0" w:line="114" w:lineRule="exact"/>
        <w:rPr>
          <w:rFonts w:ascii="Arial" w:cs="Arial" w:eastAsia="Arial" w:hAnsi="Arial"/>
          <w:sz w:val="17"/>
          <w:szCs w:val="17"/>
          <w:color w:val="auto"/>
        </w:rPr>
      </w:pPr>
    </w:p>
    <w:p>
      <w:pPr>
        <w:jc w:val="both"/>
        <w:ind w:left="600" w:hanging="302"/>
        <w:spacing w:after="0" w:line="262" w:lineRule="auto"/>
        <w:tabs>
          <w:tab w:leader="none" w:pos="596"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Expand Internationally. </w:t>
      </w:r>
      <w:r>
        <w:rPr>
          <w:rFonts w:ascii="Arial" w:cs="Arial" w:eastAsia="Arial" w:hAnsi="Arial"/>
          <w:sz w:val="17"/>
          <w:szCs w:val="17"/>
          <w:color w:val="auto"/>
        </w:rPr>
        <w:t>Our operating platform and data science expertise have enabled us to expand our offering into RaaS and new apparel</w:t>
      </w:r>
      <w:r>
        <w:rPr>
          <w:rFonts w:ascii="Arial" w:cs="Arial" w:eastAsia="Arial" w:hAnsi="Arial"/>
          <w:sz w:val="17"/>
          <w:szCs w:val="17"/>
          <w:b w:val="1"/>
          <w:bCs w:val="1"/>
          <w:color w:val="auto"/>
        </w:rPr>
        <w:t xml:space="preserve"> </w:t>
      </w:r>
      <w:r>
        <w:rPr>
          <w:rFonts w:ascii="Arial" w:cs="Arial" w:eastAsia="Arial" w:hAnsi="Arial"/>
          <w:sz w:val="17"/>
          <w:szCs w:val="17"/>
          <w:color w:val="auto"/>
        </w:rPr>
        <w:t>categories successfully. We may choose to expand into new geographies and invest strategically in international operations and marketing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thredUP Product Experience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For Sellers. </w:t>
      </w:r>
      <w:r>
        <w:rPr>
          <w:rFonts w:ascii="Arial" w:cs="Arial" w:eastAsia="Arial" w:hAnsi="Arial"/>
          <w:sz w:val="17"/>
          <w:szCs w:val="17"/>
          <w:color w:val="auto"/>
        </w:rPr>
        <w:t>We help sellers conveniently clean out their closets in a sustainable way.</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It’s easy to clean out with thredUP:</w:t>
      </w:r>
    </w:p>
    <w:p>
      <w:pPr>
        <w:spacing w:after="0" w:line="153" w:lineRule="exact"/>
        <w:rPr>
          <w:sz w:val="20"/>
          <w:szCs w:val="20"/>
          <w:color w:val="auto"/>
        </w:rPr>
      </w:pPr>
    </w:p>
    <w:p>
      <w:pPr>
        <w:ind w:left="600" w:hanging="302"/>
        <w:spacing w:after="0" w:line="277" w:lineRule="auto"/>
        <w:tabs>
          <w:tab w:leader="none" w:pos="591" w:val="left"/>
        </w:tabs>
        <w:numPr>
          <w:ilvl w:val="0"/>
          <w:numId w:val="90"/>
        </w:numPr>
        <w:rPr>
          <w:rFonts w:ascii="Arial" w:cs="Arial" w:eastAsia="Arial" w:hAnsi="Arial"/>
          <w:sz w:val="17"/>
          <w:szCs w:val="17"/>
          <w:color w:val="auto"/>
        </w:rPr>
      </w:pPr>
      <w:r>
        <w:rPr>
          <w:rFonts w:ascii="Arial" w:cs="Arial" w:eastAsia="Arial" w:hAnsi="Arial"/>
          <w:sz w:val="17"/>
          <w:szCs w:val="17"/>
          <w:color w:val="auto"/>
        </w:rPr>
        <w:t>Order one of our free, prepaid Clean Out Kits. We offer two convenient Clean Out Kit options – we can mail sellers a traditional Clean Out bag and prepaid label set or sellers can instantly print a prepaid label at home to use their own box or bag.</w:t>
      </w:r>
    </w:p>
    <w:p>
      <w:pPr>
        <w:spacing w:after="0" w:line="96" w:lineRule="exact"/>
        <w:rPr>
          <w:rFonts w:ascii="Arial" w:cs="Arial" w:eastAsia="Arial" w:hAnsi="Arial"/>
          <w:sz w:val="17"/>
          <w:szCs w:val="17"/>
          <w:color w:val="auto"/>
        </w:rPr>
      </w:pPr>
    </w:p>
    <w:p>
      <w:pPr>
        <w:ind w:left="600" w:hanging="302"/>
        <w:spacing w:after="0" w:line="277" w:lineRule="auto"/>
        <w:tabs>
          <w:tab w:leader="none" w:pos="591" w:val="left"/>
        </w:tabs>
        <w:numPr>
          <w:ilvl w:val="0"/>
          <w:numId w:val="90"/>
        </w:numPr>
        <w:rPr>
          <w:rFonts w:ascii="Arial" w:cs="Arial" w:eastAsia="Arial" w:hAnsi="Arial"/>
          <w:sz w:val="17"/>
          <w:szCs w:val="17"/>
          <w:color w:val="auto"/>
        </w:rPr>
      </w:pPr>
      <w:r>
        <w:rPr>
          <w:rFonts w:ascii="Arial" w:cs="Arial" w:eastAsia="Arial" w:hAnsi="Arial"/>
          <w:sz w:val="17"/>
          <w:szCs w:val="17"/>
          <w:color w:val="auto"/>
        </w:rPr>
        <w:t>Simply fill up the bag – it holds a laundry basket worth of clothing – and sellers leave it on their doorsteps for mail carrier pick up. Sellers can also drop it off at a retail location of one of our RaaS partners, at the post office or at a location of one of our logistics partners.</w:t>
      </w:r>
    </w:p>
    <w:p>
      <w:pPr>
        <w:spacing w:after="0" w:line="96" w:lineRule="exact"/>
        <w:rPr>
          <w:rFonts w:ascii="Arial" w:cs="Arial" w:eastAsia="Arial" w:hAnsi="Arial"/>
          <w:sz w:val="17"/>
          <w:szCs w:val="17"/>
          <w:color w:val="auto"/>
        </w:rPr>
      </w:pPr>
    </w:p>
    <w:p>
      <w:pPr>
        <w:jc w:val="both"/>
        <w:ind w:left="600" w:hanging="302"/>
        <w:spacing w:after="0" w:line="249" w:lineRule="auto"/>
        <w:tabs>
          <w:tab w:leader="none" w:pos="591"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Once the Clean Out Kit is received at one of our distribution centers, our team, aided by our powerful operating platform, does the work. We process each bag by inspecting items based on a rigorous 12-point quality inspection. We photograph the items that we accept, automate product descriptions, categorize the items so they can be discovered by buyers, price the items and list them for sale on our marketplace. We work with our partners to recycle or reuse unaccepted items or return them to the seller, based on what the seller chooses. When ordering a Clean Out Kit, a seller may opt-in to our Return Assurance service in order to have any unaccepted items returned to them for a flat fee. Otherwise, we sell the remainder of all unaccepted items to select aftermarket partners, such as thrift stores and textile recyclers, for reuse and recycling.</w:t>
      </w:r>
    </w:p>
    <w:p>
      <w:pPr>
        <w:spacing w:after="0" w:line="123" w:lineRule="exact"/>
        <w:rPr>
          <w:rFonts w:ascii="Arial" w:cs="Arial" w:eastAsia="Arial" w:hAnsi="Arial"/>
          <w:sz w:val="17"/>
          <w:szCs w:val="17"/>
          <w:color w:val="auto"/>
        </w:rPr>
      </w:pPr>
    </w:p>
    <w:p>
      <w:pPr>
        <w:ind w:left="580" w:hanging="282"/>
        <w:spacing w:after="0"/>
        <w:tabs>
          <w:tab w:leader="none" w:pos="5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Earn a payout that can be received in the form of cash, thredUP online credits, select RaaS partner credits or a charitable donation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thredUP Seller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30775" cy="7620"/>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316230</wp:posOffset>
            </wp:positionV>
            <wp:extent cx="4930775" cy="15881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3077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299"/>
        <w:spacing w:after="0" w:line="262" w:lineRule="auto"/>
        <w:rPr>
          <w:sz w:val="20"/>
          <w:szCs w:val="20"/>
          <w:color w:val="auto"/>
        </w:rPr>
      </w:pPr>
      <w:r>
        <w:rPr>
          <w:rFonts w:ascii="Arial" w:cs="Arial" w:eastAsia="Arial" w:hAnsi="Arial"/>
          <w:sz w:val="17"/>
          <w:szCs w:val="17"/>
          <w:b w:val="1"/>
          <w:bCs w:val="1"/>
          <w:color w:val="auto"/>
        </w:rPr>
        <w:t xml:space="preserve">For Buyers. </w:t>
      </w:r>
      <w:r>
        <w:rPr>
          <w:rFonts w:ascii="Arial" w:cs="Arial" w:eastAsia="Arial" w:hAnsi="Arial"/>
          <w:sz w:val="17"/>
          <w:szCs w:val="17"/>
          <w:color w:val="auto"/>
        </w:rPr>
        <w:t>Our buyers engage with us across our website and mobile apps for both iOS and Android devices. Our marketplace includes a user-friendly home page, browse function, product detail, wish list of favorites, saved searches and account management. Due to the overlap in our buyers and sellers, we have integrated both our buying and selling product interface into a single, unified experience.</w:t>
      </w:r>
    </w:p>
    <w:p>
      <w:pPr>
        <w:spacing w:after="0" w:line="108"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have a multi-disciplinary search team including data scientists and machine-learning engineers who work to better understand intent, leveraging these insights to identify the type of merchandise that is meaningful to our buyers, and consequently strengthening our proprietary metadata. The browsing function is underpinned by a real-time stock management system, filling search results with higher volume stock to ensure availability. In addition, we are developing visual merchandising tools to train the algorithms used by our merchandising team, so our system becomes more intelligent and our processes become more scalable, trending toward an increasingly personalized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Our buyers are driven by a desire to discover new items from our broad and unique assortment that is frequently refreshed as we bring new supply to our marketplace. We have a “New Arrivals” section on our site that highlights products that have just been added to our marketplace. Our recommendation engine applies strategies ranging from look-alike algorithms on out of stock pages to collaborative filtering options to surface what similar consumers are viewing throughout our catalog.</w:t>
      </w:r>
    </w:p>
    <w:p>
      <w:pPr>
        <w:spacing w:after="0" w:line="157" w:lineRule="exact"/>
        <w:rPr>
          <w:sz w:val="20"/>
          <w:szCs w:val="20"/>
          <w:color w:val="auto"/>
        </w:rPr>
      </w:pPr>
    </w:p>
    <w:p>
      <w:pPr>
        <w:ind w:left="2060"/>
        <w:spacing w:after="0"/>
        <w:rPr>
          <w:sz w:val="20"/>
          <w:szCs w:val="20"/>
          <w:color w:val="auto"/>
        </w:rPr>
      </w:pPr>
      <w:r>
        <w:rPr>
          <w:rFonts w:ascii="Arial" w:cs="Arial" w:eastAsia="Arial" w:hAnsi="Arial"/>
          <w:sz w:val="23"/>
          <w:szCs w:val="23"/>
          <w:color w:val="auto"/>
        </w:rPr>
        <w:t>thredUP Buyer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118745</wp:posOffset>
            </wp:positionV>
            <wp:extent cx="4930775" cy="23787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30775" cy="237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b w:val="1"/>
          <w:bCs w:val="1"/>
          <w:color w:val="auto"/>
        </w:rPr>
        <w:t xml:space="preserve">For Resale-as-a-Service (RaaS) Partners. </w:t>
      </w:r>
      <w:r>
        <w:rPr>
          <w:rFonts w:ascii="Arial" w:cs="Arial" w:eastAsia="Arial" w:hAnsi="Arial"/>
          <w:sz w:val="17"/>
          <w:szCs w:val="17"/>
          <w:color w:val="auto"/>
        </w:rPr>
        <w:t>We offer a robust and varied set of RaaS partnership programs. Our partners include national retailers,</w:t>
      </w:r>
      <w:r>
        <w:rPr>
          <w:rFonts w:ascii="Arial" w:cs="Arial" w:eastAsia="Arial" w:hAnsi="Arial"/>
          <w:sz w:val="17"/>
          <w:szCs w:val="17"/>
          <w:b w:val="1"/>
          <w:bCs w:val="1"/>
          <w:color w:val="auto"/>
        </w:rPr>
        <w:t xml:space="preserve"> </w:t>
      </w:r>
      <w:r>
        <w:rPr>
          <w:rFonts w:ascii="Arial" w:cs="Arial" w:eastAsia="Arial" w:hAnsi="Arial"/>
          <w:sz w:val="17"/>
          <w:szCs w:val="17"/>
          <w:color w:val="auto"/>
        </w:rPr>
        <w:t>premium women’s fashion brands and fashion-focused e-commerce sites, and online marketplaces for the buying and selling of used retail goods. We have multiple partnership structures and we expect the scope and structure of our partnerships will continue to grow, deepen and evolve over time. To date, our RaaS partnerships have been structured as mutually beneficial arrangements, rather than material sources of revenue, aimed at promoting circular fashion and sustainability, increasing buyers, sellers and customers, driving additional visibility and marketing for us and our RaaS partners, building brand awareness, creating additional channels of supply and generating strategic benefits for us and our RaaS partners. Our RaaS current partnership offerings include:</w:t>
      </w:r>
    </w:p>
    <w:p>
      <w:pPr>
        <w:spacing w:after="0" w:line="118" w:lineRule="exact"/>
        <w:rPr>
          <w:sz w:val="20"/>
          <w:szCs w:val="20"/>
          <w:color w:val="auto"/>
        </w:rPr>
      </w:pPr>
    </w:p>
    <w:p>
      <w:pPr>
        <w:jc w:val="both"/>
        <w:ind w:left="600" w:hanging="302"/>
        <w:spacing w:after="0" w:line="253" w:lineRule="auto"/>
        <w:tabs>
          <w:tab w:leader="none" w:pos="596"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 xml:space="preserve">Clean Out Kit Distribution. </w:t>
      </w:r>
      <w:r>
        <w:rPr>
          <w:rFonts w:ascii="Arial" w:cs="Arial" w:eastAsia="Arial" w:hAnsi="Arial"/>
          <w:sz w:val="17"/>
          <w:szCs w:val="17"/>
          <w:color w:val="auto"/>
        </w:rPr>
        <w:t>Our Clean Out Kit distribution partners such as Abercrombie &amp; Fitch, Amour Vert, Athleta, Banana Republic and</w:t>
      </w:r>
      <w:r>
        <w:rPr>
          <w:rFonts w:ascii="Arial" w:cs="Arial" w:eastAsia="Arial" w:hAnsi="Arial"/>
          <w:sz w:val="17"/>
          <w:szCs w:val="17"/>
          <w:b w:val="1"/>
          <w:bCs w:val="1"/>
          <w:color w:val="auto"/>
        </w:rPr>
        <w:t xml:space="preserve"> </w:t>
      </w:r>
      <w:r>
        <w:rPr>
          <w:rFonts w:ascii="Arial" w:cs="Arial" w:eastAsia="Arial" w:hAnsi="Arial"/>
          <w:sz w:val="17"/>
          <w:szCs w:val="17"/>
          <w:color w:val="auto"/>
        </w:rPr>
        <w:t>GAP offer our Clean Out Kits to their customers. Customers fill their Clean Out Kits with high-quality used items and ship them to us. We then sell the accepted items received through our marketplace, and the customer (now also a seller) receives a gift card for store credit with our Clean Out Kit distribution partner, which has a higher value than our cash payment option. The customers of our RaaS partners become high-quality sellers and our RaaS partners get increased spend from their customers.</w:t>
      </w:r>
    </w:p>
    <w:p>
      <w:pPr>
        <w:spacing w:after="0" w:line="114" w:lineRule="exact"/>
        <w:rPr>
          <w:rFonts w:ascii="Arial" w:cs="Arial" w:eastAsia="Arial" w:hAnsi="Arial"/>
          <w:sz w:val="17"/>
          <w:szCs w:val="17"/>
          <w:color w:val="auto"/>
        </w:rPr>
      </w:pPr>
    </w:p>
    <w:p>
      <w:pPr>
        <w:jc w:val="both"/>
        <w:ind w:left="600" w:hanging="302"/>
        <w:spacing w:after="0" w:line="262" w:lineRule="auto"/>
        <w:tabs>
          <w:tab w:leader="none" w:pos="596"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Cash Out Marketplace</w:t>
      </w:r>
      <w:r>
        <w:rPr>
          <w:rFonts w:ascii="Arial" w:cs="Arial" w:eastAsia="Arial" w:hAnsi="Arial"/>
          <w:sz w:val="17"/>
          <w:szCs w:val="17"/>
          <w:color w:val="auto"/>
        </w:rPr>
        <w:t>. Through our Cash Out Marketplace partnerships, our sellers can turn earned thredUP supply credit into partnership</w:t>
      </w:r>
      <w:r>
        <w:rPr>
          <w:rFonts w:ascii="Arial" w:cs="Arial" w:eastAsia="Arial" w:hAnsi="Arial"/>
          <w:sz w:val="17"/>
          <w:szCs w:val="17"/>
          <w:b w:val="1"/>
          <w:bCs w:val="1"/>
          <w:color w:val="auto"/>
        </w:rPr>
        <w:t xml:space="preserve"> </w:t>
      </w:r>
      <w:r>
        <w:rPr>
          <w:rFonts w:ascii="Arial" w:cs="Arial" w:eastAsia="Arial" w:hAnsi="Arial"/>
          <w:sz w:val="17"/>
          <w:szCs w:val="17"/>
          <w:color w:val="auto"/>
        </w:rPr>
        <w:t>credits for brands like Athleta and Reformation via our marketplace. These sellers cash out for gift cards to the partner of their choice, which has a higher value than the cash payment option.</w:t>
      </w:r>
    </w:p>
    <w:p>
      <w:pPr>
        <w:spacing w:after="0" w:line="106" w:lineRule="exact"/>
        <w:rPr>
          <w:rFonts w:ascii="Arial" w:cs="Arial" w:eastAsia="Arial" w:hAnsi="Arial"/>
          <w:sz w:val="17"/>
          <w:szCs w:val="17"/>
          <w:color w:val="auto"/>
        </w:rPr>
      </w:pPr>
    </w:p>
    <w:p>
      <w:pPr>
        <w:ind w:left="600" w:hanging="302"/>
        <w:spacing w:after="0" w:line="279" w:lineRule="auto"/>
        <w:tabs>
          <w:tab w:leader="none" w:pos="596"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 xml:space="preserve">Partner Listings. </w:t>
      </w:r>
      <w:r>
        <w:rPr>
          <w:rFonts w:ascii="Arial" w:cs="Arial" w:eastAsia="Arial" w:hAnsi="Arial"/>
          <w:sz w:val="17"/>
          <w:szCs w:val="17"/>
          <w:color w:val="auto"/>
        </w:rPr>
        <w:t>We partner with eBay and Walmart to cross-list our inventory of secondhand items on their online platforms, and we pay those</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a marketplace fee. We are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0"/>
        <w:spacing w:after="0" w:line="277" w:lineRule="auto"/>
        <w:rPr>
          <w:sz w:val="20"/>
          <w:szCs w:val="20"/>
          <w:color w:val="auto"/>
        </w:rPr>
      </w:pPr>
      <w:r>
        <w:rPr>
          <w:rFonts w:ascii="Arial" w:cs="Arial" w:eastAsia="Arial" w:hAnsi="Arial"/>
          <w:sz w:val="17"/>
          <w:szCs w:val="17"/>
          <w:color w:val="auto"/>
        </w:rPr>
        <w:t>seamlessly cross-list through our customized software integrations and therefore reach a greater potential base of buyers who already use other platforms.</w:t>
      </w:r>
    </w:p>
    <w:p>
      <w:pPr>
        <w:spacing w:after="0" w:line="94" w:lineRule="exact"/>
        <w:rPr>
          <w:sz w:val="20"/>
          <w:szCs w:val="20"/>
          <w:color w:val="auto"/>
        </w:rPr>
      </w:pPr>
    </w:p>
    <w:p>
      <w:pPr>
        <w:jc w:val="both"/>
        <w:ind w:left="600" w:hanging="302"/>
        <w:spacing w:after="0" w:line="250" w:lineRule="auto"/>
        <w:tabs>
          <w:tab w:leader="none" w:pos="596"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Resale Shops and Worn Returns. </w:t>
      </w:r>
      <w:r>
        <w:rPr>
          <w:rFonts w:ascii="Arial" w:cs="Arial" w:eastAsia="Arial" w:hAnsi="Arial"/>
          <w:sz w:val="17"/>
          <w:szCs w:val="17"/>
          <w:color w:val="auto"/>
        </w:rPr>
        <w:t>We partner with certain retail brands whose merchandise we often carry in our marketplace,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Madewell, to host thredUP resale pop-ups of their merchandise in their physical retail store locations. We are able to spread our brand, promote the purchasing of secondhand items and acquire additional buyers and our partners are able to contribute to the circularity of fashion and promote their own brands. Some of our RaaS partners, such as Everlane and Reformation, accept the return of worn items that cannot be resold as new. We resell these worn products through our marketplace, one of the few channels for brands to monetize worn products. Through our worn returns partnerships, we are able to acquire high-quality secondhand items and our RaaS partners are able to contribute to the circularity of fashion.</w:t>
      </w:r>
    </w:p>
    <w:p>
      <w:pPr>
        <w:spacing w:after="0" w:line="120"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leverage our relationships with our RaaS partners to increase brand awareness for thredUP and acquire buyers. Our RaaS partnerships also allow us to acquire high-quality secondhand items from our partners and/or their customers, who become our sellers, and to reach additional buyers.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Marketing and Brand Awareness</w:t>
      </w:r>
    </w:p>
    <w:p>
      <w:pPr>
        <w:spacing w:after="0" w:line="15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drive traffic to our marketplace and acquire new buyers primarily through a mix of paid and organic marketing. Search, social media, influencers, television, direct mail, press coverage, RaaS partnerships, referral programs and organic word of mouth drive traffic to thredUP. thredUP’s proprietary marketing automation software synthesizes data pipelines from across our marketplace to help our teams measure advertising performance and identify which paid marketing activities are delivering superior return on investment. We then calibrate our marketing tactics and spend across channels and campaigns to optimize performance. By understanding how buyers respond to our campaigns and investments, we are able to quickly adapt and optimize our marketing programs.</w:t>
      </w:r>
    </w:p>
    <w:p>
      <w:pPr>
        <w:spacing w:after="0" w:line="122"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Additionally, we invest in brand marketing campaigns to raise awareness about thredUP, build brand equity and create an emotional connection with consumers. Our brand campaigns drive preference for participating in resale and give buyers and sellers reasons to be proud to buy and sell used clothing. These brand-building efforts include aligning with celebrities and influencers to elevate thrift and publishing data-insights that show our buyers, sellers and RaaS partners they are part of a broader fashion movement. We emphasize the environmental good, as well as the savings, of choosing used. We inspire confidence in our business and our authority as an industry pioneer through thought-leadership programs and campaigns, such as our widely-cited annual Resale Report (now in its ninth year of publication), conducted with GlobalData, as well as our Fashion Footprint Calculator, conducted with Green Story.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Employees and Human Capital Resources</w:t>
      </w:r>
    </w:p>
    <w:p>
      <w:pPr>
        <w:spacing w:after="0" w:line="15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As of December 31, 2020, we had 1,862 employees and professional contractors, including 1,570 distribution center employees. All of all our employees are located in the United States. To our knowledge, none of our employees is represented by a labor union or covered by a collective bargaining agreement. We have not experienced any work stoppages, and we consider our relations with our employees to be good. We supplement our workforce with contractors and consultants in the United States and internationally, including Ukrainian information technology, or IT, specialists. These Ukrainian IT specialists, who provide services on our behalf, are registered as “private entrepreneurs” with the tax authorities of Ukraine and operate as independent contractors.</w:t>
      </w:r>
    </w:p>
    <w:p>
      <w:pPr>
        <w:spacing w:after="0" w:line="122"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Our human capital resources objective is to cultivate a high-performing team by recruiting, retaining, incentivizing and integrating our existing and new employees and professional contractors. Our culture is underpinned by our core values, including an unwavering commitment to learning, development, inclusion, diversity, equity and belonging.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299"/>
        <w:spacing w:after="0" w:line="276" w:lineRule="auto"/>
        <w:rPr>
          <w:sz w:val="20"/>
          <w:szCs w:val="20"/>
          <w:color w:val="auto"/>
        </w:rPr>
      </w:pPr>
      <w:r>
        <w:rPr>
          <w:rFonts w:ascii="Arial" w:cs="Arial" w:eastAsia="Arial" w:hAnsi="Arial"/>
          <w:sz w:val="16"/>
          <w:szCs w:val="16"/>
          <w:color w:val="auto"/>
        </w:rPr>
        <w:t>Our mission is extending the lives of millions of unique secondhand items. Much like our inventory, we believe diversity is key. We work diligently to attract the best talent from a diverse range of sources in order to meet the current and future demands of our business. As a diverse and inclusive workplace, we are committed to ensuring our employees and professional contractors are comfortable bringing their authentic selves to work every day. We believe that a unique perspective is critical to solving complex problems and inspiring a new generation of consumers to think secondhand first.</w:t>
      </w:r>
    </w:p>
    <w:p>
      <w:pPr>
        <w:spacing w:after="0" w:line="99"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core objective of our compensation program is to provide a package that will attract, motivate and reward exceptional employees who must operate in a highly competitive and technologically challenging environment. We are committed to providing comprehensive benefit options that will allow our employees and their families to live healthier and more secure lives. To support the progression and career advancement of our employees, we offer a variety of rich learning and development programs. We leverage both formal and informal programs to identify, foster and retain top talent at both the corporate and operating unit level.</w:t>
      </w:r>
    </w:p>
    <w:p>
      <w:pPr>
        <w:spacing w:after="0" w:line="11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See the section titled “Our ESG (Environmental, Social and Governance) Efforts” for more information about our values, commitments and human capital measures and objectives.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Competitors</w:t>
      </w:r>
    </w:p>
    <w:p>
      <w:pPr>
        <w:spacing w:after="0" w:line="15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Although we have built a scaled and highly differentiated platform and managed marketplace, we face intense competition. Our competitors include other apparel retailers, particularly retailers at an off-price or fast-fashion price point,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these traditional retail competitors, resale players focused on niche or single categories, as well as technology-enabled marketplaces that may offer the same or similar goods and services that we offer. Competitors offering the same or similar goods or services include:</w:t>
      </w:r>
    </w:p>
    <w:p>
      <w:pPr>
        <w:spacing w:after="0" w:line="122" w:lineRule="exact"/>
        <w:rPr>
          <w:sz w:val="20"/>
          <w:szCs w:val="20"/>
          <w:color w:val="auto"/>
        </w:rPr>
      </w:pPr>
    </w:p>
    <w:p>
      <w:pPr>
        <w:ind w:left="600" w:hanging="302"/>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secondhand marketplaces, such as eBay Inc., Mercari, Inc., Poshmark, Inc. and The RealReal, Inc.;</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large online retailers, such as Amazon.com, Inc., Kohl’s Corporation and Walmart Inc.;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off-price retailers, such as Burlington Stores, Inc., Ross Stores, Inc. and The TJX Companies, Inc.</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Additionally, we experience competition for consumer discretionary spending from other product and experiential categories. See the section titled “Risk Factors—Risks Relating To Our Business and Industry—The market in which we participate is competitive and rapidly changing, and if we do not compete effectively with established companies as well as new market entrants our business, results of operations and financial condition could be harmed.”</w:t>
      </w:r>
    </w:p>
    <w:p>
      <w:pPr>
        <w:spacing w:after="0" w:line="115"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6"/>
          <w:szCs w:val="16"/>
          <w:color w:val="auto"/>
        </w:rPr>
        <w:t>We compete primarily on the basis of buyer and seller experience, product quality and assortment, breadth of brand offering, convenience and price. We believe that we are able to compete effectively because we offer buyers a vast selection of high-quality, secondhand items at compelling prices with a fun and easy to use interface. For sellers, we offer an easy, convenient, reliable and fast way to recycle and monetize or donate their secondhand items.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Though we rely in part upon these legal and contractual protections, we believe that factors such as the skills and ingenuity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of our employees and the functionality and frequent enhancements to our platform are larger contributors to our success in the market.</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As of December 31, 2020, we had six issued patents in the United States, four of which expire in 2035 and two of which expire in 2037. These patents are intended to protect our proprietary inventions relevant to our business. We continually review our development efforts to assess the existence and patentability of new intellectual property.</w:t>
      </w:r>
    </w:p>
    <w:p>
      <w:pPr>
        <w:spacing w:after="0" w:line="11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have an ongoing trademark and service mark registration program pursuant to which we register our brand names and product names, taglines and logos in the United States to the extent we determine appropriate and cost-effective. As of December 31, 2020, we have a total of 19 registered trademarks in the United States and six registered trademarks in non-U.S. jurisdictions. We also have registered domain names for websites that we use in our business, such as www.thredup.com and other variations.</w:t>
      </w:r>
    </w:p>
    <w:p>
      <w:pPr>
        <w:spacing w:after="0" w:line="11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if we were to expand internationally, the laws of certain foreign countries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Privacy and Data Protection</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Trust is important for our relationship with our sellers and buyers, and we take significant measures to protect the privacy and security of their personal data.</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Security</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devote considerable resources to our information security program, which is dedicated to ensuring the highest confidence in our custodianship of the data of our sellers and buyers. Our security program is aligned with applicable standards and regulations, including the Payment Card Industry Data Security Standard and the CCPA, and is regularly audited and assessed by third parties.</w:t>
      </w:r>
    </w:p>
    <w:p>
      <w:pPr>
        <w:spacing w:after="0" w:line="11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focus of our security program is to prevent unauthorized access to the personal data and other confidential information of sellers and buyers. To this end, our team of security professionals, working in partnership with peers across our company, work to identify and mitigate risks, implement best practices and continue to evaluate ways to improve our information security. These steps include data encryption in transit and at rest, network security, classifying and inventorying data, limiting and authorizing access controls, and multi-factor authentication for access to systems with data. We also employ regular system monitoring, logging and alerting to retain and analyze the security state of our corporate and production infrastructure. In addition, we take appropriate steps to help ensure that appropriate security measures are maintained by the third-party vendors we use, including by conducting security reviews and audits.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Privacy and Data Protection</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privacy of our sellers’ and buyers’ personal data is important to our continued growth and success. Privacy is a shared responsibility among all our employees, but we also have a dedicated privacy and data governance team that builds and executes on our privacy program, including the management of data protection impact assessments. Our privacy and legal teams work together to conduct product and feature reviews, data inventory and mapping, and support for data protection and privacy-related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are committed to complying with applicable privacy and data protection laws. We monitor guidance from industry and regulatory bodies, meet with regulators and update our platform and contractual commitments accordingly.</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maintain a privacy policy that describes how we collect, use and share personal information and disclose the choices that buyers and sellers have when accessing and using our platform.</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Our corporate headquarters is located in Oakland, California, where we currently lease approximately 24,000 square feet pursuant to a lease agreement that expires in September 2024. We also lease additional corporate facilities in Scottsdale, Arizona and Hayward, California.</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lease and operate five distribution centers, one in Arizona, two in Georgia, one in Illinois and one in Pennsylvania, at which we receive and process secondhand items from sellers, ship purchases to buyers and receive and process any returns from buyers. We are currently in the process of migrating our distribution operations at our center in Duluth, Georgia to our new center in Suwanee, Georgia and in the process of closing our distribution center in Illinois.</w:t>
      </w:r>
    </w:p>
    <w:p>
      <w:pPr>
        <w:spacing w:after="0" w:line="11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are not a party to any material pending legal proceedings. From time to time, we may be subject to legal proceedings and claims arising in the ordinary course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5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are subject to a variety of U.S. federal and state laws that affect companies conducting business on the Internet and in the retail industry, many of which are still evolving and could be interpreted in ways that could harm our business. These laws and regulations include laws governing the processing of payments, consumer protection, the privacy of consumer information and other laws regarding unfair and deceptive trade practices. These laws and regulations could make internet advertising more expensive, require burdensome disclosure to consumers or visitors to our website and restrict our ability to use consumer information to improve targeted advertisements. Further, these laws and regulations are often complex, sometimes contradict other laws, and are frequently still evolving. Laws and regulations may be interpreted and enforced in different ways in various locations around the world, posing a significant challenge to our global business.</w:t>
      </w:r>
    </w:p>
    <w:p>
      <w:pPr>
        <w:spacing w:after="0" w:line="12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Apparel, shoes and accessories sold by us are also subject to regulation in the United States by governmental agencies, including the Federal Trade Commission and the Consumer Products Safety Commission. These regulations relate principally to product labeling, licensing requirements, flammability testing and product safety. We are also subject to environmental laws, rules and regulations. Similarly, apparel, shoes and accessories sold by us are also subject to import regulations in the United States concerning the use of wildlife products for commercial and non-commercial trade, including the U.S. Fish and Wildlife Service. We do not estimate any significant capital expenditures for environmental control matters either in the current fiscal year or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ESG (ENVIRONMENTAL, SOCIAL AND GOVERNANCE) EFFORTS</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are a mission-driven company. As such, our business creates a positive environmental and economic impact, balancing the needs of our buyers, sellers, partners, employees, investors and the environment.</w:t>
      </w:r>
    </w:p>
    <w:p>
      <w:pPr>
        <w:spacing w:after="0" w:line="96"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Unfortunately, the traditional fashion industry is one of the most environmentally damaging sectors in the global economy. The industry’s “take-make-dispose” linear model often leads to overproduction and underutilization. According to the Ellen MacArthur Foundation, in 2015, greater than 97% of the materials used in apparel production were new, with less than 1% coming from recycled clothing, and 73% of post-consumer apparel was sent to landfill or incinerated. The current supply chain is further characterized by immense energy and water usage, chemicals and excessive waste. The apparel and footwear industries account for 8% of global greenhouse gas emissions, based on a 2018 analysis by Quantis. If industry practices continue unabated, the textile industry overall could consume more than 26% of the world’s carbon budget by 2050, according to the Ellen MacArthur Foundation.</w:t>
      </w:r>
    </w:p>
    <w:p>
      <w:pPr>
        <w:spacing w:after="0" w:line="107"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believe our scalable, resale business model is a solution to the fashion industry’s wastefulness. Buying a used item of clothing can reduce its carbon footprint by 82%, according to analysis by Green Story, making resale one of the most impactful ways to reduce fashion’s overall environmental footprint. Buying an item on our marketplace offsets the need to manufacture a new item, where the majority of fashion’s water consumption, energy emissions and chemical usage occur. This supports a circular model for fashion by extending the life cycle of clothing, increasing utilization and diverting clothing from landfills.</w:t>
      </w:r>
    </w:p>
    <w:p>
      <w:pPr>
        <w:spacing w:after="0" w:line="11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commissioned Green Story to conduct a Life Cycle Analysis to quantify the environmental savings when consumers switch from buying new to buying secondhand from thredUP. Based in part on information from Green Story, we estimate that:</w:t>
      </w:r>
    </w:p>
    <w:p>
      <w:pPr>
        <w:spacing w:after="0" w:line="33" w:lineRule="exact"/>
        <w:rPr>
          <w:sz w:val="20"/>
          <w:szCs w:val="20"/>
          <w:color w:val="auto"/>
        </w:rPr>
      </w:pPr>
    </w:p>
    <w:p>
      <w:pPr>
        <w:ind w:left="600" w:hanging="302"/>
        <w:spacing w:after="0"/>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Each item sold through our marketplace saves, on average, 17.4 pounds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122.5 Mj of energy and 77.4 gallons of water.</w:t>
      </w:r>
    </w:p>
    <w:p>
      <w:pPr>
        <w:spacing w:after="0" w:line="106" w:lineRule="exact"/>
        <w:rPr>
          <w:rFonts w:ascii="Arial" w:cs="Arial" w:eastAsia="Arial" w:hAnsi="Arial"/>
          <w:sz w:val="17"/>
          <w:szCs w:val="17"/>
          <w:color w:val="auto"/>
        </w:rPr>
      </w:pPr>
    </w:p>
    <w:p>
      <w:pPr>
        <w:jc w:val="both"/>
        <w:ind w:left="600" w:hanging="302"/>
        <w:spacing w:after="0" w:line="267" w:lineRule="auto"/>
        <w:tabs>
          <w:tab w:leader="none" w:pos="596" w:val="left"/>
        </w:tabs>
        <w:numPr>
          <w:ilvl w:val="0"/>
          <w:numId w:val="94"/>
        </w:numPr>
        <w:rPr>
          <w:rFonts w:ascii="Arial" w:cs="Arial" w:eastAsia="Arial" w:hAnsi="Arial"/>
          <w:sz w:val="17"/>
          <w:szCs w:val="17"/>
          <w:color w:val="auto"/>
        </w:rPr>
      </w:pPr>
      <w:r>
        <w:rPr>
          <w:rFonts w:ascii="Arial" w:cs="Arial" w:eastAsia="Arial" w:hAnsi="Arial"/>
          <w:sz w:val="17"/>
          <w:szCs w:val="17"/>
          <w:color w:val="auto"/>
        </w:rPr>
        <w:t>We have sold approximately 57.4 million unique items since our founding, saving 1.0 billion pounds of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2.0 billion kWh of energy and 4.4 billion gallons of water. We estimate that these environmental savings are the equivalent of approximately 75,000 flights between New York and Boston, 178,000 U.S. households’ annual energy usage and 6,700 Olympic size swimming pools, respectively.</w:t>
      </w:r>
    </w:p>
    <w:p>
      <w:pPr>
        <w:spacing w:after="0" w:line="105"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94"/>
        </w:numPr>
        <w:rPr>
          <w:rFonts w:ascii="Arial" w:cs="Arial" w:eastAsia="Arial" w:hAnsi="Arial"/>
          <w:sz w:val="17"/>
          <w:szCs w:val="17"/>
          <w:color w:val="auto"/>
        </w:rPr>
      </w:pPr>
      <w:r>
        <w:rPr>
          <w:rFonts w:ascii="Arial" w:cs="Arial" w:eastAsia="Arial" w:hAnsi="Arial"/>
          <w:sz w:val="17"/>
          <w:szCs w:val="17"/>
          <w:color w:val="auto"/>
        </w:rPr>
        <w:t>Furthermore, we work with our aftermarket and textile recycling partners to reuse or recycle the items we process that we do not list on our marketplace, further reducing waste and promoting a circular model for fashion.</w:t>
      </w:r>
    </w:p>
    <w:p>
      <w:pPr>
        <w:spacing w:after="0" w:line="96"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In addition to our environmental impact, we believe thredUP provides consumers with the opportunity to shop sustainably and creates a positive economic impact in their lives. We enable buyers to find high-quality secondhand items at more affordable prices (up to 90% discount to estimated retail price) and enable sellers to conveniently clean out their closets, unlocking economic value for themselves or for the charity of their choice. The money saved by buyers and earned (or donated) by sellers has a positive impact on the lives of our buyers and sellers and their communities. Since our founding, we estimate that we have saved our buyers $3.3 billion off estimated retail price, while also enabling them to indulge in, and enjoy the “newness” and freshness of, fashion and support sustainable practices.</w:t>
      </w:r>
    </w:p>
    <w:p>
      <w:pPr>
        <w:spacing w:after="0" w:line="122"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are raising consumer awareness about the benefits of resale through a four-pillar strategy: recirculate, educate, elevate and influence. Beyond the growth of recirculating items on our core resale marketplace, we have educated consumers on the trends and trajectory of the secondhand market through our widely-cited annual Resale Report that is conducted with research and data from GlobalData, a third-party retail analytics firm. We have elevated the conversation around resale via collaborations with notable celebrities, artists and designers, and we have influenced the broader fashion industry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powering resale for retailers and brands through our RaaS partnerships. These initiatives are growing the resale market and driving large-scale industry change.</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are proud members of the Ellen MacArthur Foundation, an organization which supports growth of the circular economy by mobilizing solutions at scale, globally, with a diverse set of stakeholders. We additionally support sustainable fashion efforts with the thredUP Circular Fashion Fund, our nonprofit organization that is focused on supporting organizations and individuals in the fashion industry who are working towards a more sustainable future.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Our Goals and Policies</w:t>
      </w:r>
    </w:p>
    <w:p>
      <w:pPr>
        <w:spacing w:after="0" w:line="15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are committed to sustainable business practices and have implemented ESG policies and goals throughout our company to formalize and manage our commitment over time.</w:t>
      </w:r>
    </w:p>
    <w:p>
      <w:pPr>
        <w:spacing w:after="0" w:line="94" w:lineRule="exact"/>
        <w:rPr>
          <w:sz w:val="20"/>
          <w:szCs w:val="20"/>
          <w:color w:val="auto"/>
        </w:rPr>
      </w:pPr>
    </w:p>
    <w:p>
      <w:pPr>
        <w:jc w:val="both"/>
        <w:ind w:left="600" w:hanging="302"/>
        <w:spacing w:after="0" w:line="266" w:lineRule="auto"/>
        <w:tabs>
          <w:tab w:leader="none" w:pos="596"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We actively manage the environmental footprint of our operations. We are committed to disclosing the greenhouse gas</w:t>
      </w:r>
      <w:r>
        <w:rPr>
          <w:rFonts w:ascii="Arial" w:cs="Arial" w:eastAsia="Arial" w:hAnsi="Arial"/>
          <w:sz w:val="16"/>
          <w:szCs w:val="16"/>
          <w:b w:val="1"/>
          <w:bCs w:val="1"/>
          <w:color w:val="auto"/>
        </w:rPr>
        <w:t xml:space="preserve"> </w:t>
      </w:r>
      <w:r>
        <w:rPr>
          <w:rFonts w:ascii="Arial" w:cs="Arial" w:eastAsia="Arial" w:hAnsi="Arial"/>
          <w:sz w:val="16"/>
          <w:szCs w:val="16"/>
          <w:color w:val="auto"/>
        </w:rPr>
        <w:t>emissions of our operations on an annual basis going forward. We intend to disclose our greenhouse gas emissions based on a framework developed by the Greenhouse Gas Protocol, a partnership between the World Resources Institute and the World Business Council for Sustainable Development, for corporations to disclose the greenhouse gas emissions of their business. The Greenhouse Gas Protocol classifies greenhouse emissions across three scopes: scope 1 (direct emissions from our owned and controlled sources), scope 2 (indirect emissions from our generation of purchased energy) and scope 3 (all indirect emissions not included in scope 2 that occur in our value chain). We intend to disclose our greenhouse gas emissions across all three scopes. We also plan to continue to seek out initiatives that can lower our environmental impact, while also improving operations and lowering operating expenses. As an example, since removing steaming at our distribution centers in May 2019, we estimate that we have saved over 300 MWh of electricity and approximately $1.5 million in costs through June 30, 2020.</w:t>
      </w:r>
    </w:p>
    <w:p>
      <w:pPr>
        <w:spacing w:after="0" w:line="107" w:lineRule="exact"/>
        <w:rPr>
          <w:rFonts w:ascii="Arial" w:cs="Arial" w:eastAsia="Arial" w:hAnsi="Arial"/>
          <w:sz w:val="16"/>
          <w:szCs w:val="16"/>
          <w:color w:val="auto"/>
        </w:rPr>
      </w:pPr>
    </w:p>
    <w:p>
      <w:pPr>
        <w:jc w:val="both"/>
        <w:ind w:left="600"/>
        <w:spacing w:after="0" w:line="260" w:lineRule="auto"/>
        <w:rPr>
          <w:rFonts w:ascii="Arial" w:cs="Arial" w:eastAsia="Arial" w:hAnsi="Arial"/>
          <w:sz w:val="16"/>
          <w:szCs w:val="16"/>
          <w:color w:val="auto"/>
        </w:rPr>
      </w:pPr>
      <w:r>
        <w:rPr>
          <w:rFonts w:ascii="Arial" w:cs="Arial" w:eastAsia="Arial" w:hAnsi="Arial"/>
          <w:sz w:val="17"/>
          <w:szCs w:val="17"/>
          <w:color w:val="auto"/>
        </w:rPr>
        <w:t>We are also allocating $500,000 from the proceeds of this offering to start The Circular Fashion Policy Arm, a policy function within thredUP. The mission of this function will be to curb the disposable fashion crisis by advocating for apparel reuse through the development of campaigns, initiatives and research that regulate fashion waste and incentivize circularity.</w:t>
      </w:r>
    </w:p>
    <w:p>
      <w:pPr>
        <w:spacing w:after="0" w:line="109" w:lineRule="exact"/>
        <w:rPr>
          <w:rFonts w:ascii="Arial" w:cs="Arial" w:eastAsia="Arial" w:hAnsi="Arial"/>
          <w:sz w:val="16"/>
          <w:szCs w:val="16"/>
          <w:color w:val="auto"/>
        </w:rPr>
      </w:pPr>
    </w:p>
    <w:p>
      <w:pPr>
        <w:jc w:val="both"/>
        <w:ind w:left="600" w:hanging="302"/>
        <w:spacing w:after="0" w:line="248" w:lineRule="auto"/>
        <w:tabs>
          <w:tab w:leader="none" w:pos="596"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Social. </w:t>
      </w:r>
      <w:r>
        <w:rPr>
          <w:rFonts w:ascii="Arial" w:cs="Arial" w:eastAsia="Arial" w:hAnsi="Arial"/>
          <w:sz w:val="17"/>
          <w:szCs w:val="17"/>
          <w:color w:val="auto"/>
        </w:rPr>
        <w:t>Our business impacts society through our relationships with our varied stakeholders, but it starts with our employees. We believe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importance of fostering a diverse, inclusive and safe workplace. Overall, as of December 31, 2020, 71% of our workforce identifies as female and 69% of our workforce identifies as minority, including 55% as Black or Latinx. As of December 31, 2020, 35% of our senior leadership team identifies as female and 30% of our senior leadership team identifies as minority, including 15% as Black or Latinx. We are committed to increasing diversity and representation through our diversity, inclusion, equity and belonging initiatives and to disclosing our diversity on an annual basis. In June 2020, our employee-led social impact committee, the Future Fund, organized our employees to select charitable organizations and causes focused on social justice, equal opportunity and antiracism initiatives to receive corporate donations. We also have created programs to attract, retain and develop diverse skilled workers in our distribution centers, including thredUP University, a comprehensive leadership development program.</w:t>
      </w:r>
    </w:p>
    <w:p>
      <w:pPr>
        <w:spacing w:after="0" w:line="125" w:lineRule="exact"/>
        <w:rPr>
          <w:rFonts w:ascii="Arial" w:cs="Arial" w:eastAsia="Arial" w:hAnsi="Arial"/>
          <w:sz w:val="17"/>
          <w:szCs w:val="17"/>
          <w:color w:val="auto"/>
        </w:rPr>
      </w:pPr>
    </w:p>
    <w:p>
      <w:pPr>
        <w:jc w:val="both"/>
        <w:ind w:left="600"/>
        <w:spacing w:after="0" w:line="255" w:lineRule="auto"/>
        <w:rPr>
          <w:rFonts w:ascii="Arial" w:cs="Arial" w:eastAsia="Arial" w:hAnsi="Arial"/>
          <w:sz w:val="17"/>
          <w:szCs w:val="17"/>
          <w:color w:val="auto"/>
        </w:rPr>
      </w:pPr>
      <w:r>
        <w:rPr>
          <w:rFonts w:ascii="Arial" w:cs="Arial" w:eastAsia="Arial" w:hAnsi="Arial"/>
          <w:sz w:val="17"/>
          <w:szCs w:val="17"/>
          <w:color w:val="auto"/>
        </w:rPr>
        <w:t>Data security and privacy is also critically important to our operations. We have implemented extensive security practices to ensure appropriate physical, technical and administrative safeguards to protect customer and employee data. This program includes a data registry and a data map of the systems where customer information is stored, a consumer-facing privacy policy that outlines our practices to customers and a consumer-facing California privacy notice.</w:t>
      </w:r>
    </w:p>
    <w:p>
      <w:pPr>
        <w:spacing w:after="0" w:line="112" w:lineRule="exact"/>
        <w:rPr>
          <w:rFonts w:ascii="Arial" w:cs="Arial" w:eastAsia="Arial" w:hAnsi="Arial"/>
          <w:sz w:val="17"/>
          <w:szCs w:val="17"/>
          <w:color w:val="auto"/>
        </w:rPr>
      </w:pPr>
    </w:p>
    <w:p>
      <w:pPr>
        <w:ind w:left="600" w:hanging="302"/>
        <w:spacing w:after="0" w:line="279" w:lineRule="auto"/>
        <w:tabs>
          <w:tab w:leader="none" w:pos="596"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Governance. </w:t>
      </w:r>
      <w:r>
        <w:rPr>
          <w:rFonts w:ascii="Arial" w:cs="Arial" w:eastAsia="Arial" w:hAnsi="Arial"/>
          <w:sz w:val="17"/>
          <w:szCs w:val="17"/>
          <w:color w:val="auto"/>
        </w:rPr>
        <w:t>We have created a governance structure to promote responsibility and accountability for ESG matters across our company. Our</w:t>
      </w:r>
      <w:r>
        <w:rPr>
          <w:rFonts w:ascii="Arial" w:cs="Arial" w:eastAsia="Arial" w:hAnsi="Arial"/>
          <w:sz w:val="17"/>
          <w:szCs w:val="17"/>
          <w:b w:val="1"/>
          <w:bCs w:val="1"/>
          <w:color w:val="auto"/>
        </w:rPr>
        <w:t xml:space="preserve"> </w:t>
      </w:r>
      <w:r>
        <w:rPr>
          <w:rFonts w:ascii="Arial" w:cs="Arial" w:eastAsia="Arial" w:hAnsi="Arial"/>
          <w:sz w:val="17"/>
          <w:szCs w:val="17"/>
          <w:color w:val="auto"/>
        </w:rPr>
        <w:t>dual-class capital structure provides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00"/>
        <w:spacing w:after="0" w:line="255" w:lineRule="auto"/>
        <w:rPr>
          <w:sz w:val="20"/>
          <w:szCs w:val="20"/>
          <w:color w:val="auto"/>
        </w:rPr>
      </w:pPr>
      <w:r>
        <w:rPr>
          <w:rFonts w:ascii="Arial" w:cs="Arial" w:eastAsia="Arial" w:hAnsi="Arial"/>
          <w:sz w:val="17"/>
          <w:szCs w:val="17"/>
          <w:color w:val="auto"/>
        </w:rPr>
        <w:t>founder and CEO with the ability to prioritize our ESG efforts. The Nominating and Governance Committee of the Board will have specific oversight of ESG matters pursuant to its charter. We have an employee-led Corporate Social Responsibility (CSR) Committee, with participation from executive management and senior members of our operations, finance, marketing, people and legal teams. Our CSR Committee meets quarterly and reports to executive management and the board.</w:t>
      </w:r>
    </w:p>
    <w:p>
      <w:pPr>
        <w:spacing w:after="0" w:line="115" w:lineRule="exact"/>
        <w:rPr>
          <w:sz w:val="20"/>
          <w:szCs w:val="20"/>
          <w:color w:val="auto"/>
        </w:rPr>
      </w:pPr>
    </w:p>
    <w:p>
      <w:pPr>
        <w:jc w:val="both"/>
        <w:ind w:left="600"/>
        <w:spacing w:after="0" w:line="277" w:lineRule="auto"/>
        <w:rPr>
          <w:sz w:val="20"/>
          <w:szCs w:val="20"/>
          <w:color w:val="auto"/>
        </w:rPr>
      </w:pPr>
      <w:r>
        <w:rPr>
          <w:rFonts w:ascii="Arial" w:cs="Arial" w:eastAsia="Arial" w:hAnsi="Arial"/>
          <w:sz w:val="17"/>
          <w:szCs w:val="17"/>
          <w:color w:val="auto"/>
        </w:rPr>
        <w:t>We have also established a board that values diversity and representative governance. Four of our eleven directors (36% of the board), including our board chairperson, are female.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240"/>
          </w:cols>
          <w:pgMar w:left="320" w:top="118" w:right="339" w:bottom="1440" w:gutter="0" w:footer="0" w:header="0"/>
        </w:sectPr>
      </w:pPr>
    </w:p>
    <w:bookmarkStart w:id="147" w:name="page148"/>
    <w:bookmarkEnd w:id="14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Key Employees and Directors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information regarding our executive officers, key employees and directors as of February 19,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Age</w:t>
            </w:r>
          </w:p>
        </w:tc>
        <w:tc>
          <w:tcPr>
            <w:tcW w:w="6860" w:type="dxa"/>
            <w:vAlign w:val="bottom"/>
          </w:tcPr>
          <w:p>
            <w:pPr>
              <w:ind w:left="3180"/>
              <w:spacing w:after="0"/>
              <w:rPr>
                <w:sz w:val="20"/>
                <w:szCs w:val="20"/>
                <w:color w:val="auto"/>
              </w:rPr>
            </w:pPr>
            <w:r>
              <w:rPr>
                <w:rFonts w:ascii="Arial" w:cs="Arial" w:eastAsia="Arial" w:hAnsi="Arial"/>
                <w:sz w:val="13"/>
                <w:szCs w:val="13"/>
                <w:b w:val="1"/>
                <w:bCs w:val="1"/>
                <w:color w:val="auto"/>
              </w:rPr>
              <w:t>Position</w:t>
            </w:r>
          </w:p>
        </w:tc>
      </w:tr>
      <w:tr>
        <w:trPr>
          <w:trHeight w:val="204"/>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Management: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60" w:type="dxa"/>
            <w:vAlign w:val="bottom"/>
            <w:tcBorders>
              <w:top w:val="single" w:sz="8" w:color="auto"/>
            </w:tcBorders>
            <w:shd w:val="clear" w:color="auto" w:fill="CCEEFF"/>
          </w:tcPr>
          <w:p>
            <w:pPr>
              <w:spacing w:after="0"/>
              <w:rPr>
                <w:sz w:val="17"/>
                <w:szCs w:val="17"/>
                <w:color w:val="auto"/>
              </w:rPr>
            </w:pPr>
          </w:p>
        </w:tc>
      </w:tr>
      <w:tr>
        <w:trPr>
          <w:trHeight w:val="212"/>
        </w:trPr>
        <w:tc>
          <w:tcPr>
            <w:tcW w:w="344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James Reinhart</w:t>
            </w:r>
            <w:r>
              <w:rPr>
                <w:rFonts w:ascii="Arial" w:cs="Arial" w:eastAsia="Arial" w:hAnsi="Arial"/>
                <w:sz w:val="21"/>
                <w:szCs w:val="21"/>
                <w:color w:val="auto"/>
                <w:vertAlign w:val="superscript"/>
              </w:rPr>
              <w:t>(*)</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Chief Executive Officer, Director and Co-Founder</w:t>
            </w:r>
          </w:p>
        </w:tc>
      </w:tr>
      <w:tr>
        <w:trPr>
          <w:trHeight w:val="212"/>
        </w:trPr>
        <w:tc>
          <w:tcPr>
            <w:tcW w:w="34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Christopher Homer</w:t>
            </w:r>
            <w:r>
              <w:rPr>
                <w:rFonts w:ascii="Arial" w:cs="Arial" w:eastAsia="Arial" w:hAnsi="Arial"/>
                <w:sz w:val="21"/>
                <w:szCs w:val="21"/>
                <w:color w:val="auto"/>
                <w:vertAlign w:val="superscript"/>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37</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Operating Officer and Co-Founder</w:t>
            </w:r>
          </w:p>
        </w:tc>
      </w:tr>
      <w:tr>
        <w:trPr>
          <w:trHeight w:val="212"/>
        </w:trPr>
        <w:tc>
          <w:tcPr>
            <w:tcW w:w="344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Anthony Marino</w:t>
            </w:r>
            <w:r>
              <w:rPr>
                <w:rFonts w:ascii="Arial" w:cs="Arial" w:eastAsia="Arial" w:hAnsi="Arial"/>
                <w:sz w:val="21"/>
                <w:szCs w:val="21"/>
                <w:color w:val="auto"/>
                <w:vertAlign w:val="superscript"/>
              </w:rPr>
              <w:t>(*)</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President</w:t>
            </w:r>
          </w:p>
        </w:tc>
      </w:tr>
      <w:tr>
        <w:trPr>
          <w:trHeight w:val="212"/>
        </w:trPr>
        <w:tc>
          <w:tcPr>
            <w:tcW w:w="34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Sean Sobers</w:t>
            </w:r>
            <w:r>
              <w:rPr>
                <w:rFonts w:ascii="Arial" w:cs="Arial" w:eastAsia="Arial" w:hAnsi="Arial"/>
                <w:sz w:val="21"/>
                <w:szCs w:val="21"/>
                <w:color w:val="auto"/>
                <w:vertAlign w:val="superscript"/>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51</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212"/>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Natalie Breece</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35</w:t>
            </w: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Senior Vice President, People</w:t>
            </w:r>
          </w:p>
        </w:tc>
      </w:tr>
      <w:tr>
        <w:trPr>
          <w:trHeight w:val="21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Daniel DeMeyere</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34</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Product Officer</w:t>
            </w:r>
          </w:p>
        </w:tc>
      </w:tr>
      <w:tr>
        <w:trPr>
          <w:trHeight w:val="212"/>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Alexis Ghorai</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Senior Vice President, Operations</w:t>
            </w:r>
          </w:p>
        </w:tc>
      </w:tr>
      <w:tr>
        <w:trPr>
          <w:trHeight w:val="21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Allison Hopkins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62</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People Officer</w:t>
            </w:r>
          </w:p>
        </w:tc>
      </w:tr>
      <w:tr>
        <w:trPr>
          <w:trHeight w:val="212"/>
        </w:trPr>
        <w:tc>
          <w:tcPr>
            <w:tcW w:w="344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Alon Rotem</w:t>
            </w:r>
            <w:r>
              <w:rPr>
                <w:rFonts w:ascii="Arial" w:cs="Arial" w:eastAsia="Arial" w:hAnsi="Arial"/>
                <w:sz w:val="21"/>
                <w:szCs w:val="21"/>
                <w:color w:val="auto"/>
                <w:vertAlign w:val="superscript"/>
              </w:rPr>
              <w:t>(*)</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Chief Legal Officer and Secretary</w:t>
            </w:r>
          </w:p>
        </w:tc>
      </w:tr>
      <w:tr>
        <w:trPr>
          <w:trHeight w:val="21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John Voris</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Systems Officer</w:t>
            </w:r>
          </w:p>
        </w:tc>
      </w:tr>
      <w:tr>
        <w:trPr>
          <w:trHeight w:val="212"/>
        </w:trPr>
        <w:tc>
          <w:tcPr>
            <w:tcW w:w="3440" w:type="dxa"/>
            <w:vAlign w:val="bottom"/>
            <w:gridSpan w:val="2"/>
          </w:tcPr>
          <w:p>
            <w:pPr>
              <w:ind w:left="20"/>
              <w:spacing w:after="0"/>
              <w:rPr>
                <w:sz w:val="20"/>
                <w:szCs w:val="20"/>
                <w:color w:val="auto"/>
              </w:rPr>
            </w:pPr>
            <w:r>
              <w:rPr>
                <w:rFonts w:ascii="Arial" w:cs="Arial" w:eastAsia="Arial" w:hAnsi="Arial"/>
                <w:sz w:val="17"/>
                <w:szCs w:val="17"/>
                <w:i w:val="1"/>
                <w:iCs w:val="1"/>
                <w:color w:val="auto"/>
              </w:rPr>
              <w:t>Non-Employee Directors: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spacing w:after="0"/>
              <w:rPr>
                <w:sz w:val="18"/>
                <w:szCs w:val="18"/>
                <w:color w:val="auto"/>
              </w:rPr>
            </w:pPr>
          </w:p>
        </w:tc>
      </w:tr>
      <w:tr>
        <w:trPr>
          <w:trHeight w:val="212"/>
        </w:trPr>
        <w:tc>
          <w:tcPr>
            <w:tcW w:w="34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Patricia Nakache</w:t>
            </w:r>
            <w:r>
              <w:rPr>
                <w:rFonts w:ascii="Arial" w:cs="Arial" w:eastAsia="Arial" w:hAnsi="Arial"/>
                <w:sz w:val="21"/>
                <w:szCs w:val="21"/>
                <w:color w:val="auto"/>
                <w:vertAlign w:val="superscript"/>
              </w:rPr>
              <w:t>(3)</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55</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 Chairperson</w:t>
            </w:r>
          </w:p>
        </w:tc>
      </w:tr>
      <w:tr>
        <w:trPr>
          <w:trHeight w:val="212"/>
        </w:trPr>
        <w:tc>
          <w:tcPr>
            <w:tcW w:w="344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Greg Bettinelli</w:t>
            </w:r>
            <w:r>
              <w:rPr>
                <w:rFonts w:ascii="Arial" w:cs="Arial" w:eastAsia="Arial" w:hAnsi="Arial"/>
                <w:sz w:val="21"/>
                <w:szCs w:val="21"/>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12"/>
        </w:trPr>
        <w:tc>
          <w:tcPr>
            <w:tcW w:w="34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Ian Friedman</w:t>
            </w:r>
            <w:r>
              <w:rPr>
                <w:rFonts w:ascii="Arial" w:cs="Arial" w:eastAsia="Arial" w:hAnsi="Arial"/>
                <w:sz w:val="21"/>
                <w:szCs w:val="21"/>
                <w:color w:val="auto"/>
                <w:vertAlign w:val="superscript"/>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2"/>
        </w:trPr>
        <w:tc>
          <w:tcPr>
            <w:tcW w:w="344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Mandy Ginsberg</w:t>
            </w:r>
            <w:r>
              <w:rPr>
                <w:rFonts w:ascii="Arial" w:cs="Arial" w:eastAsia="Arial" w:hAnsi="Arial"/>
                <w:sz w:val="21"/>
                <w:szCs w:val="21"/>
                <w:color w:val="auto"/>
                <w:vertAlign w:val="superscript"/>
              </w:rPr>
              <w:t>(2)</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12"/>
        </w:trPr>
        <w:tc>
          <w:tcPr>
            <w:tcW w:w="34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Timothy Haley</w:t>
            </w:r>
            <w:r>
              <w:rPr>
                <w:rFonts w:ascii="Arial" w:cs="Arial" w:eastAsia="Arial" w:hAnsi="Arial"/>
                <w:sz w:val="21"/>
                <w:szCs w:val="21"/>
                <w:color w:val="auto"/>
                <w:vertAlign w:val="superscript"/>
              </w:rPr>
              <w:t>(2)</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66</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2"/>
        </w:trPr>
        <w:tc>
          <w:tcPr>
            <w:tcW w:w="344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Jack Lazar</w:t>
            </w:r>
            <w:r>
              <w:rPr>
                <w:rFonts w:ascii="Arial" w:cs="Arial" w:eastAsia="Arial" w:hAnsi="Arial"/>
                <w:sz w:val="21"/>
                <w:szCs w:val="21"/>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12"/>
        </w:trPr>
        <w:tc>
          <w:tcPr>
            <w:tcW w:w="34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Norman Matthews</w:t>
            </w:r>
            <w:r>
              <w:rPr>
                <w:rFonts w:ascii="Arial" w:cs="Arial" w:eastAsia="Arial" w:hAnsi="Arial"/>
                <w:sz w:val="21"/>
                <w:szCs w:val="21"/>
                <w:color w:val="auto"/>
                <w:vertAlign w:val="superscript"/>
              </w:rPr>
              <w:t>(3)</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88</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2"/>
        </w:trPr>
        <w:tc>
          <w:tcPr>
            <w:tcW w:w="344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Dan Nova</w:t>
            </w:r>
            <w:r>
              <w:rPr>
                <w:rFonts w:ascii="Arial" w:cs="Arial" w:eastAsia="Arial" w:hAnsi="Arial"/>
                <w:sz w:val="21"/>
                <w:szCs w:val="21"/>
                <w:color w:val="auto"/>
                <w:vertAlign w:val="superscript"/>
              </w:rPr>
              <w:t>(2)</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59</w:t>
            </w: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12"/>
        </w:trPr>
        <w:tc>
          <w:tcPr>
            <w:tcW w:w="34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Paula Sutter</w:t>
            </w:r>
            <w:r>
              <w:rPr>
                <w:rFonts w:ascii="Arial" w:cs="Arial" w:eastAsia="Arial" w:hAnsi="Arial"/>
                <w:sz w:val="21"/>
                <w:szCs w:val="21"/>
                <w:color w:val="auto"/>
                <w:vertAlign w:val="superscript"/>
              </w:rPr>
              <w:t>(3)</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53</w:t>
            </w:r>
          </w:p>
        </w:tc>
        <w:tc>
          <w:tcPr>
            <w:tcW w:w="8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195"/>
        </w:trPr>
        <w:tc>
          <w:tcPr>
            <w:tcW w:w="3440" w:type="dxa"/>
            <w:vAlign w:val="bottom"/>
            <w:gridSpan w:val="2"/>
          </w:tcPr>
          <w:p>
            <w:pPr>
              <w:ind w:left="20"/>
              <w:spacing w:after="0" w:line="196" w:lineRule="exact"/>
              <w:rPr>
                <w:sz w:val="20"/>
                <w:szCs w:val="20"/>
                <w:color w:val="auto"/>
              </w:rPr>
            </w:pPr>
            <w:r>
              <w:rPr>
                <w:rFonts w:ascii="Arial" w:cs="Arial" w:eastAsia="Arial" w:hAnsi="Arial"/>
                <w:sz w:val="17"/>
                <w:szCs w:val="17"/>
                <w:color w:val="auto"/>
              </w:rPr>
              <w:t>Marcie Vu</w:t>
            </w:r>
            <w:r>
              <w:rPr>
                <w:rFonts w:ascii="Arial" w:cs="Arial" w:eastAsia="Arial" w:hAnsi="Arial"/>
                <w:sz w:val="21"/>
                <w:szCs w:val="21"/>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80" w:type="dxa"/>
            <w:vAlign w:val="bottom"/>
          </w:tcPr>
          <w:p>
            <w:pPr>
              <w:spacing w:after="0"/>
              <w:rPr>
                <w:sz w:val="16"/>
                <w:szCs w:val="16"/>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192"/>
        </w:trPr>
        <w:tc>
          <w:tcPr>
            <w:tcW w:w="3340" w:type="dxa"/>
            <w:vAlign w:val="bottom"/>
          </w:tcPr>
          <w:p>
            <w:pPr>
              <w:spacing w:after="0"/>
              <w:rPr>
                <w:sz w:val="20"/>
                <w:szCs w:val="20"/>
                <w:color w:val="auto"/>
              </w:rPr>
            </w:pPr>
            <w:r>
              <w:rPr>
                <w:rFonts w:ascii="Arial" w:cs="Arial" w:eastAsia="Arial" w:hAnsi="Arial"/>
                <w:sz w:val="15"/>
                <w:szCs w:val="15"/>
                <w:color w:val="auto"/>
              </w:rPr>
              <w:t>________________</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60" w:type="dxa"/>
            <w:vAlign w:val="bottom"/>
          </w:tcPr>
          <w:p>
            <w:pPr>
              <w:spacing w:after="0"/>
              <w:rPr>
                <w:sz w:val="16"/>
                <w:szCs w:val="16"/>
                <w:color w:val="auto"/>
              </w:rPr>
            </w:pPr>
          </w:p>
        </w:tc>
      </w:tr>
    </w:tbl>
    <w:p>
      <w:pPr>
        <w:ind w:left="300" w:hanging="300"/>
        <w:spacing w:after="0"/>
        <w:tabs>
          <w:tab w:leader="none" w:pos="3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Executive officer, within the meaning of Rule 3b-7 under the Exchange Act.</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(1)  Member of the audit committee.</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(2)  Member of the compensation committee.</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(3)  Member of the nominating and corporate governance committee.</w:t>
      </w:r>
    </w:p>
    <w:p>
      <w:pPr>
        <w:spacing w:after="0" w:line="12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 except that Anthony Marino, our President, and Paula Sutter, one of our directors, are first cousins.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Management</w:t>
      </w:r>
    </w:p>
    <w:p>
      <w:pPr>
        <w:spacing w:after="0" w:line="153" w:lineRule="exact"/>
        <w:rPr>
          <w:sz w:val="20"/>
          <w:szCs w:val="20"/>
          <w:color w:val="auto"/>
        </w:rPr>
      </w:pPr>
    </w:p>
    <w:p>
      <w:pPr>
        <w:jc w:val="both"/>
        <w:ind w:firstLine="299"/>
        <w:spacing w:after="0" w:line="276" w:lineRule="auto"/>
        <w:rPr>
          <w:sz w:val="20"/>
          <w:szCs w:val="20"/>
          <w:color w:val="auto"/>
        </w:rPr>
      </w:pPr>
      <w:r>
        <w:rPr>
          <w:rFonts w:ascii="Arial" w:cs="Arial" w:eastAsia="Arial" w:hAnsi="Arial"/>
          <w:sz w:val="16"/>
          <w:szCs w:val="16"/>
          <w:i w:val="1"/>
          <w:iCs w:val="1"/>
          <w:color w:val="auto"/>
        </w:rPr>
        <w:t xml:space="preserve">James Reinhart. </w:t>
      </w:r>
      <w:r>
        <w:rPr>
          <w:rFonts w:ascii="Arial" w:cs="Arial" w:eastAsia="Arial" w:hAnsi="Arial"/>
          <w:sz w:val="16"/>
          <w:szCs w:val="16"/>
          <w:color w:val="auto"/>
        </w:rPr>
        <w:t>Mr. Reinhart co-founded thredUP and has served as our Chief Executive Officer and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2009. Prior to founding thredUP, Mr. Reinhart helped develop the Pacific Collegiate School and co-founded Beacon Education Network, a charter management organization serving low-income students on California’s Central Coast. Mr. Reinhart holds a Master of Public Administration from the Harvard Kennedy School, a Master of Business Administration from Harvard Business School and a Bachelor of Arts in History from Boston College.</w:t>
      </w:r>
    </w:p>
    <w:p>
      <w:pPr>
        <w:spacing w:after="0" w:line="9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Mr. Reinhart is qualified to serve as a member of our board of directors because of his experience and perspective as our Chief Executive Officer and Co-Founder.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240"/>
          </w:cols>
          <w:pgMar w:left="320" w:top="118" w:right="339" w:bottom="1440" w:gutter="0" w:footer="0" w:header="0"/>
        </w:sectPr>
      </w:pPr>
    </w:p>
    <w:bookmarkStart w:id="148" w:name="page149"/>
    <w:bookmarkEnd w:id="14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i w:val="1"/>
          <w:iCs w:val="1"/>
          <w:color w:val="auto"/>
        </w:rPr>
        <w:t xml:space="preserve">Christopher Homer. </w:t>
      </w:r>
      <w:r>
        <w:rPr>
          <w:rFonts w:ascii="Arial" w:cs="Arial" w:eastAsia="Arial" w:hAnsi="Arial"/>
          <w:sz w:val="17"/>
          <w:szCs w:val="17"/>
          <w:color w:val="auto"/>
        </w:rPr>
        <w:t>Mr. Homer co-founded thredUP and has served as our Chief Operating Officer since September 2020 and previously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our Chief Technology Officer from June 2009 to September 2020. From July 2005 to August 2007, Mr. Homer was a midmarket solution advisor at Microsoft Corporation, a publicly traded technology company. Mr. Homer holds a Master of Business Administration from Harvard Business School and a Bachelor of Science in Engineering in Mechanical and Aerospace Engineering from Princeton University.</w:t>
      </w:r>
    </w:p>
    <w:p>
      <w:pPr>
        <w:spacing w:after="0" w:line="115"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i w:val="1"/>
          <w:iCs w:val="1"/>
          <w:color w:val="auto"/>
        </w:rPr>
        <w:t xml:space="preserve">Anthony Marino. </w:t>
      </w:r>
      <w:r>
        <w:rPr>
          <w:rFonts w:ascii="Arial" w:cs="Arial" w:eastAsia="Arial" w:hAnsi="Arial"/>
          <w:sz w:val="16"/>
          <w:szCs w:val="16"/>
          <w:color w:val="auto"/>
        </w:rPr>
        <w:t>Mr. Marino has served as our President since January 2018. From August 2013 to January 2018, Mr. Marino served as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Officer. From August 2009 to November 2012, Mr. Marino served as Chief Executive Officer and member of the board of directors of Virgin Hotels Group Limited, a developer of high-end hotels, which he founded. From September 2006 to August 2009, Mr. Marino was a Managing Partner at Virgin Group Limited, a consumer conglomerate and investment group. From June 2000 to June 2006, Mr. Marino was a Principal at Venrock, a venture capital firm that invests in technology and healthcare companies. Mr. Marino holds a Master of Business Administration from Harvard Business School and a Bachelor of Arts in Politics and American Studies from Princeton University. Mr. Marino is the first cousin of Ms. Sutter, one of our directors.</w:t>
      </w:r>
    </w:p>
    <w:p>
      <w:pPr>
        <w:spacing w:after="0" w:line="107"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i w:val="1"/>
          <w:iCs w:val="1"/>
          <w:color w:val="auto"/>
        </w:rPr>
        <w:t xml:space="preserve">Sean Sobers. </w:t>
      </w:r>
      <w:r>
        <w:rPr>
          <w:rFonts w:ascii="Arial" w:cs="Arial" w:eastAsia="Arial" w:hAnsi="Arial"/>
          <w:sz w:val="16"/>
          <w:szCs w:val="16"/>
          <w:color w:val="auto"/>
        </w:rPr>
        <w:t>Mr. Sobers has served as our Chief Financial Officer since October 2019. From July 2016 to August 2019, Mr. Sobers served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Quantenna Communications, Inc., a Wi-Fi Solutions Company acquired by ON Semiconductor Corporation in June 2019. From July 2009 to June 2016, Mr. Sobers served as Corporate Vice President of Finance of Cadence Design Systems, Inc., a publicly traded design automation software and engineering services company. From 1995 to 2009, Mr. Sobers held senior financial roles at Documentum, Inc., an enterprise content management platform acquired by EMC Corporation in December 2003, EMC Corporation, a provider of enterprise storage systems, software, and networks acquired by Dell Technologies in 2016, and Polycom Inc., a video, voice and content collaboration and communication technology company acquired by Plantronics, Inc. in 2018. Mr. Sobers holds a Bachelor of Science in Accounting from the University of Southern California.</w:t>
      </w:r>
    </w:p>
    <w:p>
      <w:pPr>
        <w:spacing w:after="0" w:line="110"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i w:val="1"/>
          <w:iCs w:val="1"/>
          <w:color w:val="auto"/>
        </w:rPr>
        <w:t xml:space="preserve">Natalie Breece. </w:t>
      </w:r>
      <w:r>
        <w:rPr>
          <w:rFonts w:ascii="Arial" w:cs="Arial" w:eastAsia="Arial" w:hAnsi="Arial"/>
          <w:sz w:val="17"/>
          <w:szCs w:val="17"/>
          <w:color w:val="auto"/>
        </w:rPr>
        <w:t>Ms. Breece has served as our Senior Vice President of People since October 2019. From March 2019 to October 2019, Ms. Breece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Vice President of People and from March 2017 to March 2019, Ms. Breece served as our Director of Talent Acquisition. From September 2016 to March 2017, Ms. Breece served as one of our Recruiting Managers. From March 2015 to September 2016, Ms. Breece served as a Recruiting Manager of Sales and Operations at YourPeople, Inc. dba Zenefits. From April 2013 to March 2015, Ms. Breece served as a Recruiter at Automatic Data Processing, Inc. From January 2011 to April 2013, Ms. Breece served as the University Recruiting Manager at Tegna, Inc. From March 2008 to January 2011, Ms. Breece served as a Campus Recruiter at Nestle USA, Inc. Ms. Breece holds a Masters of Business Administration from Ottawa University and a Bachelor of Arts in Organizational Psychology and Marketing from The University of Arizona.</w:t>
      </w:r>
    </w:p>
    <w:p>
      <w:pPr>
        <w:spacing w:after="0" w:line="12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i w:val="1"/>
          <w:iCs w:val="1"/>
          <w:color w:val="auto"/>
        </w:rPr>
        <w:t xml:space="preserve">Daniel DeMeyere. </w:t>
      </w:r>
      <w:r>
        <w:rPr>
          <w:rFonts w:ascii="Arial" w:cs="Arial" w:eastAsia="Arial" w:hAnsi="Arial"/>
          <w:sz w:val="17"/>
          <w:szCs w:val="17"/>
          <w:color w:val="auto"/>
        </w:rPr>
        <w:t>Mr. DeMeyere has served as our Chief Product Officer since February 2019. From May 2016 to February 2019, Mr. DeMeyere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Vice President of Engineering. From September 2013 to May 2016, Mr. DeMeyere served as our Director of Engineering and from September 2010 to January 2012, Mr. DeMeyere served as one of our Full Stack Engineers. From June 2010 to August 2010, Mr. DeMeyere was a Web Development Consultant at Global Notion, Inc., an internet business incubator. Mr. DeMeyere holds a Bachelor of Science in Computer Science and Engineering from Michigan State University.</w:t>
      </w:r>
    </w:p>
    <w:p>
      <w:pPr>
        <w:spacing w:after="0" w:line="119"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i w:val="1"/>
          <w:iCs w:val="1"/>
          <w:color w:val="auto"/>
        </w:rPr>
        <w:t xml:space="preserve">Alexis Ghorai. </w:t>
      </w:r>
      <w:r>
        <w:rPr>
          <w:rFonts w:ascii="Arial" w:cs="Arial" w:eastAsia="Arial" w:hAnsi="Arial"/>
          <w:sz w:val="17"/>
          <w:szCs w:val="17"/>
          <w:color w:val="auto"/>
        </w:rPr>
        <w:t>Mr. Ghorai has served as our Senior Vice President of Operations since November 2019. From June 2018 to October 2019, Mr.</w:t>
      </w:r>
      <w:r>
        <w:rPr>
          <w:rFonts w:ascii="Arial" w:cs="Arial" w:eastAsia="Arial" w:hAnsi="Arial"/>
          <w:sz w:val="17"/>
          <w:szCs w:val="17"/>
          <w:i w:val="1"/>
          <w:iCs w:val="1"/>
          <w:color w:val="auto"/>
        </w:rPr>
        <w:t xml:space="preserve"> </w:t>
      </w:r>
      <w:r>
        <w:rPr>
          <w:rFonts w:ascii="Arial" w:cs="Arial" w:eastAsia="Arial" w:hAnsi="Arial"/>
          <w:sz w:val="17"/>
          <w:szCs w:val="17"/>
          <w:color w:val="auto"/>
        </w:rPr>
        <w:t>Ghorai served as our Chief Financial Officer and from May 2012 to May 2018, Mr. Ghorai served as our Senior Vice President of Financial Planning and Analysis. From January 2010 to January 2015, Mr. Ghorai was an Operations Consultant and subsequently an Advisory Board Member at Marchi Thermal Systems, Inc., a manufacturer of custom thermal control products for the semiconductor industry. From 2007 to 2009, Mr. Ghorai served as President of the CDS Division of Advanced Integration Technology LP. In 1999, Mr. Ghorai co-founded Integrated Flow Systems, LLC, a manufacturer of a high purity gas delivery system that was acquired by Advanced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Integration Technologies in 2007. Mr. Ghorai holds a Bachelor of Science in Chemistry from the University of Michigan.</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i w:val="1"/>
          <w:iCs w:val="1"/>
          <w:color w:val="auto"/>
        </w:rPr>
        <w:t xml:space="preserve">Allison Hopkins. </w:t>
      </w:r>
      <w:r>
        <w:rPr>
          <w:rFonts w:ascii="Arial" w:cs="Arial" w:eastAsia="Arial" w:hAnsi="Arial"/>
          <w:sz w:val="17"/>
          <w:szCs w:val="17"/>
          <w:color w:val="auto"/>
        </w:rPr>
        <w:t>Ms. Hopkins has served as our Chief People Officer since September 2020 and previously served as our Chief Operations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from June 2019 to September 2020. From June 2016 to October 2019, Ms. Hopkins served as our Chief People Officer. From 1993 to 2016, Ms. Hopkins served as Founder and Chief Executive Officer of Core Elements, Inc., a human resources and internal communications company. From September 2014 to June 2016, Ms. Hopkins served as the Chief People Officer of Eat JUST, Inc., a food manufacturing company. From May 2012 to November 2013, Ms. Hopkins served as a Senior Vice President of Human Resources at Palo Alto Networks, Inc., a cybersecurity company. From July 2006 to April 2012, Ms. Hopkins served as VP of Talent at Netflix, Inc., a media-services provider and production company.</w:t>
      </w:r>
    </w:p>
    <w:p>
      <w:pPr>
        <w:spacing w:after="0" w:line="122"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i w:val="1"/>
          <w:iCs w:val="1"/>
          <w:color w:val="auto"/>
        </w:rPr>
        <w:t xml:space="preserve">Alon Rotem. </w:t>
      </w:r>
      <w:r>
        <w:rPr>
          <w:rFonts w:ascii="Arial" w:cs="Arial" w:eastAsia="Arial" w:hAnsi="Arial"/>
          <w:sz w:val="17"/>
          <w:szCs w:val="17"/>
          <w:color w:val="auto"/>
        </w:rPr>
        <w:t>Mr. Rotem has served as our Chief Legal Officer since February 2021 and Secretary since March 2017 and previously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from January 2017 to February 2021. From September 2013 to November 2016, Mr. Rotem served as the General Counsel of Rocket Lawyer Inc., an online legal technology company. From June 2010 to August 2013, Mr. Rotem was an associate at Goodwin Procter LLP, a global law firm. From 2007 to 2010, Mr. Rotem was an associate at Ropes &amp; Gray LLP, a global law firm. Mr. Rotem holds a Juris Doctor from the University of California, Berkeley School of Law and a Bachelor of Science in Managerial Economics from the University of California, Davis.</w:t>
      </w:r>
    </w:p>
    <w:p>
      <w:pPr>
        <w:spacing w:after="0" w:line="119"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i w:val="1"/>
          <w:iCs w:val="1"/>
          <w:color w:val="auto"/>
        </w:rPr>
        <w:t xml:space="preserve">John Voris. </w:t>
      </w:r>
      <w:r>
        <w:rPr>
          <w:rFonts w:ascii="Arial" w:cs="Arial" w:eastAsia="Arial" w:hAnsi="Arial"/>
          <w:sz w:val="17"/>
          <w:szCs w:val="17"/>
          <w:color w:val="auto"/>
        </w:rPr>
        <w:t>Mr. Voris has served as our Chief Systems Officer since September 2020 and previously served as our Head of Operations Innovation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May 2019 to September 2020. From September 2019 to March 2020, Mr. Voris held a consulting role with Rent the Runway, Inc. From May 2012 to May 2019, Mr. Voris served as our Chief Operating Officer. From January 2012 to June 2012, Mr. Voris served as Senior Vice President of Manufacturing Engineering at Space Exploration Technologies Corp. From October 2007 to January 2012, Mr. Voris served first as a Director and later as Senior Vice President of Operations Engineering at Netflix, Inc. From September 1999 to July 2001, Mr. Voris served as Director of Automation at Shutterfly, Inc. Mr. Voris holds a Bachelor of Science in Industrial Engineering from California Polytechnic State University.</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i w:val="1"/>
          <w:iCs w:val="1"/>
          <w:color w:val="auto"/>
        </w:rPr>
        <w:t xml:space="preserve">Patricia Nakache. </w:t>
      </w:r>
      <w:r>
        <w:rPr>
          <w:rFonts w:ascii="Arial" w:cs="Arial" w:eastAsia="Arial" w:hAnsi="Arial"/>
          <w:sz w:val="17"/>
          <w:szCs w:val="17"/>
          <w:color w:val="auto"/>
        </w:rPr>
        <w:t>Ms. Nakache has served as a member of our board of directors since June 2010 and Chairperson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2020. Ms. Nakache has served in various roles and most recently as a General Partner of Trinity Ventures, a venture capital firm since July 1999. Ms. Nakache has served as a Lecturer in Management at the Stanford Graduate School of Business since April 2016. From 1991 to 1998, Ms. Nakache served in various roles and most recently as a Practice Consultant and Senior Engagement Manager at McKinsey &amp; Company, a management consulting firm. From 1987 to 1989, Ms. Nakache served as a Business Analyst at McKinsey &amp; Company. Ms. Nakache has served as a board member of the National Venture Capital Association, an organization dedicated to advocating for public policy that supports the American entrepreneurial ecosystem, since May 2018. From 2008 to January 2014, Ms. Nakache served as a member of the board of directors of Care.com, Inc., a publicly traded family and senior care company that was acquired by IAC/InterActiveCorp in February 2020. Ms. Nakache also serves as a member of the board of directors of a number of privately held companies. Ms. Nakache holds a Master of Business Administration from the Stanford University Graduate School of Business and a Bachelor of Arts in Physics and Chemistry from Harvard University.</w:t>
      </w:r>
    </w:p>
    <w:p>
      <w:pPr>
        <w:spacing w:after="0" w:line="120"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believe that Ms. Nakache is qualified to serve as a member of our board of directors because of her significant knowledge of and history with our company, her experience as a seasoned investor and as a current and former director of numerous privately held consumer growth and technology companies, and her knowledge of the industry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i w:val="1"/>
          <w:iCs w:val="1"/>
          <w:color w:val="auto"/>
        </w:rPr>
        <w:t xml:space="preserve">Greg Bettinelli. </w:t>
      </w:r>
      <w:r>
        <w:rPr>
          <w:rFonts w:ascii="Arial" w:cs="Arial" w:eastAsia="Arial" w:hAnsi="Arial"/>
          <w:sz w:val="17"/>
          <w:szCs w:val="17"/>
          <w:color w:val="auto"/>
        </w:rPr>
        <w:t>Mr. Bettinelli has served as a member of our board of directors since July 2014. Since 2014, Mr. Bettinelli has served as a Partner of</w:t>
      </w:r>
      <w:r>
        <w:rPr>
          <w:rFonts w:ascii="Arial" w:cs="Arial" w:eastAsia="Arial" w:hAnsi="Arial"/>
          <w:sz w:val="17"/>
          <w:szCs w:val="17"/>
          <w:i w:val="1"/>
          <w:iCs w:val="1"/>
          <w:color w:val="auto"/>
        </w:rPr>
        <w:t xml:space="preserve"> </w:t>
      </w:r>
      <w:r>
        <w:rPr>
          <w:rFonts w:ascii="Arial" w:cs="Arial" w:eastAsia="Arial" w:hAnsi="Arial"/>
          <w:sz w:val="17"/>
          <w:szCs w:val="17"/>
          <w:color w:val="auto"/>
        </w:rPr>
        <w:t>Upfront Ventures, a venture capital firm. Since 2013, Mr. Bettinelli has served as an Advisor of Freeman Spogli &amp; Co., a private equity firm. From 2013 to 2016, Mr. Bettinelli served on the Board of Library Commissioners of the Los Angeles Public Library. From 2009 to 2013, Mr. Bettinelli served as the Chief Marketing Officer of HauteLook, a shopping website and subsidiary of Nordstrom, Inc. From 2008 to 2009, Mr. Bettinelli served as an Executive Vice President of Business Development and Strategy at Live Nation Entertainment, Inc., an events promoter and venue operator. From 2007 to 2008, Mr. Bettinelli served as a Senior Director at StubHub, Inc., a ticket exchange company. From 2005 to 2007, Mr. Bettinelli served as a Director at of Event Tickets, Media, and Half.com at eBay Inc., an e-commerce company. From 2003 to 2005, Mr. Bettinelli served as a Senior Category Manager of Event Tickets at eBay. From 1999 to 2003, Mr. Bettinelli served as a Vice President of Business Development at HealthAllies, Inc., a division of UnitedHealth Group Incorporated, a healthcare company. From 1997 to 1999, Mr. Bettinelli served as a Director of Stephens &amp; Partners, a private merchant bank. From 1994 to 1997, Mr. Bettinelli served as a Marketing Manager at Santa Anita Park. Since 2012, Mr. Bettinelli has served on the board of directors of Boot Barn Holdings, Inc., a publicly traded retail company selling western and work-related footwear, apparel, and accessories. From 2013 to 2017, Mr. Bettinelli served on the board of directors of hhgregg, Inc., a publicly traded online retailer and former retail chain of consumer electronics and home appliances. Mr. Bettinelli holds a Master of Business Administration from Pepperdine Graziadio Business School and a Bachelor of Arts in Political Science from the University of San Diego.</w:t>
      </w:r>
    </w:p>
    <w:p>
      <w:pPr>
        <w:spacing w:after="0" w:line="132" w:lineRule="exact"/>
        <w:rPr>
          <w:sz w:val="20"/>
          <w:szCs w:val="20"/>
          <w:color w:val="auto"/>
        </w:rPr>
      </w:pPr>
    </w:p>
    <w:p>
      <w:pPr>
        <w:jc w:val="both"/>
        <w:ind w:firstLine="299"/>
        <w:spacing w:after="0" w:line="309" w:lineRule="auto"/>
        <w:rPr>
          <w:sz w:val="20"/>
          <w:szCs w:val="20"/>
          <w:color w:val="auto"/>
        </w:rPr>
      </w:pPr>
      <w:r>
        <w:rPr>
          <w:rFonts w:ascii="Arial" w:cs="Arial" w:eastAsia="Arial" w:hAnsi="Arial"/>
          <w:sz w:val="16"/>
          <w:szCs w:val="16"/>
          <w:color w:val="auto"/>
        </w:rPr>
        <w:t>We believe that Mr. Bettinelli is qualified to serve as a member of our board of directors because of his experience as a seasoned venture capital investor, his experience in management and as a current and former director of many companies and his knowledge of the industry in which we operate.</w:t>
      </w:r>
    </w:p>
    <w:p>
      <w:pPr>
        <w:spacing w:after="0" w:line="74"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i w:val="1"/>
          <w:iCs w:val="1"/>
          <w:color w:val="auto"/>
        </w:rPr>
        <w:t xml:space="preserve">Ian Friedman. </w:t>
      </w:r>
      <w:r>
        <w:rPr>
          <w:rFonts w:ascii="Arial" w:cs="Arial" w:eastAsia="Arial" w:hAnsi="Arial"/>
          <w:sz w:val="17"/>
          <w:szCs w:val="17"/>
          <w:color w:val="auto"/>
        </w:rPr>
        <w:t>Mr. Friedman has served as a member of our board of directors since August 2015. Since January 2020, Mr. Friedman has worked as</w:t>
      </w:r>
      <w:r>
        <w:rPr>
          <w:rFonts w:ascii="Arial" w:cs="Arial" w:eastAsia="Arial" w:hAnsi="Arial"/>
          <w:sz w:val="17"/>
          <w:szCs w:val="17"/>
          <w:i w:val="1"/>
          <w:iCs w:val="1"/>
          <w:color w:val="auto"/>
        </w:rPr>
        <w:t xml:space="preserve"> </w:t>
      </w:r>
      <w:r>
        <w:rPr>
          <w:rFonts w:ascii="Arial" w:cs="Arial" w:eastAsia="Arial" w:hAnsi="Arial"/>
          <w:sz w:val="17"/>
          <w:szCs w:val="17"/>
          <w:color w:val="auto"/>
        </w:rPr>
        <w:t>an investor in the venture capital industry. Since October 2020, Mr. Friedman has served as the Chief Executive Officer and a director of Highland Transcend Partners I Corp., a publicly traded special purpose acquisition company. From September 2012 to October 2019, Mr. Friedman served as the Co-Head of Goldman Sachs Investment Partners, Venture Capital and Growth Equity, a banking and financial services company. From September 2008 to July 2010, Mr. Friedman served as a Private Equity Investor of Bain Capital, LLC, a private investment firm. From September 2006 to July 2008, Mr. Friedman served as a consultant at Boston Consulting Group, a management consulting firm. Mr. Friedman holds a Master of Business Administration from the Stanford Graduate School of Business and a degree in Honours Business Administration from the University of Western Ontario, Richard Ivey School of Business.</w:t>
      </w:r>
    </w:p>
    <w:p>
      <w:pPr>
        <w:spacing w:after="0" w:line="120"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Mr. Friedman is qualified to serve as a member of our board of directors because of his extensive business and investment experience in the venture capital industry and his knowledge of the industry in which we operate.</w:t>
      </w:r>
    </w:p>
    <w:p>
      <w:pPr>
        <w:spacing w:after="0" w:line="96"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i w:val="1"/>
          <w:iCs w:val="1"/>
          <w:color w:val="auto"/>
        </w:rPr>
        <w:t>Mandy Ginsberg</w:t>
      </w:r>
      <w:r>
        <w:rPr>
          <w:rFonts w:ascii="Arial" w:cs="Arial" w:eastAsia="Arial" w:hAnsi="Arial"/>
          <w:sz w:val="16"/>
          <w:szCs w:val="16"/>
          <w:color w:val="auto"/>
        </w:rPr>
        <w:t>. Ms. Ginsberg has served as a member of our board of directors since December 2020. From December 2017 to March 2020, Ms.</w:t>
      </w:r>
      <w:r>
        <w:rPr>
          <w:rFonts w:ascii="Arial" w:cs="Arial" w:eastAsia="Arial" w:hAnsi="Arial"/>
          <w:sz w:val="16"/>
          <w:szCs w:val="16"/>
          <w:i w:val="1"/>
          <w:iCs w:val="1"/>
          <w:color w:val="auto"/>
        </w:rPr>
        <w:t xml:space="preserve"> </w:t>
      </w:r>
      <w:r>
        <w:rPr>
          <w:rFonts w:ascii="Arial" w:cs="Arial" w:eastAsia="Arial" w:hAnsi="Arial"/>
          <w:sz w:val="16"/>
          <w:szCs w:val="16"/>
          <w:color w:val="auto"/>
        </w:rPr>
        <w:t>Ginsberg served as Chief Executive Officer of Match Group, Inc. From December 2015 to December 2017, Ms. Ginsberg served as Chief Executive Officer of Match Group Americas. From July 2014 to December 2015, she served as the Chief Executive Officer of The Princeton Review. Ms. Ginsberg is a member of the board of directors of Uber Technologies, Inc., a publicly traded ride hailing and movement company, and a director nominee of Z-Work Acquisition Corp., a special purpose acquisition company focused on the transformation of work through technology businesses. Ms. Ginsberg served on the board of directors of J.C. Penney Company, Inc. from July 2015 to December 2020, Match Group, Inc. from December 2017 to March 2020 and Care.com from February 2012 to December 2014. Ms. Ginsberg holds a Master of Business Administration from The Wharton School of the University of Pennsylvania and a Bachelor of Arts in English Literature and Spanish Literature from the University of California, Berkeley.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believe that Ms. Ginsberg is qualified to serve as a member of our board of directors because of her extensive operational, innovation and high-growth experience with consumer and digital companies and global company leadership and her experience as a board member of publicly traded technology companies.</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i w:val="1"/>
          <w:iCs w:val="1"/>
          <w:color w:val="auto"/>
        </w:rPr>
        <w:t xml:space="preserve">Timothy Haley. </w:t>
      </w:r>
      <w:r>
        <w:rPr>
          <w:rFonts w:ascii="Arial" w:cs="Arial" w:eastAsia="Arial" w:hAnsi="Arial"/>
          <w:sz w:val="17"/>
          <w:szCs w:val="17"/>
          <w:color w:val="auto"/>
        </w:rPr>
        <w:t>Mr. Haley has served as a member of our board of directors since March 2011. Mr. Haley is a founding member of Redpoint</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a venture capital firm, where he has served as the Managing Director since 1999. Mr. Haley is also a member of the boards of directors of Netflix, Inc., a publicly traded media-services provider and production company, 2U, Inc., a publicly traded education technology company, and Zuora, Inc., a publicly traded enterprise software company. Mr. Haley has also served as a member of the boards of directors of a number of privately held companies. Mr. Haley holds a Bachelor of Arts in Philosophy from Santa Clara University.</w:t>
      </w:r>
    </w:p>
    <w:p>
      <w:pPr>
        <w:spacing w:after="0" w:line="11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Mr. Haley is qualified to serve as a member of our board of directors because of his extensive experience in the venture capital industry and as a board member of publicly traded and privately held technology companies and his knowledge of the industry in which we operate.</w:t>
      </w:r>
    </w:p>
    <w:p>
      <w:pPr>
        <w:spacing w:after="0" w:line="96"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i w:val="1"/>
          <w:iCs w:val="1"/>
          <w:color w:val="auto"/>
        </w:rPr>
        <w:t xml:space="preserve">Jack Lazar. </w:t>
      </w:r>
      <w:r>
        <w:rPr>
          <w:rFonts w:ascii="Arial" w:cs="Arial" w:eastAsia="Arial" w:hAnsi="Arial"/>
          <w:sz w:val="17"/>
          <w:szCs w:val="17"/>
          <w:color w:val="auto"/>
        </w:rPr>
        <w:t>Mr. Lazar has served as a member of our board of directors since June 2017. Since March 2016, Mr. Lazar has been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consultant. From January 2014 to March 2016, Mr. Lazar served as the Chief Financial Officer at GoPro, Inc., a publicly traded provider of wearable and mountable capture devices. From January 2013 to January 2014, Mr. Lazar was an independent business consultant. From May 2011 to January 2013, Mr. Lazar served as Senior Vice President, Corporate Development at Qualcomm Incorporated and General Manager of Qualcomm Atheros, Inc., a developer of communications semiconductor solutions. From September 2003 until it was acquired by Qualcomm Incorporated in May 2011, Mr. Lazar served in various positions at Atheros Communications, Inc., a provider of communications semiconductor solutions, most recently as Senior Vice President of Corporate Development, Chief Financial Officer and Secretary. Mr. Lazar is also a member of the boards of directors of Box, Inc., a publicly traded enterprise cloud content and file sharing provider, Casper Sleep Inc., a publicly traded sleep wellness company, Resideo Technologies, Inc., a publicly traded provider of comfort and security solutions, and Silicon Laboratories, Inc., a publicly traded analog and mixed signal semiconductor company. Mr. Lazar also served on the boards of directors of Mellanox Technologies, Ltd., a publicly traded communications semiconductor company, from June 2018 until its sale to NVIDIA Corporation in April 2020, Quantenna Communications, Inc., a publicly traded wireless semiconductor company, from July 2016 until its sale to ON Semiconductor Incorporated in June 2019, and TubeMogul, Inc., a publicly traded enterprise software company, from October 2013 until its sale to Adobe in December 2016. Mr. Lazar is a certified public accountant (inactive) and holds a Bachelor of Science in Commerce with an emphasis in Accounting from Santa Clara University.</w:t>
      </w:r>
    </w:p>
    <w:p>
      <w:pPr>
        <w:spacing w:after="0" w:line="132"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Mr. Lazar is qualified to serve as a member of our board of directors because of his business and financial expertise and extensive experience as an executive and board member of publicly traded technology companies.</w:t>
      </w:r>
    </w:p>
    <w:p>
      <w:pPr>
        <w:spacing w:after="0" w:line="96"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i w:val="1"/>
          <w:iCs w:val="1"/>
          <w:color w:val="auto"/>
        </w:rPr>
        <w:t xml:space="preserve">Norman Matthews. </w:t>
      </w:r>
      <w:r>
        <w:rPr>
          <w:rFonts w:ascii="Arial" w:cs="Arial" w:eastAsia="Arial" w:hAnsi="Arial"/>
          <w:sz w:val="16"/>
          <w:szCs w:val="16"/>
          <w:color w:val="auto"/>
        </w:rPr>
        <w:t>Mr. Matthews has served as a member of our board of directors since September 2014. From 1978 to 1988, Mr. Matthews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in various senior management positions for Federated Department Stores, Inc., including President from 1987 to 1988. Since 2015, Mr. Matthews has served on the board of directors of Party City Corporation, a publicly traded retail chain of party stores. Since October 2014, Mr. Matthews has served on the board of directors of Grocery Outlet Holding Corp., a publicly traded supermarket company. Since 2010, Mr. Matthews has served on the board of directors of Spectrum Brands Holdings, Inc., a publicly traded global consumer products company. Since 2008, Mr. Matthews has served on the board of directors of The Children’s Place, Inc., a publicly traded retailer of children’s apparel and accessories. Mr. Matthews previously served on the board of directors of Henry Schein, Inc., a publicly traded healthcare products company, from 2001 to 2016, Sunoco, Inc., a publicly traded logistics and retail company, from 1999 to 2005, The Progressive Corporation, a publicly traded insurance company, from 1981 to 2012, and Toys “R” Us, Inc., a publicly traded toy, clothing and baby product retail company from 1996 to 2010. Mr. Matthews is also an emeritus trustee at the American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240"/>
          </w:cols>
          <w:pgMar w:left="320" w:top="118" w:right="339" w:bottom="1440" w:gutter="0" w:footer="0" w:header="0"/>
        </w:sectPr>
      </w:pPr>
    </w:p>
    <w:bookmarkStart w:id="152" w:name="page153"/>
    <w:bookmarkEnd w:id="15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Museum of Natural History. Mr. Matthews holds a Master of Business Administration from Harvard Business School and a Bachelor of Arts in Economics from Princeton University.</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Mr. Matthews is qualified to serve as a member of our board of directors because of his extensive experience as a business leader and board member of large public companies and his extensive knowledge of the industry in which we operate.</w:t>
      </w:r>
    </w:p>
    <w:p>
      <w:pPr>
        <w:spacing w:after="0" w:line="96"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i w:val="1"/>
          <w:iCs w:val="1"/>
          <w:color w:val="auto"/>
        </w:rPr>
        <w:t xml:space="preserve">Dan Nova. </w:t>
      </w:r>
      <w:r>
        <w:rPr>
          <w:rFonts w:ascii="Arial" w:cs="Arial" w:eastAsia="Arial" w:hAnsi="Arial"/>
          <w:sz w:val="16"/>
          <w:szCs w:val="16"/>
          <w:color w:val="auto"/>
        </w:rPr>
        <w:t>Mr. Nova has served as a member of our board of directors since September 2012. Mr. Nova has served as a General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Highland Capital Partners since 1996. Since October 2020, Mr. Nova has also served as the Chief Investment Officer of Highland Transcend Partners I Corp., a publicly traded special purpose acquisition company. Prior to joining Highland in 1996, Dan was a Partner at CMG@Ventures from 1995 to 1996. From 1989 to 1994, Mr. Nova was a Senior Associate at Summit Partners. Mr. Nova also serves as a member of the board of directors of a number of privately held companies and has served as a member of the board of directors of publicly traded companies in the past. Mr. Nova holds a Master of Business Administration from Harvard Business School and a Bachelor of Science in Computer Science and Marketing from Boston College.</w:t>
      </w:r>
    </w:p>
    <w:p>
      <w:pPr>
        <w:spacing w:after="0" w:line="107"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Mr. Nova is qualified to serve as a member of our board of directors because of his extensive experience with venture capital and technology companies and his experience as former director of publicly traded companies.</w:t>
      </w:r>
    </w:p>
    <w:p>
      <w:pPr>
        <w:spacing w:after="0" w:line="96"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i w:val="1"/>
          <w:iCs w:val="1"/>
          <w:color w:val="auto"/>
        </w:rPr>
        <w:t xml:space="preserve">Paula Sutter. </w:t>
      </w:r>
      <w:r>
        <w:rPr>
          <w:rFonts w:ascii="Arial" w:cs="Arial" w:eastAsia="Arial" w:hAnsi="Arial"/>
          <w:sz w:val="17"/>
          <w:szCs w:val="17"/>
          <w:color w:val="auto"/>
        </w:rPr>
        <w:t>Ms. Sutter has served as a member of our board of directors since 2014. In October 2014, Ms. Sutter founded of Paula Sutter LLC, a</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brand consultancy. From October 2014 to December 2017, Ms. Sutter served as the Chief Executive Officer of TSG Fashion Group at TSG Consumer Partners, LLC, a private equity firm. From 1999 to October 2013, Ms. Sutter served as the President of Diane von Furstenberg Studio, L.P., a fashion company. From January 1993 to December 1998, Ms. Sutter served as a Vice President of The Donna Karan Company, LLC, a fashion company. Ms. Sutter also serves as a member of the board of directors of a number of privately held companies. Ms. Sutter holds a Liberal Arts degree in Literature from Villanova University. Ms. Sutter is the first cousin of Mr. Marino, our President.</w:t>
      </w:r>
    </w:p>
    <w:p>
      <w:pPr>
        <w:spacing w:after="0" w:line="122"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Ms. Sutter is qualified to serve as a member of our board of directors because of her extensive experience as an executive in the fashion and private equity industries.</w:t>
      </w:r>
    </w:p>
    <w:p>
      <w:pPr>
        <w:spacing w:after="0" w:line="96"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i w:val="1"/>
          <w:iCs w:val="1"/>
          <w:color w:val="auto"/>
        </w:rPr>
        <w:t>Marcie Vu</w:t>
      </w:r>
      <w:r>
        <w:rPr>
          <w:rFonts w:ascii="Arial" w:cs="Arial" w:eastAsia="Arial" w:hAnsi="Arial"/>
          <w:sz w:val="16"/>
          <w:szCs w:val="16"/>
          <w:color w:val="auto"/>
        </w:rPr>
        <w:t>. Ms. Vu has served as a member of our board of directors since February 2021. Ms. Vu formerly served as a Partner and Head of</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Technology at Qatalyst Partners, a technology-focused M&amp;A advisory group, from May 2013 to February 2021. From August 2002 to May 2013, Ms. Vu served as Head of Consumer Internet Banking at Morgan Stanley &amp; Co, LLC, an investment bank and financial services company. From August 2000 to July 2002, Ms. Vu served as a Senior Product Manager at Yahoo! Inc., a media and technology company. Ms. Vu is a director nominee of Alpha Partners Technology Merger Corp., a special purpose acquisition company. Ms. Vu has a Master of Business Administration from the Kellogg School of Management at Northwestern University and a Bachelor of Science in Economics from The Wharton School of the University of Pennsylvania.</w:t>
      </w:r>
    </w:p>
    <w:p>
      <w:pPr>
        <w:spacing w:after="0" w:line="107"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believe that Ms. Vu is qualified to serve on our board of directors due to her extensive experience as an advisor in the consumer technology industry and her knowledge of the industry in which we operate.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Prior to the completion of this offering, our board of directors will adopt a code of conduct that will apply to all of our employees, officers and directors, including our Chief Executive Officer, President, Chief Financial Officer and other executive and senior financial officers. Upon the completion of this offering, the full text of our code of conduct will be posted on our website. We intend to disclose any amendments to our code of conduct, or waivers of its requirements, on our website or in filings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 prior to the completion of this offering. Our board of directors consists of 11 directors, ten of whom will qualify as “independent” under Nasdaq listing standards.</w:t>
      </w:r>
    </w:p>
    <w:p>
      <w:pPr>
        <w:spacing w:after="0" w:line="11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accordance with our amended and restated certificate of incorporation and our amended and restated bylaws, immediately after the completion of this offering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15" w:lineRule="exact"/>
        <w:rPr>
          <w:sz w:val="20"/>
          <w:szCs w:val="20"/>
          <w:color w:val="auto"/>
        </w:rPr>
      </w:pPr>
    </w:p>
    <w:p>
      <w:pPr>
        <w:ind w:left="600" w:hanging="302"/>
        <w:spacing w:after="0" w:line="277" w:lineRule="auto"/>
        <w:tabs>
          <w:tab w:leader="none" w:pos="59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Class I directors will be Mr. Bettinelli, Mr. Friedman and Mr. Matthews, and their terms will expire at the first annual meeting of stockholders after the completion of this offering;</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Class II directors will be Mr. Nova, Mr. Haley, Mr. Reinhart and Ms. Sutter, and their terms will expire at the second annual meeting of stockholders after the completion of this offering; and</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Class III directors will be Ms. Ginsberg, Mr. Lazar, Ms. Nakache and Ms. Vu, and their terms will expire at the third annual meeting of stockholders after the completion of this offering.</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11" w:lineRule="exact"/>
        <w:rPr>
          <w:sz w:val="20"/>
          <w:szCs w:val="20"/>
          <w:color w:val="auto"/>
        </w:rPr>
      </w:pPr>
    </w:p>
    <w:p>
      <w:pPr>
        <w:ind w:right="1860" w:firstLine="299"/>
        <w:spacing w:after="0" w:line="427" w:lineRule="auto"/>
        <w:rPr>
          <w:sz w:val="20"/>
          <w:szCs w:val="20"/>
          <w:color w:val="auto"/>
        </w:rPr>
      </w:pPr>
      <w:r>
        <w:rPr>
          <w:rFonts w:ascii="Arial" w:cs="Arial" w:eastAsia="Arial" w:hAnsi="Arial"/>
          <w:sz w:val="17"/>
          <w:szCs w:val="17"/>
          <w:color w:val="auto"/>
        </w:rPr>
        <w:t xml:space="preserve">This classification of our board of directors may have the effect of delaying or preventing changes in control of our company. </w:t>
      </w:r>
      <w:r>
        <w:rPr>
          <w:rFonts w:ascii="Arial" w:cs="Arial" w:eastAsia="Arial" w:hAnsi="Arial"/>
          <w:sz w:val="17"/>
          <w:szCs w:val="17"/>
          <w:b w:val="1"/>
          <w:bCs w:val="1"/>
          <w:color w:val="auto"/>
        </w:rPr>
        <w:t>Director Independence</w:t>
      </w:r>
    </w:p>
    <w:p>
      <w:pPr>
        <w:spacing w:after="0" w:line="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Messrs. Bettinelli, Friedman, Haley, Lazar, Matthews and Nova and Mmes. Ginsberg, Nakache, Sutter and Vu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Our audit committee consists of Messrs. Bettinelli, Friedman and Lazar and Ms. Vu, with Mr. Lazar serving as Chairperson. The composition of our audit committee meets the requirements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independence under current Nasdaq listing standards and SEC rules and regulations. Each member of our audit committee meets the financial literacy requirements of Nasdaq listing standards. In addition, our board of directors has determined that Mr. Lazar is an audit committee financial expert within the meaning of Item 407(d) of Regulation S-K under the Securities Act of 1933. Our audit committee will, among other things:</w:t>
      </w:r>
    </w:p>
    <w:p>
      <w:pPr>
        <w:spacing w:after="0" w:line="111" w:lineRule="exact"/>
        <w:rPr>
          <w:sz w:val="20"/>
          <w:szCs w:val="20"/>
          <w:color w:val="auto"/>
        </w:rPr>
      </w:pPr>
    </w:p>
    <w:p>
      <w:pPr>
        <w:ind w:left="600" w:hanging="302"/>
        <w:spacing w:after="0"/>
        <w:tabs>
          <w:tab w:leader="none" w:pos="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select a qualified firm to serve as the independent registered public accounting firm to audit our consolidated financial statements;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help to ensure the independence and performance of the independent registered public accounting firm;</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discuss the scope and results of the audit with the independent registered public accounting firm and review, with management and the independent registered public accounting firm, our interim and year-end results of operations;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develop procedures for employees to submit concerns anonymously about questionable accounting or audit matters;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review our policies on risk assessment and risk management;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review related party transactions;</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obtain and review a report by the independent registered public accounting firm at least annually, that describes our internal control procedures, any material issues with such procedures and any steps taken to deal with such issues; and</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approve (or, as permitted, pre-approve) all audit and all permissible non-audit services, other than de minimis non-audit services, to be performed by the independent registered public accounting firm.</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that satisfies the applicable rules of the SEC and the listing standards of Nasdaq.</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Our compensation committee consists of Messrs. Haley and Nova and Ms. Ginsberg, with Mr. Haley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will, among other things:</w:t>
      </w:r>
    </w:p>
    <w:p>
      <w:pPr>
        <w:spacing w:after="0" w:line="119" w:lineRule="exact"/>
        <w:rPr>
          <w:sz w:val="20"/>
          <w:szCs w:val="20"/>
          <w:color w:val="auto"/>
        </w:rPr>
      </w:pPr>
    </w:p>
    <w:p>
      <w:pPr>
        <w:ind w:left="600" w:hanging="302"/>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review, approve and determine, or make recommendations to our board of directors regarding, the compensation of our executive officers;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administer our stock and equity incentive plans;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review and approve, or make recommendations to our board of directors regarding, incentive compensation and equity plans;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establish and review general policies relating to compensation and benefits of our employees.</w:t>
      </w:r>
    </w:p>
    <w:p>
      <w:pPr>
        <w:spacing w:after="0" w:line="153" w:lineRule="exact"/>
        <w:rPr>
          <w:sz w:val="20"/>
          <w:szCs w:val="20"/>
          <w:color w:val="auto"/>
        </w:rPr>
      </w:pPr>
    </w:p>
    <w:p>
      <w:pPr>
        <w:ind w:firstLine="299"/>
        <w:spacing w:after="0" w:line="277" w:lineRule="auto"/>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that satisfies the applicable rules of the SEC and the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Immediately following the completion of this offering, our nominating and corporate governance committee will consist of Mmes. Nakache and Sutter and Mr. Matthews, with Ms. Nakache serving as Chairperson. The composition of our nominating and corporate governance committee meets the requirements for independence under Nasdaq listing standards and SEC rules and regulations. Our nominating and corporate governance committee will, among other things:</w:t>
      </w:r>
    </w:p>
    <w:p>
      <w:pPr>
        <w:spacing w:after="0" w:line="115" w:lineRule="exact"/>
        <w:rPr>
          <w:sz w:val="20"/>
          <w:szCs w:val="20"/>
          <w:color w:val="auto"/>
        </w:rPr>
      </w:pPr>
    </w:p>
    <w:p>
      <w:pPr>
        <w:ind w:left="600" w:hanging="302"/>
        <w:spacing w:after="0" w:line="277" w:lineRule="auto"/>
        <w:tabs>
          <w:tab w:leader="none" w:pos="59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identify, evaluate and select, or make recommendations to our board of directors regarding, nominees for election to our board of directors and its committees;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evaluate the performance of our board of directors and of individual directors;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review developments in corporate governance practices;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oversee environmental, social and governance (ESG) matters;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evaluate the adequacy of our corporate governance practices and reporting;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develop and make recommendations to our board of directors regarding corporate governance guidelines and matters.</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nominating and corporate governance committee will operate under a written charter, to be effective prior to the completion of this offering, that satisfies the applicable listing requirements and rules of Nasdaq.</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Board of Directors in Risk Oversight Process</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 See the section titled “Certain Relationships and Related Party Transactions” for information about related party transaction involving members of our compensation committee or their affiliates.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following table provides information regarding the total compensation that was earned by or paid to each of our non-employee directors during fiscal year 2020. During fiscal year 2020, James Reinhart, our Chief Executive Officer and co-founder, served as a member of our board of directors, as well as an employee, and received no additional compensation for his services as a member of our board of directors. See the section titled “Executive Compensation” for more information about Mr. Reinhart’s compensation for fiscal year 2020. Additionally, while all non-employee directors were offered the ability to participate in our company benefit plans, only Mr. Lazar elected to participate, and we reimburse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240"/>
          </w:cols>
          <w:pgMar w:left="320" w:top="118" w:right="339" w:bottom="1440" w:gutter="0" w:footer="0" w:header="0"/>
        </w:sectPr>
      </w:pPr>
    </w:p>
    <w:bookmarkStart w:id="156" w:name="page157"/>
    <w:bookmarkEnd w:id="15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reasonable out-of-pocket expenses incurred by directors for their attendance at meetings of our board of directors or any committee thereof.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gridSpan w:val="2"/>
            <w:vMerge w:val="restart"/>
          </w:tcPr>
          <w:p>
            <w:pPr>
              <w:ind w:left="2940"/>
              <w:spacing w:after="0"/>
              <w:rPr>
                <w:sz w:val="20"/>
                <w:szCs w:val="20"/>
                <w:color w:val="auto"/>
              </w:rPr>
            </w:pPr>
            <w:r>
              <w:rPr>
                <w:rFonts w:ascii="Arial" w:cs="Arial" w:eastAsia="Arial" w:hAnsi="Arial"/>
                <w:sz w:val="13"/>
                <w:szCs w:val="13"/>
                <w:b w:val="1"/>
                <w:bCs w:val="1"/>
                <w:color w:val="auto"/>
              </w:rPr>
              <w:t>Name</w:t>
            </w:r>
          </w:p>
        </w:tc>
        <w:tc>
          <w:tcPr>
            <w:tcW w:w="16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Option Awards ($)</w:t>
            </w:r>
            <w:r>
              <w:rPr>
                <w:rFonts w:ascii="Arial" w:cs="Arial" w:eastAsia="Arial" w:hAnsi="Arial"/>
                <w:sz w:val="17"/>
                <w:szCs w:val="17"/>
                <w:b w:val="1"/>
                <w:bCs w:val="1"/>
                <w:color w:val="auto"/>
                <w:vertAlign w:val="superscript"/>
              </w:rPr>
              <w:t>(1)</w:t>
            </w:r>
          </w:p>
        </w:tc>
        <w:tc>
          <w:tcPr>
            <w:tcW w:w="1680" w:type="dxa"/>
            <w:vAlign w:val="bottom"/>
            <w:gridSpan w:val="3"/>
          </w:tcPr>
          <w:p>
            <w:pPr>
              <w:ind w:left="40"/>
              <w:spacing w:after="0"/>
              <w:rPr>
                <w:sz w:val="20"/>
                <w:szCs w:val="20"/>
                <w:color w:val="auto"/>
              </w:rPr>
            </w:pPr>
            <w:r>
              <w:rPr>
                <w:rFonts w:ascii="Arial" w:cs="Arial" w:eastAsia="Arial" w:hAnsi="Arial"/>
                <w:sz w:val="13"/>
                <w:szCs w:val="13"/>
                <w:b w:val="1"/>
                <w:bCs w:val="1"/>
                <w:color w:val="auto"/>
              </w:rPr>
              <w:t>All Other Compensation</w:t>
            </w:r>
          </w:p>
        </w:tc>
        <w:tc>
          <w:tcPr>
            <w:tcW w:w="158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62"/>
        </w:trPr>
        <w:tc>
          <w:tcPr>
            <w:tcW w:w="63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0" w:type="dxa"/>
            <w:vAlign w:val="bottom"/>
          </w:tcPr>
          <w:p>
            <w:pPr>
              <w:jc w:val="right"/>
              <w:ind w:right="242"/>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240" w:type="dxa"/>
            <w:vAlign w:val="bottom"/>
            <w:tcBorders>
              <w:top w:val="single" w:sz="8" w:color="auto"/>
            </w:tcBorders>
            <w:shd w:val="clear" w:color="auto" w:fill="CCEEFF"/>
          </w:tcPr>
          <w:p>
            <w:pPr>
              <w:ind w:left="20"/>
              <w:spacing w:after="0" w:line="204" w:lineRule="exact"/>
              <w:rPr>
                <w:sz w:val="20"/>
                <w:szCs w:val="20"/>
                <w:color w:val="auto"/>
              </w:rPr>
            </w:pPr>
            <w:r>
              <w:rPr>
                <w:rFonts w:ascii="Arial" w:cs="Arial" w:eastAsia="Arial" w:hAnsi="Arial"/>
                <w:sz w:val="17"/>
                <w:szCs w:val="17"/>
                <w:color w:val="auto"/>
              </w:rPr>
              <w:t>Ian Friedman</w:t>
            </w:r>
            <w:r>
              <w:rPr>
                <w:rFonts w:ascii="Arial" w:cs="Arial" w:eastAsia="Arial" w:hAnsi="Arial"/>
                <w:sz w:val="21"/>
                <w:szCs w:val="21"/>
                <w:color w:val="auto"/>
                <w:vertAlign w:val="superscript"/>
              </w:rPr>
              <w:t>(2)</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54,411</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54,411</w:t>
            </w:r>
          </w:p>
        </w:tc>
        <w:tc>
          <w:tcPr>
            <w:tcW w:w="0" w:type="dxa"/>
            <w:vAlign w:val="bottom"/>
          </w:tcPr>
          <w:p>
            <w:pPr>
              <w:spacing w:after="0"/>
              <w:rPr>
                <w:sz w:val="1"/>
                <w:szCs w:val="1"/>
                <w:color w:val="auto"/>
              </w:rPr>
            </w:pPr>
          </w:p>
        </w:tc>
      </w:tr>
      <w:tr>
        <w:trPr>
          <w:trHeight w:val="212"/>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Jack Lazar</w:t>
            </w:r>
          </w:p>
        </w:tc>
        <w:tc>
          <w:tcPr>
            <w:tcW w:w="1560" w:type="dxa"/>
            <w:vAlign w:val="bottom"/>
          </w:tcPr>
          <w:p>
            <w:pPr>
              <w:jc w:val="right"/>
              <w:spacing w:after="0"/>
              <w:rPr>
                <w:sz w:val="20"/>
                <w:szCs w:val="20"/>
                <w:color w:val="auto"/>
              </w:rPr>
            </w:pPr>
            <w:r>
              <w:rPr>
                <w:rFonts w:ascii="Arial" w:cs="Arial" w:eastAsia="Arial" w:hAnsi="Arial"/>
                <w:sz w:val="17"/>
                <w:szCs w:val="17"/>
                <w:color w:val="auto"/>
              </w:rPr>
              <w:t>32,147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14,361</w:t>
            </w:r>
          </w:p>
        </w:tc>
        <w:tc>
          <w:tcPr>
            <w:tcW w:w="4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46,508</w:t>
            </w:r>
          </w:p>
        </w:tc>
        <w:tc>
          <w:tcPr>
            <w:tcW w:w="0" w:type="dxa"/>
            <w:vAlign w:val="bottom"/>
          </w:tcPr>
          <w:p>
            <w:pPr>
              <w:spacing w:after="0"/>
              <w:rPr>
                <w:sz w:val="1"/>
                <w:szCs w:val="1"/>
                <w:color w:val="auto"/>
              </w:rPr>
            </w:pPr>
          </w:p>
        </w:tc>
      </w:tr>
      <w:tr>
        <w:trPr>
          <w:trHeight w:val="212"/>
        </w:trPr>
        <w:tc>
          <w:tcPr>
            <w:tcW w:w="63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Norman Matthews</w:t>
            </w:r>
            <w:r>
              <w:rPr>
                <w:rFonts w:ascii="Arial" w:cs="Arial" w:eastAsia="Arial" w:hAnsi="Arial"/>
                <w:sz w:val="21"/>
                <w:szCs w:val="21"/>
                <w:color w:val="auto"/>
                <w:vertAlign w:val="superscript"/>
              </w:rPr>
              <w:t>(4)</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78,641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78,641</w:t>
            </w:r>
          </w:p>
        </w:tc>
        <w:tc>
          <w:tcPr>
            <w:tcW w:w="0" w:type="dxa"/>
            <w:vAlign w:val="bottom"/>
          </w:tcPr>
          <w:p>
            <w:pPr>
              <w:spacing w:after="0"/>
              <w:rPr>
                <w:sz w:val="1"/>
                <w:szCs w:val="1"/>
                <w:color w:val="auto"/>
              </w:rPr>
            </w:pPr>
          </w:p>
        </w:tc>
      </w:tr>
      <w:tr>
        <w:trPr>
          <w:trHeight w:val="212"/>
        </w:trPr>
        <w:tc>
          <w:tcPr>
            <w:tcW w:w="634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Paula Sutter</w:t>
            </w:r>
            <w:r>
              <w:rPr>
                <w:rFonts w:ascii="Arial" w:cs="Arial" w:eastAsia="Arial" w:hAnsi="Arial"/>
                <w:sz w:val="21"/>
                <w:szCs w:val="21"/>
                <w:color w:val="auto"/>
                <w:vertAlign w:val="superscript"/>
              </w:rPr>
              <w:t>(5)</w:t>
            </w:r>
          </w:p>
        </w:tc>
        <w:tc>
          <w:tcPr>
            <w:tcW w:w="1560" w:type="dxa"/>
            <w:vAlign w:val="bottom"/>
          </w:tcPr>
          <w:p>
            <w:pPr>
              <w:jc w:val="right"/>
              <w:spacing w:after="0"/>
              <w:rPr>
                <w:sz w:val="20"/>
                <w:szCs w:val="20"/>
                <w:color w:val="auto"/>
              </w:rPr>
            </w:pPr>
            <w:r>
              <w:rPr>
                <w:rFonts w:ascii="Arial" w:cs="Arial" w:eastAsia="Arial" w:hAnsi="Arial"/>
                <w:sz w:val="17"/>
                <w:szCs w:val="17"/>
                <w:color w:val="auto"/>
              </w:rPr>
              <w:t>158,322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158,322</w:t>
            </w:r>
          </w:p>
        </w:tc>
        <w:tc>
          <w:tcPr>
            <w:tcW w:w="0" w:type="dxa"/>
            <w:vAlign w:val="bottom"/>
          </w:tcPr>
          <w:p>
            <w:pPr>
              <w:spacing w:after="0"/>
              <w:rPr>
                <w:sz w:val="1"/>
                <w:szCs w:val="1"/>
                <w:color w:val="auto"/>
              </w:rPr>
            </w:pPr>
          </w:p>
        </w:tc>
      </w:tr>
      <w:tr>
        <w:trPr>
          <w:trHeight w:val="212"/>
        </w:trPr>
        <w:tc>
          <w:tcPr>
            <w:tcW w:w="63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Greg Bettinelli, Mandy Ginsberg, Timothy Haley, Patricia Nakache, Dan Nova</w:t>
            </w:r>
            <w:r>
              <w:rPr>
                <w:rFonts w:ascii="Arial" w:cs="Arial" w:eastAsia="Arial" w:hAnsi="Arial"/>
                <w:sz w:val="21"/>
                <w:szCs w:val="21"/>
                <w:color w:val="auto"/>
                <w:vertAlign w:val="superscript"/>
              </w:rPr>
              <w:t>(6)</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240" w:type="dxa"/>
            <w:vAlign w:val="bottom"/>
          </w:tcPr>
          <w:p>
            <w:pPr>
              <w:spacing w:after="0"/>
              <w:rPr>
                <w:sz w:val="20"/>
                <w:szCs w:val="20"/>
                <w:color w:val="auto"/>
              </w:rPr>
            </w:pPr>
            <w:r>
              <w:rPr>
                <w:rFonts w:ascii="Arial" w:cs="Arial" w:eastAsia="Arial" w:hAnsi="Arial"/>
                <w:sz w:val="17"/>
                <w:szCs w:val="17"/>
                <w:color w:val="auto"/>
              </w:rPr>
              <w:t>_____________</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00" w:hanging="300"/>
        <w:spacing w:after="0" w:line="259" w:lineRule="auto"/>
        <w:tabs>
          <w:tab w:leader="none" w:pos="29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Amounts reflect the grant-date fair value of stock options granted in fiscal year 2020, plus the incremental accounting expense recognized for any stock options that were repriced in fiscal year 2020, each determined in accordance with ASC Topic 718. Such grant-date fair value does not take into account any estimated forfeitures related to service-vesting conditions. Information regarding assumptions underlying the valuation of equity awards are set forth in note 9 of our consolidated financial statements included elsewhere in this prospectus. These amounts do not correspond to the actual value that may be recognized by the executives upon vesting.</w:t>
      </w:r>
    </w:p>
    <w:p>
      <w:pPr>
        <w:spacing w:after="0" w:line="1" w:lineRule="exact"/>
        <w:rPr>
          <w:rFonts w:ascii="Arial" w:cs="Arial" w:eastAsia="Arial" w:hAnsi="Arial"/>
          <w:sz w:val="14"/>
          <w:szCs w:val="14"/>
          <w:color w:val="auto"/>
        </w:rPr>
      </w:pPr>
    </w:p>
    <w:p>
      <w:pPr>
        <w:ind w:left="300" w:hanging="300"/>
        <w:spacing w:after="0" w:line="242" w:lineRule="auto"/>
        <w:tabs>
          <w:tab w:leader="none" w:pos="29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 August 2020, Mr. Friedman was granted a stock option award to purchase 30,000 shares of our Class B common stock. 100% of the shares vest on August 26, 2021, subject to Mr. Friedman’s continued service to us through such vesting date.</w:t>
      </w:r>
    </w:p>
    <w:p>
      <w:pPr>
        <w:ind w:left="300" w:hanging="300"/>
        <w:spacing w:after="0" w:line="242" w:lineRule="auto"/>
        <w:tabs>
          <w:tab w:leader="none" w:pos="29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amount reported represents the company-paid portion of insurance premiums for company benefit plans for Mr. Lazar during fiscal year 2020. As of December 31, 2020, Mr. Lazar held a stock option to purchase 281,994 shares of our Class B common stock.</w:t>
      </w:r>
    </w:p>
    <w:p>
      <w:pPr>
        <w:jc w:val="both"/>
        <w:ind w:left="300" w:hanging="300"/>
        <w:spacing w:after="0" w:line="242" w:lineRule="auto"/>
        <w:tabs>
          <w:tab w:leader="none" w:pos="29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 August 2020, Mr. Matthews was granted a stock option award to purchase 30,000 shares of our Class B common stock. 100% of the shares vest on August 26, 2021, subject to Mr. Matthew’s continued service to us through such vesting date. As of December 31, 2020, Mr. Matthews held stock options to purchase 423,125 shares of our Class B common stock, of which 47,783 shares were transferred in January 2019 to the Family Trust Under The Norman S. Matthews 2017 Annuity Trust No. 1.</w:t>
      </w:r>
    </w:p>
    <w:p>
      <w:pPr>
        <w:spacing w:after="0" w:line="1" w:lineRule="exact"/>
        <w:rPr>
          <w:rFonts w:ascii="Arial" w:cs="Arial" w:eastAsia="Arial" w:hAnsi="Arial"/>
          <w:sz w:val="15"/>
          <w:szCs w:val="15"/>
          <w:color w:val="auto"/>
        </w:rPr>
      </w:pPr>
    </w:p>
    <w:p>
      <w:pPr>
        <w:jc w:val="both"/>
        <w:ind w:left="300" w:hanging="300"/>
        <w:spacing w:after="0" w:line="242" w:lineRule="auto"/>
        <w:tabs>
          <w:tab w:leader="none" w:pos="29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 August 2020, Ms. Sutter was granted a stock option award to purchase 75,000 shares of our Class B common stock. 45,000 shares vested on August 26, 2020, and the remaining 30,000 shares vest on August 26, 2021, subject to Ms. Sutter’s continued service to us through such vesting date. As of December 31, 2020, Ms. Sutter held options to purchase up to 337,084 shares of our Class B common stock.</w:t>
      </w:r>
    </w:p>
    <w:p>
      <w:pPr>
        <w:jc w:val="both"/>
        <w:ind w:left="300" w:hanging="300"/>
        <w:spacing w:after="0" w:line="249" w:lineRule="auto"/>
        <w:tabs>
          <w:tab w:leader="none" w:pos="29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Ms. Ginsberg joined our board of directors in December 2020 and pursuant to the board member agreement we entered into with Ms. Ginsberg on December 3. 2020, Ms. Ginsberg was eligible to receive a stock option award to purchase 30,000 shares of our Class B common stock, which was granted to Ms. Ginsberg in January 2021. As of December 31, 2020, Messrs. Bettinelli, Haley, Nova and Mmes. Ginsberg and Nakache did not hold any outstanding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240"/>
          </w:cols>
          <w:pgMar w:left="320" w:top="118" w:right="339" w:bottom="1440" w:gutter="0" w:footer="0" w:header="0"/>
        </w:sectPr>
      </w:pPr>
    </w:p>
    <w:bookmarkStart w:id="157" w:name="page158"/>
    <w:bookmarkEnd w:id="15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 Program</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Prior to this offering, we did not have a formal policy to compensate our non-employee directors and, unless otherwise noted above, did not pay any cash compensation to any of our non-employee directors. In connection with this offering, we have adopted a formal policy that will become effective immediately prior to the completion of this offering pursuant to which our non-employee directors will be eligible to receive the following cash retainers and equity awards: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Annual Retainer for Board Membership</w:t>
            </w: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7"/>
                <w:szCs w:val="17"/>
                <w:color w:val="auto"/>
              </w:rPr>
              <w:t>Annual service on the board of directors</w:t>
            </w:r>
          </w:p>
        </w:tc>
        <w:tc>
          <w:tcPr>
            <w:tcW w:w="234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Annual service for chair of the board of directors</w:t>
            </w:r>
          </w:p>
        </w:tc>
        <w:tc>
          <w:tcPr>
            <w:tcW w:w="234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Additional Annual Retainer for Committee Membership</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Annual service as member of the audit committee (other than chair)</w:t>
            </w:r>
          </w:p>
        </w:tc>
        <w:tc>
          <w:tcPr>
            <w:tcW w:w="234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7"/>
                <w:szCs w:val="17"/>
                <w:color w:val="auto"/>
              </w:rPr>
              <w:t>Annual service as chair of the audit committee</w:t>
            </w:r>
          </w:p>
        </w:tc>
        <w:tc>
          <w:tcPr>
            <w:tcW w:w="234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Annual service as member of the compensation committee (other than chair)</w:t>
            </w:r>
          </w:p>
        </w:tc>
        <w:tc>
          <w:tcPr>
            <w:tcW w:w="234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7"/>
                <w:szCs w:val="17"/>
                <w:color w:val="auto"/>
              </w:rPr>
              <w:t>Annual service as chair of the compensation committee</w:t>
            </w:r>
          </w:p>
        </w:tc>
        <w:tc>
          <w:tcPr>
            <w:tcW w:w="234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Annual service as member of the nominating and corporate governance committee</w:t>
            </w:r>
          </w:p>
        </w:tc>
        <w:tc>
          <w:tcPr>
            <w:tcW w:w="2340" w:type="dxa"/>
            <w:vAlign w:val="bottom"/>
            <w:vMerge w:val="restart"/>
            <w:shd w:val="clear" w:color="auto" w:fill="CCEEFF"/>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than chair)</w:t>
            </w:r>
          </w:p>
        </w:tc>
        <w:tc>
          <w:tcPr>
            <w:tcW w:w="23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20"/>
              <w:spacing w:after="0"/>
              <w:rPr>
                <w:sz w:val="20"/>
                <w:szCs w:val="20"/>
                <w:color w:val="auto"/>
              </w:rPr>
            </w:pPr>
            <w:r>
              <w:rPr>
                <w:rFonts w:ascii="Arial" w:cs="Arial" w:eastAsia="Arial" w:hAnsi="Arial"/>
                <w:sz w:val="17"/>
                <w:szCs w:val="17"/>
                <w:color w:val="auto"/>
              </w:rPr>
              <w:t>Annual service as chair of the nominating and corporate governance committee</w:t>
            </w:r>
          </w:p>
        </w:tc>
        <w:tc>
          <w:tcPr>
            <w:tcW w:w="234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non-employee directors may elect to receive their cash retainers in the form of fully-vested restricted stock unit awards.</w:t>
      </w:r>
    </w:p>
    <w:p>
      <w:pPr>
        <w:spacing w:after="0" w:line="153"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Our policy also provides that each non-employee director as of the effective time of this offering will be granted a one-time restricted stock unit award with a value of $150,000, or IPO Grant. In addition, our policy provides that, upon initial election to our board of directors, each non-employee director will be granted a one-time restricted stock unit award with a value of $300,000, or the Initial Grant. Furthermore, on the date of each of our annual meeting of stockholders following the completion of this offering, each non-employee director who will continue as a non-employee director following such meeting will be granted an annual a restricted stock unit award with a value of $150,000, or the Annual Grant. The IPO Grant and Annual Grant will vest in full on the earlier of (i) the first anniversary of the grant date or (ii) our next annual meeting of stockholders, subject to continued service as a director through the applicable vesting date. The Initial Grant will vest in equal annual installments over three years from the date of grant, subject to continued service as a director through the applicable vesting date. Such awards are subject to full acceleration of vesting upon the sale of the company.</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Employee directors will receive no additional compensation for their service as a director.</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We will reimburse all reasonable out-of-pocket expenses incurred by directors for their attendance at meetings of our board of directors or any committee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each individual who served as our principal executive officer during our fiscal year ending December 31, 2020, or fiscal year 2020, and our next two most highly compensated executive officers in respect of their service to our company for fiscal year 2020. We refer to these individuals as our named executive officers. Our named executive officers for fiscal year 2020 are:</w:t>
      </w:r>
    </w:p>
    <w:p>
      <w:pPr>
        <w:spacing w:after="0" w:line="119" w:lineRule="exact"/>
        <w:rPr>
          <w:sz w:val="20"/>
          <w:szCs w:val="20"/>
          <w:color w:val="auto"/>
        </w:rPr>
      </w:pPr>
    </w:p>
    <w:p>
      <w:pPr>
        <w:ind w:left="600" w:hanging="302"/>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James Reinhart, our Chief Executive Officer, Director and Co-Founder;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Anthony Marino, our President;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Sean Sobers, our Chief Financial Officer.</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Our executive compensation program is based on a pay for performance philosophy. Compensation for our executive officers is composed primarily of the following main components: base salary, bonus and equity incentives in the form of stock option awards. Our executive officers, like all full-time employees, are eligible to participate in our health and welfare benefit plans. As we transition from a private company to a publicly traded company, we intend to evaluate our compensation philosophy and compensation plans and arrangements as circumstances require.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Summary Compensation Table</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following table provides information regarding the total compensation for services rendered in all capacities that was earned by our named executive officers during fiscal year 2020 and, if applicable, fiscal year ending December 31, 2019, or fiscal year 2019.</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Salary</w:t>
            </w:r>
          </w:p>
        </w:tc>
        <w:tc>
          <w:tcPr>
            <w:tcW w:w="12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Option Awards</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Non-Equity Incentive</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All Other</w:t>
            </w:r>
          </w:p>
        </w:tc>
        <w:tc>
          <w:tcPr>
            <w:tcW w:w="1220" w:type="dxa"/>
            <w:vAlign w:val="bottom"/>
            <w:vMerge w:val="restart"/>
          </w:tcPr>
          <w:p>
            <w:pPr>
              <w:jc w:val="right"/>
              <w:ind w:right="36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4"/>
        </w:trPr>
        <w:tc>
          <w:tcPr>
            <w:tcW w:w="3380" w:type="dxa"/>
            <w:vAlign w:val="bottom"/>
            <w:vMerge w:val="restart"/>
          </w:tcPr>
          <w:p>
            <w:pPr>
              <w:ind w:left="800"/>
              <w:spacing w:after="0"/>
              <w:rPr>
                <w:sz w:val="20"/>
                <w:szCs w:val="20"/>
                <w:color w:val="auto"/>
              </w:rPr>
            </w:pPr>
            <w:r>
              <w:rPr>
                <w:rFonts w:ascii="Arial" w:cs="Arial" w:eastAsia="Arial" w:hAnsi="Arial"/>
                <w:sz w:val="13"/>
                <w:szCs w:val="13"/>
                <w:b w:val="1"/>
                <w:bCs w:val="1"/>
                <w:color w:val="auto"/>
              </w:rPr>
              <w:t>Name and Principal Position</w:t>
            </w:r>
          </w:p>
        </w:tc>
        <w:tc>
          <w:tcPr>
            <w:tcW w:w="8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80" w:type="dxa"/>
            <w:vAlign w:val="bottom"/>
            <w:vMerge w:val="restart"/>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580" w:type="dxa"/>
            <w:vAlign w:val="bottom"/>
            <w:gridSpan w:val="2"/>
          </w:tcPr>
          <w:p>
            <w:pPr>
              <w:jc w:val="center"/>
              <w:ind w:right="60"/>
              <w:spacing w:after="0" w:line="124" w:lineRule="exact"/>
              <w:rPr>
                <w:sz w:val="20"/>
                <w:szCs w:val="20"/>
                <w:color w:val="auto"/>
              </w:rPr>
            </w:pPr>
            <w:r>
              <w:rPr>
                <w:rFonts w:ascii="Arial" w:cs="Arial" w:eastAsia="Arial" w:hAnsi="Arial"/>
                <w:sz w:val="13"/>
                <w:szCs w:val="13"/>
                <w:b w:val="1"/>
                <w:bCs w:val="1"/>
                <w:color w:val="auto"/>
              </w:rPr>
              <w:t>Plan Compensation</w:t>
            </w:r>
          </w:p>
        </w:tc>
        <w:tc>
          <w:tcPr>
            <w:tcW w:w="1580" w:type="dxa"/>
            <w:vAlign w:val="bottom"/>
            <w:gridSpan w:val="2"/>
          </w:tcPr>
          <w:p>
            <w:pPr>
              <w:jc w:val="center"/>
              <w:ind w:right="60"/>
              <w:spacing w:after="0" w:line="124" w:lineRule="exact"/>
              <w:rPr>
                <w:sz w:val="20"/>
                <w:szCs w:val="20"/>
                <w:color w:val="auto"/>
              </w:rPr>
            </w:pPr>
            <w:r>
              <w:rPr>
                <w:rFonts w:ascii="Arial" w:cs="Arial" w:eastAsia="Arial" w:hAnsi="Arial"/>
                <w:sz w:val="13"/>
                <w:szCs w:val="13"/>
                <w:b w:val="1"/>
                <w:bCs w:val="1"/>
                <w:color w:val="auto"/>
              </w:rPr>
              <w:t>Compensation</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88"/>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3"/>
                <w:szCs w:val="13"/>
                <w:b w:val="1"/>
                <w:bCs w:val="1"/>
                <w:color w:val="auto"/>
                <w:w w:val="87"/>
              </w:rPr>
              <w:t>($)</w:t>
            </w:r>
            <w:r>
              <w:rPr>
                <w:rFonts w:ascii="Arial" w:cs="Arial" w:eastAsia="Arial" w:hAnsi="Arial"/>
                <w:sz w:val="17"/>
                <w:szCs w:val="17"/>
                <w:b w:val="1"/>
                <w:bCs w:val="1"/>
                <w:color w:val="auto"/>
                <w:w w:val="87"/>
                <w:vertAlign w:val="superscript"/>
              </w:rPr>
              <w:t>(2)</w:t>
            </w: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James Reinhart</w:t>
            </w:r>
          </w:p>
        </w:tc>
        <w:tc>
          <w:tcPr>
            <w:tcW w:w="820" w:type="dxa"/>
            <w:vAlign w:val="bottom"/>
            <w:gridSpan w:val="2"/>
            <w:vMerge w:val="restart"/>
            <w:shd w:val="clear" w:color="auto" w:fill="CCEEFF"/>
          </w:tcPr>
          <w:p>
            <w:pPr>
              <w:jc w:val="center"/>
              <w:ind w:left="5"/>
              <w:spacing w:after="0"/>
              <w:rPr>
                <w:sz w:val="20"/>
                <w:szCs w:val="20"/>
                <w:color w:val="auto"/>
              </w:rPr>
            </w:pPr>
            <w:r>
              <w:rPr>
                <w:rFonts w:ascii="Arial" w:cs="Arial" w:eastAsia="Arial" w:hAnsi="Arial"/>
                <w:sz w:val="15"/>
                <w:szCs w:val="15"/>
                <w:color w:val="auto"/>
              </w:rPr>
              <w:t>2020</w:t>
            </w:r>
          </w:p>
        </w:tc>
        <w:tc>
          <w:tcPr>
            <w:tcW w:w="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283,073</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2,034,224</w:t>
            </w:r>
          </w:p>
        </w:tc>
        <w:tc>
          <w:tcPr>
            <w:tcW w:w="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266,003</w:t>
            </w:r>
          </w:p>
        </w:tc>
        <w:tc>
          <w:tcPr>
            <w:tcW w:w="80" w:type="dxa"/>
            <w:vAlign w:val="bottom"/>
            <w:shd w:val="clear" w:color="auto" w:fill="CCEEFF"/>
          </w:tcPr>
          <w:p>
            <w:pPr>
              <w:spacing w:after="0"/>
              <w:rPr>
                <w:sz w:val="12"/>
                <w:szCs w:val="12"/>
                <w:color w:val="auto"/>
              </w:rPr>
            </w:pPr>
          </w:p>
        </w:tc>
        <w:tc>
          <w:tcPr>
            <w:tcW w:w="1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2,583,300</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i w:val="1"/>
                <w:iCs w:val="1"/>
                <w:color w:val="auto"/>
              </w:rPr>
              <w:t>Chief Executive Officer</w:t>
            </w: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left="5"/>
              <w:spacing w:after="0"/>
              <w:rPr>
                <w:sz w:val="20"/>
                <w:szCs w:val="20"/>
                <w:color w:val="auto"/>
              </w:rPr>
            </w:pPr>
            <w:r>
              <w:rPr>
                <w:rFonts w:ascii="Arial" w:cs="Arial" w:eastAsia="Arial" w:hAnsi="Arial"/>
                <w:sz w:val="15"/>
                <w:szCs w:val="15"/>
                <w:color w:val="auto"/>
              </w:rPr>
              <w:t>2019</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330,000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1,944,198</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317,500</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1,150,913</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3,742,611</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line="149" w:lineRule="exact"/>
              <w:rPr>
                <w:sz w:val="20"/>
                <w:szCs w:val="20"/>
                <w:color w:val="auto"/>
              </w:rPr>
            </w:pPr>
            <w:r>
              <w:rPr>
                <w:rFonts w:ascii="Arial" w:cs="Arial" w:eastAsia="Arial" w:hAnsi="Arial"/>
                <w:sz w:val="15"/>
                <w:szCs w:val="15"/>
                <w:color w:val="auto"/>
              </w:rPr>
              <w:t>Anthony Marino</w:t>
            </w:r>
          </w:p>
        </w:tc>
        <w:tc>
          <w:tcPr>
            <w:tcW w:w="820" w:type="dxa"/>
            <w:vAlign w:val="bottom"/>
            <w:gridSpan w:val="2"/>
            <w:vMerge w:val="restart"/>
          </w:tcPr>
          <w:p>
            <w:pPr>
              <w:jc w:val="center"/>
              <w:ind w:left="5"/>
              <w:spacing w:after="0"/>
              <w:rPr>
                <w:sz w:val="20"/>
                <w:szCs w:val="20"/>
                <w:color w:val="auto"/>
              </w:rPr>
            </w:pPr>
            <w:r>
              <w:rPr>
                <w:rFonts w:ascii="Arial" w:cs="Arial" w:eastAsia="Arial" w:hAnsi="Arial"/>
                <w:sz w:val="15"/>
                <w:szCs w:val="15"/>
                <w:color w:val="auto"/>
              </w:rPr>
              <w:t>2020</w:t>
            </w: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283,073</w:t>
            </w: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964,581</w:t>
            </w:r>
          </w:p>
        </w:tc>
        <w:tc>
          <w:tcPr>
            <w:tcW w:w="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color w:val="auto"/>
              </w:rPr>
              <w:t>172,901</w:t>
            </w:r>
          </w:p>
        </w:tc>
        <w:tc>
          <w:tcPr>
            <w:tcW w:w="80" w:type="dxa"/>
            <w:vAlign w:val="bottom"/>
          </w:tcPr>
          <w:p>
            <w:pPr>
              <w:spacing w:after="0"/>
              <w:rPr>
                <w:sz w:val="12"/>
                <w:szCs w:val="12"/>
                <w:color w:val="auto"/>
              </w:rPr>
            </w:pPr>
          </w:p>
        </w:tc>
        <w:tc>
          <w:tcPr>
            <w:tcW w:w="15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1,420,555</w:t>
            </w:r>
          </w:p>
        </w:tc>
        <w:tc>
          <w:tcPr>
            <w:tcW w:w="0" w:type="dxa"/>
            <w:vAlign w:val="bottom"/>
          </w:tcPr>
          <w:p>
            <w:pPr>
              <w:spacing w:after="0"/>
              <w:rPr>
                <w:sz w:val="1"/>
                <w:szCs w:val="1"/>
                <w:color w:val="auto"/>
              </w:rPr>
            </w:pPr>
          </w:p>
        </w:tc>
      </w:tr>
      <w:tr>
        <w:trPr>
          <w:trHeight w:val="195"/>
        </w:trPr>
        <w:tc>
          <w:tcPr>
            <w:tcW w:w="3380" w:type="dxa"/>
            <w:vAlign w:val="bottom"/>
          </w:tcPr>
          <w:p>
            <w:pPr>
              <w:ind w:left="160"/>
              <w:spacing w:after="0"/>
              <w:rPr>
                <w:sz w:val="20"/>
                <w:szCs w:val="20"/>
                <w:color w:val="auto"/>
              </w:rPr>
            </w:pPr>
            <w:r>
              <w:rPr>
                <w:rFonts w:ascii="Arial" w:cs="Arial" w:eastAsia="Arial" w:hAnsi="Arial"/>
                <w:sz w:val="15"/>
                <w:szCs w:val="15"/>
                <w:i w:val="1"/>
                <w:iCs w:val="1"/>
                <w:color w:val="auto"/>
              </w:rPr>
              <w:t>President</w:t>
            </w: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80" w:type="dxa"/>
            <w:vAlign w:val="bottom"/>
          </w:tcPr>
          <w:p>
            <w:pPr>
              <w:spacing w:after="0"/>
              <w:rPr>
                <w:sz w:val="17"/>
                <w:szCs w:val="17"/>
                <w:color w:val="auto"/>
              </w:rPr>
            </w:pPr>
          </w:p>
        </w:tc>
        <w:tc>
          <w:tcPr>
            <w:tcW w:w="820" w:type="dxa"/>
            <w:vAlign w:val="bottom"/>
            <w:gridSpan w:val="2"/>
          </w:tcPr>
          <w:p>
            <w:pPr>
              <w:jc w:val="center"/>
              <w:ind w:left="5"/>
              <w:spacing w:after="0"/>
              <w:rPr>
                <w:sz w:val="20"/>
                <w:szCs w:val="20"/>
                <w:color w:val="auto"/>
              </w:rPr>
            </w:pPr>
            <w:r>
              <w:rPr>
                <w:rFonts w:ascii="Arial" w:cs="Arial" w:eastAsia="Arial" w:hAnsi="Arial"/>
                <w:sz w:val="15"/>
                <w:szCs w:val="15"/>
                <w:color w:val="auto"/>
              </w:rPr>
              <w:t>2019</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330,000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1,296,132</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165,000</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552,585</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2,343,717</w:t>
            </w:r>
          </w:p>
        </w:tc>
        <w:tc>
          <w:tcPr>
            <w:tcW w:w="0" w:type="dxa"/>
            <w:vAlign w:val="bottom"/>
          </w:tcPr>
          <w:p>
            <w:pPr>
              <w:spacing w:after="0"/>
              <w:rPr>
                <w:sz w:val="1"/>
                <w:szCs w:val="1"/>
                <w:color w:val="auto"/>
              </w:rPr>
            </w:pPr>
          </w:p>
        </w:tc>
      </w:tr>
      <w:tr>
        <w:trPr>
          <w:trHeight w:val="150"/>
        </w:trPr>
        <w:tc>
          <w:tcPr>
            <w:tcW w:w="338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Sean Sobers</w:t>
            </w:r>
          </w:p>
        </w:tc>
        <w:tc>
          <w:tcPr>
            <w:tcW w:w="820" w:type="dxa"/>
            <w:vAlign w:val="bottom"/>
            <w:gridSpan w:val="2"/>
            <w:vMerge w:val="restart"/>
            <w:shd w:val="clear" w:color="auto" w:fill="CCEEFF"/>
          </w:tcPr>
          <w:p>
            <w:pPr>
              <w:jc w:val="center"/>
              <w:ind w:left="5"/>
              <w:spacing w:after="0"/>
              <w:rPr>
                <w:sz w:val="20"/>
                <w:szCs w:val="20"/>
                <w:color w:val="auto"/>
              </w:rPr>
            </w:pPr>
            <w:r>
              <w:rPr>
                <w:rFonts w:ascii="Arial" w:cs="Arial" w:eastAsia="Arial" w:hAnsi="Arial"/>
                <w:sz w:val="15"/>
                <w:szCs w:val="15"/>
                <w:color w:val="auto"/>
              </w:rPr>
              <w:t>2020</w:t>
            </w:r>
          </w:p>
        </w:tc>
        <w:tc>
          <w:tcPr>
            <w:tcW w:w="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257,318</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987,815</w:t>
            </w:r>
          </w:p>
        </w:tc>
        <w:tc>
          <w:tcPr>
            <w:tcW w:w="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120,906</w:t>
            </w:r>
          </w:p>
        </w:tc>
        <w:tc>
          <w:tcPr>
            <w:tcW w:w="8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1,366,039</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i w:val="1"/>
                <w:iCs w:val="1"/>
                <w:color w:val="auto"/>
              </w:rPr>
              <w:t>Chief Financial Officer</w:t>
            </w: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________________</w:t>
      </w:r>
    </w:p>
    <w:p>
      <w:pPr>
        <w:spacing w:after="0" w:line="3" w:lineRule="exact"/>
        <w:rPr>
          <w:sz w:val="20"/>
          <w:szCs w:val="20"/>
          <w:color w:val="auto"/>
        </w:rPr>
      </w:pPr>
    </w:p>
    <w:p>
      <w:pPr>
        <w:jc w:val="both"/>
        <w:ind w:left="300" w:hanging="300"/>
        <w:spacing w:after="0" w:line="245" w:lineRule="auto"/>
        <w:tabs>
          <w:tab w:leader="none" w:pos="296"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amounts reported represent the aggregate grant date fair value of the stock option awards granted to our named executive officers during fiscal year 2020 and fiscal year 2019, plus the incremental accounting expense recognized for options held by each of the named executive officers that were repriced in fiscal year 2020, each calculated in accordance with Financial Accounting Standards Board, Accounting Standards Codification, Topic 718. Such grant date fair values do not take into account any estimated forfeitures. The assumptions used in calculating the grant date fair value of the stock options reported in this column are set forth in note 9 of our consolidated financial statements included elsewhere in this prospectus. The amounts reported in this column reflect the accounting cost for these stock options and do not correspond to the actual economic value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240"/>
          </w:cols>
          <w:pgMar w:left="320" w:top="118" w:right="339" w:bottom="1440" w:gutter="0" w:footer="0" w:header="0"/>
        </w:sectPr>
      </w:pPr>
    </w:p>
    <w:bookmarkStart w:id="159" w:name="page160"/>
    <w:bookmarkEnd w:id="15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be received by our named executive officers upon the exercise of the stock options or any sale of the underlying shares of Class B common stock.</w:t>
      </w:r>
    </w:p>
    <w:p>
      <w:pPr>
        <w:spacing w:after="0" w:line="20" w:lineRule="exact"/>
        <w:rPr>
          <w:sz w:val="20"/>
          <w:szCs w:val="20"/>
          <w:color w:val="auto"/>
        </w:rPr>
      </w:pPr>
    </w:p>
    <w:p>
      <w:pPr>
        <w:ind w:left="300" w:hanging="300"/>
        <w:spacing w:after="0" w:line="257" w:lineRule="auto"/>
        <w:tabs>
          <w:tab w:leader="none" w:pos="29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amounts reported represent bonuses that each of our named executive officers earned during fiscal year 2020, as described more fully in the section titled “Narratives to 2020 Summary Compensation Table” below.</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Narratives to 2020 Summary Compensation Table</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Base Salaries</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which are adjusted from time to time to realign salaries with market levels after taking into account individual responsibilities, performance and experience. For fiscal year 2020, the annual base salary for Messrs. Reinhart and Marino was $330,000 and for Mr. Sobers, $ 300,000, each of which was reduced by 20% by us in April 2020 to $264,000 for Messrs. Reinhart and Marino and $240,000 for Mr. Sobers in connection with our cost saving measures to address challenges presented by the COVID-19 pandemic. For fiscal year ending December 31, 2021, or fiscal year 2021, the annual base salary for Messrs. Reinhart and Marino is $330,000 and for Mr. Sobers, $300,000.</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Bonuses</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During fiscal year 2020, Messrs. Reinhart, Marino and Sobers earned bonuses on a quarterly basis in the aggregate amounts as set forth in our “2020 Summary Compensation Table” above based on achievement of company performance goals. For fiscal year 2021, Messrs. Reinhart, Marino and Sobers will be eligible to receive bonuses in an amount equal to 100%, 65% and 50%, respectively, of their base salary, based on achievement of company performance targets, which include achievement of certain net revenue, adjusted EBITDA and gross margin goals.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may grant equity incentive awards to them from time to time. During fiscal year 2020, we granted stock option awards to purchase shares of our Class B common stock to Messrs. Reinhart, Marino and Sobers, as described in more detail in the “Outstanding Equity Awards at Fiscal 2020 Year End” table. Additionally, and as discussed in more detail in the section entitled “Certain Relationships and Related Party Transactions—Other Transactions,” certain stock option awards, including stock option awards held by our named executive officers, were repriced during fiscal year 2020.</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Perquisites</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generally do not provide perquisites to our executives, other than company-paid executive life insurance and executive long-term disability insurance premiums, reimbursement for relocation expenses and certain other de minimis perquisites to our executive officers, including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240"/>
          </w:cols>
          <w:pgMar w:left="320" w:top="118" w:right="339" w:bottom="1440" w:gutter="0" w:footer="0" w:header="0"/>
        </w:sectPr>
      </w:pPr>
    </w:p>
    <w:bookmarkStart w:id="160" w:name="page161"/>
    <w:bookmarkEnd w:id="16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Employment Arrangements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Offer Letters in Place During the Fiscal Year 2020 for Named Executive Officers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James Reinhart</w:t>
      </w:r>
    </w:p>
    <w:p>
      <w:pPr>
        <w:spacing w:after="0" w:line="151" w:lineRule="exact"/>
        <w:rPr>
          <w:sz w:val="20"/>
          <w:szCs w:val="20"/>
          <w:color w:val="auto"/>
        </w:rPr>
      </w:pPr>
    </w:p>
    <w:p>
      <w:pPr>
        <w:jc w:val="both"/>
        <w:ind w:firstLine="299"/>
        <w:spacing w:after="0" w:line="309" w:lineRule="auto"/>
        <w:rPr>
          <w:sz w:val="20"/>
          <w:szCs w:val="20"/>
          <w:color w:val="auto"/>
        </w:rPr>
      </w:pPr>
      <w:r>
        <w:rPr>
          <w:rFonts w:ascii="Arial" w:cs="Arial" w:eastAsia="Arial" w:hAnsi="Arial"/>
          <w:sz w:val="16"/>
          <w:szCs w:val="16"/>
          <w:color w:val="auto"/>
        </w:rPr>
        <w:t>We did not have an offer letter agreement in place with Mr. Reinhart during fiscal year 2020. Mr. Reinhart’s employment is at-will and he is subject to our standard employment, confidential information, return of property, non-competition, non-solicitation, invention assignment and arbitration agreements.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Anthony Marino</w:t>
      </w:r>
    </w:p>
    <w:p>
      <w:pPr>
        <w:spacing w:after="0" w:line="15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August 2013, we entered into an offer letter agreement with Mr. Marino, which set forth his initial annual base salary, a signing bonus in the amount of $25,000, the term of his employment, certain relocation and expense reimbursements, his eligibility to receive stock option awards, and his eligibility to participate in our benefit plans generally. Mr. Marino’s employment is at-will and he is subject to our standard employment, confidential information, return of property, non-competition, non-solicitation, invention assignment and arbitration agreements.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Sean Sobers</w:t>
      </w:r>
    </w:p>
    <w:p>
      <w:pPr>
        <w:spacing w:after="0" w:line="15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entered into an offer letter agreement with Mr. Sobers, dated September 30, 2019, for the position of Chief Financial Officer. The offer letter provided for Mr. Sobers’ employment and set forth his annual base salary, his executive bonus incentive, the term of his employment, his eligibility to receive stock options, and his eligibility to participate in our benefit plans generally. Mr. Sobers is subject to our standard employment, confidential information, return of property, non-competition, non-solicitation, invention assignment and arbitration agreements.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Executive Severance Plan</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In November 2020, our board of directors adopted an executive severance plan, in which our named executive officers, and certain other executives, participate. Our executive severance plan, or the Executive Severance Plan, provides that upon a (i) termination by us for any reason other than for “cause,” as defined in the Executive Severance Plan or (ii) for Mr. Reinhart only, a resignation for “good reason,” as defined in the Executive Severance Plan, in each case outside of the change in control period (i.e., the period beginning three months prior to and ending 12 months after, a “change in control,” as defined in the Executive Severance Plan), an eligible participant will be entitled to receive, subject to the execution and delivery of an effective release of claims in favor of the Company, (i) cash payments over six monthly installments for each eligible participant, or for Mr. Reinhart, 12 monthly installments, equal to 50% of an eligible participant’s “base salary” (as defined in the Executive Severance Plan), or for Mr. Reinhart, 100% of his base salary, and (ii) a monthly cash payment equal to our contribution towards health insurance premiums for up to six months for each eligible participant, or for Mr. Reinhart, 12 months.</w:t>
      </w:r>
    </w:p>
    <w:p>
      <w:pPr>
        <w:spacing w:after="0" w:line="12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Executive Severance Plan also provides that upon a (i) termination by us other than for cause or (ii) a resignation for good reason, in each case within the change in control period, an eligible participant will be entitled to receive, in lieu of the payments and benefits above and subject to the execution and delivery of an effective release of claims in favor of the Company, (i) a lump sum cash payment equal 100% of an eligible participant’s base salary, or for Mr. Reinhart, 150% of his base salary, (ii) a lump sum cash payment equal to 100% of the eligible participant’s annual target bonus, (iii) a monthly cash payment equal to our contribution towards health insurance premiums for up to 12 months for each eligible participant, or for Mr. Reinhart, 18 months, and (iv) accelerated vesting of 100% of the time-based outstanding and unvested equity award held by the eligible participant; provided, that any performance -based unvested and outstanding equity awards shall be subject to the performance conditions as specified in the applicable award agreements or upon actual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240"/>
          </w:cols>
          <w:pgMar w:left="320" w:top="118" w:right="339" w:bottom="1440" w:gutter="0" w:footer="0" w:header="0"/>
        </w:sectPr>
      </w:pPr>
    </w:p>
    <w:bookmarkStart w:id="161" w:name="page162"/>
    <w:bookmarkEnd w:id="16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2020 Year-End</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fiscal year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ind w:left="324"/>
              <w:spacing w:after="0" w:line="129" w:lineRule="exact"/>
              <w:rPr>
                <w:sz w:val="20"/>
                <w:szCs w:val="20"/>
                <w:color w:val="auto"/>
              </w:rPr>
            </w:pPr>
            <w:r>
              <w:rPr>
                <w:rFonts w:ascii="Arial" w:cs="Arial" w:eastAsia="Arial" w:hAnsi="Arial"/>
                <w:sz w:val="13"/>
                <w:szCs w:val="13"/>
                <w:b w:val="1"/>
                <w:bCs w:val="1"/>
                <w:color w:val="auto"/>
              </w:rPr>
              <w:t>Number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283"/>
              <w:spacing w:after="0" w:line="129" w:lineRule="exact"/>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left="304"/>
              <w:spacing w:after="0" w:line="124" w:lineRule="exact"/>
              <w:rPr>
                <w:sz w:val="20"/>
                <w:szCs w:val="20"/>
                <w:color w:val="auto"/>
              </w:rPr>
            </w:pPr>
            <w:r>
              <w:rPr>
                <w:rFonts w:ascii="Arial" w:cs="Arial" w:eastAsia="Arial" w:hAnsi="Arial"/>
                <w:sz w:val="13"/>
                <w:szCs w:val="13"/>
                <w:b w:val="1"/>
                <w:bCs w:val="1"/>
                <w:color w:val="auto"/>
              </w:rPr>
              <w:t>Securities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23"/>
              <w:spacing w:after="0" w:line="124" w:lineRule="exact"/>
              <w:rPr>
                <w:sz w:val="20"/>
                <w:szCs w:val="20"/>
                <w:color w:val="auto"/>
              </w:rPr>
            </w:pPr>
            <w:r>
              <w:rPr>
                <w:rFonts w:ascii="Arial" w:cs="Arial" w:eastAsia="Arial" w:hAnsi="Arial"/>
                <w:sz w:val="13"/>
                <w:szCs w:val="13"/>
                <w:b w:val="1"/>
                <w:bCs w:val="1"/>
                <w:color w:val="auto"/>
              </w:rPr>
              <w:t>Securities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left="304"/>
              <w:spacing w:after="0" w:line="124" w:lineRule="exact"/>
              <w:rPr>
                <w:sz w:val="20"/>
                <w:szCs w:val="20"/>
                <w:color w:val="auto"/>
              </w:rPr>
            </w:pPr>
            <w:r>
              <w:rPr>
                <w:rFonts w:ascii="Arial" w:cs="Arial" w:eastAsia="Arial" w:hAnsi="Arial"/>
                <w:sz w:val="13"/>
                <w:szCs w:val="13"/>
                <w:b w:val="1"/>
                <w:bCs w:val="1"/>
                <w:color w:val="auto"/>
              </w:rPr>
              <w:t>Underlying</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43"/>
              <w:spacing w:after="0" w:line="124" w:lineRule="exact"/>
              <w:rPr>
                <w:sz w:val="20"/>
                <w:szCs w:val="20"/>
                <w:color w:val="auto"/>
              </w:rPr>
            </w:pPr>
            <w:r>
              <w:rPr>
                <w:rFonts w:ascii="Arial" w:cs="Arial" w:eastAsia="Arial" w:hAnsi="Arial"/>
                <w:sz w:val="13"/>
                <w:szCs w:val="13"/>
                <w:b w:val="1"/>
                <w:bCs w:val="1"/>
                <w:color w:val="auto"/>
              </w:rPr>
              <w:t>Underlying</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left="304"/>
              <w:spacing w:after="0" w:line="124" w:lineRule="exact"/>
              <w:rPr>
                <w:sz w:val="20"/>
                <w:szCs w:val="20"/>
                <w:color w:val="auto"/>
              </w:rPr>
            </w:pPr>
            <w:r>
              <w:rPr>
                <w:rFonts w:ascii="Arial" w:cs="Arial" w:eastAsia="Arial" w:hAnsi="Arial"/>
                <w:sz w:val="13"/>
                <w:szCs w:val="13"/>
                <w:b w:val="1"/>
                <w:bCs w:val="1"/>
                <w:color w:val="auto"/>
              </w:rPr>
              <w:t>Unexercised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23"/>
              <w:spacing w:after="0" w:line="124" w:lineRule="exact"/>
              <w:rPr>
                <w:sz w:val="20"/>
                <w:szCs w:val="20"/>
                <w:color w:val="auto"/>
              </w:rPr>
            </w:pPr>
            <w:r>
              <w:rPr>
                <w:rFonts w:ascii="Arial" w:cs="Arial" w:eastAsia="Arial" w:hAnsi="Arial"/>
                <w:sz w:val="13"/>
                <w:szCs w:val="13"/>
                <w:b w:val="1"/>
                <w:bCs w:val="1"/>
                <w:color w:val="auto"/>
              </w:rPr>
              <w:t>Unexercised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vMerge w:val="restart"/>
          </w:tcPr>
          <w:p>
            <w:pPr>
              <w:jc w:val="right"/>
              <w:ind w:right="46"/>
              <w:spacing w:after="0"/>
              <w:rPr>
                <w:sz w:val="20"/>
                <w:szCs w:val="20"/>
                <w:color w:val="auto"/>
              </w:rPr>
            </w:pPr>
            <w:r>
              <w:rPr>
                <w:rFonts w:ascii="Arial" w:cs="Arial" w:eastAsia="Arial" w:hAnsi="Arial"/>
                <w:sz w:val="13"/>
                <w:szCs w:val="13"/>
                <w:b w:val="1"/>
                <w:bCs w:val="1"/>
                <w:color w:val="auto"/>
              </w:rPr>
              <w:t>Vesting Commencement</w:t>
            </w:r>
          </w:p>
        </w:tc>
        <w:tc>
          <w:tcPr>
            <w:tcW w:w="80" w:type="dxa"/>
            <w:vAlign w:val="bottom"/>
          </w:tcPr>
          <w:p>
            <w:pPr>
              <w:spacing w:after="0"/>
              <w:rPr>
                <w:sz w:val="10"/>
                <w:szCs w:val="10"/>
                <w:color w:val="auto"/>
              </w:rPr>
            </w:pPr>
          </w:p>
        </w:tc>
        <w:tc>
          <w:tcPr>
            <w:tcW w:w="1220" w:type="dxa"/>
            <w:vAlign w:val="bottom"/>
          </w:tcPr>
          <w:p>
            <w:pPr>
              <w:jc w:val="center"/>
              <w:ind w:left="284"/>
              <w:spacing w:after="0" w:line="124" w:lineRule="exact"/>
              <w:rPr>
                <w:sz w:val="20"/>
                <w:szCs w:val="20"/>
                <w:color w:val="auto"/>
              </w:rPr>
            </w:pPr>
            <w:r>
              <w:rPr>
                <w:rFonts w:ascii="Arial" w:cs="Arial" w:eastAsia="Arial" w:hAnsi="Arial"/>
                <w:sz w:val="13"/>
                <w:szCs w:val="13"/>
                <w:b w:val="1"/>
                <w:bCs w:val="1"/>
                <w:color w:val="auto"/>
              </w:rPr>
              <w:t>Options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43"/>
              <w:spacing w:after="0" w:line="124" w:lineRule="exact"/>
              <w:rPr>
                <w:sz w:val="20"/>
                <w:szCs w:val="20"/>
                <w:color w:val="auto"/>
              </w:rPr>
            </w:pPr>
            <w:r>
              <w:rPr>
                <w:rFonts w:ascii="Arial" w:cs="Arial" w:eastAsia="Arial" w:hAnsi="Arial"/>
                <w:sz w:val="13"/>
                <w:szCs w:val="13"/>
                <w:b w:val="1"/>
                <w:bCs w:val="1"/>
                <w:color w:val="auto"/>
              </w:rPr>
              <w:t>Options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rPr>
              <w:t>Exercise</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20" w:type="dxa"/>
            <w:vAlign w:val="bottom"/>
            <w:vMerge w:val="restart"/>
          </w:tcPr>
          <w:p>
            <w:pPr>
              <w:ind w:left="118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300" w:type="dxa"/>
            <w:vAlign w:val="bottom"/>
            <w:gridSpan w:val="2"/>
          </w:tcPr>
          <w:p>
            <w:pPr>
              <w:jc w:val="center"/>
              <w:ind w:left="379"/>
              <w:spacing w:after="0" w:line="124"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223"/>
              <w:spacing w:after="0" w:line="124"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rPr>
              <w:t>Price</w:t>
            </w:r>
          </w:p>
        </w:tc>
        <w:tc>
          <w:tcPr>
            <w:tcW w:w="1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gridSpan w:val="2"/>
          </w:tcPr>
          <w:p>
            <w:pPr>
              <w:jc w:val="right"/>
              <w:ind w:right="666"/>
              <w:spacing w:after="0"/>
              <w:rPr>
                <w:sz w:val="20"/>
                <w:szCs w:val="20"/>
                <w:color w:val="auto"/>
              </w:rPr>
            </w:pPr>
            <w:r>
              <w:rPr>
                <w:rFonts w:ascii="Arial" w:cs="Arial" w:eastAsia="Arial" w:hAnsi="Arial"/>
                <w:sz w:val="13"/>
                <w:szCs w:val="13"/>
                <w:b w:val="1"/>
                <w:bCs w:val="1"/>
                <w:color w:val="auto"/>
              </w:rPr>
              <w:t>Date</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ind w:left="324"/>
              <w:spacing w:after="0"/>
              <w:rPr>
                <w:sz w:val="20"/>
                <w:szCs w:val="20"/>
                <w:color w:val="auto"/>
              </w:rPr>
            </w:pPr>
            <w:r>
              <w:rPr>
                <w:rFonts w:ascii="Arial" w:cs="Arial" w:eastAsia="Arial" w:hAnsi="Arial"/>
                <w:sz w:val="13"/>
                <w:szCs w:val="13"/>
                <w:b w:val="1"/>
                <w:bCs w:val="1"/>
                <w:color w:val="auto"/>
              </w:rPr>
              <w:t>Exercisable</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ind w:left="283"/>
              <w:spacing w:after="0"/>
              <w:rPr>
                <w:sz w:val="20"/>
                <w:szCs w:val="20"/>
                <w:color w:val="auto"/>
              </w:rPr>
            </w:pPr>
            <w:r>
              <w:rPr>
                <w:rFonts w:ascii="Arial" w:cs="Arial" w:eastAsia="Arial" w:hAnsi="Arial"/>
                <w:sz w:val="13"/>
                <w:szCs w:val="13"/>
                <w:b w:val="1"/>
                <w:bCs w:val="1"/>
                <w:color w:val="auto"/>
              </w:rPr>
              <w:t>Unexercisable</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James Reinhart</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1/1/2014</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372,435</w:t>
            </w:r>
          </w:p>
        </w:tc>
        <w:tc>
          <w:tcPr>
            <w:tcW w:w="4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2/28/2024</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8/1/2014</w:t>
            </w: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1,268,454</w:t>
            </w:r>
          </w:p>
        </w:tc>
        <w:tc>
          <w:tcPr>
            <w:tcW w:w="4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12/2/2024</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9/22/2017</w:t>
            </w: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568,750</w:t>
            </w:r>
          </w:p>
        </w:tc>
        <w:tc>
          <w:tcPr>
            <w:tcW w:w="4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131,250</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74"/>
              </w:rPr>
              <w:t>(3)</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10/3/2027</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3/21/2021</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1,457,638</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74"/>
              </w:rPr>
              <w:t>(4)</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3/21/2029</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878,730</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74"/>
              </w:rPr>
              <w:t>(5)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8/25/2030</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1/1/2021</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31,560</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74"/>
              </w:rPr>
              <w:t>(6)</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8/25/2030</w:t>
            </w:r>
          </w:p>
        </w:tc>
        <w:tc>
          <w:tcPr>
            <w:tcW w:w="0" w:type="dxa"/>
            <w:vAlign w:val="bottom"/>
          </w:tcPr>
          <w:p>
            <w:pPr>
              <w:spacing w:after="0"/>
              <w:rPr>
                <w:sz w:val="1"/>
                <w:szCs w:val="1"/>
                <w:color w:val="auto"/>
              </w:rPr>
            </w:pPr>
          </w:p>
        </w:tc>
      </w:tr>
      <w:tr>
        <w:trPr>
          <w:trHeight w:val="239"/>
        </w:trPr>
        <w:tc>
          <w:tcPr>
            <w:tcW w:w="2720" w:type="dxa"/>
            <w:vAlign w:val="bottom"/>
          </w:tcPr>
          <w:p>
            <w:pPr>
              <w:ind w:left="20"/>
              <w:spacing w:after="0"/>
              <w:rPr>
                <w:sz w:val="20"/>
                <w:szCs w:val="20"/>
                <w:color w:val="auto"/>
              </w:rPr>
            </w:pPr>
            <w:r>
              <w:rPr>
                <w:rFonts w:ascii="Arial" w:cs="Arial" w:eastAsia="Arial" w:hAnsi="Arial"/>
                <w:sz w:val="17"/>
                <w:szCs w:val="17"/>
                <w:color w:val="auto"/>
              </w:rPr>
              <w:t>Anthony Marino</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9/1/2013</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277,103</w:t>
            </w:r>
          </w:p>
        </w:tc>
        <w:tc>
          <w:tcPr>
            <w:tcW w:w="400" w:type="dxa"/>
            <w:vAlign w:val="bottom"/>
          </w:tcPr>
          <w:p>
            <w:pPr>
              <w:jc w:val="right"/>
              <w:ind w:right="1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0.55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12/3/2023</w:t>
            </w: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9/1/2013</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13,880</w:t>
            </w:r>
          </w:p>
        </w:tc>
        <w:tc>
          <w:tcPr>
            <w:tcW w:w="400" w:type="dxa"/>
            <w:vAlign w:val="bottom"/>
          </w:tcPr>
          <w:p>
            <w:pPr>
              <w:jc w:val="right"/>
              <w:ind w:right="1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0.55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2/28/2024</w:t>
            </w: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8/1/2014</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508,110</w:t>
            </w:r>
          </w:p>
        </w:tc>
        <w:tc>
          <w:tcPr>
            <w:tcW w:w="400" w:type="dxa"/>
            <w:vAlign w:val="bottom"/>
          </w:tcPr>
          <w:p>
            <w:pPr>
              <w:jc w:val="right"/>
              <w:ind w:right="1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0.86</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12/2/2024</w:t>
            </w: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6/23/2017</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196,875</w:t>
            </w:r>
          </w:p>
        </w:tc>
        <w:tc>
          <w:tcPr>
            <w:tcW w:w="400" w:type="dxa"/>
            <w:vAlign w:val="bottom"/>
          </w:tcPr>
          <w:p>
            <w:pPr>
              <w:jc w:val="right"/>
              <w:ind w:right="1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7"/>
                <w:szCs w:val="17"/>
                <w:color w:val="auto"/>
              </w:rPr>
              <w:t>28,125</w:t>
            </w:r>
          </w:p>
        </w:tc>
        <w:tc>
          <w:tcPr>
            <w:tcW w:w="360" w:type="dxa"/>
            <w:vAlign w:val="bottom"/>
          </w:tcPr>
          <w:p>
            <w:pPr>
              <w:jc w:val="right"/>
              <w:ind w:right="186"/>
              <w:spacing w:after="0"/>
              <w:rPr>
                <w:sz w:val="20"/>
                <w:szCs w:val="20"/>
                <w:color w:val="auto"/>
              </w:rPr>
            </w:pPr>
            <w:r>
              <w:rPr>
                <w:rFonts w:ascii="Arial" w:cs="Arial" w:eastAsia="Arial" w:hAnsi="Arial"/>
                <w:sz w:val="11"/>
                <w:szCs w:val="11"/>
                <w:color w:val="auto"/>
                <w:w w:val="74"/>
              </w:rPr>
              <w:t>(3)</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6/23/2027</w:t>
            </w: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3/21/2021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7"/>
                <w:szCs w:val="17"/>
                <w:color w:val="auto"/>
              </w:rPr>
              <w:t>971,759</w:t>
            </w:r>
          </w:p>
        </w:tc>
        <w:tc>
          <w:tcPr>
            <w:tcW w:w="360" w:type="dxa"/>
            <w:vAlign w:val="bottom"/>
          </w:tcPr>
          <w:p>
            <w:pPr>
              <w:jc w:val="right"/>
              <w:ind w:right="186"/>
              <w:spacing w:after="0"/>
              <w:rPr>
                <w:sz w:val="20"/>
                <w:szCs w:val="20"/>
                <w:color w:val="auto"/>
              </w:rPr>
            </w:pPr>
            <w:r>
              <w:rPr>
                <w:rFonts w:ascii="Arial" w:cs="Arial" w:eastAsia="Arial" w:hAnsi="Arial"/>
                <w:sz w:val="11"/>
                <w:szCs w:val="11"/>
                <w:color w:val="auto"/>
                <w:w w:val="74"/>
              </w:rPr>
              <w:t>(7)</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3/21/2029</w:t>
            </w:r>
          </w:p>
        </w:tc>
        <w:tc>
          <w:tcPr>
            <w:tcW w:w="0" w:type="dxa"/>
            <w:vAlign w:val="bottom"/>
          </w:tcPr>
          <w:p>
            <w:pPr>
              <w:spacing w:after="0"/>
              <w:rPr>
                <w:sz w:val="1"/>
                <w:szCs w:val="1"/>
                <w:color w:val="auto"/>
              </w:rPr>
            </w:pPr>
          </w:p>
        </w:tc>
      </w:tr>
      <w:tr>
        <w:trPr>
          <w:trHeight w:val="251"/>
        </w:trPr>
        <w:tc>
          <w:tcPr>
            <w:tcW w:w="2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gridSpan w:val="2"/>
          </w:tcPr>
          <w:p>
            <w:pPr>
              <w:jc w:val="right"/>
              <w:ind w:right="166"/>
              <w:spacing w:after="0" w:line="251"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0"/>
                <w:szCs w:val="10"/>
                <w:color w:val="auto"/>
              </w:rPr>
              <w:t xml:space="preserve"> (5)</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23"/>
              <w:spacing w:after="0"/>
              <w:rPr>
                <w:sz w:val="20"/>
                <w:szCs w:val="20"/>
                <w:color w:val="auto"/>
              </w:rPr>
            </w:pPr>
            <w:r>
              <w:rPr>
                <w:rFonts w:ascii="Arial" w:cs="Arial" w:eastAsia="Arial" w:hAnsi="Arial"/>
                <w:sz w:val="17"/>
                <w:szCs w:val="17"/>
                <w:color w:val="auto"/>
              </w:rPr>
              <w:t>387,855</w:t>
            </w:r>
          </w:p>
        </w:tc>
        <w:tc>
          <w:tcPr>
            <w:tcW w:w="360" w:type="dxa"/>
            <w:vAlign w:val="bottom"/>
          </w:tcPr>
          <w:p>
            <w:pPr>
              <w:jc w:val="right"/>
              <w:ind w:right="186"/>
              <w:spacing w:after="0"/>
              <w:rPr>
                <w:sz w:val="20"/>
                <w:szCs w:val="20"/>
                <w:color w:val="auto"/>
              </w:rPr>
            </w:pPr>
            <w:r>
              <w:rPr>
                <w:rFonts w:ascii="Arial" w:cs="Arial" w:eastAsia="Arial" w:hAnsi="Arial"/>
                <w:sz w:val="11"/>
                <w:szCs w:val="11"/>
                <w:color w:val="auto"/>
                <w:w w:val="74"/>
              </w:rPr>
              <w:t>(5)</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8/25/2030</w:t>
            </w:r>
          </w:p>
        </w:tc>
        <w:tc>
          <w:tcPr>
            <w:tcW w:w="0" w:type="dxa"/>
            <w:vAlign w:val="bottom"/>
          </w:tcPr>
          <w:p>
            <w:pPr>
              <w:spacing w:after="0"/>
              <w:rPr>
                <w:sz w:val="1"/>
                <w:szCs w:val="1"/>
                <w:color w:val="auto"/>
              </w:rPr>
            </w:pPr>
          </w:p>
        </w:tc>
      </w:tr>
      <w:tr>
        <w:trPr>
          <w:trHeight w:val="220"/>
        </w:trPr>
        <w:tc>
          <w:tcPr>
            <w:tcW w:w="27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1/1/2021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23"/>
              <w:spacing w:after="0"/>
              <w:rPr>
                <w:sz w:val="20"/>
                <w:szCs w:val="20"/>
                <w:color w:val="auto"/>
              </w:rPr>
            </w:pPr>
            <w:r>
              <w:rPr>
                <w:rFonts w:ascii="Arial" w:cs="Arial" w:eastAsia="Arial" w:hAnsi="Arial"/>
                <w:sz w:val="17"/>
                <w:szCs w:val="17"/>
                <w:color w:val="auto"/>
              </w:rPr>
              <w:t>25,238</w:t>
            </w:r>
          </w:p>
        </w:tc>
        <w:tc>
          <w:tcPr>
            <w:tcW w:w="360" w:type="dxa"/>
            <w:vAlign w:val="bottom"/>
          </w:tcPr>
          <w:p>
            <w:pPr>
              <w:jc w:val="right"/>
              <w:ind w:right="186"/>
              <w:spacing w:after="0"/>
              <w:rPr>
                <w:sz w:val="20"/>
                <w:szCs w:val="20"/>
                <w:color w:val="auto"/>
              </w:rPr>
            </w:pPr>
            <w:r>
              <w:rPr>
                <w:rFonts w:ascii="Arial" w:cs="Arial" w:eastAsia="Arial" w:hAnsi="Arial"/>
                <w:sz w:val="11"/>
                <w:szCs w:val="11"/>
                <w:color w:val="auto"/>
                <w:w w:val="74"/>
              </w:rPr>
              <w:t>(6)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8/25/2030</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Sean Sobers</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10/21/2019</w:t>
            </w: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200,666</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659,334</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74"/>
              </w:rPr>
              <w:t>(8)</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10/24/2029</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393,380</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74"/>
              </w:rPr>
              <w:t>(5)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8/25/2030</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1/1/2021</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20,480</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74"/>
              </w:rPr>
              <w:t>(6)</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8/25/2030</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20"/>
                <w:szCs w:val="20"/>
                <w:color w:val="auto"/>
              </w:rPr>
            </w:pPr>
            <w:r>
              <w:rPr>
                <w:rFonts w:ascii="Arial" w:cs="Arial" w:eastAsia="Arial" w:hAnsi="Arial"/>
                <w:sz w:val="15"/>
                <w:szCs w:val="15"/>
                <w:color w:val="auto"/>
              </w:rPr>
              <w:t>________________</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00" w:hanging="300"/>
        <w:spacing w:after="0" w:line="242" w:lineRule="auto"/>
        <w:tabs>
          <w:tab w:leader="none" w:pos="296"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Each option grant is subject to the terms of our 2010 Plan. Shares underlying each award granted under our 2010 Plan are shares of Class B common stock of the company. The option exercise prices on the table reflect the terms of each stock option award as of December 31, 2020, including the stock option repricing of certain stock option awards that was effectuated by our board of directors in May 2020, where stock option awards held by named executive officers and other active employees and directors with an exercise price greater than $2.05 per share were repriced to have an exercise price of $2.05 per share.</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shares subject to the stock option awards are fully vested.</w:t>
      </w:r>
    </w:p>
    <w:p>
      <w:pPr>
        <w:spacing w:after="0" w:line="1" w:lineRule="exact"/>
        <w:rPr>
          <w:rFonts w:ascii="Arial" w:cs="Arial" w:eastAsia="Arial" w:hAnsi="Arial"/>
          <w:sz w:val="15"/>
          <w:szCs w:val="15"/>
          <w:color w:val="auto"/>
        </w:rPr>
      </w:pPr>
    </w:p>
    <w:p>
      <w:pPr>
        <w:jc w:val="both"/>
        <w:ind w:left="300" w:hanging="300"/>
        <w:spacing w:after="0" w:line="242" w:lineRule="auto"/>
        <w:tabs>
          <w:tab w:leader="none" w:pos="296" w:val="left"/>
        </w:tabs>
        <w:numPr>
          <w:ilvl w:val="0"/>
          <w:numId w:val="105"/>
        </w:numPr>
        <w:rPr>
          <w:rFonts w:ascii="Arial" w:cs="Arial" w:eastAsia="Arial" w:hAnsi="Arial"/>
          <w:sz w:val="15"/>
          <w:szCs w:val="15"/>
          <w:color w:val="auto"/>
        </w:rPr>
      </w:pPr>
      <w:r>
        <w:rPr>
          <w:rFonts w:ascii="Arial" w:cs="Arial" w:eastAsia="Arial" w:hAnsi="Arial"/>
          <w:sz w:val="15"/>
          <w:szCs w:val="15"/>
          <w:color w:val="auto"/>
        </w:rPr>
        <w:t>1/48 of the shares subject to the stock option awards vest on a monthly basis following the vesting commencement date, subject to the named executive officer’s continuous service relationship with the company through each applicable vesting date. Upon termination of the named executive officer’s services without cause (as defined in our 2010 Plan) or for good reason (as defined in the applicable stock option award agreement) in either case upon or within twelve months following the consummation of a change in control, 100% of the unvested shares subject to the stock option awards will vest and become exercisable as of the date of such termination.</w:t>
      </w:r>
    </w:p>
    <w:p>
      <w:pPr>
        <w:spacing w:after="0" w:line="1" w:lineRule="exact"/>
        <w:rPr>
          <w:rFonts w:ascii="Arial" w:cs="Arial" w:eastAsia="Arial" w:hAnsi="Arial"/>
          <w:sz w:val="15"/>
          <w:szCs w:val="15"/>
          <w:color w:val="auto"/>
        </w:rPr>
      </w:pPr>
    </w:p>
    <w:p>
      <w:pPr>
        <w:ind w:left="300" w:hanging="300"/>
        <w:spacing w:after="0" w:line="257" w:lineRule="auto"/>
        <w:tabs>
          <w:tab w:leader="none" w:pos="296" w:val="left"/>
        </w:tabs>
        <w:numPr>
          <w:ilvl w:val="0"/>
          <w:numId w:val="105"/>
        </w:numPr>
        <w:rPr>
          <w:rFonts w:ascii="Arial" w:cs="Arial" w:eastAsia="Arial" w:hAnsi="Arial"/>
          <w:sz w:val="15"/>
          <w:szCs w:val="15"/>
          <w:color w:val="auto"/>
        </w:rPr>
      </w:pPr>
      <w:r>
        <w:rPr>
          <w:rFonts w:ascii="Arial" w:cs="Arial" w:eastAsia="Arial" w:hAnsi="Arial"/>
          <w:sz w:val="15"/>
          <w:szCs w:val="15"/>
          <w:color w:val="auto"/>
        </w:rPr>
        <w:t>1/24 of the shares subject to the stock option awards vest on a monthly basis following the vesting commencement date, subject to the named executive officer’s continuous service relationship with the company through each applicable vesting date. 100% of the unvested shares subject to the stock option awards will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240"/>
          </w:cols>
          <w:pgMar w:left="320" w:top="118" w:right="339" w:bottom="1440" w:gutter="0" w:footer="0" w:header="0"/>
        </w:sectPr>
      </w:pPr>
    </w:p>
    <w:bookmarkStart w:id="162" w:name="page163"/>
    <w:bookmarkEnd w:id="16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immediately upon the named executive officer’s continued services to us through the consummation of a change in control.</w:t>
      </w:r>
    </w:p>
    <w:p>
      <w:pPr>
        <w:spacing w:after="0" w:line="20" w:lineRule="exact"/>
        <w:rPr>
          <w:sz w:val="20"/>
          <w:szCs w:val="20"/>
          <w:color w:val="auto"/>
        </w:rPr>
      </w:pPr>
    </w:p>
    <w:p>
      <w:pPr>
        <w:jc w:val="both"/>
        <w:ind w:left="300" w:hanging="300"/>
        <w:spacing w:after="0" w:line="242" w:lineRule="auto"/>
        <w:tabs>
          <w:tab w:leader="none" w:pos="296" w:val="left"/>
        </w:tabs>
        <w:numPr>
          <w:ilvl w:val="0"/>
          <w:numId w:val="106"/>
        </w:numPr>
        <w:rPr>
          <w:rFonts w:ascii="Arial" w:cs="Arial" w:eastAsia="Arial" w:hAnsi="Arial"/>
          <w:sz w:val="15"/>
          <w:szCs w:val="15"/>
          <w:color w:val="auto"/>
        </w:rPr>
      </w:pPr>
      <w:r>
        <w:rPr>
          <w:rFonts w:ascii="Arial" w:cs="Arial" w:eastAsia="Arial" w:hAnsi="Arial"/>
          <w:sz w:val="15"/>
          <w:szCs w:val="15"/>
          <w:color w:val="auto"/>
        </w:rPr>
        <w:t>50% of the shares subject to the stock option awards vest on a monthly basis over 48 months following the vesting commencement date of the later of January 1, 2021 or the date of the effectiveness of the registration statement, subject to the named executive officer’s continuous service relationship with the company through each applicable vesting date. The remaining 50% of the shares subject to the stock option awards vest on a monthly basis over 48 months following the vesting commencement date of the later of January 1, 2022 or the date that is one year following the date of the effectiveness of the registration statement, subject to the named executive officer’s continuous service relationship with the company through each applicable vesting date.</w:t>
      </w:r>
    </w:p>
    <w:p>
      <w:pPr>
        <w:spacing w:after="0" w:line="1" w:lineRule="exact"/>
        <w:rPr>
          <w:rFonts w:ascii="Arial" w:cs="Arial" w:eastAsia="Arial" w:hAnsi="Arial"/>
          <w:sz w:val="15"/>
          <w:szCs w:val="15"/>
          <w:color w:val="auto"/>
        </w:rPr>
      </w:pPr>
    </w:p>
    <w:p>
      <w:pPr>
        <w:ind w:left="300" w:hanging="300"/>
        <w:spacing w:after="0" w:line="242" w:lineRule="auto"/>
        <w:tabs>
          <w:tab w:leader="none" w:pos="296" w:val="left"/>
        </w:tabs>
        <w:numPr>
          <w:ilvl w:val="0"/>
          <w:numId w:val="106"/>
        </w:numPr>
        <w:rPr>
          <w:rFonts w:ascii="Arial" w:cs="Arial" w:eastAsia="Arial" w:hAnsi="Arial"/>
          <w:sz w:val="15"/>
          <w:szCs w:val="15"/>
          <w:color w:val="auto"/>
        </w:rPr>
      </w:pPr>
      <w:r>
        <w:rPr>
          <w:rFonts w:ascii="Arial" w:cs="Arial" w:eastAsia="Arial" w:hAnsi="Arial"/>
          <w:sz w:val="15"/>
          <w:szCs w:val="15"/>
          <w:color w:val="auto"/>
        </w:rPr>
        <w:t>100% of the shares subject to the stock option awards will vest on the vesting commencement date, subject to the named executive officer’s continuous service relationship with the company such vesting date</w:t>
      </w:r>
    </w:p>
    <w:p>
      <w:pPr>
        <w:jc w:val="both"/>
        <w:ind w:left="300" w:hanging="300"/>
        <w:spacing w:after="0" w:line="242" w:lineRule="auto"/>
        <w:tabs>
          <w:tab w:leader="none" w:pos="296" w:val="left"/>
        </w:tabs>
        <w:numPr>
          <w:ilvl w:val="0"/>
          <w:numId w:val="106"/>
        </w:numPr>
        <w:rPr>
          <w:rFonts w:ascii="Arial" w:cs="Arial" w:eastAsia="Arial" w:hAnsi="Arial"/>
          <w:sz w:val="15"/>
          <w:szCs w:val="15"/>
          <w:color w:val="auto"/>
        </w:rPr>
      </w:pPr>
      <w:r>
        <w:rPr>
          <w:rFonts w:ascii="Arial" w:cs="Arial" w:eastAsia="Arial" w:hAnsi="Arial"/>
          <w:sz w:val="15"/>
          <w:szCs w:val="15"/>
          <w:color w:val="auto"/>
        </w:rPr>
        <w:t>1/24 of the shares subject to the stock option awards vest on a monthly basis following the vesting commencement date, subject to the named executive officer’s continuous service relationship with the company through each applicable vesting date. 100% of the unvested shares subject to the stock option awards will vest upon the consummation of a change in control. Additionally, if Mr. Marino is terminated without cause or if Mr. Reinhart is no longer our Chief Executive Officer, then a number of shares subject to the stock option awards shall vest equal to the product of (i) 1/48 of the number of shares subject to the stock option awards and (ii) the number of months of Mr. Marino’s continuous service to us beginning from the vesting commencement date through the date Mr. Marino is terminated without cause or the date Mr. Reinhart is no longer our Chief Executive Officer. Thereafter, in the event of any acceleration as a result of Mr. Reinhart no longer serving as our Chief Executive Officer, the remaining unvested shares underlying the stock option award shall vest in equal monthly installments until the fourth anniversary of the vesting commencement date, subject to Mr. Marino’s continuous service relationship with the company through such vesting date.</w:t>
      </w:r>
    </w:p>
    <w:p>
      <w:pPr>
        <w:spacing w:after="0" w:line="2" w:lineRule="exact"/>
        <w:rPr>
          <w:rFonts w:ascii="Arial" w:cs="Arial" w:eastAsia="Arial" w:hAnsi="Arial"/>
          <w:sz w:val="15"/>
          <w:szCs w:val="15"/>
          <w:color w:val="auto"/>
        </w:rPr>
      </w:pPr>
    </w:p>
    <w:p>
      <w:pPr>
        <w:jc w:val="both"/>
        <w:ind w:left="300" w:hanging="300"/>
        <w:spacing w:after="0" w:line="246" w:lineRule="auto"/>
        <w:tabs>
          <w:tab w:leader="none" w:pos="296" w:val="left"/>
        </w:tabs>
        <w:numPr>
          <w:ilvl w:val="0"/>
          <w:numId w:val="106"/>
        </w:numPr>
        <w:rPr>
          <w:rFonts w:ascii="Arial" w:cs="Arial" w:eastAsia="Arial" w:hAnsi="Arial"/>
          <w:sz w:val="15"/>
          <w:szCs w:val="15"/>
          <w:color w:val="auto"/>
        </w:rPr>
      </w:pPr>
      <w:r>
        <w:rPr>
          <w:rFonts w:ascii="Arial" w:cs="Arial" w:eastAsia="Arial" w:hAnsi="Arial"/>
          <w:sz w:val="15"/>
          <w:szCs w:val="15"/>
          <w:color w:val="auto"/>
        </w:rPr>
        <w:t>1/5 of the shares subject to the stock option will vest on the one-year anniversary of the vesting commencement date. Thereafter, 1/48 of the remaining shares subject to the stock option will vest on a monthly basis, subject to Mr. Sobers’ continuous service relationship with the company through each applicable vesting date. Additionally, if Mr. Sobers is terminated without cause (as defined in the 2010 Plan) or resigns for good reason (as defined in the applicable award agreement) in either case upon or within twelve months following the consummation of a change in control, 100% of the unvested shares subject to the stock option will vest and become exercisable as of the date of termination.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 and Stock Plans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2021 Stock Option and Incentive Plan</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Our 2021 Plan was adopted by our board of directors in February 2021 and approved by our stockholders in and will become effective on the day before the date on which the registration statement of which this prospectus forms a part is declared effective by the SEC. Our 2021 Plan will replace our 2010 Plan, as our board of directors determined not to make additional awards under our 2010 Plan following the completion of our initial public offering. However, our 2010 Plan will continue to govern outstanding equity awards granted thereunder. Our 2021 Plan will allow the compensation committee to make equity-based incentive awards to our officers, employees, directors and other key persons, including consultants.</w:t>
      </w:r>
    </w:p>
    <w:p>
      <w:pPr>
        <w:spacing w:after="0" w:line="119"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We have initially reserved shares of our Class A common stock for the issuance of awards under our 2021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2021 Plan provides that the number of shares reserved and available for issuance under our 2021 Plan will automatically increase each January 1, beginning on January 1, 2022, by 5% of the outstanding number of shares of our Class A common stock and Class B common stock on the immediately preceding December 31 or such lesser number of shares as determined by our compensation committee. This number will be subject to adjustment in the event of a stock split, stock dividend or other change in our capitalization. The shares we issue under our 2021 Plan will be authorized but unissued shares or shares that we reacquire. Any shares of Class A or Class B common stock underlying any award that are forfeited, cancelled, held back upon exercise or settlement of an award to satisfy the exercise price or tax withholding, reacquired by us prior to vesting, satisfied without the issuance of stock, expire or are otherwise terminated, other than by exercise, under our 2021 Plan and our 2010 Plan will be added back to the shares of Class A common stock available for issuance under our 2021 Plan (provided that any such shares that are shares of Class B common stock will first be converted into shares of Class A common stock). The maximum number of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240"/>
          </w:cols>
          <w:pgMar w:left="320" w:top="118" w:right="339" w:bottom="1440" w:gutter="0" w:footer="0" w:header="0"/>
        </w:sectPr>
      </w:pPr>
    </w:p>
    <w:bookmarkStart w:id="163" w:name="page164"/>
    <w:bookmarkEnd w:id="16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stock that may be issued as incentive stock options in any one calendar year period may not exceed cumulatively increased on January 1, 2022 and on each January 1 thereafter by the lesser of 5% of the number of outstanding shares of Class A common stock and Class B common stock as of</w:t>
      </w:r>
    </w:p>
    <w:p>
      <w:pPr>
        <w:spacing w:after="0" w:line="1" w:lineRule="exact"/>
        <w:rPr>
          <w:sz w:val="20"/>
          <w:szCs w:val="20"/>
          <w:color w:val="auto"/>
        </w:rPr>
      </w:pPr>
    </w:p>
    <w:p>
      <w:pPr>
        <w:spacing w:after="0"/>
        <w:tabs>
          <w:tab w:leader="none" w:pos="3880" w:val="left"/>
        </w:tabs>
        <w:rPr>
          <w:sz w:val="20"/>
          <w:szCs w:val="20"/>
          <w:color w:val="auto"/>
        </w:rPr>
      </w:pPr>
      <w:r>
        <w:rPr>
          <w:rFonts w:ascii="Arial" w:cs="Arial" w:eastAsia="Arial" w:hAnsi="Arial"/>
          <w:sz w:val="17"/>
          <w:szCs w:val="17"/>
          <w:color w:val="auto"/>
        </w:rPr>
        <w:t>the immediately preceding December 31, or</w:t>
      </w:r>
      <w:r>
        <w:rPr>
          <w:sz w:val="20"/>
          <w:szCs w:val="20"/>
          <w:color w:val="auto"/>
        </w:rPr>
        <w:tab/>
      </w:r>
      <w:r>
        <w:rPr>
          <w:rFonts w:ascii="Arial" w:cs="Arial" w:eastAsia="Arial" w:hAnsi="Arial"/>
          <w:sz w:val="17"/>
          <w:szCs w:val="17"/>
          <w:color w:val="auto"/>
        </w:rPr>
        <w:t>shares.</w:t>
      </w:r>
    </w:p>
    <w:p>
      <w:pPr>
        <w:spacing w:after="0" w:line="13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i w:val="1"/>
          <w:iCs w:val="1"/>
          <w:color w:val="auto"/>
        </w:rPr>
        <w:t xml:space="preserve">Non-Employee Director Limit. </w:t>
      </w:r>
      <w:r>
        <w:rPr>
          <w:rFonts w:ascii="Arial" w:cs="Arial" w:eastAsia="Arial" w:hAnsi="Arial"/>
          <w:sz w:val="17"/>
          <w:szCs w:val="17"/>
          <w:color w:val="auto"/>
        </w:rPr>
        <w:t>Our 2021 Plan contains a limitation whereby the value of all awards under our 2021 Plan and all other cash</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paid by us to any non-employee director may not exceed: (i) $750,000 in the first calendar year an individual becomes a non-employee director and (ii) $500,000 in any other calendar year.</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2021 Plan will be administered by our compensation committee. Our compensation committee will have full power to select, from</w:t>
      </w:r>
      <w:r>
        <w:rPr>
          <w:rFonts w:ascii="Arial" w:cs="Arial" w:eastAsia="Arial" w:hAnsi="Arial"/>
          <w:sz w:val="17"/>
          <w:szCs w:val="17"/>
          <w:i w:val="1"/>
          <w:iCs w:val="1"/>
          <w:color w:val="auto"/>
        </w:rPr>
        <w:t xml:space="preserve"> </w:t>
      </w:r>
      <w:r>
        <w:rPr>
          <w:rFonts w:ascii="Arial" w:cs="Arial" w:eastAsia="Arial" w:hAnsi="Arial"/>
          <w:sz w:val="17"/>
          <w:szCs w:val="17"/>
          <w:color w:val="auto"/>
        </w:rPr>
        <w:t>among the individuals eligible for awards, the individuals to whom awards will be granted, to make any combination of awards to participants, and to determine the specific terms and conditions of each award, subject to the provisions of our 2021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1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Persons eligible to participate in our 2021 Plan will be those employees, non-employee directors and consultants, as selected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by our compensation committee in its discretion.</w:t>
      </w:r>
    </w:p>
    <w:p>
      <w:pPr>
        <w:spacing w:after="0" w:line="96"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Our 2021 Plan permits the granting of both options to purchase Class A common stock intended to qualify as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422 of the Code and options that do not so qualify. The option exercise price of each option will be determined by our compensation committee but may not be less than 100% of the fair market value of our Class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22"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Our compensation committee may award stock appreciation rights subject to such conditions and restrictions as it may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Stock appreciation rights entitle the recipient to shares of Class A common stock, or cash, equal to the value of the appreciation in our stock price over the exercise price. The exercise price may not be less than 100% of the fair market value of our Class A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1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i w:val="1"/>
          <w:iCs w:val="1"/>
          <w:color w:val="auto"/>
        </w:rPr>
        <w:t xml:space="preserve">Restricted Stock and Restricted Stock Units. </w:t>
      </w:r>
      <w:r>
        <w:rPr>
          <w:rFonts w:ascii="Arial" w:cs="Arial" w:eastAsia="Arial" w:hAnsi="Arial"/>
          <w:sz w:val="17"/>
          <w:szCs w:val="17"/>
          <w:color w:val="auto"/>
        </w:rPr>
        <w:t>Our compensation committee may award restricted shares of Class A common stock and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to participants subject to such conditions and restrictions as it may determine. These conditions and restrictions may include the achievement of certain performance goals and/or continued employment with us through a specified vesting period.</w:t>
      </w:r>
    </w:p>
    <w:p>
      <w:pPr>
        <w:spacing w:after="0" w:line="11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i w:val="1"/>
          <w:iCs w:val="1"/>
          <w:color w:val="auto"/>
        </w:rPr>
        <w:t xml:space="preserve">Unrestricted Stock Awards. </w:t>
      </w:r>
      <w:r>
        <w:rPr>
          <w:rFonts w:ascii="Arial" w:cs="Arial" w:eastAsia="Arial" w:hAnsi="Arial"/>
          <w:sz w:val="17"/>
          <w:szCs w:val="17"/>
          <w:color w:val="auto"/>
        </w:rPr>
        <w:t>Our compensation committee may grant shares of Class A common stock that are free from any restrictions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2021 Plan. Unrestricted stock may be granted to participants in recognition of past services or for other valid consideration and may be issued in lieu of cash compensation due to such participant.</w:t>
      </w:r>
    </w:p>
    <w:p>
      <w:pPr>
        <w:spacing w:after="0" w:line="11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Our compensation committee may grant dividend equivalent rights to participants that entitle the recipient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credits for dividends that would be paid if the recipient had held a specified number of shares of Class A common stock.</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i w:val="1"/>
          <w:iCs w:val="1"/>
          <w:color w:val="auto"/>
        </w:rPr>
        <w:t xml:space="preserve">Cash-Based Awards. </w:t>
      </w:r>
      <w:r>
        <w:rPr>
          <w:rFonts w:ascii="Arial" w:cs="Arial" w:eastAsia="Arial" w:hAnsi="Arial"/>
          <w:sz w:val="17"/>
          <w:szCs w:val="17"/>
          <w:color w:val="auto"/>
        </w:rPr>
        <w:t>Our compensation committee may grant cash bonuses under our 2021 Plan to participants, subject to the achievement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240"/>
          </w:cols>
          <w:pgMar w:left="320" w:top="118" w:right="339" w:bottom="1440" w:gutter="0" w:footer="0" w:header="0"/>
        </w:sectPr>
      </w:pPr>
    </w:p>
    <w:bookmarkStart w:id="164" w:name="page165"/>
    <w:bookmarkEnd w:id="16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Our 2021 Plan provides that upon the effectiveness of a “sale event,” as defined in our 2021 Plan, an acquirer or successor entity may</w:t>
      </w:r>
      <w:r>
        <w:rPr>
          <w:rFonts w:ascii="Arial" w:cs="Arial" w:eastAsia="Arial" w:hAnsi="Arial"/>
          <w:sz w:val="17"/>
          <w:szCs w:val="17"/>
          <w:i w:val="1"/>
          <w:iCs w:val="1"/>
          <w:color w:val="auto"/>
        </w:rPr>
        <w:t xml:space="preserve"> </w:t>
      </w:r>
      <w:r>
        <w:rPr>
          <w:rFonts w:ascii="Arial" w:cs="Arial" w:eastAsia="Arial" w:hAnsi="Arial"/>
          <w:sz w:val="17"/>
          <w:szCs w:val="17"/>
          <w:color w:val="auto"/>
        </w:rPr>
        <w:t>assume, continue or substitute for the outstanding awards under our 2021 Plan. To the extent that awards granted under our 2021 Plan are not assumed or continued or substituted by the successor entity, all unvested awards granted under our 2021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our 2021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w:t>
      </w:r>
    </w:p>
    <w:p>
      <w:pPr>
        <w:spacing w:after="0" w:line="124"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Our board of directors may amend or discontinue our 2021 Plan and our compensation committee can amend or cancel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awards for purposes of satisfying changes in law or any other lawful purpose, but no such action may adversely affect rights under an award without the holder’s consent. Certain amendments to our 2021 Plan will require the approval of our stockholders.</w:t>
      </w:r>
    </w:p>
    <w:p>
      <w:pPr>
        <w:spacing w:after="0" w:line="11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No awards may be granted under our 2021 Plan after the date that is 10 years from the date of stockholder approval of our 2021 Plan. No awards under our 2021 Plan have been made prior to the date hereof.</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Second Amended and Restated 2010 Stock Incentive Plan</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Our 2010 Plan was approved by our board of directors and stockholders in February 2010, most recently amended and restated by our board of directors in March 2019 and most recently amended and approved by our stockholders in February 2021. As of December 31, 2020, we reserved an aggregate of 27,880,047 shares of our Class B common stock for the issuance of options and other equity awards under our 2010 Plan. This number is subject to adjustment in the event of a stock split, stock dividend, or other change in our capitalization. As of December 31, 2020, stock options to purchase 22,774,949 shares of our Class B common stock at a weighted average exercise price of $1.81 per share were outstanding under our 2010 Plan and 201,582 shares remained available for future issuance under our 2010 Plan. Following this offering, we will not grant any further awards under our 2010 Plan. All outstanding awards under our 2010 Plan will continue to be governed by their existing terms.</w:t>
      </w:r>
    </w:p>
    <w:p>
      <w:pPr>
        <w:spacing w:after="0" w:line="12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The shares we have issued under our 2010 Plan were authorized and unissued shares or were shares we reacquired.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underlying any awards that are forfeited, canceled, withheld upon exercise of a stock option award or settlement of an award to cover the exercise price or tax withholding, reacquired by the company prior to vesting, satisfied without the issuance of company Class B common stock or otherwise terminated (other than by exercise), were added back to the shares of Class B common stock available for issuance under our 2010 Plan. Following this offering, such shares will be added to the shares of Class A common stock available for issuance under our 2021 Plan (provided that any such shares will first be converted into shares of Class A common stock).</w:t>
      </w:r>
    </w:p>
    <w:p>
      <w:pPr>
        <w:spacing w:after="0" w:line="122"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2010 Plan is currently administered by the board of directors. The plan administrator has the authority to interpret and administer</w:t>
      </w:r>
      <w:r>
        <w:rPr>
          <w:rFonts w:ascii="Arial" w:cs="Arial" w:eastAsia="Arial" w:hAnsi="Arial"/>
          <w:sz w:val="17"/>
          <w:szCs w:val="17"/>
          <w:i w:val="1"/>
          <w:iCs w:val="1"/>
          <w:color w:val="auto"/>
        </w:rPr>
        <w:t xml:space="preserve"> </w:t>
      </w:r>
      <w:r>
        <w:rPr>
          <w:rFonts w:ascii="Arial" w:cs="Arial" w:eastAsia="Arial" w:hAnsi="Arial"/>
          <w:sz w:val="17"/>
          <w:szCs w:val="17"/>
          <w:color w:val="auto"/>
        </w:rPr>
        <w:t>our 2010 Plan and any agreement thereunder and to determine the terms of awards, including the recipients, the number of shares subject to each award, the exercise price, if any, the vesting schedule applicable to the awards together with any vesting acceleration, and the terms of the award agreement for use under our 2010 Plan.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240"/>
          </w:cols>
          <w:pgMar w:left="320" w:top="118" w:right="339" w:bottom="1440" w:gutter="0" w:footer="0" w:header="0"/>
        </w:sectPr>
      </w:pPr>
    </w:p>
    <w:bookmarkStart w:id="165" w:name="page166"/>
    <w:bookmarkEnd w:id="16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may also impose or modify the terms and conditions, including restrictions and, as applicable, exercise period of any award. The plan administrator is specifically authorized to exercise its discretion to reduce or increase the exercise price of outstanding stock options or effect the repricing of stock options through cancellations and re-grants.</w:t>
      </w:r>
    </w:p>
    <w:p>
      <w:pPr>
        <w:spacing w:after="0" w:line="11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Our 2010 Plan permits us to make grants of incentive stock options to our full- or part-time employees and any of our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employees, and grants of non-qualified stock options, restricted stock awards, unrestricted stock awards and restricted stock unit awards to full- or part-time officers, employees, directors and consultants of the company and our subsidiary corporations.</w:t>
      </w:r>
    </w:p>
    <w:p>
      <w:pPr>
        <w:spacing w:after="0" w:line="111"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Our 2010 Plan permits the granting of (i) stock options to purchase Class B common stock intended to qualify as incentive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422 of the Internal Revenue Code and (ii) stock options that do not so qualify. The option exercise price per share of our Class B common stock underlying each stock option was determined by our board or directors or a committee appointed by the board of directors, and must have been at least equal to 100% of the fair market value of a share of our Class B common stock on the date of grant. In the case of an incentive stock option granted to a participant who, at the time of grant of such stock option, owned stock representing more than 10% of the total combined voting power of all classes of stock of the Company, or a 10% owner, the exercise price per share of our Class B common stock underlying each such stock option must have been at least equal to 110% of the fair market value of a share of our Class B common stock on the date of grant. The term of each stock option award may not have exceeded 10 years from the date of grant (or five years for a 10% owner). The plan administrator determines the methods of payment of the exercise price of a stock option, which may include cash, a net exercise arrangement for non-qualified stock options, a promissory note (if permitted by the board of directors) and if permitted by the board of directors or a committee appointed by the board of directors and an initial public offering of the company has occurred, through either the delivery of shares of our Class B common stock owned by the participant or a broker-assisted arrangement. After a participant’s termination of service (other than a termination for cause), the participant generally may exercise shares pursuant to his or her stock option awards, to the extent vested as of such date of termination, for thirty days after termination or such longer period of time as specified in the applicable stock option award agreement; provided, that if the termination is due to death or disability, the stock option award generally will remain exercisable, to the extent vested as of such date of termination, until six months following such termination. However, in no event may a stock option award be exercised later than the expiration of its term.</w:t>
      </w:r>
    </w:p>
    <w:p>
      <w:pPr>
        <w:spacing w:after="0" w:line="12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Our 2010 Plan permits the granting of shares of restricted stock. Restricted stock awards are grants of shares of our Class B</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that are subject to various restrictions, including restrictions on transferability and forfeitures provisions. Shares of restricted stock will vest, and the restrictions on such shares will lapse, in accordance with terms and conditions established by the administrator.</w:t>
      </w:r>
    </w:p>
    <w:p>
      <w:pPr>
        <w:spacing w:after="0" w:line="11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i w:val="1"/>
          <w:iCs w:val="1"/>
          <w:color w:val="auto"/>
        </w:rPr>
        <w:t xml:space="preserve">Unrestricted Stock. </w:t>
      </w:r>
      <w:r>
        <w:rPr>
          <w:rFonts w:ascii="Arial" w:cs="Arial" w:eastAsia="Arial" w:hAnsi="Arial"/>
          <w:sz w:val="17"/>
          <w:szCs w:val="17"/>
          <w:color w:val="auto"/>
        </w:rPr>
        <w:t>Our 2010 Plan permits the granting of shares of unrestricted stock. Unrestricted stock awards may be granted to participants in</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of past services or for other valid consideration and may be issued in lieu of cash compensation due to such participant.</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Our 2010 Plan permits the granting of shares of restricted stock units. Restricted stock unit awards are grants of phantom</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Class B common stock that are subject to various restrictions, including restrictions on transferability and forfeitures provisions. Restricted stock units will vest, and the restrictions on such shares will lapse, in accordance with terms and conditions established by the administrator. Settlement of the restricted stock units may be in cash or stock as determined by the plan administrator.</w:t>
      </w:r>
    </w:p>
    <w:p>
      <w:pPr>
        <w:spacing w:after="0" w:line="11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i w:val="1"/>
          <w:iCs w:val="1"/>
          <w:color w:val="auto"/>
        </w:rPr>
        <w:t xml:space="preserve">Transferability or Assignability of Awards. </w:t>
      </w:r>
      <w:r>
        <w:rPr>
          <w:rFonts w:ascii="Arial" w:cs="Arial" w:eastAsia="Arial" w:hAnsi="Arial"/>
          <w:sz w:val="17"/>
          <w:szCs w:val="17"/>
          <w:color w:val="auto"/>
        </w:rPr>
        <w:t>Our 2010 Plan generally does not allow for the transfer or assignment of awards other than, at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of the plan administrator, by will or the laws of descent and distribution, by gift to an immediate family member or by instrument to an inter vivos or testamentary trust in which the award is passed to beneficiaries upon the death of the participant. Our 2010 Plan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240"/>
          </w:cols>
          <w:pgMar w:left="320" w:top="118" w:right="339" w:bottom="1440" w:gutter="0" w:footer="0" w:header="0"/>
        </w:sectPr>
      </w:pPr>
    </w:p>
    <w:bookmarkStart w:id="166" w:name="page167"/>
    <w:bookmarkEnd w:id="16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provides that the awards are subject to both a right of first refusal and drag along rights, upon certain sales of our Class B common stock.</w:t>
      </w:r>
    </w:p>
    <w:p>
      <w:pPr>
        <w:spacing w:after="0" w:line="153"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Our 2010 Plan provides that upon the occurrence of a “Sale Event” as defined in our 2010 Plan, all awards will be terminated or forfeited</w:t>
      </w:r>
      <w:r>
        <w:rPr>
          <w:rFonts w:ascii="Arial" w:cs="Arial" w:eastAsia="Arial" w:hAnsi="Arial"/>
          <w:sz w:val="17"/>
          <w:szCs w:val="17"/>
          <w:i w:val="1"/>
          <w:iCs w:val="1"/>
          <w:color w:val="auto"/>
        </w:rPr>
        <w:t xml:space="preserve"> </w:t>
      </w:r>
      <w:r>
        <w:rPr>
          <w:rFonts w:ascii="Arial" w:cs="Arial" w:eastAsia="Arial" w:hAnsi="Arial"/>
          <w:sz w:val="17"/>
          <w:szCs w:val="17"/>
          <w:color w:val="auto"/>
        </w:rPr>
        <w:t>at the effective time of such Sale Event unless such awards are assumed or continued by a successor entity or substituted for new awards of a successor entity. In the case of the termination of stock option awards issued thereunder, each holder of such stock option awards shall be permitted, within a specified period of time prior to the consummation of the Sale Event as determined by the plan administrator, to exercise all such shares subject to stock option awards that are then exercisable or will become exercisable as of the effective time of the Sale Event. Additionally, unless otherwise provided in the applicable award agreement, such stock option awards will be subject to the company’s right of repurchase upon the consummation of a Sale Event. We may also make or provide for a cash payment to the holders of vested and exercisable stock option awards, in exchange for the cancellation thereof, equal to, for each share of our Class B common stock underlying such stock option awards, the difference between the per share cash consideration in the Sale Event as determined by the plan administrator and the per share exercise price of such stock option. In the event of the forfeiture of shares of restricted stock issued under our 2010 Plan, such shares of restricted stock shall be repurchased from the holder at a price per share equal to the lower of the original per share purchase price paid by the recipient of such shares or the current fair market value of such shares, determined immediately prior to the effective time of the Sale Event. We may make or provide for a cash payment to holders of restricted stock or restricted stock unit awards, in exchange for the cancellation thereof, in an amount equal to the product of the per share cash consideration in the Sale Event and the number of shares subject to each such award.</w:t>
      </w:r>
    </w:p>
    <w:p>
      <w:pPr>
        <w:spacing w:after="0" w:line="132"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Our board of directors may amend, suspend, or terminate our 2010 Plan at any time, subject to stockholder approval where such</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is required by applicable law. The board of directors may also amend, modify, or terminate any outstanding award, including the exercise price of such award, provided that no amendment to an award may adversely affect any of the rights of a participant under any awards previously granted without his or her consent. We will not make any further grants under our 2010 Plan following this initial public offering.</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53"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In February 2021, our board of directors adopted and in , 2021 our stockholders approved, the ESPP. The ESPP will become effective immediately prior to the time that the registration statement of which this prospectus forms a part is declared effective by the SEC. The ESPP will initially</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reserve and authorize the issuance of up to a total of shares of Class A common stock to participating employees. The ESPP will provide that the number of shares reserved and available for issuance will automatically increase each January 1, beginning on January 1, 2022, by the lesser</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of shares of our Class A common stock, 1% of the outstanding number of shares of our Class A common stock and Class B common stock on the immediately preceding December 31, or such lesser number of shares as determined by our compensation committee. This number will be subject to adjustment in the event of a stock split, stock dividend or other change in our capitalization.</w:t>
      </w:r>
    </w:p>
    <w:p>
      <w:pPr>
        <w:spacing w:after="0" w:line="12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All employees whose customary employment is for more than 20 hours per week and have completed at least 30 days of employment or are otherwise required to participate by applicable local law are eligible to participate in the ESPP. Any employee who owns 5% or more of the total combined voting power or value of all classes of stock will not be eligible to purchase shares under the ESPP.</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will make one or more offerings each year to our employees to purchase shares under the ESPP. The first offering will begin on the effective date of the registration statement of which this prospectus is part and, unless otherwise determined by the administrator of the ESPP, will end on the date that is approximately six months following such date. Each eligible employee as of the effective date of the registration statement for the offering will be deemed to be a participant in the ESPP at that time and must authorize payroll deductions or other contributions by submitting an enrollment form by the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240"/>
          </w:cols>
          <w:pgMar w:left="320" w:top="118" w:right="339" w:bottom="1440" w:gutter="0" w:footer="0" w:header="0"/>
        </w:sectPr>
      </w:pPr>
    </w:p>
    <w:bookmarkStart w:id="167" w:name="page168"/>
    <w:bookmarkEnd w:id="16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specified by the plan administrator. Subsequent offerings will usually begin every six months and will continue for six-month periods. Each eligible employee may elect to participate in any subsequent offering by submitting an enrollment form at least 15 days before the relevant offering date.</w:t>
      </w:r>
    </w:p>
    <w:p>
      <w:pPr>
        <w:spacing w:after="0" w:line="96"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6"/>
          <w:szCs w:val="16"/>
          <w:color w:val="auto"/>
        </w:rPr>
        <w:t>Each employee who is a participant in the ESPP may purchase shares by authorizing contributions of up to 15% of his or her compensation during an offering period. Unless the participating employee has previously withdrawn from the offering, his or her accumulated contributions will be used to purchase shares on the last business day of the offering period at a price equal to 85% of the fair market value of the shares on the first business day of</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offering period or the last business day of the offering period, whichever is lower, provided that no more than shares of Class A common stock (or a lesser number as established by the plan administrator in advance of the offering period) may be purchased by any one employee during each purchase period. Under applicable tax rules, an employee may purchase no more than $25,000 worth of shares of Class A common stock, valued at the start of the offering period, under the ESPP for each calendar year in which a purchase right is outstanding.</w:t>
      </w:r>
    </w:p>
    <w:p>
      <w:pPr>
        <w:spacing w:after="0" w:line="12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accumulated contributions of any employee who is not a participant on the last day of a purchase period will be refunded. An employee’s rights under the ESPP terminate upon voluntary withdrawal from the plan or when the employee ceases employment with us for any reason.</w:t>
      </w:r>
    </w:p>
    <w:p>
      <w:pPr>
        <w:spacing w:after="0" w:line="96"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ESPP may be terminated or amended by our board of directors at any time but shall automatically terminate on the 10-year anniversary of this offering. An amendment that increases the number of shares of Class A common stock that are authorized under the ESPP and certain other amendments will require the approval of our stockholders. The plan administrator may adopt subplans under the ESPP for employees of our non-U.S. subsidiaries who may participate in the ESPP and may permit such employees to participate in the ESPP on different terms, to the extent permitted by applicable law.</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Senior Executive Cash Incentive Bonus Plan</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February 2021, our board of directors adopted the Senior Executive Cash Incentive Bonus Plan, or the Bonus Plan. The Bonus Plan will become effective on the day before the date on which the registration statement of which this prospectus forms a part is declared effective by the SEC.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19"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Our compensation committee may select corporate performance goals from among the following: achievement of cash flow (including, but not limited to, operating cash flow and adjusted free cash flow); earnings before interest, taxes, depreciation and amortization; net income (loss) (either before or after interest, taxes, depreciation and/or amortization); changes in the market price of our Class A common stock; economic value-added; acquisitions or strategic transactions, including licenses, collaborations, joint ventures or promotion arrangements; operating income (loss); return on capital, assets, equity, or investment; total stockholder returns; productivity; expense efficiency; margins; operating efficiency; working capital; earnings (loss) per share of our Class A common stock; sales or market shares; revenue; corporate revenue;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2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officer. The corporate performance goals will be measured at the end of each performance period after our financial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240"/>
          </w:cols>
          <w:pgMar w:left="320" w:top="118" w:right="339" w:bottom="1440" w:gutter="0" w:footer="0" w:header="0"/>
        </w:sectPr>
      </w:pPr>
    </w:p>
    <w:bookmarkStart w:id="168" w:name="page169"/>
    <w:bookmarkEnd w:id="16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have been published or such other appropriate time as the compensation committee determines. If the corporate performance goals and individual performance objectives are met, payments will be made as soon as practicable following the end of each such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ThredUP 401(k) Plan</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maintain a tax-qualified retirement plan that provides eligible U.S. employees with an opportunity to save for retirement on a tax-advantaged basis, or the 401(k) Plan. Plan participants are able to defer eligible compensation on a pre-tax or after tax (Roth) basis, subject to applicable annual Internal Revenue Code limits.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240"/>
          </w:cols>
          <w:pgMar w:left="320" w:top="118" w:right="339" w:bottom="1440" w:gutter="0" w:footer="0" w:header="0"/>
        </w:sectPr>
      </w:pPr>
    </w:p>
    <w:bookmarkStart w:id="169" w:name="page170"/>
    <w:bookmarkEnd w:id="16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115" w:lineRule="exact"/>
        <w:rPr>
          <w:sz w:val="20"/>
          <w:szCs w:val="20"/>
          <w:color w:val="auto"/>
        </w:rPr>
      </w:pPr>
    </w:p>
    <w:p>
      <w:pPr>
        <w:ind w:left="600" w:hanging="302"/>
        <w:spacing w:after="0"/>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we have been or are to be a participant;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amount involved exceeded or exceeds $120,000; and</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Financings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Series E-1 Convertible Preferred Stock Financing</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On January 8, 2018, we sold an aggregate of 5,704,601 shares of our Series E-1 convertible preferred stock at a purchase price of $6.2581 per share, for an aggregate purchase price of $35.7 million, pursuant to our Series E-1 convertible preferred stock financing. The following table summarizes purchases of our Series E-1 convertible preferred stock by our directors, holders of more than 5% of our capital stock and their affiliated entities. None of our executive officers purchased shares of Series E-1 convertible preferred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 of</w:t>
            </w:r>
          </w:p>
        </w:tc>
        <w:tc>
          <w:tcPr>
            <w:tcW w:w="300" w:type="dxa"/>
            <w:vAlign w:val="bottom"/>
          </w:tcPr>
          <w:p>
            <w:pPr>
              <w:spacing w:after="0"/>
              <w:rPr>
                <w:sz w:val="13"/>
                <w:szCs w:val="13"/>
                <w:color w:val="auto"/>
              </w:rPr>
            </w:pPr>
          </w:p>
        </w:tc>
        <w:tc>
          <w:tcPr>
            <w:tcW w:w="1280" w:type="dxa"/>
            <w:vAlign w:val="bottom"/>
            <w:vMerge w:val="restart"/>
          </w:tcPr>
          <w:p>
            <w:pPr>
              <w:jc w:val="center"/>
              <w:ind w:right="20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4"/>
        </w:trPr>
        <w:tc>
          <w:tcPr>
            <w:tcW w:w="7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tcPr>
          <w:p>
            <w:pPr>
              <w:jc w:val="center"/>
              <w:ind w:right="60"/>
              <w:spacing w:after="0" w:line="124" w:lineRule="exact"/>
              <w:rPr>
                <w:sz w:val="20"/>
                <w:szCs w:val="20"/>
                <w:color w:val="auto"/>
              </w:rPr>
            </w:pPr>
            <w:r>
              <w:rPr>
                <w:rFonts w:ascii="Arial" w:cs="Arial" w:eastAsia="Arial" w:hAnsi="Arial"/>
                <w:sz w:val="13"/>
                <w:szCs w:val="13"/>
                <w:b w:val="1"/>
                <w:bCs w:val="1"/>
                <w:color w:val="auto"/>
              </w:rPr>
              <w:t>Series E-1</w:t>
            </w:r>
          </w:p>
        </w:tc>
        <w:tc>
          <w:tcPr>
            <w:tcW w:w="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Stockholder</w:t>
            </w:r>
          </w:p>
        </w:tc>
        <w:tc>
          <w:tcPr>
            <w:tcW w:w="166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rPr>
              <w:t>Convertible</w:t>
            </w:r>
          </w:p>
        </w:tc>
        <w:tc>
          <w:tcPr>
            <w:tcW w:w="300" w:type="dxa"/>
            <w:vAlign w:val="bottom"/>
          </w:tcPr>
          <w:p>
            <w:pPr>
              <w:spacing w:after="0"/>
              <w:rPr>
                <w:sz w:val="10"/>
                <w:szCs w:val="10"/>
                <w:color w:val="auto"/>
              </w:rPr>
            </w:pPr>
          </w:p>
        </w:tc>
        <w:tc>
          <w:tcPr>
            <w:tcW w:w="1280" w:type="dxa"/>
            <w:vAlign w:val="bottom"/>
          </w:tcPr>
          <w:p>
            <w:pPr>
              <w:jc w:val="center"/>
              <w:ind w:right="202"/>
              <w:spacing w:after="0" w:line="124" w:lineRule="exact"/>
              <w:rPr>
                <w:sz w:val="20"/>
                <w:szCs w:val="20"/>
                <w:color w:val="auto"/>
              </w:rPr>
            </w:pPr>
            <w:r>
              <w:rPr>
                <w:rFonts w:ascii="Arial" w:cs="Arial" w:eastAsia="Arial" w:hAnsi="Arial"/>
                <w:sz w:val="13"/>
                <w:szCs w:val="13"/>
                <w:b w:val="1"/>
                <w:bCs w:val="1"/>
                <w:color w:val="auto"/>
              </w:rPr>
              <w:t>Purchase</w:t>
            </w:r>
          </w:p>
        </w:tc>
        <w:tc>
          <w:tcPr>
            <w:tcW w:w="0" w:type="dxa"/>
            <w:vAlign w:val="bottom"/>
          </w:tcPr>
          <w:p>
            <w:pPr>
              <w:spacing w:after="0"/>
              <w:rPr>
                <w:sz w:val="1"/>
                <w:szCs w:val="1"/>
                <w:color w:val="auto"/>
              </w:rPr>
            </w:pPr>
          </w:p>
        </w:tc>
      </w:tr>
      <w:tr>
        <w:trPr>
          <w:trHeight w:val="162"/>
        </w:trPr>
        <w:tc>
          <w:tcPr>
            <w:tcW w:w="8000" w:type="dxa"/>
            <w:vAlign w:val="bottom"/>
            <w:gridSpan w:val="2"/>
            <w:vMerge w:val="continue"/>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Preferred Stock</w:t>
            </w:r>
          </w:p>
        </w:tc>
        <w:tc>
          <w:tcPr>
            <w:tcW w:w="300" w:type="dxa"/>
            <w:vAlign w:val="bottom"/>
          </w:tcPr>
          <w:p>
            <w:pPr>
              <w:spacing w:after="0"/>
              <w:rPr>
                <w:sz w:val="14"/>
                <w:szCs w:val="14"/>
                <w:color w:val="auto"/>
              </w:rPr>
            </w:pPr>
          </w:p>
        </w:tc>
        <w:tc>
          <w:tcPr>
            <w:tcW w:w="1280" w:type="dxa"/>
            <w:vAlign w:val="bottom"/>
          </w:tcPr>
          <w:p>
            <w:pPr>
              <w:jc w:val="center"/>
              <w:ind w:right="202"/>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4"/>
        </w:trPr>
        <w:tc>
          <w:tcPr>
            <w:tcW w:w="7920" w:type="dxa"/>
            <w:vAlign w:val="bottom"/>
            <w:tcBorders>
              <w:top w:val="single" w:sz="8" w:color="auto"/>
            </w:tcBorders>
            <w:shd w:val="clear" w:color="auto" w:fill="CCEEFF"/>
          </w:tcPr>
          <w:p>
            <w:pPr>
              <w:ind w:left="20"/>
              <w:spacing w:after="0" w:line="204" w:lineRule="exact"/>
              <w:rPr>
                <w:sz w:val="20"/>
                <w:szCs w:val="20"/>
                <w:color w:val="auto"/>
              </w:rPr>
            </w:pPr>
            <w:r>
              <w:rPr>
                <w:rFonts w:ascii="Arial" w:cs="Arial" w:eastAsia="Arial" w:hAnsi="Arial"/>
                <w:sz w:val="17"/>
                <w:szCs w:val="17"/>
                <w:color w:val="auto"/>
              </w:rPr>
              <w:t>Entities affiliated with Global Private Opportunities Partners</w:t>
            </w:r>
            <w:r>
              <w:rPr>
                <w:rFonts w:ascii="Arial" w:cs="Arial" w:eastAsia="Arial" w:hAnsi="Arial"/>
                <w:sz w:val="21"/>
                <w:szCs w:val="21"/>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1,597,928</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9,999,993</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Entities affiliated with Highland Capital Partners</w:t>
            </w:r>
            <w:r>
              <w:rPr>
                <w:rFonts w:ascii="Arial" w:cs="Arial" w:eastAsia="Arial" w:hAnsi="Arial"/>
                <w:sz w:val="21"/>
                <w:szCs w:val="21"/>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7"/>
                <w:szCs w:val="17"/>
                <w:color w:val="auto"/>
              </w:rPr>
              <w:t>559,275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3,499,999</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Jack Lazar</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199,996</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Norman Matthews</w:t>
            </w:r>
          </w:p>
        </w:tc>
        <w:tc>
          <w:tcPr>
            <w:tcW w:w="1580" w:type="dxa"/>
            <w:vAlign w:val="bottom"/>
          </w:tcPr>
          <w:p>
            <w:pPr>
              <w:jc w:val="right"/>
              <w:spacing w:after="0"/>
              <w:rPr>
                <w:sz w:val="20"/>
                <w:szCs w:val="20"/>
                <w:color w:val="auto"/>
              </w:rPr>
            </w:pPr>
            <w:r>
              <w:rPr>
                <w:rFonts w:ascii="Arial" w:cs="Arial" w:eastAsia="Arial" w:hAnsi="Arial"/>
                <w:sz w:val="17"/>
                <w:szCs w:val="17"/>
                <w:color w:val="auto"/>
              </w:rPr>
              <w:t>31,958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199,996</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Entities affiliated with Redpoint Ventures</w:t>
            </w:r>
            <w:r>
              <w:rPr>
                <w:rFonts w:ascii="Arial" w:cs="Arial" w:eastAsia="Arial" w:hAnsi="Arial"/>
                <w:sz w:val="21"/>
                <w:szCs w:val="21"/>
                <w:color w:val="auto"/>
                <w:vertAlign w:val="superscript"/>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559,274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3,499,993</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Trinity Ventures X L.P.</w:t>
            </w:r>
            <w:r>
              <w:rPr>
                <w:rFonts w:ascii="Arial" w:cs="Arial" w:eastAsia="Arial" w:hAnsi="Arial"/>
                <w:sz w:val="21"/>
                <w:szCs w:val="21"/>
                <w:color w:val="auto"/>
                <w:vertAlign w:val="superscript"/>
              </w:rPr>
              <w:t>(4)</w:t>
            </w:r>
          </w:p>
        </w:tc>
        <w:tc>
          <w:tcPr>
            <w:tcW w:w="1580" w:type="dxa"/>
            <w:vAlign w:val="bottom"/>
          </w:tcPr>
          <w:p>
            <w:pPr>
              <w:jc w:val="right"/>
              <w:spacing w:after="0"/>
              <w:rPr>
                <w:sz w:val="20"/>
                <w:szCs w:val="20"/>
                <w:color w:val="auto"/>
              </w:rPr>
            </w:pPr>
            <w:r>
              <w:rPr>
                <w:rFonts w:ascii="Arial" w:cs="Arial" w:eastAsia="Arial" w:hAnsi="Arial"/>
                <w:sz w:val="17"/>
                <w:szCs w:val="17"/>
                <w:color w:val="auto"/>
              </w:rPr>
              <w:t>319,585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1,999,995</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Entities affiliated with Upfront Ventures</w:t>
            </w:r>
            <w:r>
              <w:rPr>
                <w:rFonts w:ascii="Arial" w:cs="Arial" w:eastAsia="Arial" w:hAnsi="Arial"/>
                <w:sz w:val="21"/>
                <w:szCs w:val="21"/>
                <w:color w:val="auto"/>
                <w:vertAlign w:val="superscript"/>
              </w:rPr>
              <w:t>(5)</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2,396,893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14,999,996</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Arial" w:cs="Arial" w:eastAsia="Arial" w:hAnsi="Arial"/>
                <w:sz w:val="15"/>
                <w:szCs w:val="15"/>
                <w:color w:val="auto"/>
              </w:rPr>
              <w:t>________________</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242" w:lineRule="auto"/>
        <w:tabs>
          <w:tab w:leader="none" w:pos="296" w:val="left"/>
        </w:tabs>
        <w:numPr>
          <w:ilvl w:val="0"/>
          <w:numId w:val="108"/>
        </w:numPr>
        <w:rPr>
          <w:rFonts w:ascii="Arial" w:cs="Arial" w:eastAsia="Arial" w:hAnsi="Arial"/>
          <w:sz w:val="15"/>
          <w:szCs w:val="15"/>
          <w:color w:val="auto"/>
        </w:rPr>
      </w:pPr>
      <w:r>
        <w:rPr>
          <w:rFonts w:ascii="Arial" w:cs="Arial" w:eastAsia="Arial" w:hAnsi="Arial"/>
          <w:sz w:val="15"/>
          <w:szCs w:val="15"/>
          <w:color w:val="auto"/>
        </w:rPr>
        <w:t>Consists of Global Private Opportunities Partners II LP and Global Private Opportunities Partners II Offshore Holdings LP. Ian Friedman, a member of our board of directors, was a partner at Global Private Opportunities Partners at the time of our Series E-1 convertible preferred financing.</w:t>
      </w:r>
    </w:p>
    <w:p>
      <w:pPr>
        <w:jc w:val="both"/>
        <w:ind w:left="300" w:hanging="300"/>
        <w:spacing w:after="0" w:line="242" w:lineRule="auto"/>
        <w:tabs>
          <w:tab w:leader="none" w:pos="296" w:val="left"/>
        </w:tabs>
        <w:numPr>
          <w:ilvl w:val="0"/>
          <w:numId w:val="108"/>
        </w:numPr>
        <w:rPr>
          <w:rFonts w:ascii="Arial" w:cs="Arial" w:eastAsia="Arial" w:hAnsi="Arial"/>
          <w:sz w:val="15"/>
          <w:szCs w:val="15"/>
          <w:color w:val="auto"/>
        </w:rPr>
      </w:pPr>
      <w:r>
        <w:rPr>
          <w:rFonts w:ascii="Arial" w:cs="Arial" w:eastAsia="Arial" w:hAnsi="Arial"/>
          <w:sz w:val="15"/>
          <w:szCs w:val="15"/>
          <w:color w:val="auto"/>
        </w:rPr>
        <w:t>Consists of Highland Capital Partners VII Limited Partnership, Highland Capital Partners VII-B Limited Partnership, Highland Capital Partners VII-C Limited Partnership, Highland Entrepreneurs’ Fund VII Limited Partnership, Highland Capital Partners VIII Limited Partnership, Highland Capital Partners VIII-B Limited Partnership and Highland Capital Partners VIII-C Limited Partnership. Dan Nova, a member of our board of directors, is a partner at Highland Capital Partners.</w:t>
      </w:r>
    </w:p>
    <w:p>
      <w:pPr>
        <w:ind w:left="300" w:hanging="300"/>
        <w:spacing w:after="0"/>
        <w:tabs>
          <w:tab w:leader="none" w:pos="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Consists of Redpoint Ventures IV, L.P. and Redpoint Associates IV, L.L.C. Timothy Haley, a member of our board of directors, is a partner at Redpoint Ventures.</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Patricia Nakache, a member of our board of directors, is a partner at Trinity Ventures.</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Consists of Upfront Growth II, L.P. Greg Bettinelli, a member of our board of directors, is a partner at Upfront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240"/>
          </w:cols>
          <w:pgMar w:left="320" w:top="118" w:right="339" w:bottom="1440" w:gutter="0" w:footer="0" w:header="0"/>
        </w:sectPr>
      </w:pPr>
    </w:p>
    <w:bookmarkStart w:id="170" w:name="page171"/>
    <w:bookmarkEnd w:id="17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Series F Convertible Preferred Stock Financing</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From June 2019 through September 2019, we sold an aggregate of 12,549,852 shares of our Series F convertible preferred stock at a purchase price of $6.8839 per share, for an aggregate purchase price of $86.4 million, pursuant to our Series F convertible preferred stock financing. The following table summarizes purchases of our Series F convertible preferred stock by holders of more than 5% of our capital stock and their affiliated entities. None of our directors or executive officers purchased shares of Series F convertible preferred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 of</w:t>
            </w:r>
          </w:p>
        </w:tc>
        <w:tc>
          <w:tcPr>
            <w:tcW w:w="300" w:type="dxa"/>
            <w:vAlign w:val="bottom"/>
          </w:tcPr>
          <w:p>
            <w:pPr>
              <w:spacing w:after="0"/>
              <w:rPr>
                <w:sz w:val="13"/>
                <w:szCs w:val="13"/>
                <w:color w:val="auto"/>
              </w:rPr>
            </w:pPr>
          </w:p>
        </w:tc>
        <w:tc>
          <w:tcPr>
            <w:tcW w:w="1280" w:type="dxa"/>
            <w:vAlign w:val="bottom"/>
            <w:vMerge w:val="restart"/>
          </w:tcPr>
          <w:p>
            <w:pPr>
              <w:jc w:val="center"/>
              <w:ind w:right="20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4"/>
        </w:trPr>
        <w:tc>
          <w:tcPr>
            <w:tcW w:w="7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w w:val="98"/>
              </w:rPr>
              <w:t>Series F</w:t>
            </w:r>
          </w:p>
        </w:tc>
        <w:tc>
          <w:tcPr>
            <w:tcW w:w="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Stockholder</w:t>
            </w:r>
          </w:p>
        </w:tc>
        <w:tc>
          <w:tcPr>
            <w:tcW w:w="166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rPr>
              <w:t>Convertible</w:t>
            </w:r>
          </w:p>
        </w:tc>
        <w:tc>
          <w:tcPr>
            <w:tcW w:w="300" w:type="dxa"/>
            <w:vAlign w:val="bottom"/>
          </w:tcPr>
          <w:p>
            <w:pPr>
              <w:spacing w:after="0"/>
              <w:rPr>
                <w:sz w:val="10"/>
                <w:szCs w:val="10"/>
                <w:color w:val="auto"/>
              </w:rPr>
            </w:pPr>
          </w:p>
        </w:tc>
        <w:tc>
          <w:tcPr>
            <w:tcW w:w="1280" w:type="dxa"/>
            <w:vAlign w:val="bottom"/>
          </w:tcPr>
          <w:p>
            <w:pPr>
              <w:jc w:val="center"/>
              <w:ind w:right="203"/>
              <w:spacing w:after="0" w:line="124" w:lineRule="exact"/>
              <w:rPr>
                <w:sz w:val="20"/>
                <w:szCs w:val="20"/>
                <w:color w:val="auto"/>
              </w:rPr>
            </w:pPr>
            <w:r>
              <w:rPr>
                <w:rFonts w:ascii="Arial" w:cs="Arial" w:eastAsia="Arial" w:hAnsi="Arial"/>
                <w:sz w:val="13"/>
                <w:szCs w:val="13"/>
                <w:b w:val="1"/>
                <w:bCs w:val="1"/>
                <w:color w:val="auto"/>
              </w:rPr>
              <w:t>Purchase</w:t>
            </w:r>
          </w:p>
        </w:tc>
        <w:tc>
          <w:tcPr>
            <w:tcW w:w="0" w:type="dxa"/>
            <w:vAlign w:val="bottom"/>
          </w:tcPr>
          <w:p>
            <w:pPr>
              <w:spacing w:after="0"/>
              <w:rPr>
                <w:sz w:val="1"/>
                <w:szCs w:val="1"/>
                <w:color w:val="auto"/>
              </w:rPr>
            </w:pPr>
          </w:p>
        </w:tc>
      </w:tr>
      <w:tr>
        <w:trPr>
          <w:trHeight w:val="162"/>
        </w:trPr>
        <w:tc>
          <w:tcPr>
            <w:tcW w:w="8000" w:type="dxa"/>
            <w:vAlign w:val="bottom"/>
            <w:gridSpan w:val="2"/>
            <w:vMerge w:val="continue"/>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Preferred Stock</w:t>
            </w:r>
          </w:p>
        </w:tc>
        <w:tc>
          <w:tcPr>
            <w:tcW w:w="300" w:type="dxa"/>
            <w:vAlign w:val="bottom"/>
          </w:tcPr>
          <w:p>
            <w:pPr>
              <w:spacing w:after="0"/>
              <w:rPr>
                <w:sz w:val="14"/>
                <w:szCs w:val="14"/>
                <w:color w:val="auto"/>
              </w:rPr>
            </w:pPr>
          </w:p>
        </w:tc>
        <w:tc>
          <w:tcPr>
            <w:tcW w:w="1280" w:type="dxa"/>
            <w:vAlign w:val="bottom"/>
          </w:tcPr>
          <w:p>
            <w:pPr>
              <w:jc w:val="center"/>
              <w:ind w:right="203"/>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4"/>
        </w:trPr>
        <w:tc>
          <w:tcPr>
            <w:tcW w:w="7920" w:type="dxa"/>
            <w:vAlign w:val="bottom"/>
            <w:tcBorders>
              <w:top w:val="single" w:sz="8" w:color="auto"/>
            </w:tcBorders>
            <w:shd w:val="clear" w:color="auto" w:fill="CCEEFF"/>
          </w:tcPr>
          <w:p>
            <w:pPr>
              <w:ind w:left="20"/>
              <w:spacing w:after="0" w:line="204" w:lineRule="exact"/>
              <w:rPr>
                <w:sz w:val="20"/>
                <w:szCs w:val="20"/>
                <w:color w:val="auto"/>
              </w:rPr>
            </w:pPr>
            <w:r>
              <w:rPr>
                <w:rFonts w:ascii="Arial" w:cs="Arial" w:eastAsia="Arial" w:hAnsi="Arial"/>
                <w:sz w:val="17"/>
                <w:szCs w:val="17"/>
                <w:color w:val="auto"/>
              </w:rPr>
              <w:t>Entities affiliated with Global Private Opportunities Partners</w:t>
            </w:r>
            <w:r>
              <w:rPr>
                <w:rFonts w:ascii="Arial" w:cs="Arial" w:eastAsia="Arial" w:hAnsi="Arial"/>
                <w:sz w:val="21"/>
                <w:szCs w:val="21"/>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261,479</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1,799,995</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Entities affiliated with Highland Capital Partners</w:t>
            </w:r>
            <w:r>
              <w:rPr>
                <w:rFonts w:ascii="Arial" w:cs="Arial" w:eastAsia="Arial" w:hAnsi="Arial"/>
                <w:sz w:val="21"/>
                <w:szCs w:val="21"/>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7"/>
                <w:szCs w:val="17"/>
                <w:color w:val="auto"/>
              </w:rPr>
              <w:t>130,739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899,994</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Entities affiliated with Park West Partners</w:t>
            </w:r>
            <w:r>
              <w:rPr>
                <w:rFonts w:ascii="Arial" w:cs="Arial" w:eastAsia="Arial" w:hAnsi="Arial"/>
                <w:sz w:val="21"/>
                <w:szCs w:val="21"/>
                <w:color w:val="auto"/>
                <w:vertAlign w:val="superscript"/>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7,844,390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53,999,996</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Entities affiliated with Redpoint Ventures</w:t>
            </w:r>
            <w:r>
              <w:rPr>
                <w:rFonts w:ascii="Arial" w:cs="Arial" w:eastAsia="Arial" w:hAnsi="Arial"/>
                <w:sz w:val="21"/>
                <w:szCs w:val="21"/>
                <w:color w:val="auto"/>
                <w:vertAlign w:val="superscript"/>
              </w:rPr>
              <w:t>(4)</w:t>
            </w:r>
          </w:p>
        </w:tc>
        <w:tc>
          <w:tcPr>
            <w:tcW w:w="1580" w:type="dxa"/>
            <w:vAlign w:val="bottom"/>
          </w:tcPr>
          <w:p>
            <w:pPr>
              <w:jc w:val="right"/>
              <w:spacing w:after="0"/>
              <w:rPr>
                <w:sz w:val="20"/>
                <w:szCs w:val="20"/>
                <w:color w:val="auto"/>
              </w:rPr>
            </w:pPr>
            <w:r>
              <w:rPr>
                <w:rFonts w:ascii="Arial" w:cs="Arial" w:eastAsia="Arial" w:hAnsi="Arial"/>
                <w:sz w:val="17"/>
                <w:szCs w:val="17"/>
                <w:color w:val="auto"/>
              </w:rPr>
              <w:t>196,109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1,349,995</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Entities affiliated with Upfront Ventures</w:t>
            </w:r>
            <w:r>
              <w:rPr>
                <w:rFonts w:ascii="Arial" w:cs="Arial" w:eastAsia="Arial" w:hAnsi="Arial"/>
                <w:sz w:val="21"/>
                <w:szCs w:val="21"/>
                <w:color w:val="auto"/>
                <w:vertAlign w:val="superscript"/>
              </w:rPr>
              <w:t>(5)</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1,799,988</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Arial" w:cs="Arial" w:eastAsia="Arial" w:hAnsi="Arial"/>
                <w:sz w:val="15"/>
                <w:szCs w:val="15"/>
                <w:color w:val="auto"/>
              </w:rPr>
              <w:t>________________</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242" w:lineRule="auto"/>
        <w:tabs>
          <w:tab w:leader="none" w:pos="29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Consists of Global Private Opportunities Partners II LP and Global Private Opportunities Partners II Offshore Holdings LP. Ian Friedman, a member of our board of directors, was a partner at Global Private Opportunities Partners at the time of the Series F convertible preferred financing.</w:t>
      </w:r>
    </w:p>
    <w:p>
      <w:pPr>
        <w:jc w:val="both"/>
        <w:ind w:left="300" w:hanging="300"/>
        <w:spacing w:after="0" w:line="242" w:lineRule="auto"/>
        <w:tabs>
          <w:tab w:leader="none" w:pos="29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Consists of Highland Capital Partners VII Limited Partnership, Highland Capital Partners VII-B Limited Partnership, Highland Capital Partners VII-C Limited Partnership, Highland Entrepreneurs’ Fund VII Limited Partnership, Highland Capital Partners VIII Limited Partnership, Highland Capital Partners VIII-B Limited Partnership and Highland Capital Partners VIII-C Limited Partnership. Dan Nova, a member of our board of directors, is a partner at Highland Capital Partners.</w:t>
      </w:r>
    </w:p>
    <w:p>
      <w:pPr>
        <w:ind w:left="300" w:hanging="300"/>
        <w:spacing w:after="0"/>
        <w:tabs>
          <w:tab w:leader="none" w:pos="3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Consists of Park West Investors Master Fund, Limited and Park West Partners International, Limited.</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Consists of Redpoint Ventures IV, L.P. and Redpoint Associates IV, L.L.C. Timothy Haley, a member of our board of directors, is a partner at Redpoint Ventures.</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Consists of Upfront Growth I, L.P. and Upfront Growth II, L.P. Greg Bettinelli, a member of our board of directors, is a partner at Upfront Ventures.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Third-Party Tender Offer</w:t>
      </w:r>
    </w:p>
    <w:p>
      <w:pPr>
        <w:spacing w:after="0" w:line="155"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In connection with the Series F Convertible Preferred Stock Financing, we entered into the Series F Preferred Stock Purchase Agreement with several parties, including Global Private Opportunities Partners, Highland Capital Partners, Park West Partners, Redpoint Ventures and Upfront Ventures, each a holder of more than 5% of our capital stock, pursuant to which we agreed that Global Private Opportunities Partners, Highland Capital Partners, Park West Partners, Redpoint Ventures, Upfront Ventures and certain other buyers would commence a tender offer for shares of our common stock, which we refer to as the 2019 Third-Party Tender. In connection with the 2019 Third-Party Tender, we waived certain transfer restrictions on our common stock. Global Private Opportunities Partners, Highland Capital Partners, Park West Partners, Redpoint Ventures, Upfront Ventures and certain other buyers conducted a tender offer for shares of our outstanding common stock and common stock issuable upon exercise of vested options to purchase common stock from our stockholders and purchased an aggregate of 1,125,813 shares of our common stock from our stockholders, at a purchase price of $6.8839 per share, for an aggregate purchase price of $7.7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240"/>
          </w:cols>
          <w:pgMar w:left="320" w:top="118" w:right="339" w:bottom="1440" w:gutter="0" w:footer="0" w:header="0"/>
        </w:sectPr>
      </w:pPr>
    </w:p>
    <w:bookmarkStart w:id="171" w:name="page172"/>
    <w:bookmarkEnd w:id="17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firstLine="299"/>
        <w:spacing w:after="0" w:line="277" w:lineRule="auto"/>
        <w:rPr>
          <w:sz w:val="20"/>
          <w:szCs w:val="20"/>
          <w:color w:val="auto"/>
        </w:rPr>
      </w:pPr>
      <w:r>
        <w:rPr>
          <w:rFonts w:ascii="Arial" w:cs="Arial" w:eastAsia="Arial" w:hAnsi="Arial"/>
          <w:sz w:val="17"/>
          <w:szCs w:val="17"/>
          <w:color w:val="auto"/>
        </w:rPr>
        <w:t>The following table summarizes purchases of common stock by Global Private Opportunities Partners, Highland Capital Partners, Park West Partners, Redpoint Ventures and Upfront Ventures, each a holder of more than 5% of our capital stock, in the 2019 Third-Party Tender.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Shares of</w:t>
            </w:r>
          </w:p>
        </w:tc>
        <w:tc>
          <w:tcPr>
            <w:tcW w:w="280" w:type="dxa"/>
            <w:vAlign w:val="bottom"/>
          </w:tcPr>
          <w:p>
            <w:pPr>
              <w:spacing w:after="0"/>
              <w:rPr>
                <w:sz w:val="13"/>
                <w:szCs w:val="13"/>
                <w:color w:val="auto"/>
              </w:rPr>
            </w:pPr>
          </w:p>
        </w:tc>
        <w:tc>
          <w:tcPr>
            <w:tcW w:w="1300" w:type="dxa"/>
            <w:vAlign w:val="bottom"/>
          </w:tcPr>
          <w:p>
            <w:pPr>
              <w:jc w:val="center"/>
              <w:ind w:right="223"/>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24"/>
        </w:trPr>
        <w:tc>
          <w:tcPr>
            <w:tcW w:w="8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Buyer</w:t>
            </w:r>
          </w:p>
        </w:tc>
        <w:tc>
          <w:tcPr>
            <w:tcW w:w="16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center"/>
              <w:ind w:right="223"/>
              <w:spacing w:after="0" w:line="124" w:lineRule="exact"/>
              <w:rPr>
                <w:sz w:val="20"/>
                <w:szCs w:val="20"/>
                <w:color w:val="auto"/>
              </w:rPr>
            </w:pPr>
            <w:r>
              <w:rPr>
                <w:rFonts w:ascii="Arial" w:cs="Arial" w:eastAsia="Arial" w:hAnsi="Arial"/>
                <w:sz w:val="13"/>
                <w:szCs w:val="13"/>
                <w:b w:val="1"/>
                <w:bCs w:val="1"/>
                <w:color w:val="auto"/>
              </w:rPr>
              <w:t>Purchase</w:t>
            </w:r>
          </w:p>
        </w:tc>
        <w:tc>
          <w:tcPr>
            <w:tcW w:w="0" w:type="dxa"/>
            <w:vAlign w:val="bottom"/>
          </w:tcPr>
          <w:p>
            <w:pPr>
              <w:spacing w:after="0"/>
              <w:rPr>
                <w:sz w:val="1"/>
                <w:szCs w:val="1"/>
                <w:color w:val="auto"/>
              </w:rPr>
            </w:pPr>
          </w:p>
        </w:tc>
      </w:tr>
      <w:tr>
        <w:trPr>
          <w:trHeight w:val="162"/>
        </w:trPr>
        <w:tc>
          <w:tcPr>
            <w:tcW w:w="8000" w:type="dxa"/>
            <w:vAlign w:val="bottom"/>
            <w:gridSpan w:val="2"/>
            <w:vMerge w:val="continue"/>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4"/>
                <w:szCs w:val="14"/>
                <w:color w:val="auto"/>
              </w:rPr>
            </w:pPr>
          </w:p>
        </w:tc>
        <w:tc>
          <w:tcPr>
            <w:tcW w:w="1300" w:type="dxa"/>
            <w:vAlign w:val="bottom"/>
          </w:tcPr>
          <w:p>
            <w:pPr>
              <w:jc w:val="center"/>
              <w:ind w:right="183"/>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4"/>
        </w:trPr>
        <w:tc>
          <w:tcPr>
            <w:tcW w:w="7880" w:type="dxa"/>
            <w:vAlign w:val="bottom"/>
            <w:tcBorders>
              <w:top w:val="single" w:sz="8" w:color="auto"/>
            </w:tcBorders>
            <w:shd w:val="clear" w:color="auto" w:fill="CCEEFF"/>
          </w:tcPr>
          <w:p>
            <w:pPr>
              <w:ind w:left="20"/>
              <w:spacing w:after="0" w:line="204" w:lineRule="exact"/>
              <w:rPr>
                <w:sz w:val="20"/>
                <w:szCs w:val="20"/>
                <w:color w:val="auto"/>
              </w:rPr>
            </w:pPr>
            <w:r>
              <w:rPr>
                <w:rFonts w:ascii="Arial" w:cs="Arial" w:eastAsia="Arial" w:hAnsi="Arial"/>
                <w:sz w:val="17"/>
                <w:szCs w:val="17"/>
                <w:color w:val="auto"/>
              </w:rPr>
              <w:t>Entities affiliated with Global Private Opportunities Partners</w:t>
            </w:r>
            <w:r>
              <w:rPr>
                <w:rFonts w:ascii="Arial" w:cs="Arial" w:eastAsia="Arial" w:hAnsi="Arial"/>
                <w:sz w:val="21"/>
                <w:szCs w:val="21"/>
                <w:color w:val="auto"/>
                <w:vertAlign w:val="superscript"/>
              </w:rPr>
              <w:t>(1)</w:t>
            </w: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29,053</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199,998</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Entities affiliated with Highland Capital Partners</w:t>
            </w:r>
            <w:r>
              <w:rPr>
                <w:rFonts w:ascii="Arial" w:cs="Arial" w:eastAsia="Arial" w:hAnsi="Arial"/>
                <w:sz w:val="21"/>
                <w:szCs w:val="21"/>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7"/>
                <w:szCs w:val="17"/>
                <w:color w:val="auto"/>
              </w:rPr>
              <w:t>14,526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99,996</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Entities affiliated with Park West Partners</w:t>
            </w:r>
            <w:r>
              <w:rPr>
                <w:rFonts w:ascii="Arial" w:cs="Arial" w:eastAsia="Arial" w:hAnsi="Arial"/>
                <w:sz w:val="21"/>
                <w:szCs w:val="21"/>
                <w:color w:val="auto"/>
                <w:vertAlign w:val="superscript"/>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871,599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6,000,001</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Entities affiliated with Redpoint Ventures</w:t>
            </w:r>
            <w:r>
              <w:rPr>
                <w:rFonts w:ascii="Arial" w:cs="Arial" w:eastAsia="Arial" w:hAnsi="Arial"/>
                <w:sz w:val="21"/>
                <w:szCs w:val="21"/>
                <w:color w:val="auto"/>
                <w:vertAlign w:val="superscript"/>
              </w:rPr>
              <w:t>(4)</w:t>
            </w:r>
          </w:p>
        </w:tc>
        <w:tc>
          <w:tcPr>
            <w:tcW w:w="1580" w:type="dxa"/>
            <w:vAlign w:val="bottom"/>
          </w:tcPr>
          <w:p>
            <w:pPr>
              <w:jc w:val="right"/>
              <w:spacing w:after="0"/>
              <w:rPr>
                <w:sz w:val="20"/>
                <w:szCs w:val="20"/>
                <w:color w:val="auto"/>
              </w:rPr>
            </w:pPr>
            <w:r>
              <w:rPr>
                <w:rFonts w:ascii="Arial" w:cs="Arial" w:eastAsia="Arial" w:hAnsi="Arial"/>
                <w:sz w:val="17"/>
                <w:szCs w:val="17"/>
                <w:color w:val="auto"/>
              </w:rPr>
              <w:t>21,790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150,000</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Entities affiliated with Upfront Ventures</w:t>
            </w:r>
            <w:r>
              <w:rPr>
                <w:rFonts w:ascii="Arial" w:cs="Arial" w:eastAsia="Arial" w:hAnsi="Arial"/>
                <w:sz w:val="21"/>
                <w:szCs w:val="21"/>
                <w:color w:val="auto"/>
                <w:vertAlign w:val="superscript"/>
              </w:rPr>
              <w:t>(5)</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199,998</w:t>
            </w:r>
          </w:p>
        </w:tc>
        <w:tc>
          <w:tcPr>
            <w:tcW w:w="0" w:type="dxa"/>
            <w:vAlign w:val="bottom"/>
          </w:tcPr>
          <w:p>
            <w:pPr>
              <w:spacing w:after="0"/>
              <w:rPr>
                <w:sz w:val="1"/>
                <w:szCs w:val="1"/>
                <w:color w:val="auto"/>
              </w:rPr>
            </w:pPr>
          </w:p>
        </w:tc>
      </w:tr>
      <w:tr>
        <w:trPr>
          <w:trHeight w:val="176"/>
        </w:trPr>
        <w:tc>
          <w:tcPr>
            <w:tcW w:w="7880" w:type="dxa"/>
            <w:vAlign w:val="bottom"/>
          </w:tcPr>
          <w:p>
            <w:pPr>
              <w:spacing w:after="0"/>
              <w:rPr>
                <w:sz w:val="20"/>
                <w:szCs w:val="20"/>
                <w:color w:val="auto"/>
              </w:rPr>
            </w:pPr>
            <w:r>
              <w:rPr>
                <w:rFonts w:ascii="Arial" w:cs="Arial" w:eastAsia="Arial" w:hAnsi="Arial"/>
                <w:sz w:val="15"/>
                <w:szCs w:val="15"/>
                <w:color w:val="auto"/>
              </w:rPr>
              <w:t>_______________</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242" w:lineRule="auto"/>
        <w:tabs>
          <w:tab w:leader="none" w:pos="296" w:val="left"/>
        </w:tabs>
        <w:numPr>
          <w:ilvl w:val="0"/>
          <w:numId w:val="110"/>
        </w:numPr>
        <w:rPr>
          <w:rFonts w:ascii="Arial" w:cs="Arial" w:eastAsia="Arial" w:hAnsi="Arial"/>
          <w:sz w:val="15"/>
          <w:szCs w:val="15"/>
          <w:color w:val="auto"/>
        </w:rPr>
      </w:pPr>
      <w:r>
        <w:rPr>
          <w:rFonts w:ascii="Arial" w:cs="Arial" w:eastAsia="Arial" w:hAnsi="Arial"/>
          <w:sz w:val="15"/>
          <w:szCs w:val="15"/>
          <w:color w:val="auto"/>
        </w:rPr>
        <w:t>Consists of Global Private Opportunities Partners II LP and Global Private Opportunities Partners II Offshore Holdings LP. Ian Friedman, a member of our board of directors, was a partner at Global Private Opportunities Partners at the time of the 2019 Third Party Tender.</w:t>
      </w:r>
    </w:p>
    <w:p>
      <w:pPr>
        <w:jc w:val="both"/>
        <w:ind w:left="300" w:hanging="300"/>
        <w:spacing w:after="0" w:line="242" w:lineRule="auto"/>
        <w:tabs>
          <w:tab w:leader="none" w:pos="296" w:val="left"/>
        </w:tabs>
        <w:numPr>
          <w:ilvl w:val="0"/>
          <w:numId w:val="110"/>
        </w:numPr>
        <w:rPr>
          <w:rFonts w:ascii="Arial" w:cs="Arial" w:eastAsia="Arial" w:hAnsi="Arial"/>
          <w:sz w:val="15"/>
          <w:szCs w:val="15"/>
          <w:color w:val="auto"/>
        </w:rPr>
      </w:pPr>
      <w:r>
        <w:rPr>
          <w:rFonts w:ascii="Arial" w:cs="Arial" w:eastAsia="Arial" w:hAnsi="Arial"/>
          <w:sz w:val="15"/>
          <w:szCs w:val="15"/>
          <w:color w:val="auto"/>
        </w:rPr>
        <w:t>Consists of Highland Capital Partners VII Limited Partnership, Highland Capital Partners VII-B Limited Partnership, Highland Capital Partners VII-C Limited Partnership, Highland Entrepreneurs’ Fund VII Limited Partnership, Highland Capital Partners VIII Limited Partnership, Highland Capital Partners VIII-B Limited Partnership and Highland Capital Partners VIII-C Limited Partnership. Dan Nova, a member of our board of directors, is a partner at Highland Capital Partners.</w:t>
      </w:r>
    </w:p>
    <w:p>
      <w:pPr>
        <w:ind w:left="300" w:hanging="300"/>
        <w:spacing w:after="0"/>
        <w:tabs>
          <w:tab w:leader="none" w:pos="3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Consists of Park West Investors Master Fund, Limited and Park West Partners International, Limited.</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Consists of Redpoint Ventures IV, L.P. and Redpoint Associates IV, L.L.C. Timothy Haley, a member of our board of directors, is a partner at Redpoint Ventures.</w:t>
      </w:r>
    </w:p>
    <w:p>
      <w:pPr>
        <w:spacing w:after="0" w:line="1" w:lineRule="exact"/>
        <w:rPr>
          <w:rFonts w:ascii="Arial" w:cs="Arial" w:eastAsia="Arial" w:hAnsi="Arial"/>
          <w:sz w:val="15"/>
          <w:szCs w:val="15"/>
          <w:color w:val="auto"/>
        </w:rPr>
      </w:pPr>
    </w:p>
    <w:p>
      <w:pPr>
        <w:ind w:left="300" w:hanging="300"/>
        <w:spacing w:after="0"/>
        <w:tabs>
          <w:tab w:leader="none" w:pos="3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Consists of Upfront Growth I, L.P. and Upfront Growth II, L.P. Greg Bettinelli, a member of our board of directors, is a partner at Upfront Ventures.</w:t>
      </w:r>
    </w:p>
    <w:p>
      <w:pPr>
        <w:spacing w:after="0" w:line="128"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The following table summarizes purchases of common stock from our executive officers in the 2019 Third-Party Tender.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Shares of</w:t>
            </w:r>
          </w:p>
        </w:tc>
        <w:tc>
          <w:tcPr>
            <w:tcW w:w="280" w:type="dxa"/>
            <w:vAlign w:val="bottom"/>
          </w:tcPr>
          <w:p>
            <w:pPr>
              <w:spacing w:after="0"/>
              <w:rPr>
                <w:sz w:val="13"/>
                <w:szCs w:val="13"/>
                <w:color w:val="auto"/>
              </w:rPr>
            </w:pPr>
          </w:p>
        </w:tc>
        <w:tc>
          <w:tcPr>
            <w:tcW w:w="1300" w:type="dxa"/>
            <w:vAlign w:val="bottom"/>
          </w:tcPr>
          <w:p>
            <w:pPr>
              <w:jc w:val="center"/>
              <w:ind w:right="223"/>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24"/>
        </w:trPr>
        <w:tc>
          <w:tcPr>
            <w:tcW w:w="2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Stockholder</w:t>
            </w:r>
          </w:p>
        </w:tc>
        <w:tc>
          <w:tcPr>
            <w:tcW w:w="5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Title</w:t>
            </w:r>
          </w:p>
        </w:tc>
        <w:tc>
          <w:tcPr>
            <w:tcW w:w="16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center"/>
              <w:ind w:right="223"/>
              <w:spacing w:after="0" w:line="124" w:lineRule="exact"/>
              <w:rPr>
                <w:sz w:val="20"/>
                <w:szCs w:val="20"/>
                <w:color w:val="auto"/>
              </w:rPr>
            </w:pPr>
            <w:r>
              <w:rPr>
                <w:rFonts w:ascii="Arial" w:cs="Arial" w:eastAsia="Arial" w:hAnsi="Arial"/>
                <w:sz w:val="13"/>
                <w:szCs w:val="13"/>
                <w:b w:val="1"/>
                <w:bCs w:val="1"/>
                <w:color w:val="auto"/>
              </w:rPr>
              <w:t>Purchase</w:t>
            </w:r>
          </w:p>
        </w:tc>
        <w:tc>
          <w:tcPr>
            <w:tcW w:w="0" w:type="dxa"/>
            <w:vAlign w:val="bottom"/>
          </w:tcPr>
          <w:p>
            <w:pPr>
              <w:spacing w:after="0"/>
              <w:rPr>
                <w:sz w:val="1"/>
                <w:szCs w:val="1"/>
                <w:color w:val="auto"/>
              </w:rPr>
            </w:pPr>
          </w:p>
        </w:tc>
      </w:tr>
      <w:tr>
        <w:trPr>
          <w:trHeight w:val="162"/>
        </w:trPr>
        <w:tc>
          <w:tcPr>
            <w:tcW w:w="2960" w:type="dxa"/>
            <w:vAlign w:val="bottom"/>
            <w:gridSpan w:val="2"/>
            <w:vMerge w:val="continue"/>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4"/>
                <w:szCs w:val="14"/>
                <w:color w:val="auto"/>
              </w:rPr>
            </w:pPr>
          </w:p>
        </w:tc>
        <w:tc>
          <w:tcPr>
            <w:tcW w:w="1300" w:type="dxa"/>
            <w:vAlign w:val="bottom"/>
          </w:tcPr>
          <w:p>
            <w:pPr>
              <w:jc w:val="center"/>
              <w:ind w:right="183"/>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4"/>
        </w:trPr>
        <w:tc>
          <w:tcPr>
            <w:tcW w:w="2880" w:type="dxa"/>
            <w:vAlign w:val="bottom"/>
            <w:tcBorders>
              <w:top w:val="single" w:sz="8" w:color="auto"/>
            </w:tcBorders>
            <w:shd w:val="clear" w:color="auto" w:fill="CCEEFF"/>
          </w:tcPr>
          <w:p>
            <w:pPr>
              <w:ind w:left="20"/>
              <w:spacing w:after="0" w:line="204" w:lineRule="exact"/>
              <w:rPr>
                <w:sz w:val="20"/>
                <w:szCs w:val="20"/>
                <w:color w:val="auto"/>
              </w:rPr>
            </w:pPr>
            <w:r>
              <w:rPr>
                <w:rFonts w:ascii="Arial" w:cs="Arial" w:eastAsia="Arial" w:hAnsi="Arial"/>
                <w:sz w:val="17"/>
                <w:szCs w:val="17"/>
                <w:color w:val="auto"/>
              </w:rPr>
              <w:t>Costanoa Family Trust</w:t>
            </w:r>
            <w:r>
              <w:rPr>
                <w:rFonts w:ascii="Arial" w:cs="Arial" w:eastAsia="Arial" w:hAnsi="Arial"/>
                <w:sz w:val="21"/>
                <w:szCs w:val="21"/>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312,417</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2,150,647</w:t>
            </w:r>
          </w:p>
        </w:tc>
        <w:tc>
          <w:tcPr>
            <w:tcW w:w="0" w:type="dxa"/>
            <w:vAlign w:val="bottom"/>
          </w:tcPr>
          <w:p>
            <w:pPr>
              <w:spacing w:after="0"/>
              <w:rPr>
                <w:sz w:val="1"/>
                <w:szCs w:val="1"/>
                <w:color w:val="auto"/>
              </w:rPr>
            </w:pPr>
          </w:p>
        </w:tc>
      </w:tr>
      <w:tr>
        <w:trPr>
          <w:trHeight w:val="212"/>
        </w:trPr>
        <w:tc>
          <w:tcPr>
            <w:tcW w:w="296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Al Ghorai</w:t>
            </w:r>
            <w:r>
              <w:rPr>
                <w:rFonts w:ascii="Arial" w:cs="Arial" w:eastAsia="Arial" w:hAnsi="Arial"/>
                <w:sz w:val="21"/>
                <w:szCs w:val="21"/>
                <w:color w:val="auto"/>
                <w:vertAlign w:val="superscript"/>
              </w:rPr>
              <w:t>(2)</w:t>
            </w:r>
          </w:p>
        </w:tc>
        <w:tc>
          <w:tcPr>
            <w:tcW w:w="5040" w:type="dxa"/>
            <w:vAlign w:val="bottom"/>
            <w:gridSpan w:val="2"/>
          </w:tcPr>
          <w:p>
            <w:pPr>
              <w:ind w:left="20"/>
              <w:spacing w:after="0"/>
              <w:rPr>
                <w:sz w:val="20"/>
                <w:szCs w:val="20"/>
                <w:color w:val="auto"/>
              </w:rPr>
            </w:pPr>
            <w:r>
              <w:rPr>
                <w:rFonts w:ascii="Arial" w:cs="Arial" w:eastAsia="Arial" w:hAnsi="Arial"/>
                <w:sz w:val="17"/>
                <w:szCs w:val="17"/>
                <w:color w:val="auto"/>
              </w:rPr>
              <w:t>Senior Vice President, Operations</w:t>
            </w:r>
          </w:p>
        </w:tc>
        <w:tc>
          <w:tcPr>
            <w:tcW w:w="1580" w:type="dxa"/>
            <w:vAlign w:val="bottom"/>
          </w:tcPr>
          <w:p>
            <w:pPr>
              <w:jc w:val="right"/>
              <w:spacing w:after="0"/>
              <w:rPr>
                <w:sz w:val="20"/>
                <w:szCs w:val="20"/>
                <w:color w:val="auto"/>
              </w:rPr>
            </w:pPr>
            <w:r>
              <w:rPr>
                <w:rFonts w:ascii="Arial" w:cs="Arial" w:eastAsia="Arial" w:hAnsi="Arial"/>
                <w:sz w:val="17"/>
                <w:szCs w:val="17"/>
                <w:color w:val="auto"/>
              </w:rPr>
              <w:t>90,000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619,551</w:t>
            </w:r>
          </w:p>
        </w:tc>
        <w:tc>
          <w:tcPr>
            <w:tcW w:w="0" w:type="dxa"/>
            <w:vAlign w:val="bottom"/>
          </w:tcPr>
          <w:p>
            <w:pPr>
              <w:spacing w:after="0"/>
              <w:rPr>
                <w:sz w:val="1"/>
                <w:szCs w:val="1"/>
                <w:color w:val="auto"/>
              </w:rPr>
            </w:pPr>
          </w:p>
        </w:tc>
      </w:tr>
      <w:tr>
        <w:trPr>
          <w:trHeight w:val="21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Christopher Homer</w:t>
            </w: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Operating Officer, Co-Founder</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1,548,878</w:t>
            </w:r>
          </w:p>
        </w:tc>
        <w:tc>
          <w:tcPr>
            <w:tcW w:w="0" w:type="dxa"/>
            <w:vAlign w:val="bottom"/>
          </w:tcPr>
          <w:p>
            <w:pPr>
              <w:spacing w:after="0"/>
              <w:rPr>
                <w:sz w:val="1"/>
                <w:szCs w:val="1"/>
                <w:color w:val="auto"/>
              </w:rPr>
            </w:pPr>
          </w:p>
        </w:tc>
      </w:tr>
      <w:tr>
        <w:trPr>
          <w:trHeight w:val="212"/>
        </w:trPr>
        <w:tc>
          <w:tcPr>
            <w:tcW w:w="2960" w:type="dxa"/>
            <w:vAlign w:val="bottom"/>
            <w:gridSpan w:val="2"/>
          </w:tcPr>
          <w:p>
            <w:pPr>
              <w:ind w:left="20"/>
              <w:spacing w:after="0"/>
              <w:rPr>
                <w:sz w:val="20"/>
                <w:szCs w:val="20"/>
                <w:color w:val="auto"/>
              </w:rPr>
            </w:pPr>
            <w:r>
              <w:rPr>
                <w:rFonts w:ascii="Arial" w:cs="Arial" w:eastAsia="Arial" w:hAnsi="Arial"/>
                <w:sz w:val="17"/>
                <w:szCs w:val="17"/>
                <w:color w:val="auto"/>
              </w:rPr>
              <w:t>Anthony Marino</w:t>
            </w:r>
          </w:p>
        </w:tc>
        <w:tc>
          <w:tcPr>
            <w:tcW w:w="5040" w:type="dxa"/>
            <w:vAlign w:val="bottom"/>
            <w:gridSpan w:val="2"/>
          </w:tcPr>
          <w:p>
            <w:pPr>
              <w:ind w:left="20"/>
              <w:spacing w:after="0"/>
              <w:rPr>
                <w:sz w:val="20"/>
                <w:szCs w:val="20"/>
                <w:color w:val="auto"/>
              </w:rPr>
            </w:pPr>
            <w:r>
              <w:rPr>
                <w:rFonts w:ascii="Arial" w:cs="Arial" w:eastAsia="Arial" w:hAnsi="Arial"/>
                <w:sz w:val="17"/>
                <w:szCs w:val="17"/>
                <w:color w:val="auto"/>
              </w:rPr>
              <w:t>President</w:t>
            </w:r>
          </w:p>
        </w:tc>
        <w:tc>
          <w:tcPr>
            <w:tcW w:w="1580" w:type="dxa"/>
            <w:vAlign w:val="bottom"/>
          </w:tcPr>
          <w:p>
            <w:pPr>
              <w:jc w:val="right"/>
              <w:spacing w:after="0"/>
              <w:rPr>
                <w:sz w:val="20"/>
                <w:szCs w:val="20"/>
                <w:color w:val="auto"/>
              </w:rPr>
            </w:pPr>
            <w:r>
              <w:rPr>
                <w:rFonts w:ascii="Arial" w:cs="Arial" w:eastAsia="Arial" w:hAnsi="Arial"/>
                <w:sz w:val="17"/>
                <w:szCs w:val="17"/>
                <w:color w:val="auto"/>
              </w:rPr>
              <w:t>150,000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1,032,585</w:t>
            </w:r>
          </w:p>
        </w:tc>
        <w:tc>
          <w:tcPr>
            <w:tcW w:w="0" w:type="dxa"/>
            <w:vAlign w:val="bottom"/>
          </w:tcPr>
          <w:p>
            <w:pPr>
              <w:spacing w:after="0"/>
              <w:rPr>
                <w:sz w:val="1"/>
                <w:szCs w:val="1"/>
                <w:color w:val="auto"/>
              </w:rPr>
            </w:pPr>
          </w:p>
        </w:tc>
      </w:tr>
      <w:tr>
        <w:trPr>
          <w:trHeight w:val="21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Alon Rotem</w:t>
            </w: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Legal Officer, Secretary</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275,356</w:t>
            </w:r>
          </w:p>
        </w:tc>
        <w:tc>
          <w:tcPr>
            <w:tcW w:w="0" w:type="dxa"/>
            <w:vAlign w:val="bottom"/>
          </w:tcPr>
          <w:p>
            <w:pPr>
              <w:spacing w:after="0"/>
              <w:rPr>
                <w:sz w:val="1"/>
                <w:szCs w:val="1"/>
                <w:color w:val="auto"/>
              </w:rPr>
            </w:pPr>
          </w:p>
        </w:tc>
      </w:tr>
      <w:tr>
        <w:trPr>
          <w:trHeight w:val="176"/>
        </w:trPr>
        <w:tc>
          <w:tcPr>
            <w:tcW w:w="2880" w:type="dxa"/>
            <w:vAlign w:val="bottom"/>
          </w:tcPr>
          <w:p>
            <w:pPr>
              <w:spacing w:after="0"/>
              <w:rPr>
                <w:sz w:val="20"/>
                <w:szCs w:val="20"/>
                <w:color w:val="auto"/>
              </w:rPr>
            </w:pPr>
            <w:r>
              <w:rPr>
                <w:rFonts w:ascii="Arial" w:cs="Arial" w:eastAsia="Arial" w:hAnsi="Arial"/>
                <w:sz w:val="15"/>
                <w:szCs w:val="15"/>
                <w:color w:val="auto"/>
              </w:rPr>
              <w:t>_______________</w:t>
            </w:r>
          </w:p>
        </w:tc>
        <w:tc>
          <w:tcPr>
            <w:tcW w:w="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242" w:lineRule="auto"/>
        <w:tabs>
          <w:tab w:leader="none" w:pos="29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James Reinhart and Michele Reinhart as Trustees of the Costanoa Family Trust dated July 22, 2015 as amended, is a trust affiliated with Mr. Reinhart, our Chief Executive Officer, Director and Co-Founder.</w:t>
      </w:r>
    </w:p>
    <w:p>
      <w:pPr>
        <w:ind w:left="300" w:hanging="300"/>
        <w:spacing w:after="0"/>
        <w:tabs>
          <w:tab w:leader="none" w:pos="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Al Ghorai was our Chief Financial Officer at the time of the 2019 Third Party Tender Offer.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Sales</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On April 5, 2018, Global Private Opportunities Partners II LP and Global Private Opportunities Partners II Offshore Holdings LP, entities affiliated with Global Private Opportunities Partners, a holder of more than 5% of our outstanding capital stock, purchased 488,461 shares of our common stock at a purchase price of $2.60 per share, for an aggregate purchase price of $1,269,999. Ian Friedman, a member of our board of directors, was a partner at Global Private Opportunities Partners at the time of the purchase.</w:t>
      </w:r>
    </w:p>
    <w:p>
      <w:pPr>
        <w:spacing w:after="0" w:line="115" w:lineRule="exact"/>
        <w:rPr>
          <w:sz w:val="20"/>
          <w:szCs w:val="20"/>
          <w:color w:val="auto"/>
        </w:rPr>
      </w:pPr>
    </w:p>
    <w:p>
      <w:pPr>
        <w:jc w:val="both"/>
        <w:ind w:firstLine="299"/>
        <w:spacing w:after="0" w:line="309" w:lineRule="auto"/>
        <w:rPr>
          <w:sz w:val="20"/>
          <w:szCs w:val="20"/>
          <w:color w:val="auto"/>
        </w:rPr>
      </w:pPr>
      <w:r>
        <w:rPr>
          <w:rFonts w:ascii="Arial" w:cs="Arial" w:eastAsia="Arial" w:hAnsi="Arial"/>
          <w:sz w:val="16"/>
          <w:szCs w:val="16"/>
          <w:color w:val="auto"/>
        </w:rPr>
        <w:t>On April 12, 2018 Upfront IV L.P. and Upfront IV Ancillary, L.P., entities affiliated with Upfront Ventures, a holder of more than 5% of our outstanding capital stock, purchased 488,461 shares of our common stock at a purchase price of $2.60 per share, for an aggregate purchase price of $1,269,999.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240"/>
          </w:cols>
          <w:pgMar w:left="320" w:top="118" w:right="339" w:bottom="1440" w:gutter="0" w:footer="0" w:header="0"/>
        </w:sectPr>
      </w:pPr>
    </w:p>
    <w:bookmarkStart w:id="172" w:name="page173"/>
    <w:bookmarkEnd w:id="17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On April 25, 2018, James Reinhart and Michele Reinhart as Trustees of the Costanoa Family Trust dated July 22, 2015, as amended, a trust affiliated with Mr. Reinhart, our Chief Executive Officer, Director and Co-Founder, purchased 125,001 shares of our common stock at a purchase price of $2.60 per share, for an aggregate purchase price of $325,003.</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 Rights Agreement</w:t>
      </w:r>
    </w:p>
    <w:p>
      <w:pPr>
        <w:spacing w:after="0" w:line="15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are party to a tenth amended and restated investors’ rights agreement, or the investors’ rights agreement, that provides, among other things, that certain holders of our capital stock, including entities affiliated with Global Private Opportunities Partners, Highland Capital Partners, Park West Partners, Redpoint Ventures, Trinity Ventures and Upfront Ventures, which each hold more than 5% of our outstanding capital stock, and Norman Matthews, one of our directors, have the right to demand that we file a registration statement or request that their shares of our capital stock be included on a registration statement that we are otherwise filing. See the section titled “Description of Capital Stock—Registration Rights” for more information regarding these registration rights.</w:t>
      </w:r>
    </w:p>
    <w:p>
      <w:pPr>
        <w:spacing w:after="0" w:line="122"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In addition, pursuant to the investors’ rights agreement, certain holders of our capital stock, including entities affiliated with Global Private Opportunities Partners, Highland Capital Partners, Park West Partners, Redpoint Ventures, Trinity Ventures and Upfront Ventures; James Reinhart, our Chief Executive Officer, director and co-founder; Anthony Marino, our President; Christopher Homer, our Chief Operating Officer and co-founder; and Norman Matthews, our director, have agreed as to the manner in which they will vote their shares of our capital stock on certain matters, including with respect to the election of directors. Upon completion of this offering, the voting provisions of the investors’ rights agreement will terminate and none of our stockholders will have any special rights regarding the election or designation of members of our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 of First Refusal</w:t>
      </w:r>
    </w:p>
    <w:p>
      <w:pPr>
        <w:spacing w:after="0" w:line="15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Pursuant to our equity compensation plans and certain agreements with our stockholders, including the investor’s rights agreement with certain holders of our capital stock, including entities affiliated with Global Private Opportunities Partners, Highland Capital Partners, Park West Partners, Redpoint Ventures, Trinity Ventures and Upfront Ventures, which each hold more than 5% of our outstanding capital stock; James Reinhart, our Chief Executive Officer, director and co-founder; Anthony Marino, our President; and Christopher Homer, our Chief Operating Officer and co-founder, we or our assignees have a right to purchase shares of our capital stock that certain stockholders propose to sell to other parties. This right will terminate upon completion of this offering. Since January 1, 2018, we and our assignees have waived our right of first refusal in connection with the sale of certain shares of our capital stock, including sales by certain of our executive officers. See the section titled “Principal Stockholders” for additional information regarding beneficial ownership of our capital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Transactions</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have granted stock options for common stock to our executive officers and certain of our directors. See the sections titled “Executive Compensation” and “Management—Non-Employee Director Compensation” for a description of these options. In May 2020, we repriced certain outstanding stock options held by active service providers, including our executive officers, and directors with exercise prices above the then-current fair market value of our common stock, such that eligible options with an exercise price above $2.05 per share were amended to reduce such exercise price to $2.05. A total of 13,297,076 options were repriced, including 5,916,424 held collectively by our executive officers and directors.</w:t>
      </w:r>
    </w:p>
    <w:p>
      <w:pPr>
        <w:spacing w:after="0" w:line="11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have entered into change in control arrangements with certain of our executive officers that, among other things, provide for certain severance and change in control benefits. See the section titled “Executive Compensation—Executive Severance Plan” for more information regarding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240"/>
          </w:cols>
          <w:pgMar w:left="320" w:top="118" w:right="339" w:bottom="1440" w:gutter="0" w:footer="0" w:header="0"/>
        </w:sectPr>
      </w:pPr>
    </w:p>
    <w:bookmarkStart w:id="173" w:name="page174"/>
    <w:bookmarkEnd w:id="17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Other than as described above under this section titled “Certain Relationships and Related Person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At our request, the underwriters have reserved up to shares of Class A common stock, or up to 7.0% of the shares offered by us in this offering, for sale at the initial public offering price through a directed share program to certain individuals identified by our officers and directors, which may include certain executive officers and directors. See the section titled “Underwriting—Directed Share Program”.</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of Liability and Indemnification of Officers and Directors</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115" w:lineRule="exact"/>
        <w:rPr>
          <w:sz w:val="20"/>
          <w:szCs w:val="20"/>
          <w:color w:val="auto"/>
        </w:rPr>
      </w:pPr>
    </w:p>
    <w:p>
      <w:pPr>
        <w:ind w:left="600" w:hanging="302"/>
        <w:spacing w:after="0"/>
        <w:tabs>
          <w:tab w:leader="none" w:pos="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breach of their duty of loyalty to our company or our stockholders;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Delaware General Corporation Law; or</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transaction from which they derived an improper personal benefit.</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20"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240"/>
          </w:cols>
          <w:pgMar w:left="320" w:top="118" w:right="339" w:bottom="1440" w:gutter="0" w:footer="0" w:header="0"/>
        </w:sectPr>
      </w:pPr>
    </w:p>
    <w:bookmarkStart w:id="174" w:name="page175"/>
    <w:bookmarkEnd w:id="17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11"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Prior to the completion of this offering, 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1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and/or indemnified against certain liabilities incurred in their capacity as members of our board of directors.</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underwriting agreement will provide for indemnification by the underwriters of us and our officers, directors and employees for certain liabilities arising under the Securities Act or otherwise.</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15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Following the completion of this offering, our audit committee charter will provide that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As of the date of this prospectus, we have not adopted any formal standards, policies or procedures governing the review and approval of related party transactions, but we expect that our audit committee will do so in the future.</w:t>
      </w:r>
    </w:p>
    <w:p>
      <w:pPr>
        <w:spacing w:after="0" w:line="12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All of the transactions described above were entered into prior to the adoption of this policy. Accordingly, each was approved by disinterested members of our board of directors after making a determination that the transaction was executed on terms no less favorable than those that could have been obtained from an unrelated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240"/>
          </w:cols>
          <w:pgMar w:left="320" w:top="118" w:right="339" w:bottom="1440" w:gutter="0" w:footer="0" w:header="0"/>
        </w:sectPr>
      </w:pPr>
    </w:p>
    <w:bookmarkStart w:id="175" w:name="page176"/>
    <w:bookmarkEnd w:id="17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December 31, 2020, as adjusted to reflect the sale of Class A common stock offered by us in this offering, assuming no exercise of the underwriters’ option to purchase additional shares, for:</w:t>
      </w:r>
    </w:p>
    <w:p>
      <w:pPr>
        <w:spacing w:after="0" w:line="111" w:lineRule="exact"/>
        <w:rPr>
          <w:sz w:val="20"/>
          <w:szCs w:val="20"/>
          <w:color w:val="auto"/>
        </w:rPr>
      </w:pPr>
    </w:p>
    <w:p>
      <w:pPr>
        <w:ind w:left="600" w:hanging="302"/>
        <w:spacing w:after="0"/>
        <w:tabs>
          <w:tab w:leader="none" w:pos="6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 and</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person known by us to be the beneficial owner of more than five percent of any class of our voting securities.</w:t>
      </w:r>
    </w:p>
    <w:p>
      <w:pPr>
        <w:spacing w:after="0" w:line="153"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to purchase Class B common stock that are currently exercisable or exercisable within 60 days of December 31, 2020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07"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6"/>
          <w:szCs w:val="16"/>
          <w:color w:val="auto"/>
        </w:rPr>
        <w:t>We have based percentage ownership of our common stock before this offering on 78,860,698 shares of our common stock outstanding as of December 31, 2020, which includes 65,970,938 shares of Class B common stock resulting from the automatic conversion and reclassification of all outstanding shares of our convertible preferred stock immediately prior to the completion of this offering, as if this conversion and reclassification had occurred as of December 31, 2020. In addition, the following table does not reflect any shares of Class A common stock that may be purchased in this offering or pursuant to our directed share program described in the section titled “Underwriting—Directed Share Program.” Percentage ownership of our</w:t>
      </w:r>
    </w:p>
    <w:p>
      <w:pPr>
        <w:spacing w:after="0" w:line="4"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color w:val="auto"/>
        </w:rPr>
        <w:t>common stock after this offering assumes our sale of</w:t>
      </w:r>
      <w:r>
        <w:rPr>
          <w:sz w:val="20"/>
          <w:szCs w:val="20"/>
          <w:color w:val="auto"/>
        </w:rPr>
        <w:tab/>
      </w:r>
      <w:r>
        <w:rPr>
          <w:rFonts w:ascii="Arial" w:cs="Arial" w:eastAsia="Arial" w:hAnsi="Arial"/>
          <w:sz w:val="16"/>
          <w:szCs w:val="16"/>
          <w:color w:val="auto"/>
        </w:rPr>
        <w:t>shares of Class A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240"/>
          </w:cols>
          <w:pgMar w:left="320" w:top="118" w:right="339" w:bottom="1440" w:gutter="0" w:footer="0" w:header="0"/>
        </w:sectPr>
      </w:pPr>
    </w:p>
    <w:bookmarkStart w:id="176" w:name="page177"/>
    <w:bookmarkEnd w:id="17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299"/>
        <w:spacing w:after="0" w:line="277" w:lineRule="auto"/>
        <w:rPr>
          <w:sz w:val="20"/>
          <w:szCs w:val="20"/>
          <w:color w:val="auto"/>
        </w:rPr>
      </w:pPr>
      <w:r>
        <w:rPr>
          <w:rFonts w:ascii="Arial" w:cs="Arial" w:eastAsia="Arial" w:hAnsi="Arial"/>
          <w:sz w:val="17"/>
          <w:szCs w:val="17"/>
          <w:color w:val="auto"/>
        </w:rPr>
        <w:t>Unless otherwise indicated, the address of each beneficial owner listed in the table below is c/o ThredUp Inc., 969 Broadway, Suite 200, Oakland, CA 94607.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8"/>
              </w:rPr>
              <w:t>Shares Beneficially Owned</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0" w:type="dxa"/>
            <w:vAlign w:val="bottom"/>
            <w:gridSpan w:val="5"/>
          </w:tcPr>
          <w:p>
            <w:pPr>
              <w:jc w:val="center"/>
              <w:ind w:right="540"/>
              <w:spacing w:after="0"/>
              <w:rPr>
                <w:sz w:val="20"/>
                <w:szCs w:val="20"/>
                <w:color w:val="auto"/>
              </w:rPr>
            </w:pPr>
            <w:r>
              <w:rPr>
                <w:rFonts w:ascii="Arial" w:cs="Arial" w:eastAsia="Arial" w:hAnsi="Arial"/>
                <w:sz w:val="11"/>
                <w:szCs w:val="11"/>
                <w:b w:val="1"/>
                <w:bCs w:val="1"/>
                <w:color w:val="auto"/>
                <w:w w:val="98"/>
              </w:rPr>
              <w:t>Shares Beneficially Owned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7"/>
              </w:rPr>
              <w:t>Prior to the Offering</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tcPr>
          <w:p>
            <w:pPr>
              <w:jc w:val="center"/>
              <w:ind w:right="540"/>
              <w:spacing w:after="0"/>
              <w:rPr>
                <w:sz w:val="20"/>
                <w:szCs w:val="20"/>
                <w:color w:val="auto"/>
              </w:rPr>
            </w:pPr>
            <w:r>
              <w:rPr>
                <w:rFonts w:ascii="Arial" w:cs="Arial" w:eastAsia="Arial" w:hAnsi="Arial"/>
                <w:sz w:val="11"/>
                <w:szCs w:val="11"/>
                <w:b w:val="1"/>
                <w:bCs w:val="1"/>
                <w:color w:val="auto"/>
                <w:w w:val="98"/>
              </w:rPr>
              <w:t>After the Offering</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Percent of</w:t>
            </w:r>
          </w:p>
        </w:tc>
        <w:tc>
          <w:tcPr>
            <w:tcW w:w="0" w:type="dxa"/>
            <w:vAlign w:val="bottom"/>
          </w:tcPr>
          <w:p>
            <w:pPr>
              <w:spacing w:after="0"/>
              <w:rPr>
                <w:sz w:val="1"/>
                <w:szCs w:val="1"/>
                <w:color w:val="auto"/>
              </w:rPr>
            </w:pPr>
          </w:p>
        </w:tc>
      </w:tr>
      <w:tr>
        <w:trPr>
          <w:trHeight w:val="30"/>
        </w:trPr>
        <w:tc>
          <w:tcPr>
            <w:tcW w:w="2940" w:type="dxa"/>
            <w:vAlign w:val="bottom"/>
          </w:tcPr>
          <w:p>
            <w:pPr>
              <w:spacing w:after="0"/>
              <w:rPr>
                <w:sz w:val="2"/>
                <w:szCs w:val="2"/>
                <w:color w:val="auto"/>
              </w:rPr>
            </w:pPr>
          </w:p>
        </w:tc>
        <w:tc>
          <w:tcPr>
            <w:tcW w:w="1480" w:type="dxa"/>
            <w:vAlign w:val="bottom"/>
            <w:tcBorders>
              <w:top w:val="single" w:sz="8" w:color="auto"/>
            </w:tcBorders>
            <w:gridSpan w:val="3"/>
            <w:vMerge w:val="restart"/>
          </w:tcPr>
          <w:p>
            <w:pPr>
              <w:jc w:val="center"/>
              <w:ind w:left="856"/>
              <w:spacing w:after="0" w:line="129" w:lineRule="exact"/>
              <w:rPr>
                <w:sz w:val="20"/>
                <w:szCs w:val="20"/>
                <w:color w:val="auto"/>
              </w:rPr>
            </w:pPr>
            <w:r>
              <w:rPr>
                <w:rFonts w:ascii="Arial" w:cs="Arial" w:eastAsia="Arial" w:hAnsi="Arial"/>
                <w:sz w:val="11"/>
                <w:szCs w:val="11"/>
                <w:b w:val="1"/>
                <w:bCs w:val="1"/>
                <w:color w:val="auto"/>
                <w:w w:val="94"/>
              </w:rPr>
              <w:t>Class B</w:t>
            </w:r>
            <w:r>
              <w:rPr>
                <w:rFonts w:ascii="Arial" w:cs="Arial" w:eastAsia="Arial" w:hAnsi="Arial"/>
                <w:sz w:val="13"/>
                <w:szCs w:val="13"/>
                <w:b w:val="1"/>
                <w:bCs w:val="1"/>
                <w:color w:val="auto"/>
                <w:w w:val="94"/>
                <w:vertAlign w:val="superscript"/>
              </w:rPr>
              <w:t>(1)</w:t>
            </w:r>
          </w:p>
        </w:tc>
        <w:tc>
          <w:tcPr>
            <w:tcW w:w="9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top w:val="single" w:sz="8" w:color="auto"/>
            </w:tcBorders>
            <w:gridSpan w:val="3"/>
            <w:vMerge w:val="restart"/>
          </w:tcPr>
          <w:p>
            <w:pPr>
              <w:ind w:left="940"/>
              <w:spacing w:after="0"/>
              <w:rPr>
                <w:sz w:val="20"/>
                <w:szCs w:val="20"/>
                <w:color w:val="auto"/>
              </w:rPr>
            </w:pPr>
            <w:r>
              <w:rPr>
                <w:rFonts w:ascii="Arial" w:cs="Arial" w:eastAsia="Arial" w:hAnsi="Arial"/>
                <w:sz w:val="11"/>
                <w:szCs w:val="11"/>
                <w:b w:val="1"/>
                <w:bCs w:val="1"/>
                <w:color w:val="auto"/>
              </w:rPr>
              <w:t>Class A</w:t>
            </w:r>
          </w:p>
        </w:tc>
        <w:tc>
          <w:tcPr>
            <w:tcW w:w="8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gridSpan w:val="3"/>
            <w:vMerge w:val="restart"/>
          </w:tcPr>
          <w:p>
            <w:pPr>
              <w:ind w:left="920"/>
              <w:spacing w:after="0" w:line="129" w:lineRule="exact"/>
              <w:rPr>
                <w:sz w:val="20"/>
                <w:szCs w:val="20"/>
                <w:color w:val="auto"/>
              </w:rPr>
            </w:pPr>
            <w:r>
              <w:rPr>
                <w:rFonts w:ascii="Arial" w:cs="Arial" w:eastAsia="Arial" w:hAnsi="Arial"/>
                <w:sz w:val="11"/>
                <w:szCs w:val="11"/>
                <w:b w:val="1"/>
                <w:bCs w:val="1"/>
                <w:color w:val="auto"/>
                <w:w w:val="98"/>
              </w:rPr>
              <w:t>Class B</w:t>
            </w:r>
            <w:r>
              <w:rPr>
                <w:rFonts w:ascii="Arial" w:cs="Arial" w:eastAsia="Arial" w:hAnsi="Arial"/>
                <w:sz w:val="13"/>
                <w:szCs w:val="13"/>
                <w:b w:val="1"/>
                <w:bCs w:val="1"/>
                <w:color w:val="auto"/>
                <w:w w:val="98"/>
                <w:vertAlign w:val="superscript"/>
              </w:rPr>
              <w:t>(1)</w:t>
            </w: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9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Total Voting</w:t>
            </w:r>
          </w:p>
        </w:tc>
        <w:tc>
          <w:tcPr>
            <w:tcW w:w="0" w:type="dxa"/>
            <w:vAlign w:val="bottom"/>
          </w:tcPr>
          <w:p>
            <w:pPr>
              <w:spacing w:after="0"/>
              <w:rPr>
                <w:sz w:val="1"/>
                <w:szCs w:val="1"/>
                <w:color w:val="auto"/>
              </w:rPr>
            </w:pPr>
          </w:p>
        </w:tc>
      </w:tr>
      <w:tr>
        <w:trPr>
          <w:trHeight w:val="37"/>
        </w:trPr>
        <w:tc>
          <w:tcPr>
            <w:tcW w:w="29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b w:val="1"/>
                <w:bCs w:val="1"/>
                <w:color w:val="auto"/>
                <w:w w:val="97"/>
              </w:rPr>
              <w:t>Power After</w:t>
            </w:r>
          </w:p>
        </w:tc>
        <w:tc>
          <w:tcPr>
            <w:tcW w:w="0" w:type="dxa"/>
            <w:vAlign w:val="bottom"/>
          </w:tcPr>
          <w:p>
            <w:pPr>
              <w:spacing w:after="0"/>
              <w:rPr>
                <w:sz w:val="1"/>
                <w:szCs w:val="1"/>
                <w:color w:val="auto"/>
              </w:rPr>
            </w:pPr>
          </w:p>
        </w:tc>
      </w:tr>
      <w:tr>
        <w:trPr>
          <w:trHeight w:val="42"/>
        </w:trPr>
        <w:tc>
          <w:tcPr>
            <w:tcW w:w="2940" w:type="dxa"/>
            <w:vAlign w:val="bottom"/>
          </w:tcPr>
          <w:p>
            <w:pPr>
              <w:spacing w:after="0"/>
              <w:rPr>
                <w:sz w:val="3"/>
                <w:szCs w:val="3"/>
                <w:color w:val="auto"/>
              </w:rPr>
            </w:pPr>
          </w:p>
        </w:tc>
        <w:tc>
          <w:tcPr>
            <w:tcW w:w="1480" w:type="dxa"/>
            <w:vAlign w:val="bottom"/>
            <w:gridSpan w:val="3"/>
            <w:vMerge w:val="restart"/>
          </w:tcPr>
          <w:p>
            <w:pPr>
              <w:ind w:left="360"/>
              <w:spacing w:after="0"/>
              <w:rPr>
                <w:sz w:val="20"/>
                <w:szCs w:val="20"/>
                <w:color w:val="auto"/>
              </w:rPr>
            </w:pPr>
            <w:r>
              <w:rPr>
                <w:rFonts w:ascii="Arial" w:cs="Arial" w:eastAsia="Arial" w:hAnsi="Arial"/>
                <w:sz w:val="11"/>
                <w:szCs w:val="11"/>
                <w:b w:val="1"/>
                <w:bCs w:val="1"/>
                <w:color w:val="auto"/>
              </w:rPr>
              <w:t>Number</w:t>
            </w:r>
          </w:p>
        </w:tc>
        <w:tc>
          <w:tcPr>
            <w:tcW w:w="10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Percentage</w:t>
            </w:r>
          </w:p>
        </w:tc>
        <w:tc>
          <w:tcPr>
            <w:tcW w:w="1400" w:type="dxa"/>
            <w:vAlign w:val="bottom"/>
            <w:gridSpan w:val="3"/>
            <w:vMerge w:val="restart"/>
          </w:tcPr>
          <w:p>
            <w:pPr>
              <w:ind w:left="360"/>
              <w:spacing w:after="0"/>
              <w:rPr>
                <w:sz w:val="20"/>
                <w:szCs w:val="20"/>
                <w:color w:val="auto"/>
              </w:rPr>
            </w:pPr>
            <w:r>
              <w:rPr>
                <w:rFonts w:ascii="Arial" w:cs="Arial" w:eastAsia="Arial" w:hAnsi="Arial"/>
                <w:sz w:val="11"/>
                <w:szCs w:val="11"/>
                <w:b w:val="1"/>
                <w:bCs w:val="1"/>
                <w:color w:val="auto"/>
              </w:rPr>
              <w:t>Number</w:t>
            </w:r>
          </w:p>
        </w:tc>
        <w:tc>
          <w:tcPr>
            <w:tcW w:w="9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Percentage</w:t>
            </w:r>
          </w:p>
        </w:tc>
        <w:tc>
          <w:tcPr>
            <w:tcW w:w="1440" w:type="dxa"/>
            <w:vAlign w:val="bottom"/>
            <w:gridSpan w:val="3"/>
            <w:vMerge w:val="restart"/>
          </w:tcPr>
          <w:p>
            <w:pPr>
              <w:ind w:left="380"/>
              <w:spacing w:after="0"/>
              <w:rPr>
                <w:sz w:val="20"/>
                <w:szCs w:val="20"/>
                <w:color w:val="auto"/>
              </w:rPr>
            </w:pPr>
            <w:r>
              <w:rPr>
                <w:rFonts w:ascii="Arial" w:cs="Arial" w:eastAsia="Arial" w:hAnsi="Arial"/>
                <w:sz w:val="11"/>
                <w:szCs w:val="11"/>
                <w:b w:val="1"/>
                <w:bCs w:val="1"/>
                <w:color w:val="auto"/>
              </w:rPr>
              <w:t>Number</w:t>
            </w:r>
          </w:p>
        </w:tc>
        <w:tc>
          <w:tcPr>
            <w:tcW w:w="8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Percentage</w:t>
            </w:r>
          </w:p>
        </w:tc>
        <w:tc>
          <w:tcPr>
            <w:tcW w:w="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spacing w:after="0" w:line="137" w:lineRule="exact"/>
              <w:rPr>
                <w:sz w:val="20"/>
                <w:szCs w:val="20"/>
                <w:color w:val="auto"/>
              </w:rPr>
            </w:pPr>
            <w:r>
              <w:rPr>
                <w:rFonts w:ascii="Arial" w:cs="Arial" w:eastAsia="Arial" w:hAnsi="Arial"/>
                <w:sz w:val="11"/>
                <w:szCs w:val="11"/>
                <w:b w:val="1"/>
                <w:bCs w:val="1"/>
                <w:color w:val="auto"/>
                <w:w w:val="95"/>
              </w:rPr>
              <w:t>the Offering</w:t>
            </w:r>
            <w:r>
              <w:rPr>
                <w:rFonts w:ascii="Arial" w:cs="Arial" w:eastAsia="Arial" w:hAnsi="Arial"/>
                <w:sz w:val="13"/>
                <w:szCs w:val="13"/>
                <w:b w:val="1"/>
                <w:bCs w:val="1"/>
                <w:color w:val="auto"/>
                <w:w w:val="95"/>
                <w:vertAlign w:val="superscript"/>
              </w:rPr>
              <w:t>(2)</w:t>
            </w:r>
          </w:p>
        </w:tc>
        <w:tc>
          <w:tcPr>
            <w:tcW w:w="0" w:type="dxa"/>
            <w:vAlign w:val="bottom"/>
          </w:tcPr>
          <w:p>
            <w:pPr>
              <w:spacing w:after="0"/>
              <w:rPr>
                <w:sz w:val="1"/>
                <w:szCs w:val="1"/>
                <w:color w:val="auto"/>
              </w:rPr>
            </w:pPr>
          </w:p>
        </w:tc>
      </w:tr>
      <w:tr>
        <w:trPr>
          <w:trHeight w:val="167"/>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5% Stockholders:</w:t>
            </w: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line="174" w:lineRule="exact"/>
              <w:rPr>
                <w:sz w:val="20"/>
                <w:szCs w:val="20"/>
                <w:color w:val="auto"/>
              </w:rPr>
            </w:pPr>
            <w:r>
              <w:rPr>
                <w:rFonts w:ascii="Arial" w:cs="Arial" w:eastAsia="Arial" w:hAnsi="Arial"/>
                <w:sz w:val="13"/>
                <w:szCs w:val="13"/>
                <w:color w:val="auto"/>
              </w:rPr>
              <w:t>Entities affiliated with Trinity Ventures</w:t>
            </w:r>
            <w:r>
              <w:rPr>
                <w:rFonts w:ascii="Arial" w:cs="Arial" w:eastAsia="Arial" w:hAnsi="Arial"/>
                <w:sz w:val="17"/>
                <w:szCs w:val="17"/>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3"/>
                <w:szCs w:val="13"/>
                <w:color w:val="auto"/>
              </w:rPr>
              <w:t>10,727,211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13.6 %</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10,727,211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Entities affiliated with Redpoint Ventures</w:t>
            </w:r>
            <w:r>
              <w:rPr>
                <w:rFonts w:ascii="Arial" w:cs="Arial" w:eastAsia="Arial" w:hAnsi="Arial"/>
                <w:sz w:val="17"/>
                <w:szCs w:val="17"/>
                <w:color w:val="auto"/>
                <w:vertAlign w:val="superscript"/>
              </w:rPr>
              <w:t>(4)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10,706,528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13.6 %</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10,706,528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line="174" w:lineRule="exact"/>
              <w:rPr>
                <w:sz w:val="20"/>
                <w:szCs w:val="20"/>
                <w:color w:val="auto"/>
              </w:rPr>
            </w:pPr>
            <w:r>
              <w:rPr>
                <w:rFonts w:ascii="Arial" w:cs="Arial" w:eastAsia="Arial" w:hAnsi="Arial"/>
                <w:sz w:val="13"/>
                <w:szCs w:val="13"/>
                <w:color w:val="auto"/>
              </w:rPr>
              <w:t>Entities affiliated with Highland Capital Partners</w:t>
            </w:r>
            <w:r>
              <w:rPr>
                <w:rFonts w:ascii="Arial" w:cs="Arial" w:eastAsia="Arial" w:hAnsi="Arial"/>
                <w:sz w:val="17"/>
                <w:szCs w:val="17"/>
                <w:color w:val="auto"/>
                <w:vertAlign w:val="superscript"/>
              </w:rPr>
              <w:t>(5)</w:t>
            </w:r>
          </w:p>
        </w:tc>
        <w:tc>
          <w:tcPr>
            <w:tcW w:w="1120" w:type="dxa"/>
            <w:vAlign w:val="bottom"/>
          </w:tcPr>
          <w:p>
            <w:pPr>
              <w:jc w:val="right"/>
              <w:spacing w:after="0"/>
              <w:rPr>
                <w:sz w:val="20"/>
                <w:szCs w:val="20"/>
                <w:color w:val="auto"/>
              </w:rPr>
            </w:pPr>
            <w:r>
              <w:rPr>
                <w:rFonts w:ascii="Arial" w:cs="Arial" w:eastAsia="Arial" w:hAnsi="Arial"/>
                <w:sz w:val="13"/>
                <w:szCs w:val="13"/>
                <w:color w:val="auto"/>
              </w:rPr>
              <w:t>10,655,930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13.5 %</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10,655,930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Entities affiliated with Upfront Ventures</w:t>
            </w:r>
            <w:r>
              <w:rPr>
                <w:rFonts w:ascii="Arial" w:cs="Arial" w:eastAsia="Arial" w:hAnsi="Arial"/>
                <w:sz w:val="17"/>
                <w:szCs w:val="17"/>
                <w:color w:val="auto"/>
                <w:vertAlign w:val="superscript"/>
              </w:rPr>
              <w:t>(6)</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10,138,127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12.9 %</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10,138,127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940" w:type="dxa"/>
            <w:vAlign w:val="bottom"/>
          </w:tcPr>
          <w:p>
            <w:pPr>
              <w:ind w:left="20"/>
              <w:spacing w:after="0" w:line="137" w:lineRule="exact"/>
              <w:rPr>
                <w:sz w:val="20"/>
                <w:szCs w:val="20"/>
                <w:color w:val="auto"/>
              </w:rPr>
            </w:pPr>
            <w:r>
              <w:rPr>
                <w:rFonts w:ascii="Arial" w:cs="Arial" w:eastAsia="Arial" w:hAnsi="Arial"/>
                <w:sz w:val="13"/>
                <w:szCs w:val="13"/>
                <w:color w:val="auto"/>
              </w:rPr>
              <w:t>Entities affiliated with Global Private</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10,798,005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13.7 %</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10,798,005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160"/>
              <w:spacing w:after="0" w:line="162" w:lineRule="exact"/>
              <w:rPr>
                <w:sz w:val="20"/>
                <w:szCs w:val="20"/>
                <w:color w:val="auto"/>
              </w:rPr>
            </w:pPr>
            <w:r>
              <w:rPr>
                <w:rFonts w:ascii="Arial" w:cs="Arial" w:eastAsia="Arial" w:hAnsi="Arial"/>
                <w:sz w:val="13"/>
                <w:szCs w:val="13"/>
                <w:color w:val="auto"/>
              </w:rPr>
              <w:t>Opportunities Partners</w:t>
            </w:r>
            <w:r>
              <w:rPr>
                <w:rFonts w:ascii="Arial" w:cs="Arial" w:eastAsia="Arial" w:hAnsi="Arial"/>
                <w:sz w:val="17"/>
                <w:szCs w:val="17"/>
                <w:color w:val="auto"/>
                <w:vertAlign w:val="superscript"/>
              </w:rPr>
              <w:t>(7)</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Entities affiliated with Park West Ventures</w:t>
            </w:r>
            <w:r>
              <w:rPr>
                <w:rFonts w:ascii="Arial" w:cs="Arial" w:eastAsia="Arial" w:hAnsi="Arial"/>
                <w:sz w:val="17"/>
                <w:szCs w:val="17"/>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8,715,989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11.1 %</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8,715,989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rPr>
                <w:sz w:val="20"/>
                <w:szCs w:val="20"/>
                <w:color w:val="auto"/>
              </w:rPr>
            </w:pPr>
            <w:r>
              <w:rPr>
                <w:rFonts w:ascii="Arial" w:cs="Arial" w:eastAsia="Arial" w:hAnsi="Arial"/>
                <w:sz w:val="13"/>
                <w:szCs w:val="13"/>
                <w:b w:val="1"/>
                <w:bCs w:val="1"/>
                <w:color w:val="auto"/>
              </w:rPr>
              <w:t>Named Executive Officers and Directors: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James Reinhart</w:t>
            </w:r>
            <w:r>
              <w:rPr>
                <w:rFonts w:ascii="Arial" w:cs="Arial" w:eastAsia="Arial" w:hAnsi="Arial"/>
                <w:sz w:val="17"/>
                <w:szCs w:val="17"/>
                <w:color w:val="auto"/>
                <w:vertAlign w:val="superscript"/>
              </w:rPr>
              <w:t>(9)</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6,178,206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6,178,206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line="174" w:lineRule="exact"/>
              <w:rPr>
                <w:sz w:val="20"/>
                <w:szCs w:val="20"/>
                <w:color w:val="auto"/>
              </w:rPr>
            </w:pPr>
            <w:r>
              <w:rPr>
                <w:rFonts w:ascii="Arial" w:cs="Arial" w:eastAsia="Arial" w:hAnsi="Arial"/>
                <w:sz w:val="13"/>
                <w:szCs w:val="13"/>
                <w:color w:val="auto"/>
              </w:rPr>
              <w:t>Patricia Nakache</w:t>
            </w:r>
            <w:r>
              <w:rPr>
                <w:rFonts w:ascii="Arial" w:cs="Arial" w:eastAsia="Arial" w:hAnsi="Arial"/>
                <w:sz w:val="17"/>
                <w:szCs w:val="17"/>
                <w:color w:val="auto"/>
                <w:vertAlign w:val="superscript"/>
              </w:rPr>
              <w:t>(10)</w:t>
            </w:r>
          </w:p>
        </w:tc>
        <w:tc>
          <w:tcPr>
            <w:tcW w:w="1120" w:type="dxa"/>
            <w:vAlign w:val="bottom"/>
          </w:tcPr>
          <w:p>
            <w:pPr>
              <w:jc w:val="right"/>
              <w:spacing w:after="0"/>
              <w:rPr>
                <w:sz w:val="20"/>
                <w:szCs w:val="20"/>
                <w:color w:val="auto"/>
              </w:rPr>
            </w:pPr>
            <w:r>
              <w:rPr>
                <w:rFonts w:ascii="Arial" w:cs="Arial" w:eastAsia="Arial" w:hAnsi="Arial"/>
                <w:sz w:val="13"/>
                <w:szCs w:val="13"/>
                <w:color w:val="auto"/>
              </w:rPr>
              <w:t>10,727,211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13.6 %</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10,727,211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Anthony Marino</w:t>
            </w:r>
            <w:r>
              <w:rPr>
                <w:rFonts w:ascii="Arial" w:cs="Arial" w:eastAsia="Arial" w:hAnsi="Arial"/>
                <w:sz w:val="17"/>
                <w:szCs w:val="17"/>
                <w:color w:val="auto"/>
                <w:vertAlign w:val="superscript"/>
              </w:rPr>
              <w:t>(11)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1,290,241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1,290,241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line="174" w:lineRule="exact"/>
              <w:rPr>
                <w:sz w:val="20"/>
                <w:szCs w:val="20"/>
                <w:color w:val="auto"/>
              </w:rPr>
            </w:pPr>
            <w:r>
              <w:rPr>
                <w:rFonts w:ascii="Arial" w:cs="Arial" w:eastAsia="Arial" w:hAnsi="Arial"/>
                <w:sz w:val="13"/>
                <w:szCs w:val="13"/>
                <w:color w:val="auto"/>
              </w:rPr>
              <w:t>Sean Sobers</w:t>
            </w:r>
            <w:r>
              <w:rPr>
                <w:rFonts w:ascii="Arial" w:cs="Arial" w:eastAsia="Arial" w:hAnsi="Arial"/>
                <w:sz w:val="17"/>
                <w:szCs w:val="17"/>
                <w:color w:val="auto"/>
                <w:vertAlign w:val="superscript"/>
              </w:rPr>
              <w:t>(12)</w:t>
            </w:r>
          </w:p>
        </w:tc>
        <w:tc>
          <w:tcPr>
            <w:tcW w:w="1120" w:type="dxa"/>
            <w:vAlign w:val="bottom"/>
          </w:tcPr>
          <w:p>
            <w:pPr>
              <w:jc w:val="right"/>
              <w:spacing w:after="0"/>
              <w:rPr>
                <w:sz w:val="20"/>
                <w:szCs w:val="20"/>
                <w:color w:val="auto"/>
              </w:rPr>
            </w:pPr>
            <w:r>
              <w:rPr>
                <w:rFonts w:ascii="Arial" w:cs="Arial" w:eastAsia="Arial" w:hAnsi="Arial"/>
                <w:sz w:val="13"/>
                <w:szCs w:val="13"/>
                <w:color w:val="auto"/>
              </w:rPr>
              <w:t>249,813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249,813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Greg Bettinelli</w:t>
            </w:r>
            <w:r>
              <w:rPr>
                <w:rFonts w:ascii="Arial" w:cs="Arial" w:eastAsia="Arial" w:hAnsi="Arial"/>
                <w:sz w:val="17"/>
                <w:szCs w:val="17"/>
                <w:color w:val="auto"/>
                <w:vertAlign w:val="superscript"/>
              </w:rPr>
              <w:t>(13)</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10,138,127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12.9 %</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10,138,127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line="174" w:lineRule="exact"/>
              <w:rPr>
                <w:sz w:val="20"/>
                <w:szCs w:val="20"/>
                <w:color w:val="auto"/>
              </w:rPr>
            </w:pPr>
            <w:r>
              <w:rPr>
                <w:rFonts w:ascii="Arial" w:cs="Arial" w:eastAsia="Arial" w:hAnsi="Arial"/>
                <w:sz w:val="13"/>
                <w:szCs w:val="13"/>
                <w:color w:val="auto"/>
              </w:rPr>
              <w:t>Ian Friedman</w:t>
            </w:r>
            <w:r>
              <w:rPr>
                <w:rFonts w:ascii="Arial" w:cs="Arial" w:eastAsia="Arial" w:hAnsi="Arial"/>
                <w:sz w:val="17"/>
                <w:szCs w:val="17"/>
                <w:color w:val="auto"/>
                <w:vertAlign w:val="superscript"/>
              </w:rPr>
              <w:t>(14)</w:t>
            </w:r>
          </w:p>
        </w:tc>
        <w:tc>
          <w:tcPr>
            <w:tcW w:w="148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Mandy Ginsberg</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line="174" w:lineRule="exact"/>
              <w:rPr>
                <w:sz w:val="20"/>
                <w:szCs w:val="20"/>
                <w:color w:val="auto"/>
              </w:rPr>
            </w:pPr>
            <w:r>
              <w:rPr>
                <w:rFonts w:ascii="Arial" w:cs="Arial" w:eastAsia="Arial" w:hAnsi="Arial"/>
                <w:sz w:val="13"/>
                <w:szCs w:val="13"/>
                <w:color w:val="auto"/>
              </w:rPr>
              <w:t>Timothy Haley</w:t>
            </w:r>
            <w:r>
              <w:rPr>
                <w:rFonts w:ascii="Arial" w:cs="Arial" w:eastAsia="Arial" w:hAnsi="Arial"/>
                <w:sz w:val="17"/>
                <w:szCs w:val="17"/>
                <w:color w:val="auto"/>
                <w:vertAlign w:val="superscript"/>
              </w:rPr>
              <w:t>(15)</w:t>
            </w:r>
          </w:p>
        </w:tc>
        <w:tc>
          <w:tcPr>
            <w:tcW w:w="1120" w:type="dxa"/>
            <w:vAlign w:val="bottom"/>
          </w:tcPr>
          <w:p>
            <w:pPr>
              <w:jc w:val="right"/>
              <w:spacing w:after="0"/>
              <w:rPr>
                <w:sz w:val="20"/>
                <w:szCs w:val="20"/>
                <w:color w:val="auto"/>
              </w:rPr>
            </w:pPr>
            <w:r>
              <w:rPr>
                <w:rFonts w:ascii="Arial" w:cs="Arial" w:eastAsia="Arial" w:hAnsi="Arial"/>
                <w:sz w:val="13"/>
                <w:szCs w:val="13"/>
                <w:color w:val="auto"/>
              </w:rPr>
              <w:t>10,706,528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13.6 %</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10,706,528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Jack Lazar</w:t>
            </w:r>
            <w:r>
              <w:rPr>
                <w:rFonts w:ascii="Arial" w:cs="Arial" w:eastAsia="Arial" w:hAnsi="Arial"/>
                <w:sz w:val="17"/>
                <w:szCs w:val="17"/>
                <w:color w:val="auto"/>
                <w:vertAlign w:val="superscript"/>
              </w:rPr>
              <w:t>(16)</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290,452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line="174" w:lineRule="exact"/>
              <w:rPr>
                <w:sz w:val="20"/>
                <w:szCs w:val="20"/>
                <w:color w:val="auto"/>
              </w:rPr>
            </w:pPr>
            <w:r>
              <w:rPr>
                <w:rFonts w:ascii="Arial" w:cs="Arial" w:eastAsia="Arial" w:hAnsi="Arial"/>
                <w:sz w:val="13"/>
                <w:szCs w:val="13"/>
                <w:color w:val="auto"/>
              </w:rPr>
              <w:t>Norman Matthews</w:t>
            </w:r>
            <w:r>
              <w:rPr>
                <w:rFonts w:ascii="Arial" w:cs="Arial" w:eastAsia="Arial" w:hAnsi="Arial"/>
                <w:sz w:val="17"/>
                <w:szCs w:val="17"/>
                <w:color w:val="auto"/>
                <w:vertAlign w:val="superscript"/>
              </w:rPr>
              <w:t>(17)</w:t>
            </w:r>
          </w:p>
        </w:tc>
        <w:tc>
          <w:tcPr>
            <w:tcW w:w="1120" w:type="dxa"/>
            <w:vAlign w:val="bottom"/>
          </w:tcPr>
          <w:p>
            <w:pPr>
              <w:jc w:val="right"/>
              <w:spacing w:after="0"/>
              <w:rPr>
                <w:sz w:val="20"/>
                <w:szCs w:val="20"/>
                <w:color w:val="auto"/>
              </w:rPr>
            </w:pPr>
            <w:r>
              <w:rPr>
                <w:rFonts w:ascii="Arial" w:cs="Arial" w:eastAsia="Arial" w:hAnsi="Arial"/>
                <w:sz w:val="13"/>
                <w:szCs w:val="13"/>
                <w:color w:val="auto"/>
              </w:rPr>
              <w:t>823,806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823,806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Dan Nova</w:t>
            </w:r>
            <w:r>
              <w:rPr>
                <w:rFonts w:ascii="Arial" w:cs="Arial" w:eastAsia="Arial" w:hAnsi="Arial"/>
                <w:sz w:val="17"/>
                <w:szCs w:val="17"/>
                <w:color w:val="auto"/>
                <w:vertAlign w:val="superscript"/>
              </w:rPr>
              <w:t>(18)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10,655,930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13.5 %</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10,655,930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line="174" w:lineRule="exact"/>
              <w:rPr>
                <w:sz w:val="20"/>
                <w:szCs w:val="20"/>
                <w:color w:val="auto"/>
              </w:rPr>
            </w:pPr>
            <w:r>
              <w:rPr>
                <w:rFonts w:ascii="Arial" w:cs="Arial" w:eastAsia="Arial" w:hAnsi="Arial"/>
                <w:sz w:val="13"/>
                <w:szCs w:val="13"/>
                <w:color w:val="auto"/>
              </w:rPr>
              <w:t>Paula Sutter</w:t>
            </w:r>
            <w:r>
              <w:rPr>
                <w:rFonts w:ascii="Arial" w:cs="Arial" w:eastAsia="Arial" w:hAnsi="Arial"/>
                <w:sz w:val="17"/>
                <w:szCs w:val="17"/>
                <w:color w:val="auto"/>
                <w:vertAlign w:val="superscript"/>
              </w:rPr>
              <w:t>(19)</w:t>
            </w:r>
          </w:p>
        </w:tc>
        <w:tc>
          <w:tcPr>
            <w:tcW w:w="1120" w:type="dxa"/>
            <w:vAlign w:val="bottom"/>
          </w:tcPr>
          <w:p>
            <w:pPr>
              <w:jc w:val="right"/>
              <w:spacing w:after="0"/>
              <w:rPr>
                <w:sz w:val="20"/>
                <w:szCs w:val="20"/>
                <w:color w:val="auto"/>
              </w:rPr>
            </w:pPr>
            <w:r>
              <w:rPr>
                <w:rFonts w:ascii="Arial" w:cs="Arial" w:eastAsia="Arial" w:hAnsi="Arial"/>
                <w:sz w:val="13"/>
                <w:szCs w:val="13"/>
                <w:color w:val="auto"/>
              </w:rPr>
              <w:t>323,063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323,063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line="174" w:lineRule="exact"/>
              <w:rPr>
                <w:sz w:val="20"/>
                <w:szCs w:val="20"/>
                <w:color w:val="auto"/>
              </w:rPr>
            </w:pPr>
            <w:r>
              <w:rPr>
                <w:rFonts w:ascii="Arial" w:cs="Arial" w:eastAsia="Arial" w:hAnsi="Arial"/>
                <w:sz w:val="13"/>
                <w:szCs w:val="13"/>
                <w:color w:val="auto"/>
              </w:rPr>
              <w:t>Marcie Vu</w:t>
            </w:r>
            <w:r>
              <w:rPr>
                <w:rFonts w:ascii="Arial" w:cs="Arial" w:eastAsia="Arial" w:hAnsi="Arial"/>
                <w:sz w:val="17"/>
                <w:szCs w:val="17"/>
                <w:color w:val="auto"/>
                <w:vertAlign w:val="superscript"/>
              </w:rPr>
              <w:t>(20)</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940" w:type="dxa"/>
            <w:vAlign w:val="bottom"/>
          </w:tcPr>
          <w:p>
            <w:pPr>
              <w:ind w:left="20"/>
              <w:spacing w:after="0" w:line="137" w:lineRule="exact"/>
              <w:rPr>
                <w:sz w:val="20"/>
                <w:szCs w:val="20"/>
                <w:color w:val="auto"/>
              </w:rPr>
            </w:pPr>
            <w:r>
              <w:rPr>
                <w:rFonts w:ascii="Arial" w:cs="Arial" w:eastAsia="Arial" w:hAnsi="Arial"/>
                <w:sz w:val="13"/>
                <w:szCs w:val="13"/>
                <w:color w:val="auto"/>
              </w:rPr>
              <w:t>All directors and executive officers as a group (15</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53,742,763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64.2 %</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53,742,763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940" w:type="dxa"/>
            <w:vAlign w:val="bottom"/>
          </w:tcPr>
          <w:p>
            <w:pPr>
              <w:ind w:left="160"/>
              <w:spacing w:after="0" w:line="163" w:lineRule="exact"/>
              <w:rPr>
                <w:sz w:val="20"/>
                <w:szCs w:val="20"/>
                <w:color w:val="auto"/>
              </w:rPr>
            </w:pPr>
            <w:r>
              <w:rPr>
                <w:rFonts w:ascii="Arial" w:cs="Arial" w:eastAsia="Arial" w:hAnsi="Arial"/>
                <w:sz w:val="13"/>
                <w:szCs w:val="13"/>
                <w:color w:val="auto"/>
              </w:rPr>
              <w:t>persons)</w:t>
            </w:r>
            <w:r>
              <w:rPr>
                <w:rFonts w:ascii="Arial" w:cs="Arial" w:eastAsia="Arial" w:hAnsi="Arial"/>
                <w:sz w:val="17"/>
                <w:szCs w:val="17"/>
                <w:color w:val="auto"/>
                <w:vertAlign w:val="superscript"/>
              </w:rPr>
              <w:t>(21)</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__________________</w:t>
      </w:r>
    </w:p>
    <w:p>
      <w:pPr>
        <w:spacing w:after="0" w:line="2" w:lineRule="exact"/>
        <w:rPr>
          <w:sz w:val="20"/>
          <w:szCs w:val="20"/>
          <w:color w:val="auto"/>
        </w:rPr>
      </w:pPr>
    </w:p>
    <w:p>
      <w:pPr>
        <w:ind w:left="300" w:hanging="300"/>
        <w:spacing w:after="0"/>
        <w:tabs>
          <w:tab w:leader="none" w:pos="3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Represents less than one percent (1%).</w:t>
      </w:r>
    </w:p>
    <w:p>
      <w:pPr>
        <w:spacing w:after="0" w:line="2" w:lineRule="exact"/>
        <w:rPr>
          <w:sz w:val="20"/>
          <w:szCs w:val="20"/>
          <w:color w:val="auto"/>
        </w:rPr>
      </w:pPr>
    </w:p>
    <w:p>
      <w:pPr>
        <w:ind w:left="300" w:hanging="300"/>
        <w:spacing w:after="0"/>
        <w:tabs>
          <w:tab w:leader="none" w:pos="3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Class B common stock is convertible at any time by the holder into shares of Class A common stock on a share-for-share basis.</w:t>
      </w:r>
    </w:p>
    <w:p>
      <w:pPr>
        <w:spacing w:after="0" w:line="1" w:lineRule="exact"/>
        <w:rPr>
          <w:rFonts w:ascii="Arial" w:cs="Arial" w:eastAsia="Arial" w:hAnsi="Arial"/>
          <w:sz w:val="15"/>
          <w:szCs w:val="15"/>
          <w:color w:val="auto"/>
        </w:rPr>
      </w:pPr>
    </w:p>
    <w:p>
      <w:pPr>
        <w:jc w:val="both"/>
        <w:ind w:left="300" w:hanging="300"/>
        <w:spacing w:after="0" w:line="242" w:lineRule="auto"/>
        <w:tabs>
          <w:tab w:leader="none" w:pos="296" w:val="left"/>
        </w:tabs>
        <w:numPr>
          <w:ilvl w:val="0"/>
          <w:numId w:val="115"/>
        </w:numPr>
        <w:rPr>
          <w:rFonts w:ascii="Arial" w:cs="Arial" w:eastAsia="Arial" w:hAnsi="Arial"/>
          <w:sz w:val="15"/>
          <w:szCs w:val="15"/>
          <w:color w:val="auto"/>
        </w:rPr>
      </w:pPr>
      <w:r>
        <w:rPr>
          <w:rFonts w:ascii="Arial" w:cs="Arial" w:eastAsia="Arial" w:hAnsi="Arial"/>
          <w:sz w:val="15"/>
          <w:szCs w:val="15"/>
          <w:color w:val="auto"/>
        </w:rPr>
        <w:t>Percentage of total voting power represents voting power with respect to all shares of our Class A common stock and Class B common stock, as a single class. The holders of our Class B common stock are entitled to ten votes per share, and holders of our Class A common stock are entitled to one vote per share. See the section titled “Description of Capital Stock—Voting Rights” for more information about the voting rights of our Class A common stock and Class B common stock.</w:t>
      </w:r>
    </w:p>
    <w:p>
      <w:pPr>
        <w:jc w:val="both"/>
        <w:ind w:left="300" w:hanging="300"/>
        <w:spacing w:after="0" w:line="242" w:lineRule="auto"/>
        <w:tabs>
          <w:tab w:leader="none" w:pos="296" w:val="left"/>
        </w:tabs>
        <w:numPr>
          <w:ilvl w:val="0"/>
          <w:numId w:val="115"/>
        </w:numPr>
        <w:rPr>
          <w:rFonts w:ascii="Arial" w:cs="Arial" w:eastAsia="Arial" w:hAnsi="Arial"/>
          <w:sz w:val="15"/>
          <w:szCs w:val="15"/>
          <w:color w:val="auto"/>
        </w:rPr>
      </w:pPr>
      <w:r>
        <w:rPr>
          <w:rFonts w:ascii="Arial" w:cs="Arial" w:eastAsia="Arial" w:hAnsi="Arial"/>
          <w:sz w:val="15"/>
          <w:szCs w:val="15"/>
          <w:color w:val="auto"/>
        </w:rPr>
        <w:t>Consists of (i) 10,564,238 shares of Class B common stock held of record by Trinity Ventures X, L.P. (“Trinity Ventures X”), (ii) 104,590 shares of Class B common stock held of record by Trinity X Entrepreneurs’ Fund, L.P. (“Trinity Entrepreneurs”) and (iii) 58,383 shares of Class B common stock held of record by Trinity X Side-By-Side Fund, L.P. (“Trinity Side,” and together with Trinity Ventures X and Trinity Entrepreneurs, the “Trinity Entities”). The managing members of TVL Management Corporation share voting and dispositive power over the shares held by each of the Trinity Entities. The officers of TVL Management Corporation are Larry Orr, Noel Fenton, Ajay Chopra, Ramakrishna Venkata Satyavolu, Nina Labatt and Patricia Nakache. The address for each of the Trinity Entities is 2480 Sand Hill Road, Suite 200, Menlo Park, CA 94025.</w:t>
      </w:r>
    </w:p>
    <w:p>
      <w:pPr>
        <w:spacing w:after="0" w:line="1" w:lineRule="exact"/>
        <w:rPr>
          <w:rFonts w:ascii="Arial" w:cs="Arial" w:eastAsia="Arial" w:hAnsi="Arial"/>
          <w:sz w:val="15"/>
          <w:szCs w:val="15"/>
          <w:color w:val="auto"/>
        </w:rPr>
      </w:pPr>
    </w:p>
    <w:p>
      <w:pPr>
        <w:jc w:val="both"/>
        <w:ind w:left="300" w:hanging="300"/>
        <w:spacing w:after="0" w:line="249" w:lineRule="auto"/>
        <w:tabs>
          <w:tab w:leader="none" w:pos="296" w:val="left"/>
        </w:tabs>
        <w:numPr>
          <w:ilvl w:val="0"/>
          <w:numId w:val="115"/>
        </w:numPr>
        <w:rPr>
          <w:rFonts w:ascii="Arial" w:cs="Arial" w:eastAsia="Arial" w:hAnsi="Arial"/>
          <w:sz w:val="15"/>
          <w:szCs w:val="15"/>
          <w:color w:val="auto"/>
        </w:rPr>
      </w:pPr>
      <w:r>
        <w:rPr>
          <w:rFonts w:ascii="Arial" w:cs="Arial" w:eastAsia="Arial" w:hAnsi="Arial"/>
          <w:sz w:val="15"/>
          <w:szCs w:val="15"/>
          <w:color w:val="auto"/>
        </w:rPr>
        <w:t>Consists of (i) 10,438,866 shares of Class B common stock held of record by Redpoint Ventures IV, L.P. (“RV IV”) and (ii) 267,662 shares of Class B common stock held of record by Redpoint Associates IV, L.L.C. (“RA IV,” and together with RV IV, the “Redpoint Entities”). Redpoint Ventures IV, LLC (“RV IV LLC”) is the sole general partner of RV IV and the managers of RV IV LLC commonly control RA IV. Voting and dispositive decisions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240"/>
          </w:cols>
          <w:pgMar w:left="320" w:top="118" w:right="339" w:bottom="1440" w:gutter="0" w:footer="0" w:header="0"/>
        </w:sectPr>
      </w:pPr>
    </w:p>
    <w:bookmarkStart w:id="177" w:name="page178"/>
    <w:bookmarkEnd w:id="17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300"/>
        <w:spacing w:after="0" w:line="250" w:lineRule="auto"/>
        <w:rPr>
          <w:sz w:val="20"/>
          <w:szCs w:val="20"/>
          <w:color w:val="auto"/>
        </w:rPr>
      </w:pPr>
      <w:r>
        <w:rPr>
          <w:rFonts w:ascii="Arial" w:cs="Arial" w:eastAsia="Arial" w:hAnsi="Arial"/>
          <w:sz w:val="15"/>
          <w:szCs w:val="15"/>
          <w:color w:val="auto"/>
        </w:rPr>
        <w:t>respect to the shares held by RV IV and RA IV are made by the managers of RV IV LLC and RA IV: W. Allen Beasley, Jeffrey D. Brody, Satish Dharmaraj, R. Thomas Dyal, Timothy M. Haley, Christopher B. Moore, Scott C. Raney, John L. Walecka and Geoffrey Y. Yang. The address for each of the Redpoint Entities is 2969 Woodside Road, Woodside, CA 94062.</w:t>
      </w:r>
    </w:p>
    <w:p>
      <w:pPr>
        <w:spacing w:after="0" w:line="2" w:lineRule="exact"/>
        <w:rPr>
          <w:sz w:val="20"/>
          <w:szCs w:val="20"/>
          <w:color w:val="auto"/>
        </w:rPr>
      </w:pPr>
    </w:p>
    <w:p>
      <w:pPr>
        <w:jc w:val="both"/>
        <w:ind w:left="300" w:hanging="300"/>
        <w:spacing w:after="0" w:line="242" w:lineRule="auto"/>
        <w:tabs>
          <w:tab w:leader="none" w:pos="29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Consists of (i) 2,292,940 shares of Class B common stock held by Highland Capital Partners VII Limited Partnership, a Delaware limited partnership (“Highland Capital VII”), (ii) 555,624 shares of Class B common stock held by Highland Capital Partners VII-B Limited Partnership, a Delaware limited partnership (“Highland Capital VII-B”), (iii) 809,163 shares of Class B common stock held by Highland Capital Partners VII-C Limited Partnership, a Delaware limited partnership (“Highland Capital VII-C”), (iv) 71,850 shares of Class B common stock held by Highland Entrepreneurs’ Fund VII Limited Partnership, a Delaware limited partnership (“Highland VII Entrepreneurs’ Fund”, and together with Highland Capital VII, Highland Capital VII-B and Highland Capital VII-C, the “Highland VII Investing Entities”), (v) 5,025,934 shares of Class B common stock held by Highland Capital Partners VIII Limited Partnership, a Cayman Islands exempted limited partnership (“Highland Capital VIII”), (vi) 77,922 shares of Class B common stock held by Highland Capital Partners VIII-B Limited Partnership, a Cayman Islands exempted limited partnership (“Highland Capital VIII-B”), and (vii) 1,822,497 shares of Class B common stock held by Highland Capital Partners VIII-C Limited Partnership, a Cayman Islands exempted limited partnership (“Highland Capital VIII-C”, and together with Highland Capital VIII and Highland Capital VIII-B, the “Highland VIII Investing Entities”). Highland Management Partners VII Limited Partnership, a Delaware limited partnership (“HMP VII LP”), is the general partner of the Highland VII Investing Entities. Highland Management Partners VII, LLC, a Delaware limited liability company (“HMP VII LLC”), is the general partner of HMP VII LP. Dan Nova, a member of our board of directors, Robert J. Davis, Paul A. Maeder and Corey M. Mulloy, are the managing members of HMP VII LLC. HMP VII LLC, as the general partner of the general partner of the Highland VII Investing Entities, respectively, may be deemed to have beneficial ownership of the shares held by the Highland VII Investing Entities. The managing members have shared power over all investment decisions of HMP VII LLC and therefore may be deemed to share beneficial ownership of the shares held by the Highland VII Investing Entities by virtue of their status as controlling persons of HMP VII LLC. Each managing member of HMP VII LLC disclaims beneficial ownership of the shares held by the Highland VII Investing Entities, except to the extent of each such managing member’s pecuniary interest therein. Each of HMP VII LLC and HMP VII LP disclaims beneficial ownership of the shares held by the Highland VII Investing Entities, except to the extent of each such entity’s pecuniary interest therein. The principal business address for each of the entities in this paragraph is One Broadway, 16th Floor, Cambridge, MA 02142. Highland Management Partners VIII Limited Partnership, a Cayman Islands exempted limited partnership (“HMP VIII LP”), is the general partner of the Highland VIII Investing Entities. Highland Management Partners VIII Limited, a Cayman Islands exempted company (“HMP VIII Ltd”), is the general partner of HMP VIII LP. Dan Nova, a member of our board of directors, Robert J. Davis, Paul A. Maeder and Corey M. Mulloy, are the directors of HMP VIII Ltd. HMP VIII Ltd, as the general partner of the general partner of the Highland VIII Investing Entities, respectively, may be deemed to have beneficial ownership of the shares held by the Highland VIII Investing Entities. The directors of HMP VIII Ltd have shared power over all investment decisions of HMP VIII Ltd and therefore may be deemed to share beneficial ownership of the shares held by the Highland VIII Investing Entities by virtue of their status as controlling persons of HMP VIII Ltd. Each director of HMP VIII Ltd disclaims beneficial ownership of the shares held by the Highland VIII Investing Entities, except to the extent of each such director’s pecuniary interest therein. Each of HMP VIII Ltd and HMP VIII LP disclaims beneficial ownership of the shares held by the Highland VIII Investing Entities, except to the extent of each such entity’s pecuniary interest therein. The principal business address for each of the entities in this footnote is One Broadway, 16th Floor, Cambridge, MA 02142.</w:t>
      </w:r>
    </w:p>
    <w:p>
      <w:pPr>
        <w:spacing w:after="0" w:line="7" w:lineRule="exact"/>
        <w:rPr>
          <w:rFonts w:ascii="Arial" w:cs="Arial" w:eastAsia="Arial" w:hAnsi="Arial"/>
          <w:sz w:val="15"/>
          <w:szCs w:val="15"/>
          <w:color w:val="auto"/>
        </w:rPr>
      </w:pPr>
    </w:p>
    <w:p>
      <w:pPr>
        <w:jc w:val="both"/>
        <w:ind w:left="300" w:hanging="300"/>
        <w:spacing w:after="0" w:line="242" w:lineRule="auto"/>
        <w:tabs>
          <w:tab w:leader="none" w:pos="29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Consists of (i) 1,714,141 shares of Class B common stock held of record by Upfront Growth I, L.P. (f/k/a Upfront Opportunity Fund I, L.P.) (“Upfront Growth I”), (ii) 2,571,212 shares of Class B common stock held of record held by Upfront Growth II, L.P. (f/k/a Upfront Opportunity Fund II, L.P.) (“Upfront Growth II”), (iii) 5,535,274 shares of Class B common stock held of record by Upfront IV L.P. (“Upfront IV”) and (iv) 317,500 shares of Class B common stock held of record by Upfront IV Ancillary, L.P. (“Upfront IV Ancillary”, and together with Upfront Growth I, Upfront Growth II and Upfront IV, the “Upfront Entities”). Upfront Growth GP I, LLC is the general partner of Upfront Growth I. Upfront Growth GP II, LLC is the general partner of Upfront Growth II. Upfront GP IV, L.P. is the general partner of Upfront IV. Upfront IV Ancillary GP, LLC is the general partner of Upfront IV Ancillary. The Upfront Entities and their general partners are managed by Upfront Ventures Management, LLC (“Upfront Ventures Management”), which is controlled by Mark Suster and Yves Sisteron. The address for each of the entities in this paragraph is 1314 7th Street, Santa Monica, CA 90401.</w:t>
      </w:r>
    </w:p>
    <w:p>
      <w:pPr>
        <w:spacing w:after="0" w:line="2" w:lineRule="exact"/>
        <w:rPr>
          <w:rFonts w:ascii="Arial" w:cs="Arial" w:eastAsia="Arial" w:hAnsi="Arial"/>
          <w:sz w:val="15"/>
          <w:szCs w:val="15"/>
          <w:color w:val="auto"/>
        </w:rPr>
      </w:pPr>
    </w:p>
    <w:p>
      <w:pPr>
        <w:jc w:val="both"/>
        <w:ind w:left="300" w:hanging="300"/>
        <w:spacing w:after="0" w:line="247" w:lineRule="auto"/>
        <w:tabs>
          <w:tab w:leader="none" w:pos="29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Consists of (i) 5,163,308 shares of Class B common stock held of record by Global Private Opportunities Partners II LP (“GPOP II LP”) and (ii) 5,634,697 shares of Class B common stock held of record by Global Private Opportunities Partners II Offshore Holdings LP (“GPOP II Offshore” and together with GPOP II LP, the “GPOP Entities”). GS Investment Strategies, LLC (“GSIS”), a limited liability company incorporated under the laws of Delaware, is the investment manager of the GPOP Entities, and is wholly owned by GSAM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240"/>
          </w:cols>
          <w:pgMar w:left="320" w:top="118" w:right="339" w:bottom="1440" w:gutter="0" w:footer="0" w:header="0"/>
        </w:sectPr>
      </w:pPr>
    </w:p>
    <w:bookmarkStart w:id="178" w:name="page179"/>
    <w:bookmarkEnd w:id="17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300"/>
        <w:spacing w:after="0" w:line="250" w:lineRule="auto"/>
        <w:rPr>
          <w:sz w:val="20"/>
          <w:szCs w:val="20"/>
          <w:color w:val="auto"/>
        </w:rPr>
      </w:pPr>
      <w:r>
        <w:rPr>
          <w:rFonts w:ascii="Arial" w:cs="Arial" w:eastAsia="Arial" w:hAnsi="Arial"/>
          <w:sz w:val="15"/>
          <w:szCs w:val="15"/>
          <w:color w:val="auto"/>
        </w:rPr>
        <w:t>a limited liability company incorporated under the laws of Delaware, which is wholly owned by The Goldman Sachs Group, Inc., a corporation incorporated under the laws of Delaware. GSIS has voting and investment power over all of the shares held by the GPOP Entities. The address for each of the GPOP Entities is 200 West Street, New York, NY 10282.</w:t>
      </w:r>
    </w:p>
    <w:p>
      <w:pPr>
        <w:spacing w:after="0" w:line="2" w:lineRule="exact"/>
        <w:rPr>
          <w:sz w:val="20"/>
          <w:szCs w:val="20"/>
          <w:color w:val="auto"/>
        </w:rPr>
      </w:pPr>
    </w:p>
    <w:p>
      <w:pPr>
        <w:jc w:val="both"/>
        <w:ind w:left="300" w:hanging="300"/>
        <w:spacing w:after="0" w:line="242" w:lineRule="auto"/>
        <w:tabs>
          <w:tab w:leader="none" w:pos="296"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(i) 7,917,253 shares of Class B common stock held by Park West Investors Master Fund, Limited (“PWIMF”) and (ii) 798,736 shares of Class B common stock held by Park West Partners International, Limited (“PWPI”). Park West Asset Management LLC (“PWAM”) is the investment manager to PWIMF and PWPI. Peter S. Park is the sole member and manager of PWAM. The address of each of these entities is 900 Larkspur Landing Circle, Suite 165, Larkspur, CA 94939.</w:t>
      </w:r>
    </w:p>
    <w:p>
      <w:pPr>
        <w:jc w:val="both"/>
        <w:ind w:left="300" w:hanging="300"/>
        <w:spacing w:after="0" w:line="242" w:lineRule="auto"/>
        <w:tabs>
          <w:tab w:leader="none" w:pos="296"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(i) 772,784 shares of Class B common stock held of record by James Reinhart, (ii) 2,270,365 shares of Class B common stock subject to outstanding options that are exercisable within 60 days of December 31, 2020 by James Reinhart, (iii) 2,838,667 shares of Class B common stock held of record by James Reinhart and Michele Reinhart, as Trustees of the Costanoa Family Trust dated July 22, 2015, as amended, (iv) 9,091 shares of Class B common stock held of record by James Reinhart and Michele Reinhart, as Trustees of the Costanoa 2017 Irrevocable Trust, (v) 42,299 shares of Class B common stock held of record by James Reinhart, as Trustee of the Costanoa 2019 Trust dated October 17, 2019 and (vi) 245,000 shares of Class B common stock held of record by James Reinhart, as Trustee of the Costanoa Trust dated August 7, 2020.</w:t>
      </w:r>
    </w:p>
    <w:p>
      <w:pPr>
        <w:spacing w:after="0" w:line="1" w:lineRule="exact"/>
        <w:rPr>
          <w:rFonts w:ascii="Arial" w:cs="Arial" w:eastAsia="Arial" w:hAnsi="Arial"/>
          <w:sz w:val="15"/>
          <w:szCs w:val="15"/>
          <w:color w:val="auto"/>
        </w:rPr>
      </w:pPr>
    </w:p>
    <w:p>
      <w:pPr>
        <w:ind w:left="280" w:hanging="280"/>
        <w:spacing w:after="0"/>
        <w:tabs>
          <w:tab w:leader="none" w:pos="2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shares held by the entities affiliated with Trinity Ventures identified in footnote 3.</w:t>
      </w:r>
    </w:p>
    <w:p>
      <w:pPr>
        <w:spacing w:after="0" w:line="1" w:lineRule="exact"/>
        <w:rPr>
          <w:rFonts w:ascii="Arial" w:cs="Arial" w:eastAsia="Arial" w:hAnsi="Arial"/>
          <w:sz w:val="15"/>
          <w:szCs w:val="15"/>
          <w:color w:val="auto"/>
        </w:rPr>
      </w:pPr>
    </w:p>
    <w:p>
      <w:pPr>
        <w:ind w:left="300" w:hanging="300"/>
        <w:spacing w:after="0" w:line="242" w:lineRule="auto"/>
        <w:tabs>
          <w:tab w:leader="none" w:pos="281"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(i) 259,660 shares of Class B common stock and (ii) 1,030,581 shares of Class B common stock subject to outstanding options that are exercisable within 60 days of December 31, 2020 by Anthony Marino.</w:t>
      </w:r>
    </w:p>
    <w:p>
      <w:pPr>
        <w:ind w:left="280" w:hanging="280"/>
        <w:spacing w:after="0"/>
        <w:tabs>
          <w:tab w:leader="none" w:pos="2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249,813 shares of Class B common stock subject to outstanding options that are exercisable within 60 days of December 31, 2020 by Sean Sobers.</w:t>
      </w:r>
    </w:p>
    <w:p>
      <w:pPr>
        <w:spacing w:after="0" w:line="1" w:lineRule="exact"/>
        <w:rPr>
          <w:rFonts w:ascii="Arial" w:cs="Arial" w:eastAsia="Arial" w:hAnsi="Arial"/>
          <w:sz w:val="15"/>
          <w:szCs w:val="15"/>
          <w:color w:val="auto"/>
        </w:rPr>
      </w:pPr>
    </w:p>
    <w:p>
      <w:pPr>
        <w:ind w:left="280" w:hanging="280"/>
        <w:spacing w:after="0"/>
        <w:tabs>
          <w:tab w:leader="none" w:pos="2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shares held by the entities affiliated with Upfront Ventures identified in footnote 6.</w:t>
      </w:r>
    </w:p>
    <w:p>
      <w:pPr>
        <w:spacing w:after="0" w:line="1" w:lineRule="exact"/>
        <w:rPr>
          <w:rFonts w:ascii="Arial" w:cs="Arial" w:eastAsia="Arial" w:hAnsi="Arial"/>
          <w:sz w:val="15"/>
          <w:szCs w:val="15"/>
          <w:color w:val="auto"/>
        </w:rPr>
      </w:pPr>
    </w:p>
    <w:p>
      <w:pPr>
        <w:ind w:left="300" w:hanging="300"/>
        <w:spacing w:after="0" w:line="242" w:lineRule="auto"/>
        <w:tabs>
          <w:tab w:leader="none" w:pos="29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Following Mr. Friedman’s departure from Goldman Sachs Investment Partners, Venture Capital and Growth Equity in October 2019, he was no longer associated with the entities affiliated with Global Private Opportunities Partners.</w:t>
      </w:r>
    </w:p>
    <w:p>
      <w:pPr>
        <w:ind w:left="280" w:hanging="280"/>
        <w:spacing w:after="0"/>
        <w:tabs>
          <w:tab w:leader="none" w:pos="2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shares held by the entities affiliated with Redpoint Ventures identified in footnote 4.</w:t>
      </w:r>
    </w:p>
    <w:p>
      <w:pPr>
        <w:spacing w:after="0" w:line="1" w:lineRule="exact"/>
        <w:rPr>
          <w:rFonts w:ascii="Arial" w:cs="Arial" w:eastAsia="Arial" w:hAnsi="Arial"/>
          <w:sz w:val="15"/>
          <w:szCs w:val="15"/>
          <w:color w:val="auto"/>
        </w:rPr>
      </w:pPr>
    </w:p>
    <w:p>
      <w:pPr>
        <w:ind w:left="300" w:hanging="300"/>
        <w:spacing w:after="0" w:line="242" w:lineRule="auto"/>
        <w:tabs>
          <w:tab w:leader="none" w:pos="29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(i) 31,958 shares of Class B common stock held of record by Lazar 2012 Living Trust and (ii) 258,494 shares of Class B common stock subject to outstanding options that are exercisable within 60 days of December 31, 2020 by Jack Lazar.</w:t>
      </w:r>
    </w:p>
    <w:p>
      <w:pPr>
        <w:jc w:val="both"/>
        <w:ind w:left="300" w:hanging="300"/>
        <w:spacing w:after="0" w:line="242" w:lineRule="auto"/>
        <w:tabs>
          <w:tab w:leader="none" w:pos="29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(i) 382,898 shares of Class B common stock held of record by Norman Matthews, (ii) 47,783 shares of Class B common stock held of record by Norman Matthews, as Trustee of the Family Trust Under The Norman S. Matthews 2017 Annuity Trust No I and (iii) 393,125 shares of Class B common stock subject to outstanding options that are exercisable within 60 days of December 31, 2020 by Norman Matthews.</w:t>
      </w:r>
    </w:p>
    <w:p>
      <w:pPr>
        <w:ind w:left="280" w:hanging="280"/>
        <w:spacing w:after="0"/>
        <w:tabs>
          <w:tab w:leader="none" w:pos="2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shares held by the entities affiliated with Highland Capital Partners identified in footnote 5.</w:t>
      </w:r>
    </w:p>
    <w:p>
      <w:pPr>
        <w:spacing w:after="0" w:line="1" w:lineRule="exact"/>
        <w:rPr>
          <w:rFonts w:ascii="Arial" w:cs="Arial" w:eastAsia="Arial" w:hAnsi="Arial"/>
          <w:sz w:val="15"/>
          <w:szCs w:val="15"/>
          <w:color w:val="auto"/>
        </w:rPr>
      </w:pPr>
    </w:p>
    <w:p>
      <w:pPr>
        <w:ind w:left="300" w:hanging="300"/>
        <w:spacing w:after="0" w:line="242" w:lineRule="auto"/>
        <w:tabs>
          <w:tab w:leader="none" w:pos="29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(i) 15,979 shares of Class B common stock and (ii) 307,084 shares of Class B common stock subject to outstanding options that are exercisable within 60 days of December 31, 2020 by Paula Sutter.</w:t>
      </w:r>
    </w:p>
    <w:p>
      <w:pPr>
        <w:ind w:left="280" w:hanging="280"/>
        <w:spacing w:after="0"/>
        <w:tabs>
          <w:tab w:leader="none" w:pos="2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Ms. Vu was appointed to our board of directors in February 2021.</w:t>
      </w:r>
    </w:p>
    <w:p>
      <w:pPr>
        <w:spacing w:after="0" w:line="1" w:lineRule="exact"/>
        <w:rPr>
          <w:rFonts w:ascii="Arial" w:cs="Arial" w:eastAsia="Arial" w:hAnsi="Arial"/>
          <w:sz w:val="15"/>
          <w:szCs w:val="15"/>
          <w:color w:val="auto"/>
        </w:rPr>
      </w:pPr>
    </w:p>
    <w:p>
      <w:pPr>
        <w:ind w:left="300" w:hanging="300"/>
        <w:spacing w:after="0" w:line="257" w:lineRule="auto"/>
        <w:tabs>
          <w:tab w:leader="none" w:pos="29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Consists of (i) 48,935,282 shares of Class B common stock beneficially owned by our current directors and executive officers and (ii) 4,558,204 shares of Class B common stock subject to outstanding options that are exercisable within 60 days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240"/>
          </w:cols>
          <w:pgMar w:left="320" w:top="118" w:right="339" w:bottom="1440" w:gutter="0" w:footer="0" w:header="0"/>
        </w:sectPr>
      </w:pPr>
    </w:p>
    <w:bookmarkStart w:id="179" w:name="page180"/>
    <w:bookmarkEnd w:id="17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55"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The following description summarizes the most important terms of our capital stock, as they are expected to be in effect upon the completion of this offering. We expect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and amended and restated bylaws and our amended and restated investor rights’ agreement, which are or will be included as exhibits to the registration statement of which this prospectus forms a part, and to the applicable provisions of Delaware law. Immediately following the completion of this offering, our authorized capital stock will consist of 1,000,000,000 shares of Class A common stock, $0.0001 par value per share, 120,000,000 shares of Class B common stock, $0.0001 par value per share, and 100,000,000 shares of undesignated preferred stock, $0.0001 par value per share.</w:t>
      </w:r>
    </w:p>
    <w:p>
      <w:pPr>
        <w:spacing w:after="0" w:line="12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Assuming the conversion of all outstanding shares of our convertible preferred stock into shares of our Class B common stock, which will occur immediately prior to the completion of this offering, as of December 31, 2020, there were no outstanding shares of Class A common stock and 78,860,698 shares of our Class B common stock outstanding, held by 194 stockholders of record, and no shares of our convertible preferred stock outstanding. Our board of directors is authorized, without stockholder approval except as required by the listing standards of Nasdaq, to issue additional shares of our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 Common Stock and Class B Common Stock</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Upon the completion of this offering, we will have authorized Class A common stock and Class B common stock. All outstanding shares of our existing common stock and convertible preferred stock will be reclassified into shares of our new Class B common stock. In addition, any options to purchase shares of our capital stock outstanding prior to the completion of this offering will become eligible to be settled in or exercisable for shares of our new Class B common stock.</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Dividend Rights</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Voting Rights</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Holders of our Class A common stock are entitled to one vote for each share and holders of our Class B common stock are entitled to ten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119" w:lineRule="exact"/>
        <w:rPr>
          <w:sz w:val="20"/>
          <w:szCs w:val="20"/>
          <w:color w:val="auto"/>
        </w:rPr>
      </w:pPr>
    </w:p>
    <w:p>
      <w:pPr>
        <w:ind w:left="600" w:hanging="302"/>
        <w:spacing w:after="0" w:line="277" w:lineRule="auto"/>
        <w:tabs>
          <w:tab w:leader="none" w:pos="59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we were to seek to amend our amended and restated certificate of incorporation in a manner that alters or changes the powers, preferences or special rights of a class of our capital stock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240"/>
          </w:cols>
          <w:pgMar w:left="320" w:top="118" w:right="339" w:bottom="1440" w:gutter="0" w:footer="0" w:header="0"/>
        </w:sectPr>
      </w:pPr>
    </w:p>
    <w:bookmarkStart w:id="180" w:name="page181"/>
    <w:bookmarkEnd w:id="18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manner that affected its holders adversely, then that class would be required to vote separately to approve the proposed amendment.</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do not expect to provide for cumulative voting for the election of directors in our amended and restated certificate of incorporation. 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Conversion</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Each outstanding share of Class B common stock will be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122"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the event that our co-founder James Reinhart is terminated or resigns from his position as Chief Executive Officer, or the Founder Departure, each share of Class B common stock held of record by Mr. Reinhart, or by his permitted transferees, shall automatically, without any further action, convert into one share of Class A common stock the day following the Founder Departure.</w:t>
      </w:r>
    </w:p>
    <w:p>
      <w:pPr>
        <w:spacing w:after="0" w:line="111"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All outstanding shares of Class A common stock and Class B common stock will convert automatically into shares of a single class of common stock on the earlier of the date that is seven years from the date of this prospectus or the date the holders of at least 66-2/3%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 See the section titled “Risk Factors—Risks Relating to Our Initial Public Offering and Ownership of Our Common Stock—The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 for a description of the risks related to the dual-class structure of our common stock.</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No Preemptive or Similar Rights</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Our Class A common stock and Class B common stock are not entitled to preemptive rights and are not subject to conversion, redemption or sinking fund provisions.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Right to Receive Liquidation Distributions</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240"/>
          </w:cols>
          <w:pgMar w:left="320" w:top="118" w:right="339" w:bottom="1440" w:gutter="0" w:footer="0" w:header="0"/>
        </w:sectPr>
      </w:pPr>
    </w:p>
    <w:bookmarkStart w:id="181" w:name="page182"/>
    <w:bookmarkEnd w:id="18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All of the outstanding shares of our Class B common stock are, and the shares of our Class A common stock to be issued pursuant to this offering will be, fully paid and non-assessable.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55"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 We have no current plan to issue any shares of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As of December 31, 2020, we had outstanding options to purchase an aggregate of 22,774,949 shares of our Class B common stock, with a weighted-average exercise price of $ 1.81 pursuant to our 2010 Plan, which was adopted in February 2010, most recently amended and restated by our board of directors in March 2019 and most recently amended in February 2021.</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As of December 31, 2020, warrants to purchase an aggregate of 148,994 shares of our convertible preferred stock, with a weighted-average exercise price of $5.58 per share on a common equivalent basis were outstanding. The warrants will be automatically converted into warrants for Class B common stock upon the completion of this offering.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55"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After the completion of this offering, certain holders of our Class B common stock will be entitled to rights with respect to the registration of their shares under the Securities Act. These registration rights are contained in the investors’ rights agreement. We, along with certain holders of our convertible preferred stock, are parties to the investors’ rights agreement. The registration rights set forth in the investors’ rights agreement will expire five years following the completion of this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 In connection with this offering, each stockholder that has registration rights will agree not to sell or otherwise dispose of any securities without the prior written consent of at least two of Goldman Sachs &amp; Co. LLC, Morgan Stanley &amp; Co, LLC and Barclays Capital Inc. for a period of 180 days after the date of this prospectus, subject to certain terms and conditions. See the sections titled “Shares Eligible for Future Sale” and “Underwriting” for more information regarding such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240"/>
          </w:cols>
          <w:pgMar w:left="320" w:top="118" w:right="339" w:bottom="1440" w:gutter="0" w:footer="0" w:header="0"/>
        </w:sectPr>
      </w:pPr>
    </w:p>
    <w:bookmarkStart w:id="182" w:name="page183"/>
    <w:bookmarkEnd w:id="18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Demand Registration Rights on Form S-1</w:t>
      </w:r>
    </w:p>
    <w:p>
      <w:pPr>
        <w:spacing w:after="0" w:line="153"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After the completion of this offering, the holders of approximately 67,082,225 shares of our Class B common stock will be entitled to certain demand registration rights. At any time beginning 180 days after the effectiveness of the registration statement of which this prospectus forms a part, the holders of at least 30% of these shares then outstanding may request that we register the offer and sale of their shares on a registration statement on Form S-1. We are obligated to effect only two such registrations. If we determine that it would be seriously detrimental to our stockholders to effect such a demand registration, we have the right to defer such registration, not more than twice in any twelve-month period, for a period of not more than 120 days. Additionally, we will not be required to effect a demand registration during the period beginning 90 days prior to our good faith estimate of the date of the filing of and ending on a date 180 days after the effectiveness of a registration statement relating to our common stock.</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Demand Registration Rights on Form S-3</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After the completion of this offering, the holders of up to approximately 67,082,225 shares of our Class B common stock will be entitled to certain Form S-3 registration rights. The holders of at least 10%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of at least $ 1.0 million.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our stockholders to effect such a registration, we have the right to defer such registration, not more than twice in any twelve-month period, for a period of not more than 120 days. Additionally, we will not be required to effect a demand registration during the period beginning 60 days prior to our good faith estimate of the date of the filing of and ending on a date 180 days after the effectiveness of a registration statement relating to our common stock.</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After the completion of this offering, if we propose to register the offer and sale of our common stock under the Securities Act, in connection with the public offering of such common stock the holders of up to approximately 74,619,565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 stock option, stock purchase or similar plan, (2) a registration relating to a transaction under Rule 145 of the Securities Act, (3) a registration on any form that does not include substantially the same information as would be required to be included in a registration statement covering the public offering of our common stock or (4)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Anti-Takeover Provisions</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240"/>
          </w:cols>
          <w:pgMar w:left="320" w:top="118" w:right="339" w:bottom="1440" w:gutter="0" w:footer="0" w:header="0"/>
        </w:sectPr>
      </w:pPr>
    </w:p>
    <w:bookmarkStart w:id="183" w:name="page184"/>
    <w:bookmarkEnd w:id="18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Delaware Law</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Amended and Restated Certificate of Incorporation and Amended and Restated Bylaw Provisions</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96" w:lineRule="exact"/>
        <w:rPr>
          <w:sz w:val="20"/>
          <w:szCs w:val="20"/>
          <w:color w:val="auto"/>
        </w:rPr>
      </w:pPr>
    </w:p>
    <w:p>
      <w:pPr>
        <w:jc w:val="both"/>
        <w:ind w:left="600" w:hanging="302"/>
        <w:spacing w:after="0" w:line="255" w:lineRule="auto"/>
        <w:tabs>
          <w:tab w:leader="none" w:pos="596"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Dual-Class Stock. </w:t>
      </w:r>
      <w:r>
        <w:rPr>
          <w:rFonts w:ascii="Arial" w:cs="Arial" w:eastAsia="Arial" w:hAnsi="Arial"/>
          <w:sz w:val="17"/>
          <w:szCs w:val="17"/>
          <w:color w:val="auto"/>
        </w:rPr>
        <w:t>As described above in the subsection titled “—Class A Common Stock and Class B Common Stock—Voting Rights,”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will provide for a dual-class common stock structure, which will provide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114" w:lineRule="exact"/>
        <w:rPr>
          <w:rFonts w:ascii="Arial" w:cs="Arial" w:eastAsia="Arial" w:hAnsi="Arial"/>
          <w:sz w:val="17"/>
          <w:szCs w:val="17"/>
          <w:color w:val="auto"/>
        </w:rPr>
      </w:pPr>
    </w:p>
    <w:p>
      <w:pPr>
        <w:jc w:val="both"/>
        <w:ind w:left="600" w:hanging="302"/>
        <w:spacing w:after="0" w:line="250" w:lineRule="auto"/>
        <w:tabs>
          <w:tab w:leader="none" w:pos="596"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will authorize only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122" w:lineRule="exact"/>
        <w:rPr>
          <w:rFonts w:ascii="Arial" w:cs="Arial" w:eastAsia="Arial" w:hAnsi="Arial"/>
          <w:sz w:val="17"/>
          <w:szCs w:val="17"/>
          <w:color w:val="auto"/>
        </w:rPr>
      </w:pPr>
    </w:p>
    <w:p>
      <w:pPr>
        <w:jc w:val="both"/>
        <w:ind w:left="600" w:hanging="302"/>
        <w:spacing w:after="0" w:line="255" w:lineRule="auto"/>
        <w:tabs>
          <w:tab w:leader="none" w:pos="596"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amended and restated certificate of incorporation and amended and restated bylaws will provide that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w:t>
      </w:r>
    </w:p>
    <w:p>
      <w:pPr>
        <w:spacing w:after="0" w:line="114" w:lineRule="exact"/>
        <w:rPr>
          <w:rFonts w:ascii="Arial" w:cs="Arial" w:eastAsia="Arial" w:hAnsi="Arial"/>
          <w:sz w:val="17"/>
          <w:szCs w:val="17"/>
          <w:color w:val="auto"/>
        </w:rPr>
      </w:pPr>
    </w:p>
    <w:p>
      <w:pPr>
        <w:jc w:val="both"/>
        <w:ind w:left="600" w:hanging="302"/>
        <w:spacing w:after="0" w:line="249" w:lineRule="auto"/>
        <w:tabs>
          <w:tab w:leader="none" w:pos="596"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 of Stockholders. </w:t>
      </w:r>
      <w:r>
        <w:rPr>
          <w:rFonts w:ascii="Arial" w:cs="Arial" w:eastAsia="Arial" w:hAnsi="Arial"/>
          <w:sz w:val="17"/>
          <w:szCs w:val="17"/>
          <w:color w:val="auto"/>
        </w:rPr>
        <w:t>Our amended and restated certificate of incorporation will provide that our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19" w:lineRule="exact"/>
        <w:rPr>
          <w:rFonts w:ascii="Arial" w:cs="Arial" w:eastAsia="Arial" w:hAnsi="Arial"/>
          <w:sz w:val="17"/>
          <w:szCs w:val="17"/>
          <w:color w:val="auto"/>
        </w:rPr>
      </w:pPr>
    </w:p>
    <w:p>
      <w:pPr>
        <w:ind w:left="600" w:hanging="302"/>
        <w:spacing w:after="0" w:line="309" w:lineRule="auto"/>
        <w:tabs>
          <w:tab w:leader="none" w:pos="596"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 xml:space="preserve">Advance Notice Requirements for Stockholder Proposals and Director Nominations. </w:t>
      </w:r>
      <w:r>
        <w:rPr>
          <w:rFonts w:ascii="Arial" w:cs="Arial" w:eastAsia="Arial" w:hAnsi="Arial"/>
          <w:sz w:val="16"/>
          <w:szCs w:val="16"/>
          <w:color w:val="auto"/>
        </w:rPr>
        <w:t>Our amended and restated bylaws will provide advance</w:t>
      </w:r>
      <w:r>
        <w:rPr>
          <w:rFonts w:ascii="Arial" w:cs="Arial" w:eastAsia="Arial" w:hAnsi="Arial"/>
          <w:sz w:val="16"/>
          <w:szCs w:val="16"/>
          <w:i w:val="1"/>
          <w:iCs w:val="1"/>
          <w:color w:val="auto"/>
        </w:rPr>
        <w:t xml:space="preserve"> </w:t>
      </w:r>
      <w:r>
        <w:rPr>
          <w:rFonts w:ascii="Arial" w:cs="Arial" w:eastAsia="Arial" w:hAnsi="Arial"/>
          <w:sz w:val="16"/>
          <w:szCs w:val="16"/>
          <w:color w:val="auto"/>
        </w:rPr>
        <w:t>notice procedures for stockholders seeking to bring business before our annual meeting of stockholders or to nominate candidates for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240"/>
          </w:cols>
          <w:pgMar w:left="320" w:top="118" w:right="339" w:bottom="1440" w:gutter="0" w:footer="0" w:header="0"/>
        </w:sectPr>
      </w:pPr>
    </w:p>
    <w:bookmarkStart w:id="184" w:name="page185"/>
    <w:bookmarkEnd w:id="18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00"/>
        <w:spacing w:after="0" w:line="252" w:lineRule="auto"/>
        <w:rPr>
          <w:sz w:val="20"/>
          <w:szCs w:val="20"/>
          <w:color w:val="auto"/>
        </w:rPr>
      </w:pPr>
      <w:r>
        <w:rPr>
          <w:rFonts w:ascii="Arial" w:cs="Arial" w:eastAsia="Arial" w:hAnsi="Arial"/>
          <w:sz w:val="17"/>
          <w:szCs w:val="17"/>
          <w:color w:val="auto"/>
        </w:rPr>
        <w:t>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19" w:lineRule="exact"/>
        <w:rPr>
          <w:sz w:val="20"/>
          <w:szCs w:val="20"/>
          <w:color w:val="auto"/>
        </w:rPr>
      </w:pPr>
    </w:p>
    <w:p>
      <w:pPr>
        <w:jc w:val="both"/>
        <w:ind w:left="600" w:hanging="302"/>
        <w:spacing w:after="0" w:line="260" w:lineRule="auto"/>
        <w:tabs>
          <w:tab w:leader="none" w:pos="596"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No Cumulative Voting. </w:t>
      </w:r>
      <w:r>
        <w:rPr>
          <w:rFonts w:ascii="Arial" w:cs="Arial" w:eastAsia="Arial" w:hAnsi="Arial"/>
          <w:sz w:val="17"/>
          <w:szCs w:val="17"/>
          <w:color w:val="auto"/>
        </w:rPr>
        <w:t>The Delaware General Corporation Law provides that stockholders are not entitled to cumulate votes in the election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unless a corporation’s certificate of incorporation provides otherwise. Our amended and restated certificate of incorporation will not provide for cumulative voting.</w:t>
      </w:r>
    </w:p>
    <w:p>
      <w:pPr>
        <w:spacing w:after="0" w:line="111"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Directors Removed Only for Cause. </w:t>
      </w:r>
      <w:r>
        <w:rPr>
          <w:rFonts w:ascii="Arial" w:cs="Arial" w:eastAsia="Arial" w:hAnsi="Arial"/>
          <w:sz w:val="17"/>
          <w:szCs w:val="17"/>
          <w:color w:val="auto"/>
        </w:rPr>
        <w:t>Our amended and restated certificate of incorporation will provide that stockholders may remove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only for cause.</w:t>
      </w:r>
    </w:p>
    <w:p>
      <w:pPr>
        <w:spacing w:after="0" w:line="96"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Amendment of Charter Provisions. </w:t>
      </w:r>
      <w:r>
        <w:rPr>
          <w:rFonts w:ascii="Arial" w:cs="Arial" w:eastAsia="Arial" w:hAnsi="Arial"/>
          <w:sz w:val="17"/>
          <w:szCs w:val="17"/>
          <w:color w:val="auto"/>
        </w:rPr>
        <w:t>Any amendment of the above provisions in our amended and restated certificate of incorporation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by holders of at least two-thirds of our then outstanding common stock.</w:t>
      </w:r>
    </w:p>
    <w:p>
      <w:pPr>
        <w:spacing w:after="0" w:line="96" w:lineRule="exact"/>
        <w:rPr>
          <w:rFonts w:ascii="Arial" w:cs="Arial" w:eastAsia="Arial" w:hAnsi="Arial"/>
          <w:sz w:val="17"/>
          <w:szCs w:val="17"/>
          <w:color w:val="auto"/>
        </w:rPr>
      </w:pPr>
    </w:p>
    <w:p>
      <w:pPr>
        <w:jc w:val="both"/>
        <w:ind w:left="600" w:hanging="302"/>
        <w:spacing w:after="0" w:line="255" w:lineRule="auto"/>
        <w:tabs>
          <w:tab w:leader="none" w:pos="596"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will have the authority, without further action by the stockholders, to issue up</w:t>
      </w:r>
      <w:r>
        <w:rPr>
          <w:rFonts w:ascii="Arial" w:cs="Arial" w:eastAsia="Arial" w:hAnsi="Arial"/>
          <w:sz w:val="17"/>
          <w:szCs w:val="17"/>
          <w:i w:val="1"/>
          <w:iCs w:val="1"/>
          <w:color w:val="auto"/>
        </w:rPr>
        <w:t xml:space="preserve"> </w:t>
      </w:r>
      <w:r>
        <w:rPr>
          <w:rFonts w:ascii="Arial" w:cs="Arial" w:eastAsia="Arial" w:hAnsi="Arial"/>
          <w:sz w:val="17"/>
          <w:szCs w:val="17"/>
          <w:color w:val="auto"/>
        </w:rPr>
        <w:t>to 100,000,000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14" w:lineRule="exact"/>
        <w:rPr>
          <w:rFonts w:ascii="Arial" w:cs="Arial" w:eastAsia="Arial" w:hAnsi="Arial"/>
          <w:sz w:val="17"/>
          <w:szCs w:val="17"/>
          <w:color w:val="auto"/>
        </w:rPr>
      </w:pPr>
    </w:p>
    <w:p>
      <w:pPr>
        <w:jc w:val="both"/>
        <w:ind w:left="600" w:hanging="302"/>
        <w:spacing w:after="0" w:line="247" w:lineRule="auto"/>
        <w:tabs>
          <w:tab w:leader="none" w:pos="596"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Exclusive Forum. </w:t>
      </w:r>
      <w:r>
        <w:rPr>
          <w:rFonts w:ascii="Arial" w:cs="Arial" w:eastAsia="Arial" w:hAnsi="Arial"/>
          <w:sz w:val="17"/>
          <w:szCs w:val="17"/>
          <w:color w:val="auto"/>
        </w:rPr>
        <w:t>Our amended and restated bylaws will provide that, unless we consent in writing to the selection of an alternative forum, the</w:t>
      </w:r>
      <w:r>
        <w:rPr>
          <w:rFonts w:ascii="Arial" w:cs="Arial" w:eastAsia="Arial" w:hAnsi="Arial"/>
          <w:sz w:val="17"/>
          <w:szCs w:val="17"/>
          <w:i w:val="1"/>
          <w:iCs w:val="1"/>
          <w:color w:val="auto"/>
        </w:rPr>
        <w:t xml:space="preserve"> </w:t>
      </w:r>
      <w:r>
        <w:rPr>
          <w:rFonts w:ascii="Arial" w:cs="Arial" w:eastAsia="Arial" w:hAnsi="Arial"/>
          <w:sz w:val="17"/>
          <w:szCs w:val="17"/>
          <w:color w:val="auto"/>
        </w:rPr>
        <w:t>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our amended and restated certificate of incorporation or our amended and restated bylaws or (4) any action asserting a claim that is governed by the internal affairs doctrine; provided, however, that the Delaware Forum Provision shall not apply to any causes of action arising under the Securities Act or Exchange Act. In addition, our amended and restated bylaws will provide that, unless we consent in writing to the selection of an alternative forum, the federal district courts of the United States shall be the sole and exclusive forum for resolving any complaint asserting a cause of action arising under the Securities Act. Any person or entity purchasing or otherwise acquiring any interest in our securities shall be deemed to have notice of and consented to this provision.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55" w:lineRule="exact"/>
        <w:rPr>
          <w:sz w:val="20"/>
          <w:szCs w:val="20"/>
          <w:color w:val="auto"/>
        </w:rPr>
      </w:pPr>
    </w:p>
    <w:p>
      <w:pPr>
        <w:ind w:firstLine="299"/>
        <w:spacing w:after="0" w:line="277" w:lineRule="auto"/>
        <w:rPr>
          <w:sz w:val="20"/>
          <w:szCs w:val="20"/>
          <w:color w:val="auto"/>
        </w:rPr>
      </w:pPr>
      <w:r>
        <w:rPr>
          <w:rFonts w:ascii="Arial" w:cs="Arial" w:eastAsia="Arial" w:hAnsi="Arial"/>
          <w:sz w:val="17"/>
          <w:szCs w:val="17"/>
          <w:color w:val="auto"/>
        </w:rPr>
        <w:t>Upon the completion of this offering, the transfer agent and registrar for our Class A common stock and Class B common stock will be Computershare Trust Company, N.A. The transfer agent’s address is 250 Royal Street, Canton, MA 02021.</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applied to list our Class A common stock on Nasdaq under the symbol “TDUP.”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240"/>
          </w:cols>
          <w:pgMar w:left="320" w:top="118" w:right="339" w:bottom="1440" w:gutter="0" w:footer="0" w:header="0"/>
        </w:sectPr>
      </w:pPr>
    </w:p>
    <w:bookmarkStart w:id="185" w:name="page186"/>
    <w:bookmarkEnd w:id="18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155"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Following the completion of this offering, based on the number of shares of our capital stock outstanding as of December 31, 2020, we will have a</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total of shares of our Class A common stock and 78,860,698 shares of our Class B common stock outstanding, assuming the automatic conversion and reclassification of all outstanding shares of our convertible preferred stock into 65,970,938 shares of our Class B common stock and the reclassification of our outstanding common stock as Class B common stock, all immediately prior to the completion of this offering. Of these outstanding</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shares, all of the shares of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 The remaining outstanding shares of our Class B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w:t>
      </w:r>
    </w:p>
    <w:p>
      <w:pPr>
        <w:spacing w:after="0" w:line="123"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In addition, all of our executive officers, directors and holders of substantially all of our common stock and securities convertible into or exchangeable for our Class B common stock have entered into market standoff agreements with us or lock-up agreements with the underwriters under which they have agreed, subject to specific exceptions, not to sell any of our stock for at least 180 days following the date of this prospectus. As a result of these agreements and the provisions of our investor rights’ agreement described above under the section titled “Description of Capital Stock—Registration Rights,” subject to the provisions of Rule 144 or Rule 701, these restricted securities will be available for sale in the public market as follows:</w:t>
      </w:r>
    </w:p>
    <w:p>
      <w:pPr>
        <w:spacing w:after="0" w:line="102" w:lineRule="exact"/>
        <w:rPr>
          <w:sz w:val="20"/>
          <w:szCs w:val="20"/>
          <w:color w:val="auto"/>
        </w:rPr>
      </w:pPr>
    </w:p>
    <w:p>
      <w:pPr>
        <w:jc w:val="both"/>
        <w:ind w:left="600" w:hanging="298"/>
        <w:spacing w:after="0" w:line="260" w:lineRule="auto"/>
        <w:tabs>
          <w:tab w:leader="none" w:pos="580" w:val="left"/>
        </w:tabs>
        <w:rPr>
          <w:sz w:val="20"/>
          <w:szCs w:val="20"/>
          <w:color w:val="auto"/>
        </w:rPr>
      </w:pPr>
      <w:r>
        <w:rPr>
          <w:rFonts w:ascii="Arial" w:cs="Arial" w:eastAsia="Arial" w:hAnsi="Arial"/>
          <w:sz w:val="17"/>
          <w:szCs w:val="17"/>
          <w:color w:val="auto"/>
        </w:rPr>
        <w:t>•</w:t>
        <w:tab/>
        <w:t>beginning on the date of this prospectus, the shares of Class A common stock sold in this offering will be immediately available for sale in the public market, except for any shares sold pursuant to our directed share program to existing stockholders who are subject to market standoff agreements with us or lock-up agreements with the underwriters;</w:t>
      </w:r>
    </w:p>
    <w:p>
      <w:pPr>
        <w:spacing w:after="0" w:line="111" w:lineRule="exact"/>
        <w:rPr>
          <w:sz w:val="20"/>
          <w:szCs w:val="20"/>
          <w:color w:val="auto"/>
        </w:rPr>
      </w:pPr>
    </w:p>
    <w:p>
      <w:pPr>
        <w:jc w:val="both"/>
        <w:ind w:left="600" w:hanging="302"/>
        <w:spacing w:after="0" w:line="260" w:lineRule="auto"/>
        <w:tabs>
          <w:tab w:leader="none" w:pos="59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beginning the first trading day immediately following our public release of earnings for the first quarter following the most recent period for which financial statements are included in this prospectus, up to shares of Class A common stock issuable upon conversion of Class B common stock held by certain Employee Stockholders (as defined below);</w:t>
      </w:r>
    </w:p>
    <w:p>
      <w:pPr>
        <w:spacing w:after="0" w:line="111" w:lineRule="exact"/>
        <w:rPr>
          <w:rFonts w:ascii="Arial" w:cs="Arial" w:eastAsia="Arial" w:hAnsi="Arial"/>
          <w:sz w:val="17"/>
          <w:szCs w:val="17"/>
          <w:color w:val="auto"/>
        </w:rPr>
      </w:pPr>
    </w:p>
    <w:p>
      <w:pPr>
        <w:ind w:left="600" w:hanging="302"/>
        <w:spacing w:after="0"/>
        <w:tabs>
          <w:tab w:leader="none" w:pos="6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or earlier in the case of a blackout-related early release described below, subject to certain</w:t>
      </w:r>
    </w:p>
    <w:p>
      <w:pPr>
        <w:sectPr>
          <w:pgSz w:w="11900" w:h="16838" w:orient="portrait"/>
          <w:cols w:equalWidth="0" w:num="1">
            <w:col w:w="11240"/>
          </w:cols>
          <w:pgMar w:left="320" w:top="118" w:right="339" w:bottom="1440" w:gutter="0" w:footer="0" w:header="0"/>
        </w:sectPr>
      </w:pPr>
    </w:p>
    <w:p>
      <w:pPr>
        <w:spacing w:after="0" w:line="38" w:lineRule="exact"/>
        <w:rPr>
          <w:sz w:val="20"/>
          <w:szCs w:val="20"/>
          <w:color w:val="auto"/>
        </w:rPr>
      </w:pPr>
    </w:p>
    <w:p>
      <w:pPr>
        <w:ind w:left="600"/>
        <w:spacing w:after="0" w:line="246" w:lineRule="auto"/>
        <w:rPr>
          <w:sz w:val="20"/>
          <w:szCs w:val="20"/>
          <w:color w:val="auto"/>
        </w:rPr>
      </w:pPr>
      <w:r>
        <w:rPr>
          <w:rFonts w:ascii="Arial" w:cs="Arial" w:eastAsia="Arial" w:hAnsi="Arial"/>
          <w:sz w:val="17"/>
          <w:szCs w:val="17"/>
          <w:color w:val="auto"/>
        </w:rPr>
        <w:t>exceptions as described below, additional shares of Class A common stock issuable upon conversion of Class B common stock will become eligible for sale in the public market, of which shares will be held by affiliates and subject to the volume and other restrictions of Rule 144, as described below; and</w:t>
      </w:r>
    </w:p>
    <w:p>
      <w:pPr>
        <w:sectPr>
          <w:pgSz w:w="11900" w:h="16838" w:orient="portrait"/>
          <w:cols w:equalWidth="0" w:num="1">
            <w:col w:w="11240"/>
          </w:cols>
          <w:pgMar w:left="320" w:top="118" w:right="339" w:bottom="1440" w:gutter="0" w:footer="0" w:header="0"/>
          <w:type w:val="continuous"/>
        </w:sectPr>
      </w:pPr>
    </w:p>
    <w:p>
      <w:pPr>
        <w:spacing w:after="0" w:line="123" w:lineRule="exact"/>
        <w:rPr>
          <w:sz w:val="20"/>
          <w:szCs w:val="20"/>
          <w:color w:val="auto"/>
        </w:rPr>
      </w:pPr>
    </w:p>
    <w:p>
      <w:pPr>
        <w:ind w:left="600" w:hanging="302"/>
        <w:spacing w:after="0" w:line="277" w:lineRule="auto"/>
        <w:tabs>
          <w:tab w:leader="none" w:pos="59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remainder of the shares of Class A common stock issuable upon conversion of Class B common stock will be eligible for sale in the public market from time to time thereafter, subject in some cases to the volume and other restrictions of Rule 144,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240"/>
          </w:cols>
          <w:pgMar w:left="320" w:top="118" w:right="339" w:bottom="1440" w:gutter="0" w:footer="0" w:header="0"/>
          <w:type w:val="continuous"/>
        </w:sectPr>
      </w:pPr>
    </w:p>
    <w:bookmarkStart w:id="186" w:name="page187"/>
    <w:bookmarkEnd w:id="18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 and Market Standoff Provisions</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our executive officers, directors and holders of substantially all of our Class B common stock and securities convertible into or exchangeable for our Class B common stock, have agreed or will agree that, subject to certain exceptions, for a period of 180 days from the date of this prospectus, or the restricted period, we and they will not, without the prior written consent of at least two of Goldman Sachs &amp; Co. LLC, Morgan Stanley &amp; Co, LLC and Barclays Capital Inc., dispose of or hedge any shares or any securities convertible into or exchangeable for shares of our capital stock.</w:t>
      </w:r>
    </w:p>
    <w:p>
      <w:pPr>
        <w:spacing w:after="0" w:line="11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If, however, (i) we have publicly released our earnings results for the quarterly period during which this offering occurred, (ii) at least 120 days have elapsed since the date of the final prospectus relating to the offering and (iii) the restricted period is scheduled to end during a blackout period under the Company’s insider trading policy, or within five trading days prior to a blackout period, then the restricted period shall end ten trading days prior to the commencement of the blackout period, provided that in the event that ten trading days prior to the commencement of the blackout period is earlier than 120 days after the date of the final prospectus relating to the offering, the restricted period shall end on the 120th day after the date of the final prospectus relating to the offering, but only if such 120th day is at least five trading days prior to the commencement of the blackout period. We will announce the date of the any blackout-related early release at least two trading days in advance of any such early release.</w:t>
      </w:r>
    </w:p>
    <w:p>
      <w:pPr>
        <w:spacing w:after="0" w:line="12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Notwithstanding the foregoing, under the terms of the lock-up agreements with the underwriters beginning the first trading day immediately following our public release of earnings for the first quarter following the most recent period for which financial statements are included in this prospectus, up to shares of Class A common stock issuable upon conversion of Class B common stock, and securities directly or indirectly convertible into or exchangeable or exercisable for our Class B common stock, held by our current and former employees, consultants and contractors (but excluding executive officers, key employees and directors), or the Employee Stockholders.</w:t>
      </w:r>
    </w:p>
    <w:p>
      <w:pPr>
        <w:spacing w:after="0" w:line="11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Further, notwithstanding the foregoing, and subject to certain conditions, the lock-up restrictions described above do not apply to our executive officers, directors and other holders of substantially all of our outstanding securities with respect to:</w:t>
      </w:r>
    </w:p>
    <w:p>
      <w:pPr>
        <w:spacing w:after="0" w:line="96" w:lineRule="exact"/>
        <w:rPr>
          <w:sz w:val="20"/>
          <w:szCs w:val="20"/>
          <w:color w:val="auto"/>
        </w:rPr>
      </w:pPr>
    </w:p>
    <w:p>
      <w:pPr>
        <w:jc w:val="both"/>
        <w:ind w:left="600" w:hanging="302"/>
        <w:spacing w:after="0" w:line="260" w:lineRule="auto"/>
        <w:tabs>
          <w:tab w:leader="none" w:pos="59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as a bona fide gift or gifts; provided that the donee or donees thereof agree to be bound in writing by the restrictions on transfer set forth in the lock-up agreement; and provided further that no filing under Section 16 of the Exchange Act shall be required or shall be voluntarily during the restricted period;</w:t>
      </w:r>
    </w:p>
    <w:p>
      <w:pPr>
        <w:spacing w:after="0" w:line="111" w:lineRule="exact"/>
        <w:rPr>
          <w:rFonts w:ascii="Arial" w:cs="Arial" w:eastAsia="Arial" w:hAnsi="Arial"/>
          <w:sz w:val="17"/>
          <w:szCs w:val="17"/>
          <w:color w:val="auto"/>
        </w:rPr>
      </w:pPr>
    </w:p>
    <w:p>
      <w:pPr>
        <w:jc w:val="both"/>
        <w:ind w:left="600" w:hanging="302"/>
        <w:spacing w:after="0" w:line="252" w:lineRule="auto"/>
        <w:tabs>
          <w:tab w:leader="none" w:pos="59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to a trust for the direct or indirect benefit of the stockholder or such immediate family member of the stockholder; provided that the trustee of the trust agrees to be bound in writing by the restrictions on transfer set forth in the lock-up agreement; and provided further that any such transfer shall not involve a disposition for value; and provided further that no filing under Section 16 of the Exchange Act shall be required or shall be voluntarily during the restricted period;</w:t>
      </w:r>
    </w:p>
    <w:p>
      <w:pPr>
        <w:spacing w:after="0" w:line="118" w:lineRule="exact"/>
        <w:rPr>
          <w:rFonts w:ascii="Arial" w:cs="Arial" w:eastAsia="Arial" w:hAnsi="Arial"/>
          <w:sz w:val="17"/>
          <w:szCs w:val="17"/>
          <w:color w:val="auto"/>
        </w:rPr>
      </w:pPr>
    </w:p>
    <w:p>
      <w:pPr>
        <w:jc w:val="both"/>
        <w:ind w:left="600" w:hanging="302"/>
        <w:spacing w:after="0" w:line="252" w:lineRule="auto"/>
        <w:tabs>
          <w:tab w:leader="none" w:pos="59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 by a stockholder that is a trust to a grantor, trustee or beneficiary of the trust or to the estate of a beneficiary of such trust; provided that such grantor or beneficiary agrees to be bound in writing by the restrictions on transfer set forth in the lock-up agreement; and provided further that any such transfer shall not involve a disposition for value; and provided further that no filing under Section 16 of the Exchange Act shall be required or shall be voluntarily during the restricted period;</w:t>
      </w:r>
    </w:p>
    <w:p>
      <w:pPr>
        <w:spacing w:after="0" w:line="118"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distributions by a legal entity of shares of common stock or any security convertible into or exercisable or exchangeable for common stock to limited partners, members, stockholders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240"/>
          </w:cols>
          <w:pgMar w:left="320" w:top="118" w:right="339" w:bottom="1440" w:gutter="0" w:footer="0" w:header="0"/>
        </w:sectPr>
      </w:pPr>
    </w:p>
    <w:bookmarkStart w:id="187" w:name="page188"/>
    <w:bookmarkEnd w:id="18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00"/>
        <w:spacing w:after="0" w:line="255" w:lineRule="auto"/>
        <w:rPr>
          <w:sz w:val="20"/>
          <w:szCs w:val="20"/>
          <w:color w:val="auto"/>
        </w:rPr>
      </w:pPr>
      <w:r>
        <w:rPr>
          <w:rFonts w:ascii="Arial" w:cs="Arial" w:eastAsia="Arial" w:hAnsi="Arial"/>
          <w:sz w:val="17"/>
          <w:szCs w:val="17"/>
          <w:color w:val="auto"/>
        </w:rPr>
        <w:t>holders of similar equity interests or to another legal entity or investment fund managed by or affiliated with such legal entity; provided that the transferee or distributee agrees to be bound in writing by the restrictions set forth herein; and provided further that any such transfer shall not involve a disposition for value; and provided further that no filing under Section 16 of the Exchange Act shall be required or shall be voluntarily during the restricted period;</w:t>
      </w:r>
    </w:p>
    <w:p>
      <w:pPr>
        <w:spacing w:after="0" w:line="115" w:lineRule="exact"/>
        <w:rPr>
          <w:sz w:val="20"/>
          <w:szCs w:val="20"/>
          <w:color w:val="auto"/>
        </w:rPr>
      </w:pPr>
    </w:p>
    <w:p>
      <w:pPr>
        <w:jc w:val="both"/>
        <w:ind w:left="600" w:hanging="302"/>
        <w:spacing w:after="0" w:line="255" w:lineRule="auto"/>
        <w:tabs>
          <w:tab w:leader="none" w:pos="5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upon death, by will, or intestacy; provided that the transferee agrees to be bound in writing by the restrictions on transfer set forth in the lock-up agreement; and provided further that any such transfer shall not involve a disposition for value; and provided further that, if required, any public report or filing under Section 16 of the Exchange Act will clearly indicate in the footnotes thereto the nature and conditions of such transfer;</w:t>
      </w:r>
    </w:p>
    <w:p>
      <w:pPr>
        <w:spacing w:after="0" w:line="114" w:lineRule="exact"/>
        <w:rPr>
          <w:rFonts w:ascii="Arial" w:cs="Arial" w:eastAsia="Arial" w:hAnsi="Arial"/>
          <w:sz w:val="17"/>
          <w:szCs w:val="17"/>
          <w:color w:val="auto"/>
        </w:rPr>
      </w:pPr>
    </w:p>
    <w:p>
      <w:pPr>
        <w:jc w:val="both"/>
        <w:ind w:left="600" w:hanging="302"/>
        <w:spacing w:after="0" w:line="255" w:lineRule="auto"/>
        <w:tabs>
          <w:tab w:leader="none" w:pos="5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by operation of law, such as pursuant to a qualified domestic order or in connection with a divorce settlement; provided that the transferee agrees to be bound in writing by the restrictions on transfer set forth in the lock-up agreement; and provided further that, if required, any public report or filing under Section 16 of the Exchange Act will clearly indicate in the footnotes thereto the nature and conditions of such transfer;</w:t>
      </w:r>
    </w:p>
    <w:p>
      <w:pPr>
        <w:spacing w:after="0" w:line="114"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transactions relating to shares of Class A common stock acquired in open market transactions after the completion of this offering; provided that no filing under Section 16 of the Exchange Act shall be required or shall be voluntarily during the restricted period;</w:t>
      </w:r>
    </w:p>
    <w:p>
      <w:pPr>
        <w:spacing w:after="0" w:line="96" w:lineRule="exact"/>
        <w:rPr>
          <w:rFonts w:ascii="Arial" w:cs="Arial" w:eastAsia="Arial" w:hAnsi="Arial"/>
          <w:sz w:val="17"/>
          <w:szCs w:val="17"/>
          <w:color w:val="auto"/>
        </w:rPr>
      </w:pPr>
    </w:p>
    <w:p>
      <w:pPr>
        <w:jc w:val="both"/>
        <w:ind w:left="600" w:hanging="302"/>
        <w:spacing w:after="0" w:line="250" w:lineRule="auto"/>
        <w:tabs>
          <w:tab w:leader="none" w:pos="5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transfers to us in connection with the “net” or “cashless” the exercise or settlement of warrants, stock options, restricted stock units or other equity awards granted under our equity incentive plans described elsewhere in this prospectus; provided that such the “net” or “cashless” exercise or settlement is effected solely by the surrender of outstanding options, warrants, restricted stock units or other equity awards; and provided further that the underlying shares will continue to be subject to the restrictions on transfer set forth in the lock-up agreement; and provided further that, if required, any public report or filing under Section 16 of the Exchange Act will clearly indicate in the footnotes thereto the nature and conditions of such transfer;</w:t>
      </w:r>
    </w:p>
    <w:p>
      <w:pPr>
        <w:spacing w:after="0" w:line="122" w:lineRule="exact"/>
        <w:rPr>
          <w:rFonts w:ascii="Arial" w:cs="Arial" w:eastAsia="Arial" w:hAnsi="Arial"/>
          <w:sz w:val="17"/>
          <w:szCs w:val="17"/>
          <w:color w:val="auto"/>
        </w:rPr>
      </w:pPr>
    </w:p>
    <w:p>
      <w:pPr>
        <w:jc w:val="both"/>
        <w:ind w:left="600" w:hanging="302"/>
        <w:spacing w:after="0" w:line="260" w:lineRule="auto"/>
        <w:tabs>
          <w:tab w:leader="none" w:pos="5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transfers to us in connection with the repurchase of common stock related to the termination of a stockholder’s employment with us pursuant to contractual agreements with us; provided that, if required, any public report or filing under Section 16 of the Exchange Act will clearly indicate in the footnotes thereto the nature and conditions of such transfer;</w:t>
      </w:r>
    </w:p>
    <w:p>
      <w:pPr>
        <w:spacing w:after="0" w:line="111" w:lineRule="exact"/>
        <w:rPr>
          <w:rFonts w:ascii="Arial" w:cs="Arial" w:eastAsia="Arial" w:hAnsi="Arial"/>
          <w:sz w:val="17"/>
          <w:szCs w:val="17"/>
          <w:color w:val="auto"/>
        </w:rPr>
      </w:pPr>
    </w:p>
    <w:p>
      <w:pPr>
        <w:jc w:val="both"/>
        <w:ind w:left="600" w:hanging="302"/>
        <w:spacing w:after="0" w:line="252" w:lineRule="auto"/>
        <w:tabs>
          <w:tab w:leader="none" w:pos="5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after the closing of this offering pursuant to a bona fide third-party tender offer, merger, consolidation or other similar transaction involving a change of control approved by our board of directors and that is made to all holders of our capital stock;, provided that, in the event that such change of control transaction is not completed, the securities owned by a stockholder shall remain subject to the lock-up agreement; and provided further that so long as stockholder’s shares are not transferred, sold or tendered, such shares shall remain subject to the lock-up agreement</w:t>
      </w:r>
    </w:p>
    <w:p>
      <w:pPr>
        <w:spacing w:after="0" w:line="118" w:lineRule="exact"/>
        <w:rPr>
          <w:rFonts w:ascii="Arial" w:cs="Arial" w:eastAsia="Arial" w:hAnsi="Arial"/>
          <w:sz w:val="17"/>
          <w:szCs w:val="17"/>
          <w:color w:val="auto"/>
        </w:rPr>
      </w:pPr>
    </w:p>
    <w:p>
      <w:pPr>
        <w:jc w:val="both"/>
        <w:ind w:left="600" w:hanging="302"/>
        <w:spacing w:after="0" w:line="255" w:lineRule="auto"/>
        <w:tabs>
          <w:tab w:leader="none" w:pos="5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conversion of outstanding preferred stock into shares of Class B common stock in connection with the closing of this offering or any reclassification or conversion of Class B common stock into Class A common stock, provided that such shares of common stock received upon conversion remain subject to the terms of the lock-up agreement; and provided further that any filing required by Section 16 of the Exchange Act shall clearly indicate in the footnotes thereto the nature and conditions of such transfer; or</w:t>
      </w:r>
    </w:p>
    <w:p>
      <w:pPr>
        <w:spacing w:after="0" w:line="114"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 provided that such plan does not provide for the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240"/>
          </w:cols>
          <w:pgMar w:left="320" w:top="118" w:right="339" w:bottom="1440" w:gutter="0" w:footer="0" w:header="0"/>
        </w:sectPr>
      </w:pPr>
    </w:p>
    <w:bookmarkStart w:id="188" w:name="page189"/>
    <w:bookmarkEnd w:id="18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common stock during the restricted period, except to the extent otherwise allowed pursuant to the clauses above.</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At least two of Goldman Sachs &amp; Co. LLC, Morgan Stanley &amp; Co, LLC and Barclays Capital Inc., in their discretion, may release any of the securities subject to these lock-up agreements at any time.</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addition, we have agreed with our underwriters not to sell any shares of our common stock or securities convertible into or exchangeable for shares of our common stock for a period of 180 days after the date of this prospectus, subject to certain exceptions. At least two of Goldman Sachs &amp; Co. LLC, Morgan Stanley &amp; Co, LLC and Barclays Capital Inc. may, at any time, waive these restrictions.</w:t>
      </w:r>
    </w:p>
    <w:p>
      <w:pPr>
        <w:spacing w:after="0" w:line="11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with substantially all of our security holders, including our investors’ rights agreement and our standard form of option agreement, that contain market stand-off provisions imposing restrictions on the ability of such security holders to offer, sell or transfer our equity securities for a period of 180 days following the date of this prospectus.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5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20"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ectPr>
          <w:pgSz w:w="11900" w:h="16838" w:orient="portrait"/>
          <w:cols w:equalWidth="0" w:num="1">
            <w:col w:w="11240"/>
          </w:cols>
          <w:pgMar w:left="320" w:top="118" w:right="339" w:bottom="1440" w:gutter="0" w:footer="0" w:header="0"/>
        </w:sectPr>
      </w:pP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hanging="3"/>
        <w:spacing w:after="0" w:line="277" w:lineRule="auto"/>
        <w:rPr>
          <w:sz w:val="20"/>
          <w:szCs w:val="20"/>
          <w:color w:val="auto"/>
        </w:rPr>
      </w:pPr>
      <w:r>
        <w:rPr>
          <w:rFonts w:ascii="Arial" w:cs="Arial" w:eastAsia="Arial" w:hAnsi="Arial"/>
          <w:sz w:val="17"/>
          <w:szCs w:val="17"/>
          <w:color w:val="auto"/>
        </w:rPr>
        <w:t>1% of the number of shares of our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63" w:lineRule="exact"/>
        <w:rPr>
          <w:sz w:val="20"/>
          <w:szCs w:val="20"/>
          <w:color w:val="auto"/>
        </w:rPr>
      </w:pPr>
    </w:p>
    <w:p>
      <w:pPr>
        <w:sectPr>
          <w:pgSz w:w="11900" w:h="16838" w:orient="portrait"/>
          <w:cols w:equalWidth="0" w:num="3">
            <w:col w:w="360" w:space="240"/>
            <w:col w:w="7900" w:space="620"/>
            <w:col w:w="2120"/>
          </w:cols>
          <w:pgMar w:left="320" w:top="118" w:right="339" w:bottom="1440" w:gutter="0" w:footer="0" w:header="0"/>
          <w:type w:val="continuous"/>
        </w:sectPr>
      </w:pPr>
    </w:p>
    <w:p>
      <w:pPr>
        <w:ind w:left="600" w:hanging="302"/>
        <w:spacing w:after="0" w:line="277" w:lineRule="auto"/>
        <w:tabs>
          <w:tab w:leader="none" w:pos="59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average weekly trading volume of our Class A common stock during the four calendar weeks preceding the filing of a notice on Form 144 with respect to that sale.</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5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agreements and market standoff agreements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240"/>
          </w:cols>
          <w:pgMar w:left="320" w:top="118" w:right="339" w:bottom="1440" w:gutter="0" w:footer="0" w:header="0"/>
          <w:type w:val="continuous"/>
        </w:sectPr>
      </w:pPr>
    </w:p>
    <w:bookmarkStart w:id="189" w:name="page190"/>
    <w:bookmarkEnd w:id="18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5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Pursuant to the investors’ rights agreement, the holders of up to 74,619,565 shares of our Class B common stock (including shares issuable upon the conversion of our outstanding convertible preferred stock immediately prior to the completion of this offering and shares issued upon the exercise of warrants held by Western Alliance Bank, or its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Statement on Form S-8</w:t>
      </w:r>
    </w:p>
    <w:p>
      <w:pPr>
        <w:spacing w:after="0" w:line="155"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We intend to file a registration statement on Form S-8 under the Securities Act to register all of the shares of our Class A common stock and Class B common stock issued or reserved for issuance under our 2010 Plan, our 2021 Plan and our ESPP. We expect to file this registration statement as promptly as possible after the completion of this offering. Shares covered by this registration statement will be eligible for sale in the public market, subject to the Rule 144 limitations applicable to affiliates, vesting restrictions and any applicable lock-up agreements and market standoff agreements. As of December 31, 2020, options to purchase a total of 22,774,949 shares of our Class B common stock pursuant to our 2010 Plan were outstanding, of which options to purchase 10,493,574 shares were exercisable, and no options were outstanding or exercisable under our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240"/>
          </w:cols>
          <w:pgMar w:left="320" w:top="118" w:right="339" w:bottom="1440" w:gutter="0" w:footer="0" w:header="0"/>
        </w:sectPr>
      </w:pPr>
    </w:p>
    <w:bookmarkStart w:id="190" w:name="page191"/>
    <w:bookmarkEnd w:id="19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U.S. FEDERAL INCOME TAX CONSEQUENCES TO NON-U.S. HOLDERS</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following is a discussion of the material U.S. federal income tax consequences relating to ownership and disposition of our common stock by a non-U.S. holder. For purposes of this discussion, the term “non-U.S. holder” means a beneficial owner of our common stock that is not, for U.S. federal income tax purposes:</w:t>
      </w:r>
    </w:p>
    <w:p>
      <w:pPr>
        <w:spacing w:after="0" w:line="111" w:lineRule="exact"/>
        <w:rPr>
          <w:sz w:val="20"/>
          <w:szCs w:val="20"/>
          <w:color w:val="auto"/>
        </w:rPr>
      </w:pPr>
    </w:p>
    <w:p>
      <w:pPr>
        <w:ind w:left="600" w:hanging="302"/>
        <w:spacing w:after="0"/>
        <w:tabs>
          <w:tab w:leader="none" w:pos="6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or of any political subdivision of the United States;</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52" w:lineRule="exact"/>
        <w:rPr>
          <w:rFonts w:ascii="Arial" w:cs="Arial" w:eastAsia="Arial" w:hAnsi="Arial"/>
          <w:sz w:val="17"/>
          <w:szCs w:val="17"/>
          <w:color w:val="auto"/>
        </w:rPr>
      </w:pPr>
    </w:p>
    <w:p>
      <w:pPr>
        <w:jc w:val="both"/>
        <w:ind w:left="600" w:hanging="302"/>
        <w:spacing w:after="0" w:line="260" w:lineRule="auto"/>
        <w:tabs>
          <w:tab w:leader="none" w:pos="59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1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could alter the tax consequences to non-U.S. holders described in this prospectus. In addition, the Internal Revenue Service, or the IRS, could challenge one or more of the tax consequences described in this prospectus.</w:t>
      </w:r>
    </w:p>
    <w:p>
      <w:pPr>
        <w:spacing w:after="0" w:line="115"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We assume in this discussion that each non-U.S. holder holds shares of our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state, local, estate or non-U.S. taxes, alternative minimum tax, the Medicare contribution tax on net investment income, the rules regarding qualified small business stock within the meaning of Section 1202 of the Code or U.S. federal taxes other than income. This discussion also does not consider any specific facts or circumstances that may apply to a non-U.S. holder and does not address the special tax rules applicable to particular non-U.S. holders, such as:</w:t>
      </w:r>
    </w:p>
    <w:p>
      <w:pPr>
        <w:spacing w:after="0" w:line="107" w:lineRule="exact"/>
        <w:rPr>
          <w:sz w:val="20"/>
          <w:szCs w:val="20"/>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banks;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financial institutions;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brokers or dealers in securities;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pension plans;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240"/>
          </w:cols>
          <w:pgMar w:left="320" w:top="118" w:right="339" w:bottom="1440" w:gutter="0" w:footer="0" w:header="0"/>
        </w:sectPr>
      </w:pPr>
    </w:p>
    <w:bookmarkStart w:id="191" w:name="page192"/>
    <w:bookmarkEnd w:id="19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0" w:hanging="302"/>
        <w:spacing w:after="0"/>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owners that hold our common stock as part of a straddle, hedge, conversion transaction, synthetic security or other integrated investment;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certain U.S. expatriates;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persons who have elected to mark securities to market;</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persons subject to the unearned income Medicare contribution tax;</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persons that elect to apply Section 1400Z-2 of the Code to gains recognized with respect to shares of our common stock; or</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persons that acquire our common stock as compensation for services.</w:t>
      </w:r>
    </w:p>
    <w:p>
      <w:pPr>
        <w:spacing w:after="0" w:line="153"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common stock through a partnership or other transparent entity, as applicable.</w:t>
      </w:r>
    </w:p>
    <w:p>
      <w:pPr>
        <w:spacing w:after="0" w:line="110"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Prospective investors should consult their own tax advisors regarding the U.S. federal, state, local and non-U.S. income and other tax considerations of acquiring, holding and disposing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on our Common Stock</w:t>
      </w:r>
    </w:p>
    <w:p>
      <w:pPr>
        <w:spacing w:after="0" w:line="15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do not currently expect to pay any dividends. See the section titled “Dividend Policy.” However, in the event that we do pay distributions of cash or property on our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common stock. Any remaining excess will be treated as capital gain, subject to the tax treatment described below under the heading “Gain on Sale, Exchange or Other Taxable Disposition of Common Stock.”</w:t>
      </w:r>
    </w:p>
    <w:p>
      <w:pPr>
        <w:spacing w:after="0" w:line="122"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102"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with respect to U.S. withholding taxes generally will be required to provide a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240"/>
          </w:cols>
          <w:pgMar w:left="320" w:top="118" w:right="339" w:bottom="1440" w:gutter="0" w:footer="0" w:header="0"/>
        </w:sectPr>
      </w:pPr>
    </w:p>
    <w:bookmarkStart w:id="192" w:name="page193"/>
    <w:bookmarkEnd w:id="19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urged to consult their own tax advisors regarding their entitlement to benefits under a relevant income tax treaty.</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a properly executed original and unexpired IRS Form W-8ECI properly certifying such exemption. However, such U.S. effectively connected income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20"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Sale, Exchange or Other Taxable Disposition of Common Stock</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common stock unless:</w:t>
      </w:r>
    </w:p>
    <w:p>
      <w:pPr>
        <w:spacing w:after="0" w:line="111" w:lineRule="exact"/>
        <w:rPr>
          <w:sz w:val="20"/>
          <w:szCs w:val="20"/>
          <w:color w:val="auto"/>
        </w:rPr>
      </w:pPr>
    </w:p>
    <w:p>
      <w:pPr>
        <w:jc w:val="both"/>
        <w:ind w:left="600" w:hanging="302"/>
        <w:spacing w:after="0" w:line="252" w:lineRule="auto"/>
        <w:tabs>
          <w:tab w:leader="none" w:pos="59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118" w:lineRule="exact"/>
        <w:rPr>
          <w:rFonts w:ascii="Arial" w:cs="Arial" w:eastAsia="Arial" w:hAnsi="Arial"/>
          <w:sz w:val="17"/>
          <w:szCs w:val="17"/>
          <w:color w:val="auto"/>
        </w:rPr>
      </w:pPr>
    </w:p>
    <w:p>
      <w:pPr>
        <w:jc w:val="both"/>
        <w:ind w:left="600" w:hanging="302"/>
        <w:spacing w:after="0" w:line="255" w:lineRule="auto"/>
        <w:tabs>
          <w:tab w:leader="none" w:pos="59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non-U.S. holder is an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114" w:lineRule="exact"/>
        <w:rPr>
          <w:rFonts w:ascii="Arial" w:cs="Arial" w:eastAsia="Arial" w:hAnsi="Arial"/>
          <w:sz w:val="17"/>
          <w:szCs w:val="17"/>
          <w:color w:val="auto"/>
        </w:rPr>
      </w:pPr>
    </w:p>
    <w:p>
      <w:pPr>
        <w:jc w:val="both"/>
        <w:ind w:left="600" w:hanging="302"/>
        <w:spacing w:after="0" w:line="248" w:lineRule="auto"/>
        <w:tabs>
          <w:tab w:leader="none" w:pos="59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we are or were a “U.S. real property holding corporation” during a certain look-back period, unless our common stock is regularly traded on an established securities market and the non-U.S. holder held no more than five percent of our outstanding common stock, directly or indirectly, actually or constructively, during the shorter of the five-year period ending on the date of the disposition or the period that the non-U.S. holder held our common stock. In such case, such non-U.S. holder generally will be taxed on its net gain derived from the disposition at the graduated U.S. federal income tax rates applicable to United States persons (as defined in the Code).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“U.S. real property holding corporation”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240"/>
          </w:cols>
          <w:pgMar w:left="320" w:top="118" w:right="339" w:bottom="1440" w:gutter="0" w:footer="0" w:header="0"/>
        </w:sectPr>
      </w:pPr>
    </w:p>
    <w:bookmarkStart w:id="193" w:name="page194"/>
    <w:bookmarkEnd w:id="19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We (or the applicable paying agent)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Generally, a holder will comply with such procedures if it provides a properly executed IRS Form W-8BEN or W-8BEN-E or otherwise establishes an exemption.</w:t>
      </w:r>
    </w:p>
    <w:p>
      <w:pPr>
        <w:spacing w:after="0" w:line="119"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2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11" w:lineRule="exact"/>
        <w:rPr>
          <w:sz w:val="20"/>
          <w:szCs w:val="20"/>
          <w:color w:val="auto"/>
        </w:rPr>
      </w:pPr>
    </w:p>
    <w:p>
      <w:pPr>
        <w:jc w:val="both"/>
        <w:ind w:firstLine="299"/>
        <w:spacing w:after="0" w:line="309"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 Act</w:t>
      </w:r>
    </w:p>
    <w:p>
      <w:pPr>
        <w:spacing w:after="0" w:line="155" w:lineRule="exact"/>
        <w:rPr>
          <w:sz w:val="20"/>
          <w:szCs w:val="20"/>
          <w:color w:val="auto"/>
        </w:rPr>
      </w:pPr>
    </w:p>
    <w:p>
      <w:pPr>
        <w:jc w:val="both"/>
        <w:ind w:firstLine="299"/>
        <w:spacing w:after="0" w:line="246" w:lineRule="auto"/>
        <w:rPr>
          <w:sz w:val="20"/>
          <w:szCs w:val="20"/>
          <w:color w:val="auto"/>
        </w:rPr>
      </w:pPr>
      <w:r>
        <w:rPr>
          <w:rFonts w:ascii="Arial" w:cs="Arial" w:eastAsia="Arial" w:hAnsi="Arial"/>
          <w:sz w:val="17"/>
          <w:szCs w:val="17"/>
          <w:color w:val="auto"/>
        </w:rPr>
        <w:t>Provisions of the Code commonly referred to as the Foreign Account Tax Compliance Act and associated guidance, or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United States person who 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common stock. Currently proposed U.S. Treasury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might be eligible for refunds or credits of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240"/>
          </w:cols>
          <w:pgMar w:left="320" w:top="118" w:right="339" w:bottom="1440" w:gutter="0" w:footer="0" w:header="0"/>
        </w:sectPr>
      </w:pPr>
    </w:p>
    <w:bookmarkStart w:id="194" w:name="page195"/>
    <w:bookmarkEnd w:id="19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7"/>
          <w:szCs w:val="17"/>
          <w:b w:val="1"/>
          <w:bCs w:val="1"/>
          <w:color w:val="auto"/>
        </w:rPr>
        <w:t>The preceding discussion of material U.S. federal tax considerations is for general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240"/>
          </w:cols>
          <w:pgMar w:left="320" w:top="118" w:right="339" w:bottom="1440" w:gutter="0" w:footer="0" w:header="0"/>
        </w:sectPr>
      </w:pPr>
    </w:p>
    <w:bookmarkStart w:id="195" w:name="page196"/>
    <w:bookmarkEnd w:id="19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and the underwriters named below will enter into an underwriting agreement with respect to the shares of Class A common stock being offered.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 Goldman Sachs &amp;</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Co. LLC, Morgan Stanley &amp; Co. LLC and Barclays Capital Inc. are the representatives of the underwriters.</w:t>
      </w:r>
    </w:p>
    <w:p>
      <w:pPr>
        <w:spacing w:after="0" w:line="177" w:lineRule="exact"/>
        <w:rPr>
          <w:sz w:val="20"/>
          <w:szCs w:val="20"/>
          <w:color w:val="auto"/>
        </w:rPr>
      </w:pPr>
    </w:p>
    <w:p>
      <w:pPr>
        <w:ind w:left="20"/>
        <w:spacing w:after="0"/>
        <w:tabs>
          <w:tab w:leader="none" w:pos="9860" w:val="left"/>
        </w:tabs>
        <w:rPr>
          <w:sz w:val="20"/>
          <w:szCs w:val="20"/>
          <w:color w:val="auto"/>
        </w:rPr>
      </w:pPr>
      <w:r>
        <w:rPr>
          <w:rFonts w:ascii="Arial" w:cs="Arial" w:eastAsia="Arial" w:hAnsi="Arial"/>
          <w:sz w:val="13"/>
          <w:szCs w:val="13"/>
          <w:b w:val="1"/>
          <w:bCs w:val="1"/>
          <w:u w:val="single" w:color="auto"/>
          <w:color w:val="auto"/>
        </w:rPr>
        <w:t>Underwriters</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3115" cy="134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Goldman Sachs &amp; Co. LLC</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3115"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Barclays Capital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3115" cy="134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Wells Fargo Securities, LLC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3115" cy="134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Needham &amp; Company, LLC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3115" cy="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Telsey Advisory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6139180</wp:posOffset>
            </wp:positionH>
            <wp:positionV relativeFrom="paragraph">
              <wp:posOffset>8890</wp:posOffset>
            </wp:positionV>
            <wp:extent cx="10033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03300" cy="76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6139180</wp:posOffset>
            </wp:positionH>
            <wp:positionV relativeFrom="paragraph">
              <wp:posOffset>-6350</wp:posOffset>
            </wp:positionV>
            <wp:extent cx="10033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03300" cy="762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16510</wp:posOffset>
            </wp:positionV>
            <wp:extent cx="10033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03300" cy="7620"/>
                    </a:xfrm>
                    <a:prstGeom prst="rect">
                      <a:avLst/>
                    </a:prstGeom>
                    <a:noFill/>
                  </pic:spPr>
                </pic:pic>
              </a:graphicData>
            </a:graphic>
          </wp:anchor>
        </w:drawing>
      </w:r>
    </w:p>
    <w:p>
      <w:pPr>
        <w:spacing w:after="0" w:line="147"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underwriters will be committed to take and pay for all of the shares being offered, if any are taken, other than the shares covered by the option described below unless and until this option is exercised.</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underwriters will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Such amounts are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40" w:type="dxa"/>
            <w:vAlign w:val="bottom"/>
          </w:tcPr>
          <w:p>
            <w:pPr>
              <w:spacing w:after="0"/>
              <w:rPr>
                <w:sz w:val="20"/>
                <w:szCs w:val="20"/>
                <w:color w:val="auto"/>
              </w:rPr>
            </w:pPr>
            <w:r>
              <w:rPr>
                <w:rFonts w:ascii="Arial" w:cs="Arial" w:eastAsia="Arial" w:hAnsi="Arial"/>
                <w:sz w:val="17"/>
                <w:szCs w:val="17"/>
                <w:color w:val="auto"/>
              </w:rPr>
              <w:t>shown assuming both no exercise and full exercise of the underwriters’ option to purchase</w:t>
            </w:r>
          </w:p>
        </w:tc>
        <w:tc>
          <w:tcPr>
            <w:tcW w:w="4400" w:type="dxa"/>
            <w:vAlign w:val="bottom"/>
            <w:gridSpan w:val="4"/>
          </w:tcPr>
          <w:p>
            <w:pPr>
              <w:jc w:val="right"/>
              <w:ind w:right="583"/>
              <w:spacing w:after="0"/>
              <w:rPr>
                <w:sz w:val="20"/>
                <w:szCs w:val="20"/>
                <w:color w:val="auto"/>
              </w:rPr>
            </w:pPr>
            <w:r>
              <w:rPr>
                <w:rFonts w:ascii="Arial" w:cs="Arial" w:eastAsia="Arial" w:hAnsi="Arial"/>
                <w:sz w:val="17"/>
                <w:szCs w:val="17"/>
                <w:color w:val="auto"/>
              </w:rPr>
              <w:t>additional shares of our Class A common stock.</w:t>
            </w:r>
          </w:p>
        </w:tc>
      </w:tr>
      <w:tr>
        <w:trPr>
          <w:trHeight w:val="326"/>
        </w:trPr>
        <w:tc>
          <w:tcPr>
            <w:tcW w:w="6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gridSpan w:val="2"/>
          </w:tcPr>
          <w:p>
            <w:pPr>
              <w:ind w:left="420"/>
              <w:spacing w:after="0"/>
              <w:rPr>
                <w:sz w:val="20"/>
                <w:szCs w:val="20"/>
                <w:color w:val="auto"/>
              </w:rPr>
            </w:pPr>
            <w:r>
              <w:rPr>
                <w:rFonts w:ascii="Arial" w:cs="Arial" w:eastAsia="Arial" w:hAnsi="Arial"/>
                <w:sz w:val="13"/>
                <w:szCs w:val="13"/>
                <w:b w:val="1"/>
                <w:bCs w:val="1"/>
                <w:color w:val="auto"/>
              </w:rPr>
              <w:t>No Exercise</w:t>
            </w:r>
          </w:p>
        </w:tc>
        <w:tc>
          <w:tcPr>
            <w:tcW w:w="1580" w:type="dxa"/>
            <w:vAlign w:val="bottom"/>
          </w:tcPr>
          <w:p>
            <w:pPr>
              <w:jc w:val="right"/>
              <w:ind w:right="303"/>
              <w:spacing w:after="0"/>
              <w:rPr>
                <w:sz w:val="20"/>
                <w:szCs w:val="20"/>
                <w:color w:val="auto"/>
              </w:rPr>
            </w:pPr>
            <w:r>
              <w:rPr>
                <w:rFonts w:ascii="Arial" w:cs="Arial" w:eastAsia="Arial" w:hAnsi="Arial"/>
                <w:sz w:val="13"/>
                <w:szCs w:val="13"/>
                <w:b w:val="1"/>
                <w:bCs w:val="1"/>
                <w:color w:val="auto"/>
              </w:rPr>
              <w:t>Full Exercise</w:t>
            </w:r>
          </w:p>
        </w:tc>
      </w:tr>
      <w:tr>
        <w:trPr>
          <w:trHeight w:val="204"/>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 Share</w:t>
            </w:r>
          </w:p>
        </w:tc>
        <w:tc>
          <w:tcPr>
            <w:tcW w:w="11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1405"/>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1383"/>
              <w:spacing w:after="0"/>
              <w:rPr>
                <w:sz w:val="20"/>
                <w:szCs w:val="20"/>
                <w:color w:val="auto"/>
              </w:rPr>
            </w:pPr>
            <w:r>
              <w:rPr>
                <w:rFonts w:ascii="Arial" w:cs="Arial" w:eastAsia="Arial" w:hAnsi="Arial"/>
                <w:sz w:val="17"/>
                <w:szCs w:val="17"/>
                <w:color w:val="auto"/>
              </w:rPr>
              <w:t>$</w:t>
            </w:r>
          </w:p>
        </w:tc>
      </w:tr>
      <w:tr>
        <w:trPr>
          <w:trHeight w:val="222"/>
        </w:trPr>
        <w:tc>
          <w:tcPr>
            <w:tcW w:w="6840" w:type="dxa"/>
            <w:vAlign w:val="bottom"/>
          </w:tcPr>
          <w:p>
            <w:pPr>
              <w:ind w:left="20"/>
              <w:spacing w:after="0"/>
              <w:rPr>
                <w:sz w:val="20"/>
                <w:szCs w:val="20"/>
                <w:color w:val="auto"/>
              </w:rPr>
            </w:pPr>
            <w:r>
              <w:rPr>
                <w:rFonts w:ascii="Arial" w:cs="Arial" w:eastAsia="Arial" w:hAnsi="Arial"/>
                <w:sz w:val="17"/>
                <w:szCs w:val="17"/>
                <w:color w:val="auto"/>
              </w:rPr>
              <w:t>Total</w:t>
            </w:r>
          </w:p>
        </w:tc>
        <w:tc>
          <w:tcPr>
            <w:tcW w:w="2740" w:type="dxa"/>
            <w:vAlign w:val="bottom"/>
            <w:gridSpan w:val="2"/>
          </w:tcPr>
          <w:p>
            <w:pPr>
              <w:jc w:val="right"/>
              <w:ind w:right="140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580" w:type="dxa"/>
            <w:vAlign w:val="bottom"/>
          </w:tcPr>
          <w:p>
            <w:pPr>
              <w:jc w:val="right"/>
              <w:ind w:right="1383"/>
              <w:spacing w:after="0"/>
              <w:rPr>
                <w:sz w:val="20"/>
                <w:szCs w:val="20"/>
                <w:color w:val="auto"/>
              </w:rPr>
            </w:pPr>
            <w:r>
              <w:rPr>
                <w:rFonts w:ascii="Arial" w:cs="Arial" w:eastAsia="Arial" w:hAnsi="Arial"/>
                <w:sz w:val="17"/>
                <w:szCs w:val="17"/>
                <w:color w:val="auto"/>
              </w:rPr>
              <w:t>$</w:t>
            </w:r>
          </w:p>
        </w:tc>
      </w:tr>
    </w:tbl>
    <w:p>
      <w:pPr>
        <w:spacing w:after="0" w:line="118"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1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and our officers, directors and holders of substantially all of our common stock and securities convertible into or exchangeable for shares of our common stock have agreed with the underwriters of this offering that, subject to certain exceptions, we and they will not dispose of or hedge any shares of common stock or securities convertible into or exchangeable for shares of common stock during the period from the date of this prospectus continuing through the date 180 days after the date of this prospectus, subject to the early lock-up release terms described in the section titled “Shares Eligible for Future Sale”, except with the prior written consent of at least two of Goldman Sachs &amp; Co. LLC, Morgan Stanley &amp; Co, LLC and Barclays Capital Inc. This agreement does not apply to any existing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240"/>
          </w:cols>
          <w:pgMar w:left="320" w:top="118" w:right="339" w:bottom="1440" w:gutter="0" w:footer="0" w:header="0"/>
        </w:sectPr>
      </w:pPr>
    </w:p>
    <w:bookmarkStart w:id="196" w:name="page197"/>
    <w:bookmarkEnd w:id="19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benefit plans. See the section titled “Shares Eligible for Future Sale” for a discussion of certain transfer restrictions and possible early lock-up release terms.</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Prior to the offering, there has been no public market for our Class A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applied to list our Class A common stock on Nasdaq under the symbol “TDUP.”</w:t>
      </w:r>
    </w:p>
    <w:p>
      <w:pPr>
        <w:spacing w:after="0" w:line="153"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22"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1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We estimate that the total expenses of the offering, excluding underwriting discounts and commissions, will be approximately $ million. We will agree to reimburse the underwriters for expenses related to any applicable state securities filings and to the Financial Industry Regulatory Authority incurred by them in connection with this offering in an amount up to $20,000.</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underwriters will agree to reimburse us for certain expenses incurred by us in connection with this offering upon closing of this offering.</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will agree to indemnify the several underwriters against certain liabilities, including liabilities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240"/>
          </w:cols>
          <w:pgMar w:left="320" w:top="118" w:right="339" w:bottom="1440" w:gutter="0" w:footer="0" w:header="0"/>
        </w:sectPr>
      </w:pPr>
    </w:p>
    <w:bookmarkStart w:id="197" w:name="page198"/>
    <w:bookmarkEnd w:id="19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19"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Prior this offering, entities affiliated with Global Private Opportunities Partners, or the GPOP Entities, beneficially own 13.7% of our outstanding shares of common stock as of December 31, 2020. The GPOP Entities are affiliates of Goldman Sachs &amp; Co. LLC, one of the underwriters, although Goldman Sachs &amp; Co. LLC does not, directly or indirectly, have the right to the economic benefits of a significant majority of the shares held by the GPOP Entities. See the section titled “Principal Stockholders” for additional information.</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Directed Share Program</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At our request, the underwriters have reserved up to shares of Class A common stock, or up to 7.0% of the shares offered by us in this offering, for sale at the initial public offering price through a directed share program to certain individuals identified by our officers and directors.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Goldman Sachs &amp; Co. LLC will administer our directed share program.</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Selling Restrictions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European Economic Area and United Kingdom</w:t>
      </w:r>
    </w:p>
    <w:p>
      <w:pPr>
        <w:spacing w:after="0" w:line="15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of common shares, or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19" w:lineRule="exact"/>
        <w:rPr>
          <w:sz w:val="20"/>
          <w:szCs w:val="20"/>
          <w:color w:val="auto"/>
        </w:rPr>
      </w:pPr>
    </w:p>
    <w:p>
      <w:pPr>
        <w:ind w:left="580" w:hanging="282"/>
        <w:spacing w:after="0"/>
        <w:tabs>
          <w:tab w:leader="none" w:pos="5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152" w:lineRule="exact"/>
        <w:rPr>
          <w:rFonts w:ascii="Arial" w:cs="Arial" w:eastAsia="Arial" w:hAnsi="Arial"/>
          <w:sz w:val="17"/>
          <w:szCs w:val="17"/>
          <w:color w:val="auto"/>
        </w:rPr>
      </w:pPr>
    </w:p>
    <w:p>
      <w:pPr>
        <w:ind w:left="600" w:hanging="302"/>
        <w:spacing w:after="0" w:line="277" w:lineRule="auto"/>
        <w:tabs>
          <w:tab w:leader="none" w:pos="59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representatives for any such offer; or</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240"/>
          </w:cols>
          <w:pgMar w:left="320" w:top="118" w:right="339" w:bottom="1440" w:gutter="0" w:footer="0" w:header="0"/>
        </w:sectPr>
      </w:pPr>
    </w:p>
    <w:bookmarkStart w:id="198" w:name="page199"/>
    <w:bookmarkEnd w:id="19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provided that no such offer of Shares shall require us or any representative to publish a prospectus pursuant to Article 3 of the Prospectus Regulation or supplement a prospectus pursuant to Article 23 of the Prospectus Regulation.</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and includes any relevant implementing measure in the Relevant Member State.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United Kingdom</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Each Underwriter has represented and agreed that:</w:t>
      </w:r>
    </w:p>
    <w:p>
      <w:pPr>
        <w:spacing w:after="0" w:line="153" w:lineRule="exact"/>
        <w:rPr>
          <w:sz w:val="20"/>
          <w:szCs w:val="20"/>
          <w:color w:val="auto"/>
        </w:rPr>
      </w:pPr>
    </w:p>
    <w:p>
      <w:pPr>
        <w:jc w:val="both"/>
        <w:ind w:left="600" w:hanging="302"/>
        <w:spacing w:after="0" w:line="255" w:lineRule="auto"/>
        <w:tabs>
          <w:tab w:leader="none" w:pos="59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shares in circumstances in which Section 21(1) of the FSMA does not apply to the company; and</w:t>
      </w:r>
    </w:p>
    <w:p>
      <w:pPr>
        <w:spacing w:after="0" w:line="114" w:lineRule="exact"/>
        <w:rPr>
          <w:rFonts w:ascii="Arial" w:cs="Arial" w:eastAsia="Arial" w:hAnsi="Arial"/>
          <w:sz w:val="17"/>
          <w:szCs w:val="17"/>
          <w:color w:val="auto"/>
        </w:rPr>
      </w:pPr>
    </w:p>
    <w:p>
      <w:pPr>
        <w:ind w:left="600" w:hanging="302"/>
        <w:spacing w:after="0" w:line="277" w:lineRule="auto"/>
        <w:tabs>
          <w:tab w:leader="none" w:pos="59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in, from or otherwise involving the United Kingdom.</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Canada</w:t>
      </w:r>
    </w:p>
    <w:p>
      <w:pPr>
        <w:spacing w:after="0" w:line="15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1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1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Hong Kong</w:t>
      </w:r>
    </w:p>
    <w:p>
      <w:pPr>
        <w:spacing w:after="0" w:line="15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240"/>
          </w:cols>
          <w:pgMar w:left="320" w:top="118" w:right="339" w:bottom="1440" w:gutter="0" w:footer="0" w:header="0"/>
        </w:sectPr>
      </w:pPr>
    </w:p>
    <w:bookmarkStart w:id="199" w:name="page200"/>
    <w:bookmarkEnd w:id="19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Singapore</w:t>
      </w:r>
    </w:p>
    <w:p>
      <w:pPr>
        <w:spacing w:after="0" w:line="15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20"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0"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Japan</w:t>
      </w:r>
    </w:p>
    <w:p>
      <w:pPr>
        <w:spacing w:after="0" w:line="15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240"/>
          </w:cols>
          <w:pgMar w:left="320" w:top="118" w:right="339" w:bottom="1440" w:gutter="0" w:footer="0" w:header="0"/>
        </w:sectPr>
      </w:pPr>
    </w:p>
    <w:bookmarkStart w:id="200" w:name="page201"/>
    <w:bookmarkEnd w:id="20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240"/>
          </w:cols>
          <w:pgMar w:left="320" w:top="118" w:right="339" w:bottom="1440" w:gutter="0" w:footer="0" w:header="0"/>
        </w:sectPr>
      </w:pPr>
    </w:p>
    <w:bookmarkStart w:id="201" w:name="page202"/>
    <w:bookmarkEnd w:id="20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Goodwin Procter LLP, Redwood City, California, which has acted as our counsel in connection with this offering, will pass upon the validity of the shares of our Class A common stock being offered by this prospectus. The underwriters have been represented by Wilson Sonsini Goodrich &amp; Rosati, P.C., Palo Alto, California.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consolidated financial statements of ThredUp Inc. as of December 31, 2020 and 2019, and for each of the years in the three-year period ended December 31, 2020,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INFORMATION</w:t>
      </w:r>
    </w:p>
    <w:p>
      <w:pPr>
        <w:spacing w:after="0" w:line="155"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We have submitted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2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www.thredup.com.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240"/>
          </w:cols>
          <w:pgMar w:left="320" w:top="118" w:right="339" w:bottom="1440" w:gutter="0" w:footer="0" w:header="0"/>
        </w:sectPr>
      </w:pPr>
    </w:p>
    <w:bookmarkStart w:id="202" w:name="page203"/>
    <w:bookmarkEnd w:id="20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0500" w:type="dxa"/>
            <w:vAlign w:val="bottom"/>
            <w:vMerge w:val="restart"/>
          </w:tcPr>
          <w:p>
            <w:pPr>
              <w:spacing w:after="0"/>
              <w:rPr>
                <w:rFonts w:ascii="Arial" w:cs="Arial" w:eastAsia="Arial" w:hAnsi="Arial"/>
                <w:sz w:val="17"/>
                <w:szCs w:val="17"/>
                <w:u w:val="single" w:color="auto"/>
                <w:color w:val="0000FF"/>
              </w:rPr>
            </w:pPr>
            <w:hyperlink w:anchor="page203">
              <w:r>
                <w:rPr>
                  <w:rFonts w:ascii="Arial" w:cs="Arial" w:eastAsia="Arial" w:hAnsi="Arial"/>
                  <w:sz w:val="17"/>
                  <w:szCs w:val="17"/>
                  <w:u w:val="single" w:color="auto"/>
                  <w:color w:val="0000FF"/>
                </w:rPr>
                <w:t>Report of Independent Registered Public Accounting Firm</w:t>
              </w:r>
            </w:hyperlink>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7"/>
        </w:trPr>
        <w:tc>
          <w:tcPr>
            <w:tcW w:w="10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center"/>
              <w:ind w:right="240"/>
              <w:spacing w:after="0" w:line="167" w:lineRule="exact"/>
              <w:rPr>
                <w:rFonts w:ascii="Arial" w:cs="Arial" w:eastAsia="Arial" w:hAnsi="Arial"/>
                <w:sz w:val="17"/>
                <w:szCs w:val="17"/>
                <w:color w:val="0000FF"/>
                <w:w w:val="93"/>
              </w:rPr>
            </w:pPr>
            <w:hyperlink w:anchor="page203">
              <w:r>
                <w:rPr>
                  <w:rFonts w:ascii="Arial" w:cs="Arial" w:eastAsia="Arial" w:hAnsi="Arial"/>
                  <w:sz w:val="17"/>
                  <w:szCs w:val="17"/>
                  <w:color w:val="0000FF"/>
                  <w:w w:val="93"/>
                </w:rPr>
                <w:t>F-2</w:t>
              </w:r>
            </w:hyperlink>
          </w:p>
        </w:tc>
        <w:tc>
          <w:tcPr>
            <w:tcW w:w="0" w:type="dxa"/>
            <w:vAlign w:val="bottom"/>
          </w:tcPr>
          <w:p>
            <w:pPr>
              <w:spacing w:after="0"/>
              <w:rPr>
                <w:sz w:val="1"/>
                <w:szCs w:val="1"/>
                <w:color w:val="auto"/>
              </w:rPr>
            </w:pPr>
          </w:p>
        </w:tc>
      </w:tr>
      <w:tr>
        <w:trPr>
          <w:trHeight w:val="221"/>
        </w:trPr>
        <w:tc>
          <w:tcPr>
            <w:tcW w:w="10500" w:type="dxa"/>
            <w:vAlign w:val="bottom"/>
          </w:tcPr>
          <w:p>
            <w:pPr>
              <w:spacing w:after="0"/>
              <w:rPr>
                <w:sz w:val="20"/>
                <w:szCs w:val="20"/>
                <w:color w:val="auto"/>
              </w:rPr>
            </w:pPr>
            <w:r>
              <w:rPr>
                <w:rFonts w:ascii="Arial" w:cs="Arial" w:eastAsia="Arial" w:hAnsi="Arial"/>
                <w:sz w:val="17"/>
                <w:szCs w:val="17"/>
                <w:color w:val="auto"/>
              </w:rPr>
              <w:t>Financial Statements:</w:t>
            </w:r>
          </w:p>
        </w:tc>
        <w:tc>
          <w:tcPr>
            <w:tcW w:w="2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500" w:type="dxa"/>
            <w:vAlign w:val="bottom"/>
          </w:tcPr>
          <w:p>
            <w:pPr>
              <w:ind w:left="200"/>
              <w:spacing w:after="0" w:line="183" w:lineRule="exact"/>
              <w:rPr>
                <w:rFonts w:ascii="Arial" w:cs="Arial" w:eastAsia="Arial" w:hAnsi="Arial"/>
                <w:sz w:val="17"/>
                <w:szCs w:val="17"/>
                <w:u w:val="single" w:color="auto"/>
                <w:color w:val="0000FF"/>
              </w:rPr>
            </w:pPr>
            <w:hyperlink w:anchor="page204">
              <w:r>
                <w:rPr>
                  <w:rFonts w:ascii="Arial" w:cs="Arial" w:eastAsia="Arial" w:hAnsi="Arial"/>
                  <w:sz w:val="17"/>
                  <w:szCs w:val="17"/>
                  <w:u w:val="single" w:color="auto"/>
                  <w:color w:val="0000FF"/>
                </w:rPr>
                <w:t>Consolidated Balance Sheets</w:t>
              </w:r>
            </w:hyperlink>
          </w:p>
        </w:tc>
        <w:tc>
          <w:tcPr>
            <w:tcW w:w="240" w:type="dxa"/>
            <w:vAlign w:val="bottom"/>
          </w:tcPr>
          <w:p>
            <w:pPr>
              <w:spacing w:after="0"/>
              <w:rPr>
                <w:sz w:val="15"/>
                <w:szCs w:val="15"/>
                <w:color w:val="auto"/>
              </w:rPr>
            </w:pPr>
          </w:p>
        </w:tc>
        <w:tc>
          <w:tcPr>
            <w:tcW w:w="480" w:type="dxa"/>
            <w:vAlign w:val="bottom"/>
            <w:gridSpan w:val="2"/>
          </w:tcPr>
          <w:p>
            <w:pPr>
              <w:jc w:val="center"/>
              <w:ind w:right="240"/>
              <w:spacing w:after="0" w:line="183" w:lineRule="exact"/>
              <w:rPr>
                <w:rFonts w:ascii="Arial" w:cs="Arial" w:eastAsia="Arial" w:hAnsi="Arial"/>
                <w:sz w:val="17"/>
                <w:szCs w:val="17"/>
                <w:color w:val="0000FF"/>
                <w:w w:val="93"/>
              </w:rPr>
            </w:pPr>
            <w:hyperlink w:anchor="page204">
              <w:r>
                <w:rPr>
                  <w:rFonts w:ascii="Arial" w:cs="Arial" w:eastAsia="Arial" w:hAnsi="Arial"/>
                  <w:sz w:val="17"/>
                  <w:szCs w:val="17"/>
                  <w:color w:val="0000FF"/>
                  <w:w w:val="93"/>
                </w:rPr>
                <w:t>F-3</w:t>
              </w:r>
            </w:hyperlink>
          </w:p>
        </w:tc>
        <w:tc>
          <w:tcPr>
            <w:tcW w:w="0" w:type="dxa"/>
            <w:vAlign w:val="bottom"/>
          </w:tcPr>
          <w:p>
            <w:pPr>
              <w:spacing w:after="0"/>
              <w:rPr>
                <w:sz w:val="1"/>
                <w:szCs w:val="1"/>
                <w:color w:val="auto"/>
              </w:rPr>
            </w:pPr>
          </w:p>
        </w:tc>
      </w:tr>
      <w:tr>
        <w:trPr>
          <w:trHeight w:val="20"/>
        </w:trPr>
        <w:tc>
          <w:tcPr>
            <w:tcW w:w="10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00" w:type="dxa"/>
            <w:vAlign w:val="bottom"/>
          </w:tcPr>
          <w:p>
            <w:pPr>
              <w:ind w:left="200"/>
              <w:spacing w:after="0" w:line="192" w:lineRule="exact"/>
              <w:rPr>
                <w:rFonts w:ascii="Arial" w:cs="Arial" w:eastAsia="Arial" w:hAnsi="Arial"/>
                <w:sz w:val="17"/>
                <w:szCs w:val="17"/>
                <w:u w:val="single" w:color="auto"/>
                <w:color w:val="0000FF"/>
              </w:rPr>
            </w:pPr>
            <w:hyperlink w:anchor="page206">
              <w:r>
                <w:rPr>
                  <w:rFonts w:ascii="Arial" w:cs="Arial" w:eastAsia="Arial" w:hAnsi="Arial"/>
                  <w:sz w:val="17"/>
                  <w:szCs w:val="17"/>
                  <w:u w:val="single" w:color="auto"/>
                  <w:color w:val="0000FF"/>
                </w:rPr>
                <w:t>Consolidated Statements of Operations and Comprehensive Loss</w:t>
              </w:r>
            </w:hyperlink>
          </w:p>
        </w:tc>
        <w:tc>
          <w:tcPr>
            <w:tcW w:w="240" w:type="dxa"/>
            <w:vAlign w:val="bottom"/>
          </w:tcPr>
          <w:p>
            <w:pPr>
              <w:spacing w:after="0"/>
              <w:rPr>
                <w:sz w:val="16"/>
                <w:szCs w:val="16"/>
                <w:color w:val="auto"/>
              </w:rPr>
            </w:pPr>
          </w:p>
        </w:tc>
        <w:tc>
          <w:tcPr>
            <w:tcW w:w="480" w:type="dxa"/>
            <w:vAlign w:val="bottom"/>
            <w:gridSpan w:val="2"/>
          </w:tcPr>
          <w:p>
            <w:pPr>
              <w:jc w:val="center"/>
              <w:ind w:right="240"/>
              <w:spacing w:after="0" w:line="192" w:lineRule="exact"/>
              <w:rPr>
                <w:rFonts w:ascii="Arial" w:cs="Arial" w:eastAsia="Arial" w:hAnsi="Arial"/>
                <w:sz w:val="17"/>
                <w:szCs w:val="17"/>
                <w:color w:val="0000FF"/>
                <w:w w:val="93"/>
              </w:rPr>
            </w:pPr>
            <w:hyperlink w:anchor="page206">
              <w:r>
                <w:rPr>
                  <w:rFonts w:ascii="Arial" w:cs="Arial" w:eastAsia="Arial" w:hAnsi="Arial"/>
                  <w:sz w:val="17"/>
                  <w:szCs w:val="17"/>
                  <w:color w:val="0000FF"/>
                  <w:w w:val="93"/>
                </w:rPr>
                <w:t>F-5</w:t>
              </w:r>
            </w:hyperlink>
          </w:p>
        </w:tc>
        <w:tc>
          <w:tcPr>
            <w:tcW w:w="0" w:type="dxa"/>
            <w:vAlign w:val="bottom"/>
          </w:tcPr>
          <w:p>
            <w:pPr>
              <w:spacing w:after="0"/>
              <w:rPr>
                <w:sz w:val="1"/>
                <w:szCs w:val="1"/>
                <w:color w:val="auto"/>
              </w:rPr>
            </w:pPr>
          </w:p>
        </w:tc>
      </w:tr>
      <w:tr>
        <w:trPr>
          <w:trHeight w:val="20"/>
        </w:trPr>
        <w:tc>
          <w:tcPr>
            <w:tcW w:w="10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00" w:type="dxa"/>
            <w:vAlign w:val="bottom"/>
          </w:tcPr>
          <w:p>
            <w:pPr>
              <w:ind w:left="200"/>
              <w:spacing w:after="0" w:line="192" w:lineRule="exact"/>
              <w:rPr>
                <w:rFonts w:ascii="Arial" w:cs="Arial" w:eastAsia="Arial" w:hAnsi="Arial"/>
                <w:sz w:val="17"/>
                <w:szCs w:val="17"/>
                <w:u w:val="single" w:color="auto"/>
                <w:color w:val="0000FF"/>
              </w:rPr>
            </w:pPr>
            <w:hyperlink w:anchor="page207">
              <w:r>
                <w:rPr>
                  <w:rFonts w:ascii="Arial" w:cs="Arial" w:eastAsia="Arial" w:hAnsi="Arial"/>
                  <w:sz w:val="17"/>
                  <w:szCs w:val="17"/>
                  <w:u w:val="single" w:color="auto"/>
                  <w:color w:val="0000FF"/>
                </w:rPr>
                <w:t>Consolidated Statements of Convertible Preferred Stock and Stockholders’ Deficit</w:t>
              </w:r>
            </w:hyperlink>
          </w:p>
        </w:tc>
        <w:tc>
          <w:tcPr>
            <w:tcW w:w="240" w:type="dxa"/>
            <w:vAlign w:val="bottom"/>
          </w:tcPr>
          <w:p>
            <w:pPr>
              <w:spacing w:after="0"/>
              <w:rPr>
                <w:sz w:val="16"/>
                <w:szCs w:val="16"/>
                <w:color w:val="auto"/>
              </w:rPr>
            </w:pPr>
          </w:p>
        </w:tc>
        <w:tc>
          <w:tcPr>
            <w:tcW w:w="480" w:type="dxa"/>
            <w:vAlign w:val="bottom"/>
            <w:gridSpan w:val="2"/>
          </w:tcPr>
          <w:p>
            <w:pPr>
              <w:jc w:val="center"/>
              <w:ind w:right="240"/>
              <w:spacing w:after="0" w:line="192" w:lineRule="exact"/>
              <w:rPr>
                <w:rFonts w:ascii="Arial" w:cs="Arial" w:eastAsia="Arial" w:hAnsi="Arial"/>
                <w:sz w:val="17"/>
                <w:szCs w:val="17"/>
                <w:color w:val="0000FF"/>
                <w:w w:val="93"/>
              </w:rPr>
            </w:pPr>
            <w:hyperlink w:anchor="page207">
              <w:r>
                <w:rPr>
                  <w:rFonts w:ascii="Arial" w:cs="Arial" w:eastAsia="Arial" w:hAnsi="Arial"/>
                  <w:sz w:val="17"/>
                  <w:szCs w:val="17"/>
                  <w:color w:val="0000FF"/>
                  <w:w w:val="93"/>
                </w:rPr>
                <w:t>F-6</w:t>
              </w:r>
            </w:hyperlink>
          </w:p>
        </w:tc>
        <w:tc>
          <w:tcPr>
            <w:tcW w:w="0" w:type="dxa"/>
            <w:vAlign w:val="bottom"/>
          </w:tcPr>
          <w:p>
            <w:pPr>
              <w:spacing w:after="0"/>
              <w:rPr>
                <w:sz w:val="1"/>
                <w:szCs w:val="1"/>
                <w:color w:val="auto"/>
              </w:rPr>
            </w:pPr>
          </w:p>
        </w:tc>
      </w:tr>
      <w:tr>
        <w:trPr>
          <w:trHeight w:val="20"/>
        </w:trPr>
        <w:tc>
          <w:tcPr>
            <w:tcW w:w="10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00" w:type="dxa"/>
            <w:vAlign w:val="bottom"/>
          </w:tcPr>
          <w:p>
            <w:pPr>
              <w:ind w:left="200"/>
              <w:spacing w:after="0" w:line="192" w:lineRule="exact"/>
              <w:rPr>
                <w:rFonts w:ascii="Arial" w:cs="Arial" w:eastAsia="Arial" w:hAnsi="Arial"/>
                <w:sz w:val="17"/>
                <w:szCs w:val="17"/>
                <w:u w:val="single" w:color="auto"/>
                <w:color w:val="0000FF"/>
              </w:rPr>
            </w:pPr>
            <w:hyperlink w:anchor="page208">
              <w:r>
                <w:rPr>
                  <w:rFonts w:ascii="Arial" w:cs="Arial" w:eastAsia="Arial" w:hAnsi="Arial"/>
                  <w:sz w:val="17"/>
                  <w:szCs w:val="17"/>
                  <w:u w:val="single" w:color="auto"/>
                  <w:color w:val="0000FF"/>
                </w:rPr>
                <w:t>Consolidated Statements of Cash Flows</w:t>
              </w:r>
            </w:hyperlink>
          </w:p>
        </w:tc>
        <w:tc>
          <w:tcPr>
            <w:tcW w:w="240" w:type="dxa"/>
            <w:vAlign w:val="bottom"/>
          </w:tcPr>
          <w:p>
            <w:pPr>
              <w:spacing w:after="0"/>
              <w:rPr>
                <w:sz w:val="16"/>
                <w:szCs w:val="16"/>
                <w:color w:val="auto"/>
              </w:rPr>
            </w:pPr>
          </w:p>
        </w:tc>
        <w:tc>
          <w:tcPr>
            <w:tcW w:w="480" w:type="dxa"/>
            <w:vAlign w:val="bottom"/>
            <w:gridSpan w:val="2"/>
          </w:tcPr>
          <w:p>
            <w:pPr>
              <w:jc w:val="center"/>
              <w:ind w:right="240"/>
              <w:spacing w:after="0" w:line="192" w:lineRule="exact"/>
              <w:rPr>
                <w:rFonts w:ascii="Arial" w:cs="Arial" w:eastAsia="Arial" w:hAnsi="Arial"/>
                <w:sz w:val="17"/>
                <w:szCs w:val="17"/>
                <w:color w:val="0000FF"/>
                <w:w w:val="93"/>
              </w:rPr>
            </w:pPr>
            <w:hyperlink w:anchor="page208">
              <w:r>
                <w:rPr>
                  <w:rFonts w:ascii="Arial" w:cs="Arial" w:eastAsia="Arial" w:hAnsi="Arial"/>
                  <w:sz w:val="17"/>
                  <w:szCs w:val="17"/>
                  <w:color w:val="0000FF"/>
                  <w:w w:val="93"/>
                </w:rPr>
                <w:t>F-7</w:t>
              </w:r>
            </w:hyperlink>
          </w:p>
        </w:tc>
        <w:tc>
          <w:tcPr>
            <w:tcW w:w="0" w:type="dxa"/>
            <w:vAlign w:val="bottom"/>
          </w:tcPr>
          <w:p>
            <w:pPr>
              <w:spacing w:after="0"/>
              <w:rPr>
                <w:sz w:val="1"/>
                <w:szCs w:val="1"/>
                <w:color w:val="auto"/>
              </w:rPr>
            </w:pPr>
          </w:p>
        </w:tc>
      </w:tr>
      <w:tr>
        <w:trPr>
          <w:trHeight w:val="20"/>
        </w:trPr>
        <w:tc>
          <w:tcPr>
            <w:tcW w:w="10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00" w:type="dxa"/>
            <w:vAlign w:val="bottom"/>
          </w:tcPr>
          <w:p>
            <w:pPr>
              <w:ind w:left="200"/>
              <w:spacing w:after="0" w:line="192" w:lineRule="exact"/>
              <w:rPr>
                <w:rFonts w:ascii="Arial" w:cs="Arial" w:eastAsia="Arial" w:hAnsi="Arial"/>
                <w:sz w:val="17"/>
                <w:szCs w:val="17"/>
                <w:u w:val="single" w:color="auto"/>
                <w:color w:val="0000FF"/>
              </w:rPr>
            </w:pPr>
            <w:hyperlink w:anchor="page210">
              <w:r>
                <w:rPr>
                  <w:rFonts w:ascii="Arial" w:cs="Arial" w:eastAsia="Arial" w:hAnsi="Arial"/>
                  <w:sz w:val="17"/>
                  <w:szCs w:val="17"/>
                  <w:u w:val="single" w:color="auto"/>
                  <w:color w:val="0000FF"/>
                </w:rPr>
                <w:t>Notes to Consolidated Financial Statements</w:t>
              </w:r>
            </w:hyperlink>
          </w:p>
        </w:tc>
        <w:tc>
          <w:tcPr>
            <w:tcW w:w="240" w:type="dxa"/>
            <w:vAlign w:val="bottom"/>
          </w:tcPr>
          <w:p>
            <w:pPr>
              <w:spacing w:after="0"/>
              <w:rPr>
                <w:sz w:val="16"/>
                <w:szCs w:val="16"/>
                <w:color w:val="auto"/>
              </w:rPr>
            </w:pPr>
          </w:p>
        </w:tc>
        <w:tc>
          <w:tcPr>
            <w:tcW w:w="480" w:type="dxa"/>
            <w:vAlign w:val="bottom"/>
            <w:gridSpan w:val="2"/>
          </w:tcPr>
          <w:p>
            <w:pPr>
              <w:jc w:val="center"/>
              <w:ind w:right="240"/>
              <w:spacing w:after="0" w:line="192" w:lineRule="exact"/>
              <w:rPr>
                <w:rFonts w:ascii="Arial" w:cs="Arial" w:eastAsia="Arial" w:hAnsi="Arial"/>
                <w:sz w:val="17"/>
                <w:szCs w:val="17"/>
                <w:color w:val="0000FF"/>
                <w:w w:val="93"/>
              </w:rPr>
            </w:pPr>
            <w:hyperlink w:anchor="page210">
              <w:r>
                <w:rPr>
                  <w:rFonts w:ascii="Arial" w:cs="Arial" w:eastAsia="Arial" w:hAnsi="Arial"/>
                  <w:sz w:val="17"/>
                  <w:szCs w:val="17"/>
                  <w:color w:val="0000FF"/>
                  <w:w w:val="93"/>
                </w:rPr>
                <w:t>F-9</w:t>
              </w:r>
            </w:hyperlink>
          </w:p>
        </w:tc>
        <w:tc>
          <w:tcPr>
            <w:tcW w:w="0" w:type="dxa"/>
            <w:vAlign w:val="bottom"/>
          </w:tcPr>
          <w:p>
            <w:pPr>
              <w:spacing w:after="0"/>
              <w:rPr>
                <w:sz w:val="1"/>
                <w:szCs w:val="1"/>
                <w:color w:val="auto"/>
              </w:rPr>
            </w:pPr>
          </w:p>
        </w:tc>
      </w:tr>
      <w:tr>
        <w:trPr>
          <w:trHeight w:val="20"/>
        </w:trPr>
        <w:tc>
          <w:tcPr>
            <w:tcW w:w="10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240"/>
          </w:cols>
          <w:pgMar w:left="320" w:top="118" w:right="339" w:bottom="1440" w:gutter="0" w:footer="0" w:header="0"/>
        </w:sectPr>
      </w:pPr>
    </w:p>
    <w:bookmarkStart w:id="203" w:name="page204"/>
    <w:bookmarkEnd w:id="20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ThredUp Inc.:</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51" w:lineRule="exact"/>
        <w:rPr>
          <w:sz w:val="20"/>
          <w:szCs w:val="20"/>
          <w:color w:val="auto"/>
        </w:rPr>
      </w:pPr>
    </w:p>
    <w:p>
      <w:pPr>
        <w:jc w:val="both"/>
        <w:spacing w:after="0" w:line="203" w:lineRule="exact"/>
        <w:rPr>
          <w:sz w:val="20"/>
          <w:szCs w:val="20"/>
          <w:color w:val="auto"/>
        </w:rPr>
      </w:pPr>
      <w:r>
        <w:rPr>
          <w:rFonts w:ascii="Arial" w:cs="Arial" w:eastAsia="Arial" w:hAnsi="Arial"/>
          <w:sz w:val="17"/>
          <w:szCs w:val="17"/>
          <w:color w:val="auto"/>
        </w:rPr>
        <w:t>We have audited the accompanying consolidated balance sheets of ThredUp Inc. and subsidiaries (the Company) as of December 31, 2020 and 2019, the related consolidated statements of operations and comprehensive loss, convertible preferred stock and stockholders’ deficit,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in conformity with U.S. generally accepted accounting principles.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discussed in Note 2 to the consolidated financial statements, the Company has changed its method of accounting for leases as of January 1, 2020 due to the adoption of Financial Accounting Standards Board Accounting Standards Codification 842, Leases.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March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240"/>
          </w:cols>
          <w:pgMar w:left="320" w:top="118" w:right="339" w:bottom="1440" w:gutter="0" w:footer="0" w:header="0"/>
        </w:sectPr>
      </w:pPr>
    </w:p>
    <w:bookmarkStart w:id="204" w:name="page205"/>
    <w:bookmarkEnd w:id="20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3"/>
                <w:szCs w:val="13"/>
                <w:b w:val="1"/>
                <w:bCs w:val="1"/>
                <w:color w:val="auto"/>
              </w:rPr>
              <w:t>Proforma December 31,</w:t>
            </w: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29"/>
        </w:trPr>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205"/>
              <w:spacing w:after="0" w:line="129" w:lineRule="exact"/>
              <w:rPr>
                <w:sz w:val="20"/>
                <w:szCs w:val="20"/>
                <w:color w:val="auto"/>
              </w:rPr>
            </w:pPr>
            <w:r>
              <w:rPr>
                <w:rFonts w:ascii="Arial" w:cs="Arial" w:eastAsia="Arial" w:hAnsi="Arial"/>
                <w:sz w:val="13"/>
                <w:szCs w:val="13"/>
                <w:i w:val="1"/>
                <w:iCs w:val="1"/>
                <w:color w:val="auto"/>
              </w:rPr>
              <w:t>(unaudited)</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85"/>
              <w:spacing w:after="0"/>
              <w:rPr>
                <w:sz w:val="20"/>
                <w:szCs w:val="20"/>
                <w:color w:val="auto"/>
              </w:rPr>
            </w:pPr>
            <w:r>
              <w:rPr>
                <w:rFonts w:ascii="Arial" w:cs="Arial" w:eastAsia="Arial" w:hAnsi="Arial"/>
                <w:sz w:val="13"/>
                <w:szCs w:val="13"/>
                <w:i w:val="1"/>
                <w:iCs w:val="1"/>
                <w:color w:val="auto"/>
              </w:rPr>
              <w:t>(note 2)</w:t>
            </w: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tcPr>
          <w:p>
            <w:pPr>
              <w:ind w:left="20"/>
              <w:spacing w:after="0"/>
              <w:rPr>
                <w:sz w:val="20"/>
                <w:szCs w:val="20"/>
                <w:color w:val="auto"/>
              </w:rPr>
            </w:pPr>
            <w:r>
              <w:rPr>
                <w:rFonts w:ascii="Arial" w:cs="Arial" w:eastAsia="Arial" w:hAnsi="Arial"/>
                <w:sz w:val="17"/>
                <w:szCs w:val="17"/>
                <w:color w:val="auto"/>
              </w:rPr>
              <w:t>Current assets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85,633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tcPr>
          <w:p>
            <w:pPr>
              <w:ind w:left="220"/>
              <w:spacing w:after="0"/>
              <w:rPr>
                <w:sz w:val="20"/>
                <w:szCs w:val="20"/>
                <w:color w:val="auto"/>
              </w:rPr>
            </w:pPr>
            <w:r>
              <w:rPr>
                <w:rFonts w:ascii="Arial" w:cs="Arial" w:eastAsia="Arial" w:hAnsi="Arial"/>
                <w:sz w:val="17"/>
                <w:szCs w:val="17"/>
                <w:color w:val="auto"/>
              </w:rPr>
              <w:t>Accounts receivable, net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2,052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Inventory, net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Other current assets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2,838</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current assets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94,416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75,159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gridSpan w:val="2"/>
          </w:tcPr>
          <w:p>
            <w:pPr>
              <w:ind w:left="20"/>
              <w:spacing w:after="0"/>
              <w:rPr>
                <w:sz w:val="20"/>
                <w:szCs w:val="20"/>
                <w:color w:val="auto"/>
              </w:rPr>
            </w:pPr>
            <w:r>
              <w:rPr>
                <w:rFonts w:ascii="Arial" w:cs="Arial" w:eastAsia="Arial" w:hAnsi="Arial"/>
                <w:sz w:val="17"/>
                <w:szCs w:val="17"/>
                <w:color w:val="auto"/>
              </w:rPr>
              <w:t>Restricted cash and cash equivalents, non-current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1,916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tcPr>
          <w:p>
            <w:pPr>
              <w:ind w:left="20"/>
              <w:spacing w:after="0"/>
              <w:rPr>
                <w:sz w:val="20"/>
                <w:szCs w:val="20"/>
                <w:color w:val="auto"/>
              </w:rPr>
            </w:pPr>
            <w:r>
              <w:rPr>
                <w:rFonts w:ascii="Arial" w:cs="Arial" w:eastAsia="Arial" w:hAnsi="Arial"/>
                <w:sz w:val="17"/>
                <w:szCs w:val="17"/>
                <w:color w:val="auto"/>
              </w:rPr>
              <w:t>Property and equipment, net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26,053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41,131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80" w:type="dxa"/>
            <w:vAlign w:val="bottom"/>
            <w:gridSpan w:val="2"/>
          </w:tcPr>
          <w:p>
            <w:pPr>
              <w:ind w:left="420"/>
              <w:spacing w:after="0"/>
              <w:rPr>
                <w:sz w:val="20"/>
                <w:szCs w:val="20"/>
                <w:color w:val="auto"/>
              </w:rPr>
            </w:pPr>
            <w:r>
              <w:rPr>
                <w:rFonts w:ascii="Arial" w:cs="Arial" w:eastAsia="Arial" w:hAnsi="Arial"/>
                <w:sz w:val="17"/>
                <w:szCs w:val="17"/>
                <w:color w:val="auto"/>
              </w:rPr>
              <w:t>Total assets</w:t>
            </w: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122,559</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380" w:type="dxa"/>
            <w:vAlign w:val="bottom"/>
            <w:gridSpan w:val="2"/>
          </w:tcPr>
          <w:p>
            <w:pPr>
              <w:ind w:left="20"/>
              <w:spacing w:after="0"/>
              <w:rPr>
                <w:sz w:val="20"/>
                <w:szCs w:val="20"/>
                <w:color w:val="auto"/>
              </w:rPr>
            </w:pPr>
            <w:r>
              <w:rPr>
                <w:rFonts w:ascii="Arial" w:cs="Arial" w:eastAsia="Arial" w:hAnsi="Arial"/>
                <w:sz w:val="17"/>
                <w:szCs w:val="17"/>
                <w:color w:val="auto"/>
              </w:rPr>
              <w:t>Current liabilities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tcPr>
          <w:p>
            <w:pPr>
              <w:ind w:left="220"/>
              <w:spacing w:after="0"/>
              <w:rPr>
                <w:sz w:val="20"/>
                <w:szCs w:val="20"/>
                <w:color w:val="auto"/>
              </w:rPr>
            </w:pPr>
            <w:r>
              <w:rPr>
                <w:rFonts w:ascii="Arial" w:cs="Arial" w:eastAsia="Arial" w:hAnsi="Arial"/>
                <w:sz w:val="17"/>
                <w:szCs w:val="17"/>
                <w:color w:val="auto"/>
              </w:rPr>
              <w:t>Accrued and other current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26,219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32,541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Seller payable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tcPr>
          <w:p>
            <w:pPr>
              <w:ind w:left="220"/>
              <w:spacing w:after="0"/>
              <w:rPr>
                <w:sz w:val="20"/>
                <w:szCs w:val="20"/>
                <w:color w:val="auto"/>
              </w:rPr>
            </w:pPr>
            <w:r>
              <w:rPr>
                <w:rFonts w:ascii="Arial" w:cs="Arial" w:eastAsia="Arial" w:hAnsi="Arial"/>
                <w:sz w:val="17"/>
                <w:szCs w:val="17"/>
                <w:color w:val="auto"/>
              </w:rPr>
              <w:t>Operating lease liabilities, current</w:t>
            </w:r>
          </w:p>
        </w:tc>
        <w:tc>
          <w:tcPr>
            <w:tcW w:w="3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portion of long-term debt</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2,740</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80" w:type="dxa"/>
            <w:vAlign w:val="bottom"/>
            <w:gridSpan w:val="2"/>
          </w:tcPr>
          <w:p>
            <w:pPr>
              <w:ind w:left="420"/>
              <w:spacing w:after="0"/>
              <w:rPr>
                <w:sz w:val="20"/>
                <w:szCs w:val="20"/>
                <w:color w:val="auto"/>
              </w:rPr>
            </w:pPr>
            <w:r>
              <w:rPr>
                <w:rFonts w:ascii="Arial" w:cs="Arial" w:eastAsia="Arial" w:hAnsi="Arial"/>
                <w:sz w:val="17"/>
                <w:szCs w:val="17"/>
                <w:color w:val="auto"/>
              </w:rPr>
              <w:t>Total current liabilities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43,139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62,564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tcPr>
          <w:p>
            <w:pPr>
              <w:ind w:left="20"/>
              <w:spacing w:after="0"/>
              <w:rPr>
                <w:sz w:val="20"/>
                <w:szCs w:val="20"/>
                <w:color w:val="auto"/>
              </w:rPr>
            </w:pPr>
            <w:r>
              <w:rPr>
                <w:rFonts w:ascii="Arial" w:cs="Arial" w:eastAsia="Arial" w:hAnsi="Arial"/>
                <w:sz w:val="17"/>
                <w:szCs w:val="17"/>
                <w:color w:val="auto"/>
              </w:rPr>
              <w:t>Long-term debt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14,544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31,190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2,719</w:t>
            </w:r>
          </w:p>
        </w:tc>
        <w:tc>
          <w:tcPr>
            <w:tcW w:w="3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w:t>
            </w:r>
          </w:p>
        </w:tc>
        <w:tc>
          <w:tcPr>
            <w:tcW w:w="0" w:type="dxa"/>
            <w:vAlign w:val="bottom"/>
          </w:tcPr>
          <w:p>
            <w:pPr>
              <w:spacing w:after="0"/>
              <w:rPr>
                <w:sz w:val="1"/>
                <w:szCs w:val="1"/>
                <w:color w:val="auto"/>
              </w:rPr>
            </w:pPr>
          </w:p>
        </w:tc>
      </w:tr>
      <w:tr>
        <w:trPr>
          <w:trHeight w:val="204"/>
        </w:trPr>
        <w:tc>
          <w:tcPr>
            <w:tcW w:w="638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Total liabilities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58,895</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118,047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380" w:type="dxa"/>
            <w:vAlign w:val="bottom"/>
            <w:gridSpan w:val="2"/>
            <w:shd w:val="clear" w:color="auto" w:fill="CCEEFF"/>
          </w:tcPr>
          <w:p>
            <w:pPr>
              <w:ind w:left="20"/>
              <w:spacing w:after="0" w:line="192" w:lineRule="exact"/>
              <w:rPr>
                <w:sz w:val="20"/>
                <w:szCs w:val="20"/>
                <w:color w:val="auto"/>
              </w:rPr>
            </w:pPr>
            <w:r>
              <w:rPr>
                <w:rFonts w:ascii="Arial" w:cs="Arial" w:eastAsia="Arial" w:hAnsi="Arial"/>
                <w:sz w:val="17"/>
                <w:szCs w:val="17"/>
                <w:color w:val="auto"/>
              </w:rPr>
              <w:t>Commitments and contingencies (Note 11)</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120"/>
              <w:spacing w:after="0" w:line="162" w:lineRule="exact"/>
              <w:rPr>
                <w:sz w:val="20"/>
                <w:szCs w:val="20"/>
                <w:color w:val="auto"/>
              </w:rPr>
            </w:pPr>
            <w:r>
              <w:rPr>
                <w:rFonts w:ascii="Arial" w:cs="Arial" w:eastAsia="Arial" w:hAnsi="Arial"/>
                <w:sz w:val="17"/>
                <w:szCs w:val="17"/>
                <w:color w:val="auto"/>
              </w:rPr>
              <w:t>Convertible preferred stock: $0.0001 par 68,076,033 and 68,139,958 shares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60"/>
              <w:spacing w:after="0" w:line="162" w:lineRule="exact"/>
              <w:rPr>
                <w:sz w:val="20"/>
                <w:szCs w:val="20"/>
                <w:color w:val="auto"/>
              </w:rPr>
            </w:pPr>
            <w:r>
              <w:rPr>
                <w:rFonts w:ascii="Arial" w:cs="Arial" w:eastAsia="Arial" w:hAnsi="Arial"/>
                <w:sz w:val="17"/>
                <w:szCs w:val="17"/>
                <w:color w:val="auto"/>
              </w:rPr>
              <w:t>authorized as of December 31, 2019 and 2020, respectively; 65,928,261 and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60"/>
              <w:spacing w:after="0" w:line="162" w:lineRule="exact"/>
              <w:rPr>
                <w:sz w:val="20"/>
                <w:szCs w:val="20"/>
                <w:color w:val="auto"/>
              </w:rPr>
            </w:pPr>
            <w:r>
              <w:rPr>
                <w:rFonts w:ascii="Arial" w:cs="Arial" w:eastAsia="Arial" w:hAnsi="Arial"/>
                <w:sz w:val="17"/>
                <w:szCs w:val="17"/>
                <w:color w:val="auto"/>
              </w:rPr>
              <w:t>65,970,938 shares issued and outstanding as of December 31, 2019 and 2020,</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60"/>
              <w:spacing w:after="0" w:line="162" w:lineRule="exact"/>
              <w:rPr>
                <w:sz w:val="20"/>
                <w:szCs w:val="20"/>
                <w:color w:val="auto"/>
              </w:rPr>
            </w:pPr>
            <w:r>
              <w:rPr>
                <w:rFonts w:ascii="Arial" w:cs="Arial" w:eastAsia="Arial" w:hAnsi="Arial"/>
                <w:sz w:val="17"/>
                <w:szCs w:val="17"/>
                <w:color w:val="auto"/>
              </w:rPr>
              <w:t>respectively, liquidation preference $251,175 and $251,239 as of December 31,</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60"/>
              <w:spacing w:after="0" w:line="162" w:lineRule="exact"/>
              <w:rPr>
                <w:sz w:val="20"/>
                <w:szCs w:val="20"/>
                <w:color w:val="auto"/>
              </w:rPr>
            </w:pPr>
            <w:r>
              <w:rPr>
                <w:rFonts w:ascii="Arial" w:cs="Arial" w:eastAsia="Arial" w:hAnsi="Arial"/>
                <w:sz w:val="17"/>
                <w:szCs w:val="17"/>
                <w:color w:val="auto"/>
              </w:rPr>
              <w:t>2019 and 2020, respectively;   shares issued or outstanding, pro forma</w:t>
            </w: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246,905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247,041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380" w:type="dxa"/>
            <w:vAlign w:val="bottom"/>
            <w:gridSpan w:val="2"/>
          </w:tcPr>
          <w:p>
            <w:pPr>
              <w:ind w:left="260"/>
              <w:spacing w:after="0"/>
              <w:rPr>
                <w:sz w:val="20"/>
                <w:szCs w:val="20"/>
                <w:color w:val="auto"/>
              </w:rPr>
            </w:pPr>
            <w:r>
              <w:rPr>
                <w:rFonts w:ascii="Arial" w:cs="Arial" w:eastAsia="Arial" w:hAnsi="Arial"/>
                <w:sz w:val="17"/>
                <w:szCs w:val="17"/>
                <w:color w:val="auto"/>
              </w:rPr>
              <w:t>(unaudited)</w:t>
            </w:r>
          </w:p>
        </w:tc>
        <w:tc>
          <w:tcPr>
            <w:tcW w:w="3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120"/>
              <w:spacing w:after="0" w:line="162" w:lineRule="exact"/>
              <w:rPr>
                <w:sz w:val="20"/>
                <w:szCs w:val="20"/>
                <w:color w:val="auto"/>
              </w:rPr>
            </w:pPr>
            <w:r>
              <w:rPr>
                <w:rFonts w:ascii="Arial" w:cs="Arial" w:eastAsia="Arial" w:hAnsi="Arial"/>
                <w:sz w:val="17"/>
                <w:szCs w:val="17"/>
                <w:color w:val="auto"/>
              </w:rPr>
              <w:t>Common stock, $0.0001 par value; 100,000,000 and 110,000,000 shares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60"/>
              <w:spacing w:after="0" w:line="162" w:lineRule="exact"/>
              <w:rPr>
                <w:sz w:val="20"/>
                <w:szCs w:val="20"/>
                <w:color w:val="auto"/>
              </w:rPr>
            </w:pPr>
            <w:r>
              <w:rPr>
                <w:rFonts w:ascii="Arial" w:cs="Arial" w:eastAsia="Arial" w:hAnsi="Arial"/>
                <w:sz w:val="17"/>
                <w:szCs w:val="17"/>
                <w:color w:val="auto"/>
              </w:rPr>
              <w:t>authorized as of December 31, 2019 and 2020, respectively; 10,647,380 and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ind w:left="260"/>
              <w:spacing w:after="0" w:line="162" w:lineRule="exact"/>
              <w:rPr>
                <w:sz w:val="20"/>
                <w:szCs w:val="20"/>
                <w:color w:val="auto"/>
              </w:rPr>
            </w:pPr>
            <w:r>
              <w:rPr>
                <w:rFonts w:ascii="Arial" w:cs="Arial" w:eastAsia="Arial" w:hAnsi="Arial"/>
                <w:sz w:val="17"/>
                <w:szCs w:val="17"/>
                <w:color w:val="auto"/>
              </w:rPr>
              <w:t>12,889,760 shares issued and outstanding as of December 31, 2019 and 2020,</w:t>
            </w: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2"/>
        </w:trPr>
        <w:tc>
          <w:tcPr>
            <w:tcW w:w="6380" w:type="dxa"/>
            <w:vAlign w:val="bottom"/>
            <w:gridSpan w:val="2"/>
          </w:tcPr>
          <w:p>
            <w:pPr>
              <w:ind w:left="260"/>
              <w:spacing w:after="0"/>
              <w:rPr>
                <w:sz w:val="20"/>
                <w:szCs w:val="20"/>
                <w:color w:val="auto"/>
              </w:rPr>
            </w:pPr>
            <w:r>
              <w:rPr>
                <w:rFonts w:ascii="Arial" w:cs="Arial" w:eastAsia="Arial" w:hAnsi="Arial"/>
                <w:sz w:val="17"/>
                <w:szCs w:val="17"/>
                <w:color w:val="auto"/>
              </w:rPr>
              <w:t>respectively; 78,746,092 shares issued or outstanding, pro forma (unaudited)</w:t>
            </w: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240"/>
          </w:cols>
          <w:pgMar w:left="320" w:top="118" w:right="339" w:bottom="1440" w:gutter="0" w:footer="0" w:header="0"/>
        </w:sectPr>
      </w:pPr>
    </w:p>
    <w:bookmarkStart w:id="205" w:name="page206"/>
    <w:bookmarkEnd w:id="20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277,829</w:t>
            </w:r>
          </w:p>
        </w:tc>
      </w:tr>
      <w:tr>
        <w:trPr>
          <w:trHeight w:val="212"/>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deficit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(203,725)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(252,167)</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(252,167)</w:t>
            </w:r>
          </w:p>
        </w:tc>
      </w:tr>
      <w:tr>
        <w:trPr>
          <w:trHeight w:val="269"/>
        </w:trPr>
        <w:tc>
          <w:tcPr>
            <w:tcW w:w="63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stockholders’ (deficit) equity</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(183,241)</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(222,177)</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25,670</w:t>
            </w:r>
          </w:p>
        </w:tc>
      </w:tr>
      <w:tr>
        <w:trPr>
          <w:trHeight w:val="169"/>
        </w:trPr>
        <w:tc>
          <w:tcPr>
            <w:tcW w:w="6380" w:type="dxa"/>
            <w:vAlign w:val="bottom"/>
            <w:tcBorders>
              <w:top w:val="single" w:sz="8" w:color="CCEEFF"/>
            </w:tcBorders>
          </w:tcPr>
          <w:p>
            <w:pPr>
              <w:ind w:left="420"/>
              <w:spacing w:after="0" w:line="169" w:lineRule="exact"/>
              <w:rPr>
                <w:sz w:val="20"/>
                <w:szCs w:val="20"/>
                <w:color w:val="auto"/>
              </w:rPr>
            </w:pPr>
            <w:r>
              <w:rPr>
                <w:rFonts w:ascii="Arial" w:cs="Arial" w:eastAsia="Arial" w:hAnsi="Arial"/>
                <w:sz w:val="17"/>
                <w:szCs w:val="17"/>
                <w:color w:val="auto"/>
              </w:rPr>
              <w:t>Total liabilities, convertible preferred stock and stockholders’ deficit</w:t>
            </w:r>
          </w:p>
        </w:tc>
        <w:tc>
          <w:tcPr>
            <w:tcW w:w="460" w:type="dxa"/>
            <w:vAlign w:val="bottom"/>
            <w:tcBorders>
              <w:top w:val="single" w:sz="8" w:color="auto"/>
              <w:bottom w:val="single" w:sz="8" w:color="auto"/>
            </w:tcBorders>
          </w:tcPr>
          <w:p>
            <w:pPr>
              <w:jc w:val="right"/>
              <w:ind w:right="277"/>
              <w:spacing w:after="0" w:line="169" w:lineRule="exact"/>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122,559</w:t>
            </w: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277"/>
              <w:spacing w:after="0" w:line="169"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142,911</w:t>
            </w: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0"/>
        </w:trPr>
        <w:tc>
          <w:tcPr>
            <w:tcW w:w="6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40"/>
          </w:cols>
          <w:pgMar w:left="320" w:top="118" w:right="339" w:bottom="1440" w:gutter="0" w:footer="0" w:header="0"/>
        </w:sectPr>
      </w:pPr>
    </w:p>
    <w:bookmarkStart w:id="206" w:name="page207"/>
    <w:bookmarkEnd w:id="20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60" w:type="dxa"/>
            <w:vAlign w:val="bottom"/>
          </w:tcPr>
          <w:p>
            <w:pPr>
              <w:ind w:left="220"/>
              <w:spacing w:after="0"/>
              <w:rPr>
                <w:sz w:val="20"/>
                <w:szCs w:val="20"/>
                <w:color w:val="auto"/>
              </w:rPr>
            </w:pPr>
            <w:r>
              <w:rPr>
                <w:rFonts w:ascii="Arial" w:cs="Arial" w:eastAsia="Arial" w:hAnsi="Arial"/>
                <w:sz w:val="17"/>
                <w:szCs w:val="17"/>
                <w:color w:val="auto"/>
              </w:rPr>
              <w:t>Consignment</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39,415</w:t>
            </w:r>
          </w:p>
        </w:tc>
        <w:tc>
          <w:tcPr>
            <w:tcW w:w="460" w:type="dxa"/>
            <w:vAlign w:val="bottom"/>
            <w:gridSpan w:val="2"/>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97,763</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138,096</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90,136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47,919</w:t>
            </w: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129,551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163,812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186,015</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Cost of revenue: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60" w:type="dxa"/>
            <w:vAlign w:val="bottom"/>
          </w:tcPr>
          <w:p>
            <w:pPr>
              <w:ind w:left="220"/>
              <w:spacing w:after="0"/>
              <w:rPr>
                <w:sz w:val="20"/>
                <w:szCs w:val="20"/>
                <w:color w:val="auto"/>
              </w:rPr>
            </w:pPr>
            <w:r>
              <w:rPr>
                <w:rFonts w:ascii="Arial" w:cs="Arial" w:eastAsia="Arial" w:hAnsi="Arial"/>
                <w:sz w:val="17"/>
                <w:szCs w:val="17"/>
                <w:color w:val="auto"/>
              </w:rPr>
              <w:t>Consignment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22,764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34,184</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41,563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23,683</w:t>
            </w: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cost of revenue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51,541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51,308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57,867</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78,010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112,504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128,148</w:t>
            </w:r>
          </w:p>
        </w:tc>
        <w:tc>
          <w:tcPr>
            <w:tcW w:w="0" w:type="dxa"/>
            <w:vAlign w:val="bottom"/>
          </w:tcPr>
          <w:p>
            <w:pPr>
              <w:spacing w:after="0"/>
              <w:rPr>
                <w:sz w:val="1"/>
                <w:szCs w:val="1"/>
                <w:color w:val="auto"/>
              </w:rPr>
            </w:pPr>
          </w:p>
        </w:tc>
      </w:tr>
      <w:tr>
        <w:trPr>
          <w:trHeight w:val="192"/>
        </w:trPr>
        <w:tc>
          <w:tcPr>
            <w:tcW w:w="6360" w:type="dxa"/>
            <w:vAlign w:val="bottom"/>
          </w:tcPr>
          <w:p>
            <w:pPr>
              <w:ind w:left="20"/>
              <w:spacing w:after="0" w:line="192" w:lineRule="exact"/>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Operations, product and technology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101,408</w:t>
            </w:r>
          </w:p>
        </w:tc>
        <w:tc>
          <w:tcPr>
            <w:tcW w:w="0" w:type="dxa"/>
            <w:vAlign w:val="bottom"/>
          </w:tcPr>
          <w:p>
            <w:pPr>
              <w:spacing w:after="0"/>
              <w:rPr>
                <w:sz w:val="1"/>
                <w:szCs w:val="1"/>
                <w:color w:val="auto"/>
              </w:rPr>
            </w:pPr>
          </w:p>
        </w:tc>
      </w:tr>
      <w:tr>
        <w:trPr>
          <w:trHeight w:val="212"/>
        </w:trPr>
        <w:tc>
          <w:tcPr>
            <w:tcW w:w="6360" w:type="dxa"/>
            <w:vAlign w:val="bottom"/>
          </w:tcPr>
          <w:p>
            <w:pPr>
              <w:ind w:left="220"/>
              <w:spacing w:after="0"/>
              <w:rPr>
                <w:sz w:val="20"/>
                <w:szCs w:val="20"/>
                <w:color w:val="auto"/>
              </w:rPr>
            </w:pPr>
            <w:r>
              <w:rPr>
                <w:rFonts w:ascii="Arial" w:cs="Arial" w:eastAsia="Arial" w:hAnsi="Arial"/>
                <w:sz w:val="17"/>
                <w:szCs w:val="17"/>
                <w:color w:val="auto"/>
              </w:rPr>
              <w:t>Marketing</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27,235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44,980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44,765</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28,564</w:t>
            </w: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112,266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149,311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174,737</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 loss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(34,256)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(46,589)</w:t>
            </w:r>
          </w:p>
        </w:tc>
        <w:tc>
          <w:tcPr>
            <w:tcW w:w="0" w:type="dxa"/>
            <w:vAlign w:val="bottom"/>
          </w:tcPr>
          <w:p>
            <w:pPr>
              <w:spacing w:after="0"/>
              <w:rPr>
                <w:sz w:val="1"/>
                <w:szCs w:val="1"/>
                <w:color w:val="auto"/>
              </w:rPr>
            </w:pPr>
          </w:p>
        </w:tc>
      </w:tr>
      <w:tr>
        <w:trPr>
          <w:trHeight w:val="212"/>
        </w:trPr>
        <w:tc>
          <w:tcPr>
            <w:tcW w:w="63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4"/>
        </w:trPr>
        <w:tc>
          <w:tcPr>
            <w:tcW w:w="6360" w:type="dxa"/>
            <w:vAlign w:val="bottom"/>
          </w:tcPr>
          <w:p>
            <w:pPr>
              <w:ind w:left="420"/>
              <w:spacing w:after="0"/>
              <w:rPr>
                <w:sz w:val="20"/>
                <w:szCs w:val="20"/>
                <w:color w:val="auto"/>
              </w:rPr>
            </w:pPr>
            <w:r>
              <w:rPr>
                <w:rFonts w:ascii="Arial" w:cs="Arial" w:eastAsia="Arial" w:hAnsi="Arial"/>
                <w:sz w:val="17"/>
                <w:szCs w:val="17"/>
                <w:color w:val="auto"/>
              </w:rPr>
              <w:t>Loss before provision for income taxes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(34,144)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(38,161)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(47,821)</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4"/>
        </w:trPr>
        <w:tc>
          <w:tcPr>
            <w:tcW w:w="6360" w:type="dxa"/>
            <w:vAlign w:val="bottom"/>
          </w:tcPr>
          <w:p>
            <w:pPr>
              <w:ind w:left="42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(34,181)</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(47,877)</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Other comprehensive loss, net of tax:</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Unrealized gain (loss) on available-for-sale debt securities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comprehensive loss</w:t>
            </w: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(47,877)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tcPr>
          <w:p>
            <w:pPr>
              <w:ind w:left="20"/>
              <w:spacing w:after="0" w:line="181" w:lineRule="exact"/>
              <w:rPr>
                <w:sz w:val="20"/>
                <w:szCs w:val="20"/>
                <w:color w:val="auto"/>
              </w:rPr>
            </w:pPr>
            <w:r>
              <w:rPr>
                <w:rFonts w:ascii="Arial" w:cs="Arial" w:eastAsia="Arial" w:hAnsi="Arial"/>
                <w:sz w:val="17"/>
                <w:szCs w:val="17"/>
                <w:color w:val="auto"/>
              </w:rPr>
              <w:t>Net loss per share attributable to common stockholders, basic and diluted</w:t>
            </w:r>
          </w:p>
        </w:tc>
        <w:tc>
          <w:tcPr>
            <w:tcW w:w="380" w:type="dxa"/>
            <w:vAlign w:val="bottom"/>
            <w:tcBorders>
              <w:top w:val="single" w:sz="8" w:color="auto"/>
              <w:bottom w:val="single" w:sz="8" w:color="auto"/>
            </w:tcBorders>
          </w:tcPr>
          <w:p>
            <w:pPr>
              <w:jc w:val="right"/>
              <w:ind w:right="197"/>
              <w:spacing w:after="0" w:line="181" w:lineRule="exact"/>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(3.41)</w:t>
            </w:r>
          </w:p>
        </w:tc>
        <w:tc>
          <w:tcPr>
            <w:tcW w:w="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177"/>
              <w:spacing w:after="0" w:line="181" w:lineRule="exact"/>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(3.72)</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77"/>
              <w:spacing w:after="0" w:line="181" w:lineRule="exact"/>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360" w:type="dxa"/>
            <w:vAlign w:val="bottom"/>
            <w:shd w:val="clear" w:color="auto" w:fill="CCEEFF"/>
          </w:tcPr>
          <w:p>
            <w:pPr>
              <w:ind w:left="220"/>
              <w:spacing w:after="0" w:line="127" w:lineRule="exact"/>
              <w:rPr>
                <w:sz w:val="20"/>
                <w:szCs w:val="20"/>
                <w:color w:val="auto"/>
              </w:rPr>
            </w:pPr>
            <w:r>
              <w:rPr>
                <w:rFonts w:ascii="Arial" w:cs="Arial" w:eastAsia="Arial" w:hAnsi="Arial"/>
                <w:sz w:val="13"/>
                <w:szCs w:val="13"/>
                <w:color w:val="auto"/>
              </w:rPr>
              <w:t>Weighted-average shares used in computing net loss per share attributable to</w:t>
            </w: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10,027,177</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10,265,004</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11,565,443</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shd w:val="clear" w:color="auto" w:fill="CCEEFF"/>
          </w:tcPr>
          <w:p>
            <w:pPr>
              <w:ind w:left="360"/>
              <w:spacing w:after="0" w:line="187" w:lineRule="exact"/>
              <w:rPr>
                <w:sz w:val="20"/>
                <w:szCs w:val="20"/>
                <w:color w:val="auto"/>
              </w:rPr>
            </w:pPr>
            <w:r>
              <w:rPr>
                <w:rFonts w:ascii="Arial" w:cs="Arial" w:eastAsia="Arial" w:hAnsi="Arial"/>
                <w:sz w:val="17"/>
                <w:szCs w:val="17"/>
                <w:color w:val="auto"/>
              </w:rPr>
              <w:t>common stockholders, basic and diluted</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20"/>
              <w:spacing w:after="0" w:line="147" w:lineRule="exact"/>
              <w:rPr>
                <w:sz w:val="20"/>
                <w:szCs w:val="20"/>
                <w:color w:val="auto"/>
              </w:rPr>
            </w:pPr>
            <w:r>
              <w:rPr>
                <w:rFonts w:ascii="Arial" w:cs="Arial" w:eastAsia="Arial" w:hAnsi="Arial"/>
                <w:sz w:val="17"/>
                <w:szCs w:val="17"/>
                <w:color w:val="auto"/>
              </w:rPr>
              <w:t>Pro forma net loss per share attributable to common stockholders, basic and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restart"/>
          </w:tcPr>
          <w:p>
            <w:pPr>
              <w:jc w:val="right"/>
              <w:ind w:right="177"/>
              <w:spacing w:after="0"/>
              <w:rPr>
                <w:sz w:val="20"/>
                <w:szCs w:val="20"/>
                <w:color w:val="auto"/>
              </w:rPr>
            </w:pPr>
            <w:r>
              <w:rPr>
                <w:rFonts w:ascii="Arial" w:cs="Arial" w:eastAsia="Arial" w:hAnsi="Arial"/>
                <w:sz w:val="17"/>
                <w:szCs w:val="17"/>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192"/>
        </w:trPr>
        <w:tc>
          <w:tcPr>
            <w:tcW w:w="6360" w:type="dxa"/>
            <w:vAlign w:val="bottom"/>
          </w:tcPr>
          <w:p>
            <w:pPr>
              <w:ind w:left="360"/>
              <w:spacing w:after="0" w:line="187" w:lineRule="exact"/>
              <w:rPr>
                <w:sz w:val="20"/>
                <w:szCs w:val="20"/>
                <w:color w:val="auto"/>
              </w:rPr>
            </w:pPr>
            <w:r>
              <w:rPr>
                <w:rFonts w:ascii="Arial" w:cs="Arial" w:eastAsia="Arial" w:hAnsi="Arial"/>
                <w:sz w:val="17"/>
                <w:szCs w:val="17"/>
                <w:color w:val="auto"/>
              </w:rPr>
              <w:t>diluted (unaudited)</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360" w:type="dxa"/>
            <w:vAlign w:val="bottom"/>
            <w:shd w:val="clear" w:color="auto" w:fill="CCEEFF"/>
          </w:tcPr>
          <w:p>
            <w:pPr>
              <w:ind w:left="220"/>
              <w:spacing w:after="0" w:line="127" w:lineRule="exact"/>
              <w:rPr>
                <w:sz w:val="20"/>
                <w:szCs w:val="20"/>
                <w:color w:val="auto"/>
              </w:rPr>
            </w:pPr>
            <w:r>
              <w:rPr>
                <w:rFonts w:ascii="Arial" w:cs="Arial" w:eastAsia="Arial" w:hAnsi="Arial"/>
                <w:sz w:val="13"/>
                <w:szCs w:val="13"/>
                <w:color w:val="auto"/>
              </w:rPr>
              <w:t>Weighted-average shares used in computing pro forma net loss per share</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77,510,100</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shd w:val="clear" w:color="auto" w:fill="CCEEFF"/>
          </w:tcPr>
          <w:p>
            <w:pPr>
              <w:ind w:left="360"/>
              <w:spacing w:after="0" w:line="187" w:lineRule="exact"/>
              <w:rPr>
                <w:sz w:val="20"/>
                <w:szCs w:val="20"/>
                <w:color w:val="auto"/>
              </w:rPr>
            </w:pPr>
            <w:r>
              <w:rPr>
                <w:rFonts w:ascii="Arial" w:cs="Arial" w:eastAsia="Arial" w:hAnsi="Arial"/>
                <w:sz w:val="17"/>
                <w:szCs w:val="17"/>
                <w:color w:val="auto"/>
              </w:rPr>
              <w:t>attributable to common stockholders, basic and diluted (unaudited)</w:t>
            </w: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240"/>
          </w:cols>
          <w:pgMar w:left="320" w:top="118" w:right="339" w:bottom="1440" w:gutter="0" w:footer="0" w:header="0"/>
        </w:sectPr>
      </w:pPr>
    </w:p>
    <w:bookmarkStart w:id="207" w:name="page208"/>
    <w:bookmarkEnd w:id="20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Convertible Preferred Stock and Stockholders’ Deficit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ectPr>
          <w:pgSz w:w="11900" w:h="16838" w:orient="portrait"/>
          <w:cols w:equalWidth="0" w:num="1">
            <w:col w:w="11240"/>
          </w:cols>
          <w:pgMar w:left="320" w:top="118" w:right="339" w:bottom="1440" w:gutter="0" w:footer="0" w:header="0"/>
        </w:sect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2020" w:type="dxa"/>
            <w:vAlign w:val="bottom"/>
            <w:gridSpan w:val="4"/>
          </w:tcPr>
          <w:p>
            <w:pPr>
              <w:jc w:val="right"/>
              <w:ind w:right="582"/>
              <w:spacing w:after="0"/>
              <w:rPr>
                <w:sz w:val="20"/>
                <w:szCs w:val="20"/>
                <w:color w:val="auto"/>
              </w:rPr>
            </w:pPr>
            <w:r>
              <w:rPr>
                <w:rFonts w:ascii="Arial" w:cs="Arial" w:eastAsia="Arial" w:hAnsi="Arial"/>
                <w:sz w:val="12"/>
                <w:szCs w:val="12"/>
                <w:b w:val="1"/>
                <w:bCs w:val="1"/>
                <w:color w:val="auto"/>
              </w:rPr>
              <w:t>Convertible</w:t>
            </w:r>
          </w:p>
        </w:tc>
        <w:tc>
          <w:tcPr>
            <w:tcW w:w="0" w:type="dxa"/>
            <w:vAlign w:val="bottom"/>
          </w:tcPr>
          <w:p>
            <w:pPr>
              <w:spacing w:after="0"/>
              <w:rPr>
                <w:sz w:val="1"/>
                <w:szCs w:val="1"/>
                <w:color w:val="auto"/>
              </w:rPr>
            </w:pPr>
          </w:p>
        </w:tc>
      </w:tr>
      <w:tr>
        <w:trPr>
          <w:trHeight w:val="174"/>
        </w:trPr>
        <w:tc>
          <w:tcPr>
            <w:tcW w:w="266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5"/>
                <w:szCs w:val="15"/>
                <w:color w:val="auto"/>
              </w:rPr>
            </w:pPr>
          </w:p>
        </w:tc>
        <w:tc>
          <w:tcPr>
            <w:tcW w:w="780" w:type="dxa"/>
            <w:vAlign w:val="bottom"/>
          </w:tcPr>
          <w:p>
            <w:pPr>
              <w:jc w:val="right"/>
              <w:ind w:right="162"/>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82"/>
        </w:trPr>
        <w:tc>
          <w:tcPr>
            <w:tcW w:w="2660" w:type="dxa"/>
            <w:vAlign w:val="bottom"/>
          </w:tcPr>
          <w:p>
            <w:pPr>
              <w:spacing w:after="0" w:line="182" w:lineRule="exact"/>
              <w:rPr>
                <w:sz w:val="20"/>
                <w:szCs w:val="20"/>
                <w:color w:val="auto"/>
              </w:rPr>
            </w:pPr>
            <w:r>
              <w:rPr>
                <w:rFonts w:ascii="Arial" w:cs="Arial" w:eastAsia="Arial" w:hAnsi="Arial"/>
                <w:sz w:val="16"/>
                <w:szCs w:val="16"/>
                <w:color w:val="auto"/>
              </w:rPr>
              <w:t>Balance as of December 31, 2017</w:t>
            </w: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47,673,808</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128,762</w:t>
            </w: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660" w:type="dxa"/>
            <w:vAlign w:val="bottom"/>
          </w:tcPr>
          <w:p>
            <w:pPr>
              <w:ind w:left="200"/>
              <w:spacing w:after="0" w:line="163" w:lineRule="exact"/>
              <w:rPr>
                <w:sz w:val="20"/>
                <w:szCs w:val="20"/>
                <w:color w:val="auto"/>
              </w:rPr>
            </w:pPr>
            <w:r>
              <w:rPr>
                <w:rFonts w:ascii="Arial" w:cs="Arial" w:eastAsia="Arial" w:hAnsi="Arial"/>
                <w:sz w:val="16"/>
                <w:szCs w:val="16"/>
                <w:color w:val="auto"/>
              </w:rPr>
              <w:t>Series E-1 preferred stock issued,</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5,704,601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35,632</w:t>
            </w:r>
          </w:p>
        </w:tc>
        <w:tc>
          <w:tcPr>
            <w:tcW w:w="0" w:type="dxa"/>
            <w:vAlign w:val="bottom"/>
          </w:tcPr>
          <w:p>
            <w:pPr>
              <w:spacing w:after="0"/>
              <w:rPr>
                <w:sz w:val="1"/>
                <w:szCs w:val="1"/>
                <w:color w:val="auto"/>
              </w:rPr>
            </w:pPr>
          </w:p>
        </w:tc>
      </w:tr>
      <w:tr>
        <w:trPr>
          <w:trHeight w:val="186"/>
        </w:trPr>
        <w:tc>
          <w:tcPr>
            <w:tcW w:w="2660" w:type="dxa"/>
            <w:vAlign w:val="bottom"/>
          </w:tcPr>
          <w:p>
            <w:pPr>
              <w:ind w:left="340"/>
              <w:spacing w:after="0"/>
              <w:rPr>
                <w:sz w:val="20"/>
                <w:szCs w:val="20"/>
                <w:color w:val="auto"/>
              </w:rPr>
            </w:pPr>
            <w:r>
              <w:rPr>
                <w:rFonts w:ascii="Arial" w:cs="Arial" w:eastAsia="Arial" w:hAnsi="Arial"/>
                <w:sz w:val="16"/>
                <w:szCs w:val="16"/>
                <w:color w:val="auto"/>
              </w:rPr>
              <w:t>net of issuance costs of $67</w:t>
            </w: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Stock buyback from founder</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Common stock issued to investors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Unrealized loss on debt securities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6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2660" w:type="dxa"/>
            <w:vAlign w:val="bottom"/>
          </w:tcPr>
          <w:p>
            <w:pPr>
              <w:spacing w:after="0" w:line="178" w:lineRule="exact"/>
              <w:rPr>
                <w:sz w:val="20"/>
                <w:szCs w:val="20"/>
                <w:color w:val="auto"/>
              </w:rPr>
            </w:pPr>
            <w:r>
              <w:rPr>
                <w:rFonts w:ascii="Arial" w:cs="Arial" w:eastAsia="Arial" w:hAnsi="Arial"/>
                <w:sz w:val="16"/>
                <w:szCs w:val="16"/>
                <w:color w:val="auto"/>
              </w:rPr>
              <w:t>Balance as of December 31, 2018</w:t>
            </w:r>
          </w:p>
        </w:tc>
        <w:tc>
          <w:tcPr>
            <w:tcW w:w="10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53,378,409</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164,394</w:t>
            </w: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660" w:type="dxa"/>
            <w:vAlign w:val="bottom"/>
          </w:tcPr>
          <w:p>
            <w:pPr>
              <w:ind w:left="200"/>
              <w:spacing w:after="0" w:line="163" w:lineRule="exact"/>
              <w:rPr>
                <w:sz w:val="20"/>
                <w:szCs w:val="20"/>
                <w:color w:val="auto"/>
              </w:rPr>
            </w:pPr>
            <w:r>
              <w:rPr>
                <w:rFonts w:ascii="Arial" w:cs="Arial" w:eastAsia="Arial" w:hAnsi="Arial"/>
                <w:sz w:val="16"/>
                <w:szCs w:val="16"/>
                <w:color w:val="auto"/>
              </w:rPr>
              <w:t>Series F preferred stock issued,</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12,549,852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82,511</w:t>
            </w:r>
          </w:p>
        </w:tc>
        <w:tc>
          <w:tcPr>
            <w:tcW w:w="0" w:type="dxa"/>
            <w:vAlign w:val="bottom"/>
          </w:tcPr>
          <w:p>
            <w:pPr>
              <w:spacing w:after="0"/>
              <w:rPr>
                <w:sz w:val="1"/>
                <w:szCs w:val="1"/>
                <w:color w:val="auto"/>
              </w:rPr>
            </w:pPr>
          </w:p>
        </w:tc>
      </w:tr>
      <w:tr>
        <w:trPr>
          <w:trHeight w:val="186"/>
        </w:trPr>
        <w:tc>
          <w:tcPr>
            <w:tcW w:w="2660" w:type="dxa"/>
            <w:vAlign w:val="bottom"/>
          </w:tcPr>
          <w:p>
            <w:pPr>
              <w:ind w:left="340"/>
              <w:spacing w:after="0"/>
              <w:rPr>
                <w:sz w:val="20"/>
                <w:szCs w:val="20"/>
                <w:color w:val="auto"/>
              </w:rPr>
            </w:pPr>
            <w:r>
              <w:rPr>
                <w:rFonts w:ascii="Arial" w:cs="Arial" w:eastAsia="Arial" w:hAnsi="Arial"/>
                <w:sz w:val="16"/>
                <w:szCs w:val="16"/>
                <w:color w:val="auto"/>
              </w:rPr>
              <w:t>net of issuance costs of $3,881</w:t>
            </w: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Unrealized gain on debt securities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6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20"/>
                <w:szCs w:val="20"/>
                <w:color w:val="auto"/>
              </w:rPr>
            </w:pPr>
            <w:r>
              <w:rPr>
                <w:rFonts w:ascii="Arial" w:cs="Arial" w:eastAsia="Arial" w:hAnsi="Arial"/>
                <w:sz w:val="16"/>
                <w:szCs w:val="16"/>
                <w:color w:val="auto"/>
              </w:rPr>
              <w:t>Balance as of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65,928,261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246,905</w:t>
            </w:r>
          </w:p>
        </w:tc>
        <w:tc>
          <w:tcPr>
            <w:tcW w:w="0" w:type="dxa"/>
            <w:vAlign w:val="bottom"/>
          </w:tcPr>
          <w:p>
            <w:pPr>
              <w:spacing w:after="0"/>
              <w:rPr>
                <w:sz w:val="1"/>
                <w:szCs w:val="1"/>
                <w:color w:val="auto"/>
              </w:rPr>
            </w:pPr>
          </w:p>
        </w:tc>
      </w:tr>
      <w:tr>
        <w:trPr>
          <w:trHeight w:val="129"/>
        </w:trPr>
        <w:tc>
          <w:tcPr>
            <w:tcW w:w="2660" w:type="dxa"/>
            <w:vAlign w:val="bottom"/>
          </w:tcPr>
          <w:p>
            <w:pPr>
              <w:ind w:left="200"/>
              <w:spacing w:after="0" w:line="129" w:lineRule="exact"/>
              <w:rPr>
                <w:sz w:val="20"/>
                <w:szCs w:val="20"/>
                <w:color w:val="auto"/>
              </w:rPr>
            </w:pPr>
            <w:r>
              <w:rPr>
                <w:rFonts w:ascii="Arial" w:cs="Arial" w:eastAsia="Arial" w:hAnsi="Arial"/>
                <w:sz w:val="14"/>
                <w:szCs w:val="14"/>
                <w:color w:val="auto"/>
              </w:rPr>
              <w:t>ASC842 Adoption (eff. January 1,</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660" w:type="dxa"/>
            <w:vAlign w:val="bottom"/>
          </w:tcPr>
          <w:p>
            <w:pPr>
              <w:ind w:left="340"/>
              <w:spacing w:after="0"/>
              <w:rPr>
                <w:sz w:val="20"/>
                <w:szCs w:val="20"/>
                <w:color w:val="auto"/>
              </w:rPr>
            </w:pPr>
            <w:r>
              <w:rPr>
                <w:rFonts w:ascii="Arial" w:cs="Arial" w:eastAsia="Arial" w:hAnsi="Arial"/>
                <w:sz w:val="16"/>
                <w:szCs w:val="16"/>
                <w:color w:val="auto"/>
              </w:rPr>
              <w:t>2020)</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6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660" w:type="dxa"/>
            <w:vAlign w:val="bottom"/>
          </w:tcPr>
          <w:p>
            <w:pPr>
              <w:ind w:left="200"/>
              <w:spacing w:after="0" w:line="163" w:lineRule="exact"/>
              <w:rPr>
                <w:sz w:val="20"/>
                <w:szCs w:val="20"/>
                <w:color w:val="auto"/>
              </w:rPr>
            </w:pPr>
            <w:r>
              <w:rPr>
                <w:rFonts w:ascii="Arial" w:cs="Arial" w:eastAsia="Arial" w:hAnsi="Arial"/>
                <w:sz w:val="16"/>
                <w:szCs w:val="16"/>
                <w:color w:val="auto"/>
              </w:rPr>
              <w:t>Series C preferred stock - warrant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42,677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86"/>
        </w:trPr>
        <w:tc>
          <w:tcPr>
            <w:tcW w:w="2660" w:type="dxa"/>
            <w:vAlign w:val="bottom"/>
          </w:tcPr>
          <w:p>
            <w:pPr>
              <w:ind w:left="340"/>
              <w:spacing w:after="0"/>
              <w:rPr>
                <w:sz w:val="20"/>
                <w:szCs w:val="20"/>
                <w:color w:val="auto"/>
              </w:rPr>
            </w:pPr>
            <w:r>
              <w:rPr>
                <w:rFonts w:ascii="Arial" w:cs="Arial" w:eastAsia="Arial" w:hAnsi="Arial"/>
                <w:sz w:val="16"/>
                <w:szCs w:val="16"/>
                <w:color w:val="auto"/>
              </w:rPr>
              <w:t>exercise</w:t>
            </w: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20"/>
                <w:szCs w:val="20"/>
                <w:color w:val="auto"/>
              </w:rPr>
            </w:pPr>
            <w:r>
              <w:rPr>
                <w:rFonts w:ascii="Arial" w:cs="Arial" w:eastAsia="Arial" w:hAnsi="Arial"/>
                <w:sz w:val="16"/>
                <w:szCs w:val="16"/>
                <w:color w:val="auto"/>
              </w:rPr>
              <w:t>Balance as of December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65,970,938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247,041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2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4"/>
        </w:trPr>
        <w:tc>
          <w:tcPr>
            <w:tcW w:w="1780" w:type="dxa"/>
            <w:vAlign w:val="bottom"/>
            <w:gridSpan w:val="3"/>
            <w:vMerge w:val="restart"/>
          </w:tcPr>
          <w:p>
            <w:pPr>
              <w:jc w:val="right"/>
              <w:ind w:right="245"/>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8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center"/>
              <w:ind w:right="180"/>
              <w:spacing w:after="0" w:line="98"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8"/>
                <w:szCs w:val="8"/>
                <w:color w:val="auto"/>
              </w:rPr>
            </w:pPr>
          </w:p>
        </w:tc>
        <w:tc>
          <w:tcPr>
            <w:tcW w:w="1100" w:type="dxa"/>
            <w:vAlign w:val="bottom"/>
            <w:gridSpan w:val="2"/>
          </w:tcPr>
          <w:p>
            <w:pPr>
              <w:jc w:val="center"/>
              <w:ind w:right="180"/>
              <w:spacing w:after="0" w:line="98" w:lineRule="exact"/>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8"/>
                <w:szCs w:val="8"/>
                <w:color w:val="auto"/>
              </w:rPr>
            </w:pPr>
          </w:p>
        </w:tc>
        <w:tc>
          <w:tcPr>
            <w:tcW w:w="1000" w:type="dxa"/>
            <w:vAlign w:val="bottom"/>
            <w:gridSpan w:val="2"/>
          </w:tcPr>
          <w:p>
            <w:pPr>
              <w:ind w:left="20"/>
              <w:spacing w:after="0" w:line="98"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8"/>
                <w:szCs w:val="8"/>
                <w:color w:val="auto"/>
              </w:rPr>
            </w:pPr>
          </w:p>
        </w:tc>
        <w:tc>
          <w:tcPr>
            <w:tcW w:w="920" w:type="dxa"/>
            <w:vAlign w:val="bottom"/>
          </w:tcPr>
          <w:p>
            <w:pPr>
              <w:jc w:val="center"/>
              <w:ind w:right="24"/>
              <w:spacing w:after="0" w:line="98"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1"/>
        </w:trPr>
        <w:tc>
          <w:tcPr>
            <w:tcW w:w="108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Gain (Loss)</w:t>
            </w:r>
          </w:p>
        </w:tc>
        <w:tc>
          <w:tcPr>
            <w:tcW w:w="12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5"/>
                <w:szCs w:val="15"/>
                <w:color w:val="auto"/>
              </w:rPr>
            </w:pPr>
          </w:p>
        </w:tc>
        <w:tc>
          <w:tcPr>
            <w:tcW w:w="920" w:type="dxa"/>
            <w:vAlign w:val="bottom"/>
          </w:tcPr>
          <w:p>
            <w:pPr>
              <w:jc w:val="center"/>
              <w:ind w:right="24"/>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78"/>
        </w:trPr>
        <w:tc>
          <w:tcPr>
            <w:tcW w:w="10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10,054,836</w:t>
            </w: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ind w:right="525"/>
              <w:spacing w:after="0" w:line="178" w:lineRule="exact"/>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4"/>
              <w:spacing w:after="0" w:line="178" w:lineRule="exact"/>
              <w:rPr>
                <w:sz w:val="20"/>
                <w:szCs w:val="20"/>
                <w:color w:val="auto"/>
              </w:rPr>
            </w:pPr>
            <w:r>
              <w:rPr>
                <w:rFonts w:ascii="Arial" w:cs="Arial" w:eastAsia="Arial" w:hAnsi="Arial"/>
                <w:sz w:val="16"/>
                <w:szCs w:val="16"/>
                <w:color w:val="auto"/>
              </w:rPr>
              <w:t>6,518</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4"/>
              <w:spacing w:after="0" w:line="178"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(128,042)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(121,523)</w:t>
            </w:r>
          </w:p>
        </w:tc>
        <w:tc>
          <w:tcPr>
            <w:tcW w:w="0" w:type="dxa"/>
            <w:vAlign w:val="bottom"/>
          </w:tcPr>
          <w:p>
            <w:pPr>
              <w:spacing w:after="0"/>
              <w:rPr>
                <w:sz w:val="1"/>
                <w:szCs w:val="1"/>
                <w:color w:val="auto"/>
              </w:rPr>
            </w:pPr>
          </w:p>
        </w:tc>
      </w:tr>
      <w:tr>
        <w:trPr>
          <w:trHeight w:val="199"/>
        </w:trPr>
        <w:tc>
          <w:tcPr>
            <w:tcW w:w="1000" w:type="dxa"/>
            <w:vAlign w:val="bottom"/>
          </w:tcPr>
          <w:p>
            <w:pPr>
              <w:jc w:val="right"/>
              <w:spacing w:after="0"/>
              <w:rPr>
                <w:sz w:val="20"/>
                <w:szCs w:val="20"/>
                <w:color w:val="auto"/>
              </w:rPr>
            </w:pPr>
            <w:r>
              <w:rPr>
                <w:rFonts w:ascii="Arial" w:cs="Arial" w:eastAsia="Arial" w:hAnsi="Arial"/>
                <w:sz w:val="16"/>
                <w:szCs w:val="16"/>
                <w:color w:val="auto"/>
              </w:rPr>
              <w:t>165,109</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126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2,319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r>
        <w:trPr>
          <w:trHeight w:val="335"/>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000" w:type="dxa"/>
            <w:vAlign w:val="bottom"/>
          </w:tcPr>
          <w:p>
            <w:pPr>
              <w:jc w:val="right"/>
              <w:spacing w:after="0"/>
              <w:rPr>
                <w:sz w:val="20"/>
                <w:szCs w:val="20"/>
                <w:color w:val="auto"/>
              </w:rPr>
            </w:pPr>
            <w:r>
              <w:rPr>
                <w:rFonts w:ascii="Arial" w:cs="Arial" w:eastAsia="Arial" w:hAnsi="Arial"/>
                <w:sz w:val="16"/>
                <w:szCs w:val="16"/>
                <w:color w:val="auto"/>
              </w:rPr>
              <w:t>(1,275,000)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199"/>
        </w:trPr>
        <w:tc>
          <w:tcPr>
            <w:tcW w:w="1000" w:type="dxa"/>
            <w:vAlign w:val="bottom"/>
          </w:tcPr>
          <w:p>
            <w:pPr>
              <w:jc w:val="right"/>
              <w:spacing w:after="0"/>
              <w:rPr>
                <w:sz w:val="20"/>
                <w:szCs w:val="20"/>
                <w:color w:val="auto"/>
              </w:rPr>
            </w:pPr>
            <w:r>
              <w:rPr>
                <w:rFonts w:ascii="Arial" w:cs="Arial" w:eastAsia="Arial" w:hAnsi="Arial"/>
                <w:sz w:val="16"/>
                <w:szCs w:val="16"/>
                <w:color w:val="auto"/>
              </w:rPr>
              <w:t>1,200,000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3,120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3,120</w:t>
            </w:r>
          </w:p>
        </w:tc>
        <w:tc>
          <w:tcPr>
            <w:tcW w:w="0" w:type="dxa"/>
            <w:vAlign w:val="bottom"/>
          </w:tcPr>
          <w:p>
            <w:pPr>
              <w:spacing w:after="0"/>
              <w:rPr>
                <w:sz w:val="1"/>
                <w:szCs w:val="1"/>
                <w:color w:val="auto"/>
              </w:rPr>
            </w:pPr>
          </w:p>
        </w:tc>
      </w:tr>
      <w:tr>
        <w:trPr>
          <w:trHeight w:val="199"/>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(34,181)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(34,181)</w:t>
            </w:r>
          </w:p>
        </w:tc>
        <w:tc>
          <w:tcPr>
            <w:tcW w:w="0" w:type="dxa"/>
            <w:vAlign w:val="bottom"/>
          </w:tcPr>
          <w:p>
            <w:pPr>
              <w:spacing w:after="0"/>
              <w:rPr>
                <w:sz w:val="1"/>
                <w:szCs w:val="1"/>
                <w:color w:val="auto"/>
              </w:rPr>
            </w:pPr>
          </w:p>
        </w:tc>
      </w:tr>
      <w:tr>
        <w:trPr>
          <w:trHeight w:val="178"/>
        </w:trPr>
        <w:tc>
          <w:tcPr>
            <w:tcW w:w="10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10,144,945</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4"/>
              <w:spacing w:after="0" w:line="178" w:lineRule="exact"/>
              <w:rPr>
                <w:sz w:val="20"/>
                <w:szCs w:val="20"/>
                <w:color w:val="auto"/>
              </w:rPr>
            </w:pPr>
            <w:r>
              <w:rPr>
                <w:rFonts w:ascii="Arial" w:cs="Arial" w:eastAsia="Arial" w:hAnsi="Arial"/>
                <w:sz w:val="16"/>
                <w:szCs w:val="16"/>
                <w:color w:val="auto"/>
              </w:rPr>
              <w:t>12,083</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(165,528)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(153,446)</w:t>
            </w:r>
          </w:p>
        </w:tc>
        <w:tc>
          <w:tcPr>
            <w:tcW w:w="0" w:type="dxa"/>
            <w:vAlign w:val="bottom"/>
          </w:tcPr>
          <w:p>
            <w:pPr>
              <w:spacing w:after="0"/>
              <w:rPr>
                <w:sz w:val="1"/>
                <w:szCs w:val="1"/>
                <w:color w:val="auto"/>
              </w:rPr>
            </w:pPr>
          </w:p>
        </w:tc>
      </w:tr>
      <w:tr>
        <w:trPr>
          <w:trHeight w:val="199"/>
        </w:trPr>
        <w:tc>
          <w:tcPr>
            <w:tcW w:w="1000" w:type="dxa"/>
            <w:vAlign w:val="bottom"/>
          </w:tcPr>
          <w:p>
            <w:pPr>
              <w:jc w:val="right"/>
              <w:spacing w:after="0"/>
              <w:rPr>
                <w:sz w:val="20"/>
                <w:szCs w:val="20"/>
                <w:color w:val="auto"/>
              </w:rPr>
            </w:pPr>
            <w:r>
              <w:rPr>
                <w:rFonts w:ascii="Arial" w:cs="Arial" w:eastAsia="Arial" w:hAnsi="Arial"/>
                <w:sz w:val="16"/>
                <w:szCs w:val="16"/>
                <w:color w:val="auto"/>
              </w:rPr>
              <w:t>502,435</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722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3"/>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7,678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7,678</w:t>
            </w:r>
          </w:p>
        </w:tc>
        <w:tc>
          <w:tcPr>
            <w:tcW w:w="0" w:type="dxa"/>
            <w:vAlign w:val="bottom"/>
          </w:tcPr>
          <w:p>
            <w:pPr>
              <w:spacing w:after="0"/>
              <w:rPr>
                <w:sz w:val="1"/>
                <w:szCs w:val="1"/>
                <w:color w:val="auto"/>
              </w:rPr>
            </w:pPr>
          </w:p>
        </w:tc>
      </w:tr>
      <w:tr>
        <w:trPr>
          <w:trHeight w:val="335"/>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(38,197)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(38,197)</w:t>
            </w:r>
          </w:p>
        </w:tc>
        <w:tc>
          <w:tcPr>
            <w:tcW w:w="0" w:type="dxa"/>
            <w:vAlign w:val="bottom"/>
          </w:tcPr>
          <w:p>
            <w:pPr>
              <w:spacing w:after="0"/>
              <w:rPr>
                <w:sz w:val="1"/>
                <w:szCs w:val="1"/>
                <w:color w:val="auto"/>
              </w:rPr>
            </w:pPr>
          </w:p>
        </w:tc>
      </w:tr>
      <w:tr>
        <w:trPr>
          <w:trHeight w:val="192"/>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10,647,380</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20,483</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(203,725)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(183,241)</w:t>
            </w:r>
          </w:p>
        </w:tc>
        <w:tc>
          <w:tcPr>
            <w:tcW w:w="0" w:type="dxa"/>
            <w:vAlign w:val="bottom"/>
          </w:tcPr>
          <w:p>
            <w:pPr>
              <w:spacing w:after="0"/>
              <w:rPr>
                <w:sz w:val="1"/>
                <w:szCs w:val="1"/>
                <w:color w:val="auto"/>
              </w:rPr>
            </w:pPr>
          </w:p>
        </w:tc>
      </w:tr>
      <w:tr>
        <w:trPr>
          <w:trHeight w:val="315"/>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199"/>
        </w:trPr>
        <w:tc>
          <w:tcPr>
            <w:tcW w:w="1000" w:type="dxa"/>
            <w:vAlign w:val="bottom"/>
          </w:tcPr>
          <w:p>
            <w:pPr>
              <w:jc w:val="right"/>
              <w:spacing w:after="0"/>
              <w:rPr>
                <w:sz w:val="20"/>
                <w:szCs w:val="20"/>
                <w:color w:val="auto"/>
              </w:rPr>
            </w:pPr>
            <w:r>
              <w:rPr>
                <w:rFonts w:ascii="Arial" w:cs="Arial" w:eastAsia="Arial" w:hAnsi="Arial"/>
                <w:sz w:val="16"/>
                <w:szCs w:val="16"/>
                <w:color w:val="auto"/>
              </w:rPr>
              <w:t>2,242,380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2,170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13"/>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7,336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335"/>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(47,877)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(47,877)</w:t>
            </w:r>
          </w:p>
        </w:tc>
        <w:tc>
          <w:tcPr>
            <w:tcW w:w="0" w:type="dxa"/>
            <w:vAlign w:val="bottom"/>
          </w:tcPr>
          <w:p>
            <w:pPr>
              <w:spacing w:after="0"/>
              <w:rPr>
                <w:sz w:val="1"/>
                <w:szCs w:val="1"/>
                <w:color w:val="auto"/>
              </w:rPr>
            </w:pPr>
          </w:p>
        </w:tc>
      </w:tr>
      <w:tr>
        <w:trPr>
          <w:trHeight w:val="192"/>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12,889,760</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29,989</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(252,167)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(222,177)</w:t>
            </w: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-3444240</wp:posOffset>
            </wp:positionV>
            <wp:extent cx="7143115" cy="34290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115" cy="342900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4700" w:space="160"/>
            <w:col w:w="6380"/>
          </w:cols>
          <w:pgMar w:left="320" w:top="118"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240"/>
          </w:cols>
          <w:pgMar w:left="320" w:top="118" w:right="339" w:bottom="1440" w:gutter="0" w:footer="0" w:header="0"/>
          <w:type w:val="continuous"/>
        </w:sectPr>
      </w:pPr>
    </w:p>
    <w:bookmarkStart w:id="208" w:name="page209"/>
    <w:bookmarkEnd w:id="20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9"/>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340" w:type="dxa"/>
            <w:vAlign w:val="bottom"/>
          </w:tcPr>
          <w:p>
            <w:pPr>
              <w:ind w:left="20"/>
              <w:spacing w:after="0"/>
              <w:rPr>
                <w:sz w:val="20"/>
                <w:szCs w:val="20"/>
                <w:color w:val="auto"/>
              </w:rPr>
            </w:pPr>
            <w:r>
              <w:rPr>
                <w:rFonts w:ascii="Arial" w:cs="Arial" w:eastAsia="Arial" w:hAnsi="Arial"/>
                <w:sz w:val="15"/>
                <w:szCs w:val="15"/>
                <w:color w:val="auto"/>
              </w:rPr>
              <w:t>Net loss</w:t>
            </w:r>
          </w:p>
        </w:tc>
        <w:tc>
          <w:tcPr>
            <w:tcW w:w="960" w:type="dxa"/>
            <w:vAlign w:val="bottom"/>
          </w:tcPr>
          <w:p>
            <w:pPr>
              <w:jc w:val="right"/>
              <w:ind w:right="787"/>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(34,181)</w:t>
            </w:r>
          </w:p>
        </w:tc>
        <w:tc>
          <w:tcPr>
            <w:tcW w:w="460" w:type="dxa"/>
            <w:vAlign w:val="bottom"/>
            <w:gridSpan w:val="2"/>
          </w:tcPr>
          <w:p>
            <w:pPr>
              <w:jc w:val="right"/>
              <w:ind w:right="205"/>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(38,197)</w:t>
            </w:r>
          </w:p>
        </w:tc>
        <w:tc>
          <w:tcPr>
            <w:tcW w:w="8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(47,877)</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4,171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4,274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5,581</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2,319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7,336</w:t>
            </w:r>
          </w:p>
        </w:tc>
        <w:tc>
          <w:tcPr>
            <w:tcW w:w="0" w:type="dxa"/>
            <w:vAlign w:val="bottom"/>
          </w:tcPr>
          <w:p>
            <w:pPr>
              <w:spacing w:after="0"/>
              <w:rPr>
                <w:sz w:val="1"/>
                <w:szCs w:val="1"/>
                <w:color w:val="auto"/>
              </w:rPr>
            </w:pPr>
          </w:p>
        </w:tc>
      </w:tr>
      <w:tr>
        <w:trPr>
          <w:trHeight w:val="199"/>
        </w:trPr>
        <w:tc>
          <w:tcPr>
            <w:tcW w:w="6340" w:type="dxa"/>
            <w:vAlign w:val="bottom"/>
          </w:tcPr>
          <w:p>
            <w:pPr>
              <w:ind w:left="220"/>
              <w:spacing w:after="0"/>
              <w:rPr>
                <w:sz w:val="20"/>
                <w:szCs w:val="20"/>
                <w:color w:val="auto"/>
              </w:rPr>
            </w:pPr>
            <w:r>
              <w:rPr>
                <w:rFonts w:ascii="Arial" w:cs="Arial" w:eastAsia="Arial" w:hAnsi="Arial"/>
                <w:sz w:val="15"/>
                <w:szCs w:val="15"/>
                <w:color w:val="auto"/>
              </w:rPr>
              <w:t>Reduction in the carrying amount of right-of-use assets</w:t>
            </w:r>
          </w:p>
        </w:tc>
        <w:tc>
          <w:tcPr>
            <w:tcW w:w="96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4,034</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0" w:type="dxa"/>
            <w:vAlign w:val="bottom"/>
          </w:tcPr>
          <w:p>
            <w:pPr>
              <w:spacing w:after="0"/>
              <w:rPr>
                <w:sz w:val="1"/>
                <w:szCs w:val="1"/>
                <w:color w:val="auto"/>
              </w:rPr>
            </w:pPr>
          </w:p>
        </w:tc>
      </w:tr>
      <w:tr>
        <w:trPr>
          <w:trHeight w:val="199"/>
        </w:trPr>
        <w:tc>
          <w:tcPr>
            <w:tcW w:w="634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Accounts receivable, net</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199"/>
        </w:trPr>
        <w:tc>
          <w:tcPr>
            <w:tcW w:w="6340" w:type="dxa"/>
            <w:vAlign w:val="bottom"/>
          </w:tcPr>
          <w:p>
            <w:pPr>
              <w:ind w:left="420"/>
              <w:spacing w:after="0"/>
              <w:rPr>
                <w:sz w:val="20"/>
                <w:szCs w:val="20"/>
                <w:color w:val="auto"/>
              </w:rPr>
            </w:pPr>
            <w:r>
              <w:rPr>
                <w:rFonts w:ascii="Arial" w:cs="Arial" w:eastAsia="Arial" w:hAnsi="Arial"/>
                <w:sz w:val="15"/>
                <w:szCs w:val="15"/>
                <w:color w:val="auto"/>
              </w:rPr>
              <w:t>Inventory, net</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2,290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Other current and non-current assets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9"/>
        </w:trPr>
        <w:tc>
          <w:tcPr>
            <w:tcW w:w="6340" w:type="dxa"/>
            <w:vAlign w:val="bottom"/>
          </w:tcPr>
          <w:p>
            <w:pPr>
              <w:ind w:left="420"/>
              <w:spacing w:after="0"/>
              <w:rPr>
                <w:sz w:val="20"/>
                <w:szCs w:val="20"/>
                <w:color w:val="auto"/>
              </w:rPr>
            </w:pPr>
            <w:r>
              <w:rPr>
                <w:rFonts w:ascii="Arial" w:cs="Arial" w:eastAsia="Arial" w:hAnsi="Arial"/>
                <w:sz w:val="15"/>
                <w:szCs w:val="15"/>
                <w:color w:val="auto"/>
              </w:rPr>
              <w:t>Accounts payable</w:t>
            </w:r>
          </w:p>
        </w:tc>
        <w:tc>
          <w:tcPr>
            <w:tcW w:w="96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2,068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(741)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3,469</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Accrued and other current liabilities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1,992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14,205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5,182</w:t>
            </w:r>
          </w:p>
        </w:tc>
        <w:tc>
          <w:tcPr>
            <w:tcW w:w="0" w:type="dxa"/>
            <w:vAlign w:val="bottom"/>
          </w:tcPr>
          <w:p>
            <w:pPr>
              <w:spacing w:after="0"/>
              <w:rPr>
                <w:sz w:val="1"/>
                <w:szCs w:val="1"/>
                <w:color w:val="auto"/>
              </w:rPr>
            </w:pPr>
          </w:p>
        </w:tc>
      </w:tr>
      <w:tr>
        <w:trPr>
          <w:trHeight w:val="199"/>
        </w:trPr>
        <w:tc>
          <w:tcPr>
            <w:tcW w:w="6340" w:type="dxa"/>
            <w:vAlign w:val="bottom"/>
          </w:tcPr>
          <w:p>
            <w:pPr>
              <w:ind w:left="420"/>
              <w:spacing w:after="0"/>
              <w:rPr>
                <w:sz w:val="20"/>
                <w:szCs w:val="20"/>
                <w:color w:val="auto"/>
              </w:rPr>
            </w:pPr>
            <w:r>
              <w:rPr>
                <w:rFonts w:ascii="Arial" w:cs="Arial" w:eastAsia="Arial" w:hAnsi="Arial"/>
                <w:sz w:val="15"/>
                <w:szCs w:val="15"/>
                <w:color w:val="auto"/>
              </w:rPr>
              <w:t>Seller payable</w:t>
            </w:r>
          </w:p>
        </w:tc>
        <w:tc>
          <w:tcPr>
            <w:tcW w:w="96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633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4,407</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Operating lease liabilities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(3,824)</w:t>
            </w:r>
          </w:p>
        </w:tc>
        <w:tc>
          <w:tcPr>
            <w:tcW w:w="0" w:type="dxa"/>
            <w:vAlign w:val="bottom"/>
          </w:tcPr>
          <w:p>
            <w:pPr>
              <w:spacing w:after="0"/>
              <w:rPr>
                <w:sz w:val="1"/>
                <w:szCs w:val="1"/>
                <w:color w:val="auto"/>
              </w:rPr>
            </w:pPr>
          </w:p>
        </w:tc>
      </w:tr>
      <w:tr>
        <w:trPr>
          <w:trHeight w:val="199"/>
        </w:trPr>
        <w:tc>
          <w:tcPr>
            <w:tcW w:w="634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Other non-current liabilities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1,391</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Net cash used in operating activities</w:t>
            </w: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(22,490)</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(10,090)</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(19,105)</w:t>
            </w:r>
          </w:p>
        </w:tc>
        <w:tc>
          <w:tcPr>
            <w:tcW w:w="0" w:type="dxa"/>
            <w:vAlign w:val="bottom"/>
          </w:tcPr>
          <w:p>
            <w:pPr>
              <w:spacing w:after="0"/>
              <w:rPr>
                <w:sz w:val="1"/>
                <w:szCs w:val="1"/>
                <w:color w:val="auto"/>
              </w:rPr>
            </w:pPr>
          </w:p>
        </w:tc>
      </w:tr>
      <w:tr>
        <w:trPr>
          <w:trHeight w:val="179"/>
        </w:trPr>
        <w:tc>
          <w:tcPr>
            <w:tcW w:w="634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 of marketable securities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(35,090)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340" w:type="dxa"/>
            <w:vAlign w:val="bottom"/>
          </w:tcPr>
          <w:p>
            <w:pPr>
              <w:ind w:left="220"/>
              <w:spacing w:after="0"/>
              <w:rPr>
                <w:sz w:val="20"/>
                <w:szCs w:val="20"/>
                <w:color w:val="auto"/>
              </w:rPr>
            </w:pPr>
            <w:r>
              <w:rPr>
                <w:rFonts w:ascii="Arial" w:cs="Arial" w:eastAsia="Arial" w:hAnsi="Arial"/>
                <w:sz w:val="15"/>
                <w:szCs w:val="15"/>
                <w:color w:val="auto"/>
              </w:rPr>
              <w:t>Maturities of marketable securities</w:t>
            </w:r>
          </w:p>
        </w:tc>
        <w:tc>
          <w:tcPr>
            <w:tcW w:w="96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27,000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8,250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 of property and equipment</w:t>
            </w: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(13,926)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(9,504)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(19,424)</w:t>
            </w:r>
          </w:p>
        </w:tc>
        <w:tc>
          <w:tcPr>
            <w:tcW w:w="0" w:type="dxa"/>
            <w:vAlign w:val="bottom"/>
          </w:tcPr>
          <w:p>
            <w:pPr>
              <w:spacing w:after="0"/>
              <w:rPr>
                <w:sz w:val="1"/>
                <w:szCs w:val="1"/>
                <w:color w:val="auto"/>
              </w:rPr>
            </w:pPr>
          </w:p>
        </w:tc>
      </w:tr>
      <w:tr>
        <w:trPr>
          <w:trHeight w:val="192"/>
        </w:trPr>
        <w:tc>
          <w:tcPr>
            <w:tcW w:w="634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Net cash used in investing activities</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(22,016)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(19,424)</w:t>
            </w:r>
          </w:p>
        </w:tc>
        <w:tc>
          <w:tcPr>
            <w:tcW w:w="0" w:type="dxa"/>
            <w:vAlign w:val="bottom"/>
          </w:tcPr>
          <w:p>
            <w:pPr>
              <w:spacing w:after="0"/>
              <w:rPr>
                <w:sz w:val="1"/>
                <w:szCs w:val="1"/>
                <w:color w:val="auto"/>
              </w:rPr>
            </w:pPr>
          </w:p>
        </w:tc>
      </w:tr>
      <w:tr>
        <w:trPr>
          <w:trHeight w:val="179"/>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340" w:type="dxa"/>
            <w:vAlign w:val="bottom"/>
          </w:tcPr>
          <w:p>
            <w:pPr>
              <w:ind w:left="220"/>
              <w:spacing w:after="0"/>
              <w:rPr>
                <w:sz w:val="20"/>
                <w:szCs w:val="20"/>
                <w:color w:val="auto"/>
              </w:rPr>
            </w:pPr>
            <w:r>
              <w:rPr>
                <w:rFonts w:ascii="Arial" w:cs="Arial" w:eastAsia="Arial" w:hAnsi="Arial"/>
                <w:sz w:val="15"/>
                <w:szCs w:val="15"/>
                <w:color w:val="auto"/>
              </w:rPr>
              <w:t>Proceeds from debt issuance, net of issuance costs</w:t>
            </w:r>
          </w:p>
        </w:tc>
        <w:tc>
          <w:tcPr>
            <w:tcW w:w="96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6,481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19,750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18,352</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 of debt</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(11,801)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w:t>
            </w:r>
          </w:p>
        </w:tc>
        <w:tc>
          <w:tcPr>
            <w:tcW w:w="0" w:type="dxa"/>
            <w:vAlign w:val="bottom"/>
          </w:tcPr>
          <w:p>
            <w:pPr>
              <w:spacing w:after="0"/>
              <w:rPr>
                <w:sz w:val="1"/>
                <w:szCs w:val="1"/>
                <w:color w:val="auto"/>
              </w:rPr>
            </w:pPr>
          </w:p>
        </w:tc>
      </w:tr>
      <w:tr>
        <w:trPr>
          <w:trHeight w:val="199"/>
        </w:trPr>
        <w:tc>
          <w:tcPr>
            <w:tcW w:w="6340" w:type="dxa"/>
            <w:vAlign w:val="bottom"/>
          </w:tcPr>
          <w:p>
            <w:pPr>
              <w:ind w:left="220"/>
              <w:spacing w:after="0"/>
              <w:rPr>
                <w:sz w:val="20"/>
                <w:szCs w:val="20"/>
                <w:color w:val="auto"/>
              </w:rPr>
            </w:pPr>
            <w:r>
              <w:rPr>
                <w:rFonts w:ascii="Arial" w:cs="Arial" w:eastAsia="Arial" w:hAnsi="Arial"/>
                <w:sz w:val="15"/>
                <w:szCs w:val="15"/>
                <w:color w:val="auto"/>
              </w:rPr>
              <w:t>Proceeds from exercise of common stock options</w:t>
            </w:r>
          </w:p>
        </w:tc>
        <w:tc>
          <w:tcPr>
            <w:tcW w:w="96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722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2,170</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 of deferred offering costs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199"/>
        </w:trPr>
        <w:tc>
          <w:tcPr>
            <w:tcW w:w="6340" w:type="dxa"/>
            <w:vAlign w:val="bottom"/>
          </w:tcPr>
          <w:p>
            <w:pPr>
              <w:ind w:left="220"/>
              <w:spacing w:after="0"/>
              <w:rPr>
                <w:sz w:val="20"/>
                <w:szCs w:val="20"/>
                <w:color w:val="auto"/>
              </w:rPr>
            </w:pPr>
            <w:r>
              <w:rPr>
                <w:rFonts w:ascii="Arial" w:cs="Arial" w:eastAsia="Arial" w:hAnsi="Arial"/>
                <w:sz w:val="15"/>
                <w:szCs w:val="15"/>
                <w:color w:val="auto"/>
              </w:rPr>
              <w:t>Proceeds from issuance of convertible preferred stock, net of issuance costs</w:t>
            </w:r>
          </w:p>
        </w:tc>
        <w:tc>
          <w:tcPr>
            <w:tcW w:w="96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35,632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82,511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issuance of common stock</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3,120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340" w:type="dxa"/>
            <w:vAlign w:val="bottom"/>
          </w:tcPr>
          <w:p>
            <w:pPr>
              <w:ind w:left="220"/>
              <w:spacing w:after="0"/>
              <w:rPr>
                <w:sz w:val="20"/>
                <w:szCs w:val="20"/>
                <w:color w:val="auto"/>
              </w:rPr>
            </w:pPr>
            <w:r>
              <w:rPr>
                <w:rFonts w:ascii="Arial" w:cs="Arial" w:eastAsia="Arial" w:hAnsi="Arial"/>
                <w:sz w:val="15"/>
                <w:szCs w:val="15"/>
                <w:color w:val="auto"/>
              </w:rPr>
              <w:t>Repurchase of common stock</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(3,305)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63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38,970</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91,182</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18,215</w:t>
            </w:r>
          </w:p>
        </w:tc>
        <w:tc>
          <w:tcPr>
            <w:tcW w:w="0" w:type="dxa"/>
            <w:vAlign w:val="bottom"/>
          </w:tcPr>
          <w:p>
            <w:pPr>
              <w:spacing w:after="0"/>
              <w:rPr>
                <w:sz w:val="1"/>
                <w:szCs w:val="1"/>
                <w:color w:val="auto"/>
              </w:rPr>
            </w:pPr>
          </w:p>
        </w:tc>
      </w:tr>
      <w:tr>
        <w:trPr>
          <w:trHeight w:val="129"/>
        </w:trPr>
        <w:tc>
          <w:tcPr>
            <w:tcW w:w="6340" w:type="dxa"/>
            <w:vAlign w:val="bottom"/>
          </w:tcPr>
          <w:p>
            <w:pPr>
              <w:ind w:left="420"/>
              <w:spacing w:after="0" w:line="129" w:lineRule="exact"/>
              <w:rPr>
                <w:sz w:val="20"/>
                <w:szCs w:val="20"/>
                <w:color w:val="auto"/>
              </w:rPr>
            </w:pPr>
            <w:r>
              <w:rPr>
                <w:rFonts w:ascii="Arial" w:cs="Arial" w:eastAsia="Arial" w:hAnsi="Arial"/>
                <w:sz w:val="14"/>
                <w:szCs w:val="14"/>
                <w:color w:val="auto"/>
              </w:rPr>
              <w:t>Net increase (decrease) in cash, cash equivalents and restricted cash and cash</w:t>
            </w:r>
          </w:p>
        </w:tc>
        <w:tc>
          <w:tcPr>
            <w:tcW w:w="9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(5,536)</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79,838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(20,314)</w:t>
            </w:r>
          </w:p>
        </w:tc>
        <w:tc>
          <w:tcPr>
            <w:tcW w:w="0" w:type="dxa"/>
            <w:vAlign w:val="bottom"/>
          </w:tcPr>
          <w:p>
            <w:pPr>
              <w:spacing w:after="0"/>
              <w:rPr>
                <w:sz w:val="1"/>
                <w:szCs w:val="1"/>
                <w:color w:val="auto"/>
              </w:rPr>
            </w:pPr>
          </w:p>
        </w:tc>
      </w:tr>
      <w:tr>
        <w:trPr>
          <w:trHeight w:val="199"/>
        </w:trPr>
        <w:tc>
          <w:tcPr>
            <w:tcW w:w="6340" w:type="dxa"/>
            <w:vAlign w:val="bottom"/>
          </w:tcPr>
          <w:p>
            <w:pPr>
              <w:ind w:left="560"/>
              <w:spacing w:after="0"/>
              <w:rPr>
                <w:sz w:val="20"/>
                <w:szCs w:val="20"/>
                <w:color w:val="auto"/>
              </w:rPr>
            </w:pPr>
            <w:r>
              <w:rPr>
                <w:rFonts w:ascii="Arial" w:cs="Arial" w:eastAsia="Arial" w:hAnsi="Arial"/>
                <w:sz w:val="15"/>
                <w:szCs w:val="15"/>
                <w:color w:val="auto"/>
              </w:rPr>
              <w:t>equivalents</w:t>
            </w:r>
          </w:p>
        </w:tc>
        <w:tc>
          <w:tcPr>
            <w:tcW w:w="9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cash equivalents and restricted cash and cash equivalents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Beginning of period</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13,551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87,853</w:t>
            </w:r>
          </w:p>
        </w:tc>
        <w:tc>
          <w:tcPr>
            <w:tcW w:w="0" w:type="dxa"/>
            <w:vAlign w:val="bottom"/>
          </w:tcPr>
          <w:p>
            <w:pPr>
              <w:spacing w:after="0"/>
              <w:rPr>
                <w:sz w:val="1"/>
                <w:szCs w:val="1"/>
                <w:color w:val="auto"/>
              </w:rPr>
            </w:pPr>
          </w:p>
        </w:tc>
      </w:tr>
      <w:tr>
        <w:trPr>
          <w:trHeight w:val="21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 of period</w:t>
            </w:r>
          </w:p>
        </w:tc>
        <w:tc>
          <w:tcPr>
            <w:tcW w:w="960" w:type="dxa"/>
            <w:vAlign w:val="bottom"/>
            <w:tcBorders>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8,015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87,853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67,539</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3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income taxes</w:t>
            </w:r>
          </w:p>
        </w:tc>
        <w:tc>
          <w:tcPr>
            <w:tcW w:w="96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w:t>
            </w: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99"/>
        </w:trPr>
        <w:tc>
          <w:tcPr>
            <w:tcW w:w="6340" w:type="dxa"/>
            <w:vAlign w:val="bottom"/>
          </w:tcPr>
          <w:p>
            <w:pPr>
              <w:ind w:left="20"/>
              <w:spacing w:after="0"/>
              <w:rPr>
                <w:sz w:val="20"/>
                <w:szCs w:val="20"/>
                <w:color w:val="auto"/>
              </w:rPr>
            </w:pPr>
            <w:r>
              <w:rPr>
                <w:rFonts w:ascii="Arial" w:cs="Arial" w:eastAsia="Arial" w:hAnsi="Arial"/>
                <w:sz w:val="15"/>
                <w:szCs w:val="15"/>
                <w:color w:val="auto"/>
              </w:rPr>
              <w:t>Cash paid for interest</w:t>
            </w:r>
          </w:p>
        </w:tc>
        <w:tc>
          <w:tcPr>
            <w:tcW w:w="960" w:type="dxa"/>
            <w:vAlign w:val="bottom"/>
          </w:tcPr>
          <w:p>
            <w:pPr>
              <w:jc w:val="right"/>
              <w:ind w:right="787"/>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384</w:t>
            </w:r>
          </w:p>
        </w:tc>
        <w:tc>
          <w:tcPr>
            <w:tcW w:w="460" w:type="dxa"/>
            <w:vAlign w:val="bottom"/>
            <w:gridSpan w:val="2"/>
          </w:tcPr>
          <w:p>
            <w:pPr>
              <w:jc w:val="right"/>
              <w:ind w:right="205"/>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1,207</w:t>
            </w:r>
          </w:p>
        </w:tc>
        <w:tc>
          <w:tcPr>
            <w:tcW w:w="8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1,450</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disclosures of non-cash investing and financing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240"/>
          </w:cols>
          <w:pgMar w:left="320" w:top="118" w:right="339" w:bottom="1440" w:gutter="0" w:footer="0" w:header="0"/>
        </w:sectPr>
      </w:pPr>
    </w:p>
    <w:bookmarkStart w:id="209" w:name="page210"/>
    <w:bookmarkEnd w:id="20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Pr>
          <w:p>
            <w:pPr>
              <w:ind w:left="20"/>
              <w:spacing w:after="0"/>
              <w:rPr>
                <w:sz w:val="20"/>
                <w:szCs w:val="20"/>
                <w:color w:val="auto"/>
              </w:rPr>
            </w:pPr>
            <w:r>
              <w:rPr>
                <w:rFonts w:ascii="Arial" w:cs="Arial" w:eastAsia="Arial" w:hAnsi="Arial"/>
                <w:sz w:val="15"/>
                <w:szCs w:val="15"/>
                <w:color w:val="auto"/>
              </w:rPr>
              <w:t>Purchases of property and equipment included in accounts payable and accrued liabilities</w:t>
            </w:r>
          </w:p>
        </w:tc>
        <w:tc>
          <w:tcPr>
            <w:tcW w:w="74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225</w:t>
            </w:r>
          </w:p>
        </w:tc>
        <w:tc>
          <w:tcPr>
            <w:tcW w:w="74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587</w:t>
            </w:r>
          </w:p>
        </w:tc>
        <w:tc>
          <w:tcPr>
            <w:tcW w:w="6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1,555</w:t>
            </w:r>
          </w:p>
        </w:tc>
      </w:tr>
      <w:tr>
        <w:trPr>
          <w:trHeight w:val="200"/>
        </w:trPr>
        <w:tc>
          <w:tcPr>
            <w:tcW w:w="6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Right-of-use assets obtained in exchange for operating lease liabilities with lease modification</w:t>
            </w:r>
          </w:p>
        </w:tc>
        <w:tc>
          <w:tcPr>
            <w:tcW w:w="74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9,142</w:t>
            </w:r>
          </w:p>
        </w:tc>
      </w:tr>
      <w:tr>
        <w:trPr>
          <w:trHeight w:val="199"/>
        </w:trPr>
        <w:tc>
          <w:tcPr>
            <w:tcW w:w="6280" w:type="dxa"/>
            <w:vAlign w:val="bottom"/>
          </w:tcPr>
          <w:p>
            <w:pPr>
              <w:ind w:left="20"/>
              <w:spacing w:after="0"/>
              <w:rPr>
                <w:sz w:val="20"/>
                <w:szCs w:val="20"/>
                <w:color w:val="auto"/>
              </w:rPr>
            </w:pPr>
            <w:r>
              <w:rPr>
                <w:rFonts w:ascii="Arial" w:cs="Arial" w:eastAsia="Arial" w:hAnsi="Arial"/>
                <w:sz w:val="15"/>
                <w:szCs w:val="15"/>
                <w:color w:val="auto"/>
              </w:rPr>
              <w:t>Deferred offering costs included in accounts payable and accrued liabilities</w:t>
            </w:r>
          </w:p>
        </w:tc>
        <w:tc>
          <w:tcPr>
            <w:tcW w:w="74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1,489</w:t>
            </w:r>
          </w:p>
        </w:tc>
      </w:tr>
      <w:tr>
        <w:trPr>
          <w:trHeight w:val="199"/>
        </w:trPr>
        <w:tc>
          <w:tcPr>
            <w:tcW w:w="6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Increase in long-lived assets resulting from capitalizing asset retirement costs</w:t>
            </w:r>
          </w:p>
        </w:tc>
        <w:tc>
          <w:tcPr>
            <w:tcW w:w="74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r>
      <w:tr>
        <w:trPr>
          <w:trHeight w:val="199"/>
        </w:trPr>
        <w:tc>
          <w:tcPr>
            <w:tcW w:w="6280" w:type="dxa"/>
            <w:vAlign w:val="bottom"/>
          </w:tcPr>
          <w:p>
            <w:pPr>
              <w:ind w:left="20"/>
              <w:spacing w:after="0"/>
              <w:rPr>
                <w:sz w:val="20"/>
                <w:szCs w:val="20"/>
                <w:color w:val="auto"/>
              </w:rPr>
            </w:pPr>
            <w:r>
              <w:rPr>
                <w:rFonts w:ascii="Arial" w:cs="Arial" w:eastAsia="Arial" w:hAnsi="Arial"/>
                <w:sz w:val="15"/>
                <w:szCs w:val="15"/>
                <w:color w:val="auto"/>
              </w:rPr>
              <w:t>Leasehold improvements acquired in exchange for operating lease liabilities</w:t>
            </w:r>
          </w:p>
        </w:tc>
        <w:tc>
          <w:tcPr>
            <w:tcW w:w="74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5"/>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126</w:t>
            </w:r>
          </w:p>
        </w:tc>
      </w:tr>
      <w:tr>
        <w:trPr>
          <w:trHeight w:val="199"/>
        </w:trPr>
        <w:tc>
          <w:tcPr>
            <w:tcW w:w="6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Cashless exercise of series C preferred stock warrant</w:t>
            </w:r>
          </w:p>
        </w:tc>
        <w:tc>
          <w:tcPr>
            <w:tcW w:w="74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240"/>
          </w:cols>
          <w:pgMar w:left="320" w:top="118" w:right="339" w:bottom="1440" w:gutter="0" w:footer="0" w:header="0"/>
        </w:sectPr>
      </w:pPr>
    </w:p>
    <w:bookmarkStart w:id="210" w:name="page211"/>
    <w:bookmarkEnd w:id="21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ind w:left="580" w:hanging="580"/>
        <w:spacing w:after="0"/>
        <w:tabs>
          <w:tab w:leader="none" w:pos="58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Business</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ThredUp Inc. (ThredUp or the Company) was formed as a corporation in the State of Delaware in January 2009. ThredUp is a large resale platform that allows consumers to buy and sell secondhand women’s and kid’s apparel, shoes and accessories. The Company conducts its marketing and administrative functions from Oakland, California and Scottsdale, Arizona and operates its fulfillment centers in Pennsylvania, Illinois, Georgia, and Arizona. The Company closed its remaining retail stores located in California in fiscal year 2020.</w:t>
      </w:r>
    </w:p>
    <w:p>
      <w:pPr>
        <w:spacing w:after="0" w:line="113" w:lineRule="exact"/>
        <w:rPr>
          <w:sz w:val="20"/>
          <w:szCs w:val="20"/>
          <w:color w:val="auto"/>
        </w:rPr>
      </w:pPr>
    </w:p>
    <w:p>
      <w:pPr>
        <w:ind w:left="580" w:hanging="580"/>
        <w:spacing w:after="0"/>
        <w:tabs>
          <w:tab w:leader="none" w:pos="58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Basis of Presentation and Use of Estimates</w:t>
      </w:r>
    </w:p>
    <w:p>
      <w:pPr>
        <w:spacing w:after="0" w:line="153"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All intercompany account balances and transactions have been eliminated upon consolidation. The preparation of consolidated financial statements in conformity with U.S. generally accepted accounting principles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allowance for bad debts, breakage on loyalty points and rewards, valuation of inventory, warrants, stock-based compensation, valuation of right-of-use assets and income taxes.</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Segments</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Company has one operating segment and one reportable segment as its chief operating decision maker, who is its Chief Executive Officer, reviews financial information on a consolidated basis for purposes of allocating resources and evaluating financial performance. All long-lived assets are located in the United States and substantially all revenue is attributed to sellers and buyers based in the United States.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The Company follows the two-class method when computing net loss per common share when shares issued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income available to stockholders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w:t>
      </w:r>
    </w:p>
    <w:p>
      <w:pPr>
        <w:spacing w:after="0" w:line="122"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For periods in which the Company reports net losses, diluted net loss per share attributable to common stockholders is the same as basic net loss per share attributable to common stockholders, because potentially dilutive common shares are not assumed to have been issued if their effect is anti-dilutive.</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Unaudited Pro Forma Net Loss Per Share Attributable to Common Stockholders</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contemplation of an initial public offering (“IPO”), the Company has presented the unaudited pro forma basic and diluted net loss per share attributable to common stockholders, which has been computed to give effect to the conversion of the convertible preferred stock into shares of common stock. In addition, the numerator in the pro forma basic and diluted net loss per common share calculation has been adjusted to remove the gains or losses resulting from the remeasurement of the convertible preferred stock warrant liability as the convertible preferred stock warrant will be converted to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240"/>
          </w:cols>
          <w:pgMar w:left="320" w:top="118" w:right="339" w:bottom="1440" w:gutter="0" w:footer="0" w:header="0"/>
        </w:sectPr>
      </w:pPr>
    </w:p>
    <w:bookmarkStart w:id="211" w:name="page212"/>
    <w:bookmarkEnd w:id="21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color w:val="auto"/>
        </w:rPr>
        <w:t>stock warrant and the related convertible preferred stock warrant liability will be reclassified to additional paid-in capital upon the completion of an IPO. Additionally, as described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below, the Company has granted stock options (“IPO Options”) to certain employees and officers that vest upon the satisfaction of both a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 and a IPO</w:t>
      </w:r>
      <w:r>
        <w:rPr>
          <w:rFonts w:ascii="MS PGothic" w:cs="MS PGothic" w:eastAsia="MS PGothic" w:hAnsi="MS PGothic"/>
          <w:sz w:val="17"/>
          <w:szCs w:val="17"/>
          <w:color w:val="auto"/>
        </w:rPr>
        <w:t>‑</w:t>
      </w:r>
      <w:r>
        <w:rPr>
          <w:rFonts w:ascii="Arial" w:cs="Arial" w:eastAsia="Arial" w:hAnsi="Arial"/>
          <w:sz w:val="17"/>
          <w:szCs w:val="17"/>
          <w:color w:val="auto"/>
        </w:rPr>
        <w:t>related performance vesting condition. Upon completion of the IPO, the Company will recognize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the vesting of these options using the accelerated attribution model, with a cumulative catch-up as of the IPO effectiveness date. The unaudited pro forma net loss per share attributable to common stockholders information does not give effect to any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such IPO Options.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Unaudited Pro Forma Balance Sheet</w:t>
      </w:r>
    </w:p>
    <w:p>
      <w:pPr>
        <w:spacing w:after="0" w:line="153" w:lineRule="exact"/>
        <w:rPr>
          <w:sz w:val="20"/>
          <w:szCs w:val="20"/>
          <w:color w:val="auto"/>
        </w:rPr>
      </w:pPr>
    </w:p>
    <w:p>
      <w:pPr>
        <w:jc w:val="both"/>
        <w:ind w:firstLine="299"/>
        <w:spacing w:after="0" w:line="206" w:lineRule="exact"/>
        <w:rPr>
          <w:sz w:val="20"/>
          <w:szCs w:val="20"/>
          <w:color w:val="auto"/>
        </w:rPr>
      </w:pPr>
      <w:r>
        <w:rPr>
          <w:rFonts w:ascii="Arial" w:cs="Arial" w:eastAsia="Arial" w:hAnsi="Arial"/>
          <w:sz w:val="17"/>
          <w:szCs w:val="17"/>
          <w:color w:val="auto"/>
        </w:rPr>
        <w:t>The unaudited pro forma balance sheet information as of December 31, 2020 is presented as though all of the Company’s outstanding shares of convertible preferred stock have been converted into shares of common stock upon the completion of the IPO. In addition, the pro forma balance sheet information assumes the reclassification of the convertible preferred stock warrant liability to additional paid-in capital upon completion of the IPO, as the warrants to purchase convertible preferred stock automatically convert into common stock warrants. The unaudited pro forma balance sheet information does not assume any proceeds from the IPO. Additionally, the unaudited pro forma balance sheet information at December 31, 2020 does not give effect to any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the IPO Options.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As of December 31, 2018, the Company had $2,000 in other comprehensive losses related to unrealized losses on debt securities classified as available-for-sale. The debt securities matured during 2019 and therefore $2,000 was reclassified as a realized gain/loss to the consolidated statements of operations and comprehensive loss. There were no unrealized gains or losses for the year ended December 31, 2020.</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Cash Equivalents, and Restricted Cash and Cash Equivalents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classifies all highly liquid instruments with an original maturity of three months or less at the time of purchase as cash equivalents.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are comprised of bank deposits and money market funds.</w:t>
      </w:r>
    </w:p>
    <w:p>
      <w:pPr>
        <w:spacing w:after="0" w:line="13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Restricted cash and cash equivalents primarily consists of letters of credit with financial institutions held as collateral for its facility leases. Restricted cash and cash equivalents is classified noncurrent if the Company expects that the cash will remain restricted for a period greater than one-year. Current restricted cash and cash equivalents is included in other current assets on the consolidated balance sheet.</w:t>
      </w:r>
    </w:p>
    <w:p>
      <w:pPr>
        <w:spacing w:after="0" w:line="11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following table provides a reconciliation of cash and cash equivalents and restricted cash and cash equivalents reported within the consolidated balance sheets to the amounts shown in the consolidated statements of cash flows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4"/>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85,633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64,485</w:t>
            </w:r>
          </w:p>
        </w:tc>
        <w:tc>
          <w:tcPr>
            <w:tcW w:w="0" w:type="dxa"/>
            <w:vAlign w:val="bottom"/>
          </w:tcPr>
          <w:p>
            <w:pPr>
              <w:spacing w:after="0"/>
              <w:rPr>
                <w:sz w:val="1"/>
                <w:szCs w:val="1"/>
                <w:color w:val="auto"/>
              </w:rPr>
            </w:pPr>
          </w:p>
        </w:tc>
      </w:tr>
      <w:tr>
        <w:trPr>
          <w:trHeight w:val="212"/>
        </w:trPr>
        <w:tc>
          <w:tcPr>
            <w:tcW w:w="6340" w:type="dxa"/>
            <w:vAlign w:val="bottom"/>
          </w:tcPr>
          <w:p>
            <w:pPr>
              <w:ind w:left="20"/>
              <w:spacing w:after="0"/>
              <w:rPr>
                <w:sz w:val="20"/>
                <w:szCs w:val="20"/>
                <w:color w:val="auto"/>
              </w:rPr>
            </w:pPr>
            <w:r>
              <w:rPr>
                <w:rFonts w:ascii="Arial" w:cs="Arial" w:eastAsia="Arial" w:hAnsi="Arial"/>
                <w:sz w:val="17"/>
                <w:szCs w:val="17"/>
                <w:color w:val="auto"/>
              </w:rPr>
              <w:t>Restricted cash, current</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and cash equivalents, non-current</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2,690</w:t>
            </w:r>
          </w:p>
        </w:tc>
        <w:tc>
          <w:tcPr>
            <w:tcW w:w="0" w:type="dxa"/>
            <w:vAlign w:val="bottom"/>
          </w:tcPr>
          <w:p>
            <w:pPr>
              <w:spacing w:after="0"/>
              <w:rPr>
                <w:sz w:val="1"/>
                <w:szCs w:val="1"/>
                <w:color w:val="auto"/>
              </w:rPr>
            </w:pPr>
          </w:p>
        </w:tc>
      </w:tr>
      <w:tr>
        <w:trPr>
          <w:trHeight w:val="142"/>
        </w:trPr>
        <w:tc>
          <w:tcPr>
            <w:tcW w:w="6340" w:type="dxa"/>
            <w:vAlign w:val="bottom"/>
          </w:tcPr>
          <w:p>
            <w:pPr>
              <w:ind w:left="20"/>
              <w:spacing w:after="0" w:line="142" w:lineRule="exact"/>
              <w:rPr>
                <w:sz w:val="20"/>
                <w:szCs w:val="20"/>
                <w:color w:val="auto"/>
              </w:rPr>
            </w:pPr>
            <w:r>
              <w:rPr>
                <w:rFonts w:ascii="Arial" w:cs="Arial" w:eastAsia="Arial" w:hAnsi="Arial"/>
                <w:sz w:val="16"/>
                <w:szCs w:val="16"/>
                <w:color w:val="auto"/>
              </w:rPr>
              <w:t>Total cash, cash equivalents and restricted cash and cash equivalents shown in the</w:t>
            </w:r>
          </w:p>
        </w:tc>
        <w:tc>
          <w:tcPr>
            <w:tcW w:w="1000" w:type="dxa"/>
            <w:vAlign w:val="bottom"/>
            <w:vMerge w:val="restart"/>
          </w:tcPr>
          <w:p>
            <w:pPr>
              <w:jc w:val="right"/>
              <w:ind w:right="823"/>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8,015</w:t>
            </w:r>
          </w:p>
        </w:tc>
        <w:tc>
          <w:tcPr>
            <w:tcW w:w="460" w:type="dxa"/>
            <w:vAlign w:val="bottom"/>
            <w:gridSpan w:val="2"/>
            <w:vMerge w:val="restart"/>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87,853</w:t>
            </w:r>
          </w:p>
        </w:tc>
        <w:tc>
          <w:tcPr>
            <w:tcW w:w="80" w:type="dxa"/>
            <w:vAlign w:val="bottom"/>
          </w:tcPr>
          <w:p>
            <w:pPr>
              <w:spacing w:after="0"/>
              <w:rPr>
                <w:sz w:val="12"/>
                <w:szCs w:val="12"/>
                <w:color w:val="auto"/>
              </w:rPr>
            </w:pPr>
          </w:p>
        </w:tc>
        <w:tc>
          <w:tcPr>
            <w:tcW w:w="380" w:type="dxa"/>
            <w:vAlign w:val="bottom"/>
            <w:vMerge w:val="restart"/>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67,539</w:t>
            </w:r>
          </w:p>
        </w:tc>
        <w:tc>
          <w:tcPr>
            <w:tcW w:w="0" w:type="dxa"/>
            <w:vAlign w:val="bottom"/>
          </w:tcPr>
          <w:p>
            <w:pPr>
              <w:spacing w:after="0"/>
              <w:rPr>
                <w:sz w:val="1"/>
                <w:szCs w:val="1"/>
                <w:color w:val="auto"/>
              </w:rPr>
            </w:pPr>
          </w:p>
        </w:tc>
      </w:tr>
      <w:tr>
        <w:trPr>
          <w:trHeight w:val="187"/>
        </w:trPr>
        <w:tc>
          <w:tcPr>
            <w:tcW w:w="6340" w:type="dxa"/>
            <w:vAlign w:val="bottom"/>
          </w:tcPr>
          <w:p>
            <w:pPr>
              <w:ind w:left="160"/>
              <w:spacing w:after="0" w:line="187" w:lineRule="exact"/>
              <w:rPr>
                <w:sz w:val="20"/>
                <w:szCs w:val="20"/>
                <w:color w:val="auto"/>
              </w:rPr>
            </w:pPr>
            <w:r>
              <w:rPr>
                <w:rFonts w:ascii="Arial" w:cs="Arial" w:eastAsia="Arial" w:hAnsi="Arial"/>
                <w:sz w:val="17"/>
                <w:szCs w:val="17"/>
                <w:color w:val="auto"/>
              </w:rPr>
              <w:t>consolidated statements of cash flows</w:t>
            </w:r>
          </w:p>
        </w:tc>
        <w:tc>
          <w:tcPr>
            <w:tcW w:w="10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240"/>
          </w:cols>
          <w:pgMar w:left="320" w:top="118" w:right="339" w:bottom="1440" w:gutter="0" w:footer="0" w:header="0"/>
        </w:sectPr>
      </w:pPr>
    </w:p>
    <w:bookmarkStart w:id="212" w:name="page213"/>
    <w:bookmarkEnd w:id="21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Company’s marketable securities, consisting of short-term debt securities, are classified as available-for-sale and are reported at fair value with unrealized gains and losses reported, net of tax, as a separate component of accumulated other comprehensive gain (loss) until realized. The short-term debt securities have maturities greater than 3 months, but less than 12 months from the date of acquisition. The short-term debt securities are reviewed periodically to identify possible other-than-temporary impairments. Realized gains or losses and other-than-temporary impairments, if any, on available-for-sale securities are reported in other income, net as incurred. No impairment loss has been recorded on the securities as the Company believes that any decrease in fair value of these securities is temporary and expects to recover up to, or beyond, the initial cost of investment for these securities. As of December 31, 2019 and 2020, the Company did not have any investments in marketable securities.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Concentrations of Credit Risks</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and cash equivalents. At times, such amounts may exceed federally insured limits. The Company reduces credit risk by placing its cash with major credit-worthy financial institutions within the United States. The Company’s money market investment account (recognized as cash and cash equivalents) is with what the Company believes to be a high-quality issuer. The Company has never experienced any losses related to these balances.</w:t>
      </w:r>
    </w:p>
    <w:p>
      <w:pPr>
        <w:spacing w:after="0" w:line="11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As of December 31, 2019 and 2020, there were no customers that represented 10% or more of the Company’s accounts receivable balance. There were no customers that individually exceeded 10% of the Company’s revenue for the years ended December 31, 2018, 2019 and 2020.</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Accounts receivable consists of amounts due from payment processors and trade customers that do not bear interest. The Company records an allowance for doubtful accounts for estimated losses inherent in its trade accounts receivable portfolio. In establishing the required allowance, management considers historical losses adjusted for current market conditions, the financial condition of the customer, the amount of receivables in dispute, and the current receivables aging and payment patterns. The Company does not have any off-balance sheet credit exposure related to its customers. The allowance for doubtful accounts was immaterial as of December 31, 2019 and 2020.</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Inventory, Net</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Inventories, consisting of merchandise that the Company has purchased and holds title, are accounted for using the specific identification method, and are valued at the lower of cost and net realizable value. The cost of inventory is equal to the cost of the merchandise paid to the seller and related inbound shipping costs. Inventory valuation requires the Company to make judgments based on currently available information about the likely method of disposition, such as through sales to individual customers or liquidations, and expected recoverable values of each disposition category. The Company records an inventory write-down based on the age of the inventory and historical experience of expected sell-through.</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Property and equipment are stated at cost less accumulated depreciation. Depreciation is recorded on a straight-line basis over the estimated useful lives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240"/>
          </w:cols>
          <w:pgMar w:left="320" w:top="118" w:right="3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95"/>
        </w:trPr>
        <w:tc>
          <w:tcPr>
            <w:tcW w:w="802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3220" w:type="dxa"/>
            <w:vAlign w:val="bottom"/>
          </w:tcPr>
          <w:p>
            <w:pPr>
              <w:spacing w:after="0"/>
              <w:rPr>
                <w:sz w:val="16"/>
                <w:szCs w:val="16"/>
                <w:color w:val="auto"/>
              </w:rPr>
            </w:pPr>
          </w:p>
        </w:tc>
      </w:tr>
      <w:tr>
        <w:trPr>
          <w:trHeight w:val="492"/>
        </w:trPr>
        <w:tc>
          <w:tcPr>
            <w:tcW w:w="1300" w:type="dxa"/>
            <w:vAlign w:val="bottom"/>
            <w:tcBorders>
              <w:top w:val="single" w:sz="8" w:color="0000FF"/>
            </w:tcBorders>
          </w:tcPr>
          <w:p>
            <w:pPr>
              <w:spacing w:after="0"/>
              <w:rPr>
                <w:sz w:val="24"/>
                <w:szCs w:val="24"/>
                <w:color w:val="auto"/>
              </w:rPr>
            </w:pPr>
          </w:p>
        </w:tc>
        <w:tc>
          <w:tcPr>
            <w:tcW w:w="6720" w:type="dxa"/>
            <w:vAlign w:val="bottom"/>
          </w:tcPr>
          <w:p>
            <w:pPr>
              <w:jc w:val="center"/>
              <w:ind w:left="1857"/>
              <w:spacing w:after="0"/>
              <w:rPr>
                <w:sz w:val="20"/>
                <w:szCs w:val="20"/>
                <w:color w:val="auto"/>
              </w:rPr>
            </w:pPr>
            <w:r>
              <w:rPr>
                <w:rFonts w:ascii="Arial" w:cs="Arial" w:eastAsia="Arial" w:hAnsi="Arial"/>
                <w:sz w:val="17"/>
                <w:szCs w:val="17"/>
                <w:b w:val="1"/>
                <w:bCs w:val="1"/>
                <w:color w:val="auto"/>
                <w:w w:val="98"/>
              </w:rPr>
              <w:t>ThredUp Inc.</w:t>
            </w:r>
          </w:p>
        </w:tc>
        <w:tc>
          <w:tcPr>
            <w:tcW w:w="322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6720" w:type="dxa"/>
            <w:vAlign w:val="bottom"/>
          </w:tcPr>
          <w:p>
            <w:pPr>
              <w:jc w:val="center"/>
              <w:ind w:left="1857"/>
              <w:spacing w:after="0"/>
              <w:rPr>
                <w:sz w:val="20"/>
                <w:szCs w:val="20"/>
                <w:color w:val="auto"/>
              </w:rPr>
            </w:pPr>
            <w:r>
              <w:rPr>
                <w:rFonts w:ascii="Arial" w:cs="Arial" w:eastAsia="Arial" w:hAnsi="Arial"/>
                <w:sz w:val="17"/>
                <w:szCs w:val="17"/>
                <w:b w:val="1"/>
                <w:bCs w:val="1"/>
                <w:color w:val="auto"/>
                <w:w w:val="97"/>
              </w:rPr>
              <w:t>Notes to Consolidated Financial Statements</w:t>
            </w:r>
          </w:p>
        </w:tc>
        <w:tc>
          <w:tcPr>
            <w:tcW w:w="3220" w:type="dxa"/>
            <w:vAlign w:val="bottom"/>
          </w:tcPr>
          <w:p>
            <w:pPr>
              <w:spacing w:after="0"/>
              <w:rPr>
                <w:sz w:val="20"/>
                <w:szCs w:val="20"/>
                <w:color w:val="auto"/>
              </w:rPr>
            </w:pPr>
          </w:p>
        </w:tc>
      </w:tr>
      <w:tr>
        <w:trPr>
          <w:trHeight w:val="637"/>
        </w:trPr>
        <w:tc>
          <w:tcPr>
            <w:tcW w:w="8020" w:type="dxa"/>
            <w:vAlign w:val="bottom"/>
            <w:gridSpan w:val="2"/>
          </w:tcPr>
          <w:p>
            <w:pPr>
              <w:ind w:left="300"/>
              <w:spacing w:after="0"/>
              <w:rPr>
                <w:sz w:val="20"/>
                <w:szCs w:val="20"/>
                <w:color w:val="auto"/>
              </w:rPr>
            </w:pPr>
            <w:r>
              <w:rPr>
                <w:rFonts w:ascii="Arial" w:cs="Arial" w:eastAsia="Arial" w:hAnsi="Arial"/>
                <w:sz w:val="17"/>
                <w:szCs w:val="17"/>
                <w:color w:val="auto"/>
              </w:rPr>
              <w:t>The estimated useful lives of the Company’s property and equipment are as follows:</w:t>
            </w:r>
          </w:p>
        </w:tc>
        <w:tc>
          <w:tcPr>
            <w:tcW w:w="3220" w:type="dxa"/>
            <w:vAlign w:val="bottom"/>
          </w:tcPr>
          <w:p>
            <w:pPr>
              <w:spacing w:after="0"/>
              <w:rPr>
                <w:sz w:val="24"/>
                <w:szCs w:val="24"/>
                <w:color w:val="auto"/>
              </w:rPr>
            </w:pPr>
          </w:p>
        </w:tc>
      </w:tr>
      <w:tr>
        <w:trPr>
          <w:trHeight w:val="172"/>
        </w:trPr>
        <w:tc>
          <w:tcPr>
            <w:tcW w:w="8020" w:type="dxa"/>
            <w:vAlign w:val="bottom"/>
            <w:gridSpan w:val="2"/>
          </w:tcPr>
          <w:p>
            <w:pPr>
              <w:spacing w:after="0"/>
              <w:rPr>
                <w:sz w:val="14"/>
                <w:szCs w:val="14"/>
                <w:color w:val="auto"/>
              </w:rPr>
            </w:pPr>
          </w:p>
        </w:tc>
        <w:tc>
          <w:tcPr>
            <w:tcW w:w="3220" w:type="dxa"/>
            <w:vAlign w:val="bottom"/>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3220" w:type="dxa"/>
            <w:vAlign w:val="bottom"/>
            <w:shd w:val="clear" w:color="auto" w:fill="CCEEFF"/>
          </w:tcPr>
          <w:p>
            <w:pPr>
              <w:jc w:val="center"/>
              <w:ind w:left="477"/>
              <w:spacing w:after="0"/>
              <w:rPr>
                <w:sz w:val="20"/>
                <w:szCs w:val="20"/>
                <w:color w:val="auto"/>
              </w:rPr>
            </w:pPr>
            <w:r>
              <w:rPr>
                <w:rFonts w:ascii="Arial" w:cs="Arial" w:eastAsia="Arial" w:hAnsi="Arial"/>
                <w:sz w:val="17"/>
                <w:szCs w:val="17"/>
                <w:color w:val="auto"/>
                <w:w w:val="97"/>
              </w:rPr>
              <w:t>4-10 years</w:t>
            </w:r>
          </w:p>
        </w:tc>
      </w:tr>
      <w:tr>
        <w:trPr>
          <w:trHeight w:val="212"/>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Internal-use software</w:t>
            </w:r>
          </w:p>
        </w:tc>
        <w:tc>
          <w:tcPr>
            <w:tcW w:w="3220" w:type="dxa"/>
            <w:vAlign w:val="bottom"/>
          </w:tcPr>
          <w:p>
            <w:pPr>
              <w:jc w:val="center"/>
              <w:ind w:left="497"/>
              <w:spacing w:after="0"/>
              <w:rPr>
                <w:sz w:val="20"/>
                <w:szCs w:val="20"/>
                <w:color w:val="auto"/>
              </w:rPr>
            </w:pPr>
            <w:r>
              <w:rPr>
                <w:rFonts w:ascii="Arial" w:cs="Arial" w:eastAsia="Arial" w:hAnsi="Arial"/>
                <w:sz w:val="17"/>
                <w:szCs w:val="17"/>
                <w:color w:val="auto"/>
                <w:w w:val="95"/>
              </w:rPr>
              <w:t>1-3 years</w:t>
            </w:r>
          </w:p>
        </w:tc>
      </w:tr>
      <w:tr>
        <w:trPr>
          <w:trHeight w:val="162"/>
        </w:trPr>
        <w:tc>
          <w:tcPr>
            <w:tcW w:w="80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rPr>
              <w:t>Leasehold improvements</w:t>
            </w:r>
          </w:p>
        </w:tc>
        <w:tc>
          <w:tcPr>
            <w:tcW w:w="3220" w:type="dxa"/>
            <w:vAlign w:val="bottom"/>
            <w:shd w:val="clear" w:color="auto" w:fill="CCEEFF"/>
          </w:tcPr>
          <w:p>
            <w:pPr>
              <w:jc w:val="center"/>
              <w:ind w:left="497"/>
              <w:spacing w:after="0" w:line="162" w:lineRule="exact"/>
              <w:rPr>
                <w:sz w:val="20"/>
                <w:szCs w:val="20"/>
                <w:color w:val="auto"/>
              </w:rPr>
            </w:pPr>
            <w:r>
              <w:rPr>
                <w:rFonts w:ascii="Arial" w:cs="Arial" w:eastAsia="Arial" w:hAnsi="Arial"/>
                <w:sz w:val="17"/>
                <w:szCs w:val="17"/>
                <w:color w:val="auto"/>
                <w:w w:val="98"/>
              </w:rPr>
              <w:t>Shorter of lease term or estimated</w:t>
            </w:r>
          </w:p>
        </w:tc>
      </w:tr>
      <w:tr>
        <w:trPr>
          <w:trHeight w:val="212"/>
        </w:trPr>
        <w:tc>
          <w:tcPr>
            <w:tcW w:w="1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20" w:type="dxa"/>
            <w:vAlign w:val="bottom"/>
            <w:shd w:val="clear" w:color="auto" w:fill="CCEEFF"/>
          </w:tcPr>
          <w:p>
            <w:pPr>
              <w:jc w:val="center"/>
              <w:ind w:left="477"/>
              <w:spacing w:after="0"/>
              <w:rPr>
                <w:sz w:val="20"/>
                <w:szCs w:val="20"/>
                <w:color w:val="auto"/>
              </w:rPr>
            </w:pPr>
            <w:r>
              <w:rPr>
                <w:rFonts w:ascii="Arial" w:cs="Arial" w:eastAsia="Arial" w:hAnsi="Arial"/>
                <w:sz w:val="17"/>
                <w:szCs w:val="17"/>
                <w:color w:val="auto"/>
                <w:w w:val="97"/>
              </w:rPr>
              <w:t>useful life</w:t>
            </w:r>
          </w:p>
        </w:tc>
      </w:tr>
      <w:tr>
        <w:trPr>
          <w:trHeight w:val="212"/>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Computers and software</w:t>
            </w:r>
          </w:p>
        </w:tc>
        <w:tc>
          <w:tcPr>
            <w:tcW w:w="3220" w:type="dxa"/>
            <w:vAlign w:val="bottom"/>
          </w:tcPr>
          <w:p>
            <w:pPr>
              <w:jc w:val="center"/>
              <w:ind w:left="477"/>
              <w:spacing w:after="0"/>
              <w:rPr>
                <w:sz w:val="20"/>
                <w:szCs w:val="20"/>
                <w:color w:val="auto"/>
              </w:rPr>
            </w:pPr>
            <w:r>
              <w:rPr>
                <w:rFonts w:ascii="Arial" w:cs="Arial" w:eastAsia="Arial" w:hAnsi="Arial"/>
                <w:sz w:val="17"/>
                <w:szCs w:val="17"/>
                <w:color w:val="auto"/>
                <w:w w:val="96"/>
              </w:rPr>
              <w:t>3 years</w:t>
            </w: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3220" w:type="dxa"/>
            <w:vAlign w:val="bottom"/>
            <w:shd w:val="clear" w:color="auto" w:fill="CCEEFF"/>
          </w:tcPr>
          <w:p>
            <w:pPr>
              <w:jc w:val="center"/>
              <w:ind w:left="477"/>
              <w:spacing w:after="0"/>
              <w:rPr>
                <w:sz w:val="20"/>
                <w:szCs w:val="20"/>
                <w:color w:val="auto"/>
              </w:rPr>
            </w:pPr>
            <w:r>
              <w:rPr>
                <w:rFonts w:ascii="Arial" w:cs="Arial" w:eastAsia="Arial" w:hAnsi="Arial"/>
                <w:sz w:val="17"/>
                <w:szCs w:val="17"/>
                <w:color w:val="auto"/>
                <w:w w:val="96"/>
              </w:rPr>
              <w:t>5 years</w:t>
            </w:r>
          </w:p>
        </w:tc>
      </w:tr>
    </w:tbl>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Maintenance and repairs are charged to expense as incurred, and improvements and betterments are capitalized.</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When assets are retired or otherwise disposed of, the cost and accumulated depreciation and amortization are removed from the balance sheet and any resulting gain or loss is reflected in the consolidated statement of operations in the period realized.</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Company capitalizes qualifying proprietary software development costs that are incurred during the application development stage. Capitalization of costs begins when two criteria are met: (i) the preliminary project stage is completed, and (ii) it is probable that the software will be completed and placed in service for its intended use.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the carrying amount of an asset group may not be recoverable. Recoverability of assets held and used is measured by comparison of the carrying amount of an asset to the future undiscounted cash flows expected to be generated from the use of the asset and its eventual disposition. If such assets are considered to be impaired, the impairment to be recognized is equal to the excess of the fair value over the carrying amount of the impaired assets. There were no impairments of long-lived assets for the years ended December 31, 2019 and 2020.</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Company records asset retirement obligations (AROs) for the estimated cost of restoring its automated warehouse facilities to the specific condition required per the terms of its lease agreement, upon termination of the lease. AROs represent the present value of the expected costs and timing of the related obligations incurred. The ARO assets and liabilities are recorded in property and equipment within the machinery and equipment line item and other non-current liabilities in the consolidated balance sheets. The Company records accretion expense, which represents the increase in the ARO, over the remaining estimated duration of the lease including renewal periods that are included in the lease life. Accretion expense is recorded in operations, product and technology expense in the consolidated statement of operations using accretion rates based on credit adjusted risk-free interest rates.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Convertible Preferred Stock Warrant Liability</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Company issued convertible preferred stock warrants in conjunction with the issuance of long-term debt. Such warrants are recorded within other non-current liabilities on the consolidated balance sheet at their estimated fair value primarily because the shares underlying the warrants contain contingent redemption features outside the control of the Company. The warrants are subject to re-measurement at each balance sheet date and the change in fair value, if any, is included in other income, net. The Company will continue to remeasure these warrants until the earlier of the expiration or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240"/>
          </w:cols>
          <w:pgMar w:left="320" w:top="106" w:right="339" w:bottom="1440" w:gutter="0" w:footer="0" w:header="0"/>
        </w:sectPr>
      </w:pPr>
    </w:p>
    <w:bookmarkStart w:id="214" w:name="page215"/>
    <w:bookmarkEnd w:id="21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of the convertible preferred stock warrants. In connection with an IPO, the outstanding convertible preferred stock warrants will automatically convert to common stock warrants.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Leases</w:t>
      </w:r>
    </w:p>
    <w:p>
      <w:pPr>
        <w:spacing w:after="0" w:line="15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Effective January 1, 2020, the Company adopted Accounting Standard Codification Topic 842, Leases (“ASC 842”), using the optional transition method and applied the standard only to leases that existed at that date. Under the optional transition method, the Company does not need to restate the comparative periods in transition and will continue to present financial information and disclosures for periods before January 1, 2020 in accordance with ASC 840. The Company has elected the package of practical expedients allowed under ASC 842, which permits the Company to account for its existing operating leases as operating leases under the new guidance, without reassessing the Company’s prior conclusions about lease identification, lease classification and initial direct cost. As a result of the adoption of the new lease accounting guidance, on January 1, 2020, the Company recognized a cumulative-effect adjustment to beginning accumulated deficit of $0.6 million, a right-of-use (“ROU”) asset of $18.5 million, a lease liability of $ 19.8 million and derecognized the deferred rent liability of $0.7 million. A cumulative-effect adjustment to beginning accumulated deficit was required due to the election of the hindsight practical expedient which adjusted the terms of various lease arrangements.</w:t>
      </w:r>
    </w:p>
    <w:p>
      <w:pPr>
        <w:spacing w:after="0" w:line="12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Under ASC 842, the Company determines if an arrangement is or contains a lease at inception by assessing whether the arrangement contains an identified asset and whether it has the right to control the identified asset. Lessees are required to classify leases as either finance or operating leases and to record a right-of-use asset and a lease liability for all leases with a term greater than 12 months regardless of the lease classification. The lease classification will determine whether the lease expense is recognized based on an effective interest rate method or on a straight-line basis over the term of the lease. The Company determines the initial classification and measurement of its ROU assets and lease liabilities at the lease commencement date and thereafter if modified. ROU assets represent the Company's right to use an underlying asset for the lease term and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w:t>
      </w:r>
    </w:p>
    <w:p>
      <w:pPr>
        <w:spacing w:after="0" w:line="113"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As the implicit rate in the Company's leases is generally unknown, the Company uses its incremental borrowing rate based on the information available at the lease commencement date in determining the present value of future lease payments. The Company gives consideration to its existing credit arrangements, term of the lease, total lease payments and adjust for the impacts of collateral, as necessary, when calculating its incremental borrowing rates. The lease terms may include options to extend or terminate the lease when it is reasonably certain the Company will exercise any such options. Lease costs for the Company's operating leases are recognized on a straight-line basis within operating expenses over the lease term.</w:t>
      </w:r>
    </w:p>
    <w:p>
      <w:pPr>
        <w:spacing w:after="0" w:line="102"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Company has elected to not separate lease and non-lease components for real estate leases and, as a result, accounts for lease and non-lease components as one component. The Company has also elected to not apply the recognition requirement to any leases within its existing classes of assets with a term of 12 months or less. For these assets, lease payments are recognized on a straight-line basis over the lease term and variable payments in the period in which the obligation is incurred.</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Seller Payable</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Seller payable includes amounts owed to sellers upon the purchase of sellers’ goods by the Company or by buyers. Amounts are initially provided as a credit to sellers. These credits may be applied towards purchases from the Company, converted to third-party retailer or thredUP gift cards or redeemed for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240"/>
          </w:cols>
          <w:pgMar w:left="320" w:top="118" w:right="339" w:bottom="1440" w:gutter="0" w:footer="0" w:header="0"/>
        </w:sectPr>
      </w:pPr>
    </w:p>
    <w:bookmarkStart w:id="215" w:name="page216"/>
    <w:bookmarkEnd w:id="21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Gift Cards and Site Credits</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As of 2018, the Company sells thredUP gift cards in retail stores, and beginning in late 2019, on its e-commerce website. Additionally, seller credits and site credits can be converted to thredUP gift cards. thredUP gift cards do not expire or lose value over periods of inactivity. The Company accounts for gift cards by recognizing a gift card liability at the time a gift card is delivered to the customer. As of December 31, 2019 and 2020, $4.1 million and $6.2 million of gift card liability, respectively, was included in accrued and other current liabilities on the consolidated balance sheets. Revenue from gift cards is generally recognized when the gift cards are redeemed by the customer and amounted to $0.1 million and $0.6 million in the years ended December 31, 2019 and 2020, respectively.</w:t>
      </w:r>
    </w:p>
    <w:p>
      <w:pPr>
        <w:spacing w:after="0" w:line="122"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Company issues site credits for various reasons. Site credits can be applied towards future charges but cannot be converted into cash. Site credits, like seller credits may also be converted to thredUP gift cards after one year at the discretion of the Company. These credits are recognized as revenue when used, converted, or expired. As of December 31, 2019 and 2020, $4.1 million and $3.2 million, respectively, of such customer site credits were included in accrued and other current liabilities on the consolidated balance sheets.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Breakage on gift cards and site credits is immaterial for the years ended December 31, 2018, 2019 and 2020.</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Deferred offering costs, consisting of legal, accounting and filing fees relating to an IPO, are capitalized. The deferred offering costs will be offset against offering proceeds upon the completion of the offering. In the event the offering is terminated or delayed, deferred offering costs will be expensed. There were no deferred offering costs capitalized as of December 31, 2019. The Company capitalized $2.6 million of deferred offering costs as of December 31, 2020 which is included in other current assets on the consolidated balance sheets.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Income Taxes</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on the years in which those temporary differences are expected to be recovered and settled.</w:t>
      </w:r>
    </w:p>
    <w:p>
      <w:pPr>
        <w:spacing w:after="0" w:line="11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Revenue is recognized in accordance with Accounting Standards Topic 606 (ASC 606). Under ASC 606, revenue is recognized upon transfer of control of promised goods and services to customers in an amount that reflects the consideration the Company expects to receive for those goods and services. The Company generates the majority of its revenue from its marketplace, which allows its buyers to browse and purchase resale items for women’s and kids’ apparel, shoes and accessories. The Company also sells items in its retail stores, through its third-party retail partners and in goody boxes offered through its marketplace. A goody box is a collection of items selected by a thredUP stylist from which the customer can choose to purchase or return. The Company recognizes revenue through the following steps: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240"/>
          </w:cols>
          <w:pgMar w:left="320" w:top="118" w:right="339" w:bottom="1440" w:gutter="0" w:footer="0" w:header="0"/>
        </w:sectPr>
      </w:pPr>
    </w:p>
    <w:bookmarkStart w:id="216" w:name="page217"/>
    <w:bookmarkEnd w:id="21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identification of the contract, or contracts, with the customer; (2) identification of the performance obligations in the contract; (3) determination of the transaction price; (4) allocation of the transaction price to the performance obligations in the contract; and (5) recognition of revenue when, or as, it satisfies a performance obligation.</w:t>
      </w:r>
    </w:p>
    <w:p>
      <w:pPr>
        <w:spacing w:after="0" w:line="111"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Both buyers and sellers may be customers in the Company’s revenue arrangements. Sellers are the primary customer in a consignment arrangement while the buyer is the primary customer in sale of Company-owned inventory, referred to as product sales. A contract with a customer exists in both cases when the end-customer purchases the goods obligating the Company to deliver the identified performance obligation(s). Generally, the Company requires authorization from a credit card or other payment method (such as PayPal), or verification of receipt of payment, before the products are shipped to buyers. The Company generally receives payments from buyers before payments to the sellers are due.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Consignment Revenue</w:t>
      </w:r>
    </w:p>
    <w:p>
      <w:pPr>
        <w:spacing w:after="0" w:line="151"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The Company generates consignment revenue from the sale of secondhand women’s and kids’ apparel, shoes and accessories on behalf of sellers. The Company retains a percentage of the proceeds received as payment for its consignment service. The Company reports consignment revenue on a net basis as an agent and not the gross amount collected from the buyer. Title to the consigned goods remain with the consignor until transferred to the buyer, which occurs subsequent to purchase of the consigned goods and upon expiration of the allotted return period. The Company does not take title of consigned goods at any time except in certain cases where the consignment window expires or returned goods become Company-owned inventory.</w:t>
      </w:r>
    </w:p>
    <w:p>
      <w:pPr>
        <w:spacing w:after="0" w:line="102"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Consignment revenue is recognized upon purchase of the consigned good by the buyer as its performance obligation of providing consignment services to the consignor is satisfied at that point. Consignment revenue is recognized net of seller payouts, discounts, incentives and returns. Sales tax assessed by governmental authorities is excluded from revenue.</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Product Revenue</w:t>
      </w:r>
    </w:p>
    <w:p>
      <w:pPr>
        <w:spacing w:after="0" w:line="15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Company recognizes product revenue on a gross basis as the Company acts as the principal in the transaction. Online sales and sales to third-party retail partners are recognized upon shipment of the purchased good to the buyer. Sales at retail stores are recognized upon checkout and sales of accepted items from goody boxes are recognized upon acceptance, which generally occurs at the same time as payment. Product revenue is recognized net of discounts, incentives and returns. Sales tax assessed by governmental authorities is excluded from revenue.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Shipping Fees</w:t>
      </w:r>
    </w:p>
    <w:p>
      <w:pPr>
        <w:spacing w:after="0" w:line="15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Company charges shipping fees to buyers, which are included in revenue. All outbound shipping costs are accounted for in cost of revenue at the time revenue is recognized.</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Returns</w:t>
      </w:r>
    </w:p>
    <w:p>
      <w:pPr>
        <w:spacing w:after="0" w:line="15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Company generally has a 14-day return period which may change from time to time and recognizes a returns reserve, based on historical experience, which is recorded in accrued and other current liabilities on the consolidated balance sheet.</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Incentives</w:t>
      </w:r>
    </w:p>
    <w:p>
      <w:pPr>
        <w:spacing w:after="0" w:line="15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Incentives include website discounts and customer credits issued to sellers and buyers. Incentives are treated as a reduction of product revenue and consignment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240"/>
          </w:cols>
          <w:pgMar w:left="320" w:top="118" w:right="339" w:bottom="1440" w:gutter="0" w:footer="0" w:header="0"/>
        </w:sectPr>
      </w:pPr>
    </w:p>
    <w:bookmarkStart w:id="217" w:name="page218"/>
    <w:bookmarkEnd w:id="21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Deferred Revenue</w:t>
      </w:r>
    </w:p>
    <w:p>
      <w:pPr>
        <w:spacing w:after="0" w:line="151"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Deferred revenue consists primarily of cash collections for product items purchased, but not shipped, and revenue allocated to unredeemed loyalty points. Cash collections for items purchased, but not shipped, are recognized as revenue upon shipment. As of December 31, 2019 and 2020, the Company had $1.2 million and $0.9 million, respectively, in deferred revenue for items not shipped, which were recognized shortly after the period end, and are included in accrued and other current liabilities on the consolidated balance sheets.</w:t>
      </w:r>
    </w:p>
    <w:p>
      <w:pPr>
        <w:spacing w:after="0" w:line="11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August 2019, the Company launched a customer loyalty program that provides customers with rewards that can be applied to future purchases or other incentives. Loyalty points and rewards are accounted for as separate performance obligations and accrued as deferred revenue in the amount of the transaction price allocated to the points and rewards. The allocated transaction price is based on the estimated fair value per point, net of breakage. Breakage is estimated based on the Company’s historical redemption rates. Revenue is recognized when the loyalty rewards are redeemed or expire. As of December 31, 2019 and 2020, the Company had a liability of $0.6 million and $4.1 million, respectively, related to the loyalty program which is included in deferred revenue in the consolidated balance sheets. The Company recognized $0.1 million and $6.6 million of revenue related to loyalty points in the 2019 and 2020 periods, respectively. Revenue allocated to loyalty points is expected to be recognized within one year as loyalty points expire 12 months after issuance.</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Cost of consignment revenue consists of outbound shipping, outbound labor and packaging costs. Cost of product revenue consists of the inventory cost, inbound shipping related to the sold merchandise, outbound shipping, outbound labor, packaging costs, and inventory write-downs.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Operations, Product and Technology</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Operations, product and technology expenses consist primarily of distribution center operating costs and product and technology expenses. Distribution center operating costs include personnel costs, distribution center rent, maintenance and equipment depreciation as well as inbound shipping costs, other than those capitalized in inventory. Product and technology costs include personnel costs for the design and development of product and the related technology that is used to operate the distribution centers, merchandise science, website development and related expenses for these departments. Operations, product and technology expenses also include an allocation of corporate facilities and information technology costs including equipment, depreciation and rent. Research and development costs related to our technology were approximately $13.1 million, $19.0 million, and $20.7 million during the years ended December 31, 2018, 2019 and 2020 respectively.</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Marketing</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Marketing costs consist primarily of advertising, public relations expenditures, and personnel costs for employees engaged in marketing. Marketing costs also include an allocation of corporate facilities and information technology costs including equipment, depreciation and rent.</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Advertising and other promotional costs included in the marketing line item on the consolidated statement of operations are expensed as incurred and were approximately $23.0 million, $39.2 million, and $38.4 million for the years ended December 31, 2018, 2019 and 2020 respectively.</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Sales, General and Administrative</w:t>
      </w:r>
    </w:p>
    <w:p>
      <w:pPr>
        <w:spacing w:after="0" w:line="153" w:lineRule="exact"/>
        <w:rPr>
          <w:sz w:val="20"/>
          <w:szCs w:val="20"/>
          <w:color w:val="auto"/>
        </w:rPr>
      </w:pPr>
    </w:p>
    <w:p>
      <w:pPr>
        <w:jc w:val="both"/>
        <w:ind w:firstLine="299"/>
        <w:spacing w:after="0" w:line="309" w:lineRule="auto"/>
        <w:rPr>
          <w:sz w:val="20"/>
          <w:szCs w:val="20"/>
          <w:color w:val="auto"/>
        </w:rPr>
      </w:pPr>
      <w:r>
        <w:rPr>
          <w:rFonts w:ascii="Arial" w:cs="Arial" w:eastAsia="Arial" w:hAnsi="Arial"/>
          <w:sz w:val="16"/>
          <w:szCs w:val="16"/>
          <w:color w:val="auto"/>
        </w:rPr>
        <w:t>Sales, general and administrative expenses consist of personnel costs for employees involved in general corporate functions, including accounting, finance, tax, legal, and people services; customer service; and retail stores. Sales, general and administrative also includes payment processing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240"/>
          </w:cols>
          <w:pgMar w:left="320" w:top="118" w:right="339" w:bottom="1440" w:gutter="0" w:footer="0" w:header="0"/>
        </w:sectPr>
      </w:pPr>
    </w:p>
    <w:bookmarkStart w:id="218" w:name="page219"/>
    <w:bookmarkEnd w:id="21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professional fees and allocation of corporate facilities and information technology costs such as equipment, depreciation and rent.</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 xml:space="preserve">Effective January 1, 2020, the Company adopted ASU No. 2018-07, </w:t>
      </w:r>
      <w:r>
        <w:rPr>
          <w:rFonts w:ascii="Arial" w:cs="Arial" w:eastAsia="Arial" w:hAnsi="Arial"/>
          <w:sz w:val="17"/>
          <w:szCs w:val="17"/>
          <w:i w:val="1"/>
          <w:iCs w:val="1"/>
          <w:color w:val="auto"/>
        </w:rPr>
        <w:t>Compensation—Stock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Nonemployee Share-Based Payment Accounting. </w:t>
      </w:r>
      <w:r>
        <w:rPr>
          <w:rFonts w:ascii="Arial" w:cs="Arial" w:eastAsia="Arial" w:hAnsi="Arial"/>
          <w:sz w:val="17"/>
          <w:szCs w:val="17"/>
          <w:color w:val="auto"/>
        </w:rPr>
        <w:t>The adoption of this standard did not have material impact on the results of operations. After adoption,</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cost for all employee, non-employee consultant and director share-based awards are measured at fair value on the grant date using the Black-Scholes option pricing model and recognized as expense over the requisite service period or over the period in which the related services are received (generally the vesting period), using the straight-line method. The Company accounts for forfeitures as they occur. The determination of fair value for share-based awards on the date of grant using an option pricing model requires management to make certain assumptions regarding subjective variables.</w:t>
      </w:r>
    </w:p>
    <w:p>
      <w:pPr>
        <w:spacing w:after="0" w:line="102" w:lineRule="exact"/>
        <w:rPr>
          <w:sz w:val="20"/>
          <w:szCs w:val="20"/>
          <w:color w:val="auto"/>
        </w:rPr>
      </w:pPr>
    </w:p>
    <w:p>
      <w:pPr>
        <w:jc w:val="both"/>
        <w:ind w:firstLine="299"/>
        <w:spacing w:after="0" w:line="211" w:lineRule="exact"/>
        <w:rPr>
          <w:sz w:val="20"/>
          <w:szCs w:val="20"/>
          <w:color w:val="auto"/>
        </w:rPr>
      </w:pPr>
      <w:r>
        <w:rPr>
          <w:rFonts w:ascii="Arial" w:cs="Arial" w:eastAsia="Arial" w:hAnsi="Arial"/>
          <w:sz w:val="17"/>
          <w:szCs w:val="17"/>
          <w:color w:val="auto"/>
        </w:rPr>
        <w:t>The Company has granted stock options to certain employees and officers which vest upon the satisfaction of both a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 and a IPO</w:t>
      </w:r>
      <w:r>
        <w:rPr>
          <w:rFonts w:ascii="MS PGothic" w:cs="MS PGothic" w:eastAsia="MS PGothic" w:hAnsi="MS PGothic"/>
          <w:sz w:val="17"/>
          <w:szCs w:val="17"/>
          <w:color w:val="auto"/>
        </w:rPr>
        <w:t>‑</w:t>
      </w:r>
      <w:r>
        <w:rPr>
          <w:rFonts w:ascii="Arial" w:cs="Arial" w:eastAsia="Arial" w:hAnsi="Arial"/>
          <w:sz w:val="17"/>
          <w:szCs w:val="17"/>
          <w:color w:val="auto"/>
        </w:rPr>
        <w:t>related performance condition. The liquidity event</w:t>
      </w:r>
      <w:r>
        <w:rPr>
          <w:rFonts w:ascii="MS PGothic" w:cs="MS PGothic" w:eastAsia="MS PGothic" w:hAnsi="MS PGothic"/>
          <w:sz w:val="17"/>
          <w:szCs w:val="17"/>
          <w:color w:val="auto"/>
        </w:rPr>
        <w:t>‑</w:t>
      </w:r>
      <w:r>
        <w:rPr>
          <w:rFonts w:ascii="Arial" w:cs="Arial" w:eastAsia="Arial" w:hAnsi="Arial"/>
          <w:sz w:val="17"/>
          <w:szCs w:val="17"/>
          <w:color w:val="auto"/>
        </w:rPr>
        <w:t>related performance condition is viewed as a performance</w:t>
      </w:r>
      <w:r>
        <w:rPr>
          <w:rFonts w:ascii="MS PGothic" w:cs="MS PGothic" w:eastAsia="MS PGothic" w:hAnsi="MS PGothic"/>
          <w:sz w:val="17"/>
          <w:szCs w:val="17"/>
          <w:color w:val="auto"/>
        </w:rPr>
        <w:t>‑</w:t>
      </w:r>
      <w:r>
        <w:rPr>
          <w:rFonts w:ascii="Arial" w:cs="Arial" w:eastAsia="Arial" w:hAnsi="Arial"/>
          <w:sz w:val="17"/>
          <w:szCs w:val="17"/>
          <w:color w:val="auto"/>
        </w:rPr>
        <w:t>based criterion for which the achievement of such liquidity event is not deemed probable for accounting purposes until the event occurs. The Company will recognize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using the accelerated attribution method in the quarter in which such event occurs.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 ASU 2019-04, ASU 2019-05, ASU 2019-10, ASU 2019-11, ASU 2020-02, and ASU 2020-03, which replaces the existing incurred loss impairment model with an expected credit loss model and requires a financial asset measured at amortized cost to be presented at the net amount expected to be collected. This standard is effective for fiscal years beginning after December 15, 2022, including interim periods within those fiscal years. Early adoption is permitted. The Company does not expect the adoption of this standard to have a material impact on its results of operations.</w:t>
      </w:r>
    </w:p>
    <w:p>
      <w:pPr>
        <w:spacing w:after="0" w:line="122"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The amendment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This standard is effective for fiscal years beginning after December 15, 2020, and interim periods in fiscal years beginning after December 15, 2021. Early adoption is permitted. The Company does not expect the adoption of this standard to have a material impact on its results of operations.</w:t>
      </w:r>
    </w:p>
    <w:p>
      <w:pPr>
        <w:spacing w:after="0" w:line="120" w:lineRule="exact"/>
        <w:rPr>
          <w:sz w:val="20"/>
          <w:szCs w:val="20"/>
          <w:color w:val="auto"/>
        </w:rPr>
      </w:pPr>
    </w:p>
    <w:p>
      <w:pPr>
        <w:ind w:left="580" w:hanging="580"/>
        <w:spacing w:after="0"/>
        <w:tabs>
          <w:tab w:leader="none" w:pos="58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Fair value accounting is applied for all financial assets and liabilities that are recognized or disclosed at fair value in the financial statements on a recurring basis (at least annually). At December 31, 2019 and 2020, the carrying amount of accounts receivable, other current assets, other assets, accounts payable, seller payable and accrued and other current liabilities approximated their estimated fair value due to their relatively short maturities. Management believes the terms of its long-term debt reflect current market conditions for an instrument with similar terms and maturity, therefore the carrying value of the Company’s debt approximated its fair value.</w:t>
      </w:r>
    </w:p>
    <w:p>
      <w:pPr>
        <w:spacing w:after="0" w:line="11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240"/>
          </w:cols>
          <w:pgMar w:left="320" w:top="118" w:right="339" w:bottom="1440" w:gutter="0" w:footer="0" w:header="0"/>
        </w:sectPr>
      </w:pPr>
    </w:p>
    <w:bookmarkStart w:id="219" w:name="page220"/>
    <w:bookmarkEnd w:id="21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53" w:lineRule="exact"/>
        <w:rPr>
          <w:sz w:val="20"/>
          <w:szCs w:val="20"/>
          <w:color w:val="auto"/>
        </w:rPr>
      </w:pPr>
    </w:p>
    <w:p>
      <w:pPr>
        <w:ind w:left="300"/>
        <w:spacing w:after="0" w:line="309" w:lineRule="auto"/>
        <w:rPr>
          <w:sz w:val="20"/>
          <w:szCs w:val="20"/>
          <w:color w:val="auto"/>
        </w:rPr>
      </w:pPr>
      <w:r>
        <w:rPr>
          <w:rFonts w:ascii="Arial" w:cs="Arial" w:eastAsia="Arial" w:hAnsi="Arial"/>
          <w:sz w:val="16"/>
          <w:szCs w:val="16"/>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tables provide the financial instruments measured at fair value for each of the respective periods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3"/>
                <w:szCs w:val="13"/>
                <w:b w:val="1"/>
                <w:bCs w:val="1"/>
                <w:color w:val="auto"/>
              </w:rPr>
              <w:t>December 31, 2019</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7"/>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2</w:t>
            </w:r>
          </w:p>
        </w:tc>
        <w:tc>
          <w:tcPr>
            <w:tcW w:w="1100" w:type="dxa"/>
            <w:vAlign w:val="bottom"/>
          </w:tcPr>
          <w:p>
            <w:pPr>
              <w:jc w:val="right"/>
              <w:ind w:right="20"/>
              <w:spacing w:after="0"/>
              <w:rPr>
                <w:sz w:val="20"/>
                <w:szCs w:val="20"/>
                <w:color w:val="auto"/>
              </w:rPr>
            </w:pPr>
            <w:r>
              <w:rPr>
                <w:rFonts w:ascii="Arial" w:cs="Arial" w:eastAsia="Arial" w:hAnsi="Arial"/>
                <w:sz w:val="13"/>
                <w:szCs w:val="13"/>
                <w:b w:val="1"/>
                <w:bCs w:val="1"/>
                <w:color w:val="auto"/>
              </w:rPr>
              <w:t>Level 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40"/>
              <w:spacing w:after="0"/>
              <w:rPr>
                <w:sz w:val="20"/>
                <w:szCs w:val="20"/>
                <w:color w:val="auto"/>
              </w:rPr>
            </w:pPr>
            <w:r>
              <w:rPr>
                <w:rFonts w:ascii="Arial" w:cs="Arial" w:eastAsia="Arial" w:hAnsi="Arial"/>
                <w:sz w:val="13"/>
                <w:szCs w:val="13"/>
                <w:b w:val="1"/>
                <w:bCs w:val="1"/>
                <w:color w:val="auto"/>
              </w:rPr>
              <w:t>Total</w:t>
            </w:r>
          </w:p>
        </w:tc>
      </w:tr>
      <w:tr>
        <w:trPr>
          <w:trHeight w:val="192"/>
        </w:trPr>
        <w:tc>
          <w:tcPr>
            <w:tcW w:w="4700" w:type="dxa"/>
            <w:vAlign w:val="bottom"/>
            <w:tcBorders>
              <w:top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212"/>
        </w:trPr>
        <w:tc>
          <w:tcPr>
            <w:tcW w:w="4700" w:type="dxa"/>
            <w:vAlign w:val="bottom"/>
          </w:tcPr>
          <w:p>
            <w:pPr>
              <w:ind w:left="420"/>
              <w:spacing w:after="0"/>
              <w:rPr>
                <w:sz w:val="20"/>
                <w:szCs w:val="20"/>
                <w:color w:val="auto"/>
              </w:rPr>
            </w:pPr>
            <w:r>
              <w:rPr>
                <w:rFonts w:ascii="Arial" w:cs="Arial" w:eastAsia="Arial" w:hAnsi="Arial"/>
                <w:sz w:val="17"/>
                <w:szCs w:val="17"/>
                <w:color w:val="auto"/>
              </w:rPr>
              <w:t>Cash equivalents: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47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Money market fund</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75,693</w:t>
            </w:r>
          </w:p>
        </w:tc>
      </w:tr>
      <w:tr>
        <w:trPr>
          <w:trHeight w:val="204"/>
        </w:trPr>
        <w:tc>
          <w:tcPr>
            <w:tcW w:w="4700" w:type="dxa"/>
            <w:vAlign w:val="bottom"/>
          </w:tcPr>
          <w:p>
            <w:pPr>
              <w:ind w:left="220"/>
              <w:spacing w:after="0"/>
              <w:rPr>
                <w:sz w:val="20"/>
                <w:szCs w:val="20"/>
                <w:color w:val="auto"/>
              </w:rPr>
            </w:pPr>
            <w:r>
              <w:rPr>
                <w:rFonts w:ascii="Arial" w:cs="Arial" w:eastAsia="Arial" w:hAnsi="Arial"/>
                <w:sz w:val="17"/>
                <w:szCs w:val="17"/>
                <w:color w:val="auto"/>
              </w:rPr>
              <w:t>Total cash equivalents</w:t>
            </w: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75,693</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75,693</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Liabilities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2"/>
        </w:trPr>
        <w:tc>
          <w:tcPr>
            <w:tcW w:w="4700" w:type="dxa"/>
            <w:vAlign w:val="bottom"/>
          </w:tcPr>
          <w:p>
            <w:pPr>
              <w:ind w:left="460"/>
              <w:spacing w:after="0"/>
              <w:rPr>
                <w:sz w:val="20"/>
                <w:szCs w:val="20"/>
                <w:color w:val="auto"/>
              </w:rPr>
            </w:pPr>
            <w:r>
              <w:rPr>
                <w:rFonts w:ascii="Arial" w:cs="Arial" w:eastAsia="Arial" w:hAnsi="Arial"/>
                <w:sz w:val="17"/>
                <w:szCs w:val="17"/>
                <w:color w:val="auto"/>
              </w:rPr>
              <w:t>Convertible preferred stock warrant liability</w:t>
            </w: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548</w:t>
            </w:r>
          </w:p>
        </w:tc>
        <w:tc>
          <w:tcPr>
            <w:tcW w:w="80" w:type="dxa"/>
            <w:vAlign w:val="bottom"/>
          </w:tcPr>
          <w:p>
            <w:pPr>
              <w:spacing w:after="0"/>
              <w:rPr>
                <w:sz w:val="18"/>
                <w:szCs w:val="18"/>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548</w:t>
            </w:r>
          </w:p>
        </w:tc>
      </w:tr>
      <w:tr>
        <w:trPr>
          <w:trHeight w:val="229"/>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18"/>
        </w:trPr>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3"/>
                <w:szCs w:val="13"/>
                <w:b w:val="1"/>
                <w:bCs w:val="1"/>
                <w:color w:val="auto"/>
              </w:rPr>
              <w:t>December 31, 2020</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7"/>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2</w:t>
            </w:r>
          </w:p>
        </w:tc>
        <w:tc>
          <w:tcPr>
            <w:tcW w:w="1100" w:type="dxa"/>
            <w:vAlign w:val="bottom"/>
          </w:tcPr>
          <w:p>
            <w:pPr>
              <w:jc w:val="right"/>
              <w:ind w:right="20"/>
              <w:spacing w:after="0"/>
              <w:rPr>
                <w:sz w:val="20"/>
                <w:szCs w:val="20"/>
                <w:color w:val="auto"/>
              </w:rPr>
            </w:pPr>
            <w:r>
              <w:rPr>
                <w:rFonts w:ascii="Arial" w:cs="Arial" w:eastAsia="Arial" w:hAnsi="Arial"/>
                <w:sz w:val="13"/>
                <w:szCs w:val="13"/>
                <w:b w:val="1"/>
                <w:bCs w:val="1"/>
                <w:color w:val="auto"/>
              </w:rPr>
              <w:t>Level 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40"/>
              <w:spacing w:after="0"/>
              <w:rPr>
                <w:sz w:val="20"/>
                <w:szCs w:val="20"/>
                <w:color w:val="auto"/>
              </w:rPr>
            </w:pPr>
            <w:r>
              <w:rPr>
                <w:rFonts w:ascii="Arial" w:cs="Arial" w:eastAsia="Arial" w:hAnsi="Arial"/>
                <w:sz w:val="13"/>
                <w:szCs w:val="13"/>
                <w:b w:val="1"/>
                <w:bCs w:val="1"/>
                <w:color w:val="auto"/>
              </w:rPr>
              <w:t>Total</w:t>
            </w:r>
          </w:p>
        </w:tc>
      </w:tr>
      <w:tr>
        <w:trPr>
          <w:trHeight w:val="192"/>
        </w:trPr>
        <w:tc>
          <w:tcPr>
            <w:tcW w:w="4700" w:type="dxa"/>
            <w:vAlign w:val="bottom"/>
            <w:tcBorders>
              <w:top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212"/>
        </w:trPr>
        <w:tc>
          <w:tcPr>
            <w:tcW w:w="4700" w:type="dxa"/>
            <w:vAlign w:val="bottom"/>
          </w:tcPr>
          <w:p>
            <w:pPr>
              <w:ind w:left="420"/>
              <w:spacing w:after="0"/>
              <w:rPr>
                <w:sz w:val="20"/>
                <w:szCs w:val="20"/>
                <w:color w:val="auto"/>
              </w:rPr>
            </w:pPr>
            <w:r>
              <w:rPr>
                <w:rFonts w:ascii="Arial" w:cs="Arial" w:eastAsia="Arial" w:hAnsi="Arial"/>
                <w:sz w:val="17"/>
                <w:szCs w:val="17"/>
                <w:color w:val="auto"/>
              </w:rPr>
              <w:t>Cash equivalents: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47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Money market fund</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43,460</w:t>
            </w:r>
          </w:p>
        </w:tc>
      </w:tr>
      <w:tr>
        <w:trPr>
          <w:trHeight w:val="204"/>
        </w:trPr>
        <w:tc>
          <w:tcPr>
            <w:tcW w:w="4700" w:type="dxa"/>
            <w:vAlign w:val="bottom"/>
          </w:tcPr>
          <w:p>
            <w:pPr>
              <w:ind w:left="220"/>
              <w:spacing w:after="0"/>
              <w:rPr>
                <w:sz w:val="20"/>
                <w:szCs w:val="20"/>
                <w:color w:val="auto"/>
              </w:rPr>
            </w:pPr>
            <w:r>
              <w:rPr>
                <w:rFonts w:ascii="Arial" w:cs="Arial" w:eastAsia="Arial" w:hAnsi="Arial"/>
                <w:sz w:val="17"/>
                <w:szCs w:val="17"/>
                <w:color w:val="auto"/>
              </w:rPr>
              <w:t>Total cash equivalents</w:t>
            </w: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43,460</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43,460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Liabilities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2"/>
        </w:trPr>
        <w:tc>
          <w:tcPr>
            <w:tcW w:w="4700" w:type="dxa"/>
            <w:vAlign w:val="bottom"/>
          </w:tcPr>
          <w:p>
            <w:pPr>
              <w:ind w:left="460"/>
              <w:spacing w:after="0"/>
              <w:rPr>
                <w:sz w:val="20"/>
                <w:szCs w:val="20"/>
                <w:color w:val="auto"/>
              </w:rPr>
            </w:pPr>
            <w:r>
              <w:rPr>
                <w:rFonts w:ascii="Arial" w:cs="Arial" w:eastAsia="Arial" w:hAnsi="Arial"/>
                <w:sz w:val="17"/>
                <w:szCs w:val="17"/>
                <w:color w:val="auto"/>
              </w:rPr>
              <w:t>Convertible preferred stock warrant liability</w:t>
            </w: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805</w:t>
            </w:r>
          </w:p>
        </w:tc>
        <w:tc>
          <w:tcPr>
            <w:tcW w:w="80" w:type="dxa"/>
            <w:vAlign w:val="bottom"/>
          </w:tcPr>
          <w:p>
            <w:pPr>
              <w:spacing w:after="0"/>
              <w:rPr>
                <w:sz w:val="18"/>
                <w:szCs w:val="18"/>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805</w:t>
            </w:r>
          </w:p>
        </w:tc>
      </w:tr>
      <w:tr>
        <w:trPr>
          <w:trHeight w:val="229"/>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3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Company’s money market funds are classified as Level 1 because they are valued using quoted market prices. There were no transfers into or out of Level 3 of the fair value hierarchy during the periods presented.</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As of December 31, 2019 and 2020 the amortized cost of the Company’s financial assets and liabilities approximate their estimated fair values. As such, there are no unrealized gains or losses related to the Company’s financial assets and liabilities.</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As of December 31, 2019 and 2020, there were no marketable securities. For the years ended December 31, 2018, 2019 and 2020 the Company recognized no material realized gains or losses on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240"/>
          </w:cols>
          <w:pgMar w:left="320" w:top="118" w:right="339" w:bottom="1440" w:gutter="0" w:footer="0" w:header="0"/>
        </w:sectPr>
      </w:pPr>
    </w:p>
    <w:bookmarkStart w:id="220" w:name="page221"/>
    <w:bookmarkEnd w:id="22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660" w:type="dxa"/>
            <w:vAlign w:val="bottom"/>
          </w:tcPr>
          <w:p>
            <w:pPr>
              <w:ind w:left="5120"/>
              <w:spacing w:after="0"/>
              <w:rPr>
                <w:sz w:val="20"/>
                <w:szCs w:val="20"/>
                <w:color w:val="auto"/>
              </w:rPr>
            </w:pPr>
            <w:r>
              <w:rPr>
                <w:rFonts w:ascii="Arial" w:cs="Arial" w:eastAsia="Arial" w:hAnsi="Arial"/>
                <w:sz w:val="17"/>
                <w:szCs w:val="17"/>
                <w:b w:val="1"/>
                <w:bCs w:val="1"/>
                <w:color w:val="auto"/>
              </w:rPr>
              <w:t>ThredUp Inc.</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9660" w:type="dxa"/>
            <w:vAlign w:val="bottom"/>
          </w:tcPr>
          <w:p>
            <w:pPr>
              <w:ind w:left="3900"/>
              <w:spacing w:after="0"/>
              <w:rPr>
                <w:sz w:val="20"/>
                <w:szCs w:val="20"/>
                <w:color w:val="auto"/>
              </w:rPr>
            </w:pPr>
            <w:r>
              <w:rPr>
                <w:rFonts w:ascii="Arial" w:cs="Arial" w:eastAsia="Arial" w:hAnsi="Arial"/>
                <w:sz w:val="17"/>
                <w:szCs w:val="17"/>
                <w:b w:val="1"/>
                <w:bCs w:val="1"/>
                <w:color w:val="auto"/>
              </w:rPr>
              <w:t>Notes to Consolidated Financial Statements</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637"/>
        </w:trPr>
        <w:tc>
          <w:tcPr>
            <w:tcW w:w="9660" w:type="dxa"/>
            <w:vAlign w:val="bottom"/>
          </w:tcPr>
          <w:p>
            <w:pPr>
              <w:ind w:left="300"/>
              <w:spacing w:after="0"/>
              <w:rPr>
                <w:sz w:val="20"/>
                <w:szCs w:val="20"/>
                <w:color w:val="auto"/>
              </w:rPr>
            </w:pPr>
            <w:r>
              <w:rPr>
                <w:rFonts w:ascii="Arial" w:cs="Arial" w:eastAsia="Arial" w:hAnsi="Arial"/>
                <w:sz w:val="17"/>
                <w:szCs w:val="17"/>
                <w:color w:val="auto"/>
              </w:rPr>
              <w:t>The following table presents a rollforward of the fair value of the level 3 liabilities recorded at fair value (in thousands):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9"/>
        </w:trPr>
        <w:tc>
          <w:tcPr>
            <w:tcW w:w="9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ind w:right="21"/>
              <w:spacing w:after="0"/>
              <w:rPr>
                <w:sz w:val="20"/>
                <w:szCs w:val="20"/>
                <w:color w:val="auto"/>
              </w:rPr>
            </w:pPr>
            <w:r>
              <w:rPr>
                <w:rFonts w:ascii="Arial" w:cs="Arial" w:eastAsia="Arial" w:hAnsi="Arial"/>
                <w:sz w:val="13"/>
                <w:szCs w:val="13"/>
                <w:b w:val="1"/>
                <w:bCs w:val="1"/>
                <w:color w:val="auto"/>
              </w:rPr>
              <w:t>Convertible Preferred</w:t>
            </w:r>
          </w:p>
        </w:tc>
      </w:tr>
      <w:tr>
        <w:trPr>
          <w:trHeight w:val="124"/>
        </w:trPr>
        <w:tc>
          <w:tcPr>
            <w:tcW w:w="9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center"/>
              <w:ind w:right="21"/>
              <w:spacing w:after="0" w:line="124" w:lineRule="exact"/>
              <w:rPr>
                <w:sz w:val="20"/>
                <w:szCs w:val="20"/>
                <w:color w:val="auto"/>
              </w:rPr>
            </w:pPr>
            <w:r>
              <w:rPr>
                <w:rFonts w:ascii="Arial" w:cs="Arial" w:eastAsia="Arial" w:hAnsi="Arial"/>
                <w:sz w:val="13"/>
                <w:szCs w:val="13"/>
                <w:b w:val="1"/>
                <w:bCs w:val="1"/>
                <w:color w:val="auto"/>
              </w:rPr>
              <w:t>Stock</w:t>
            </w:r>
          </w:p>
        </w:tc>
      </w:tr>
      <w:tr>
        <w:trPr>
          <w:trHeight w:val="162"/>
        </w:trPr>
        <w:tc>
          <w:tcPr>
            <w:tcW w:w="9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rPr>
              <w:t>Warrant Liability</w:t>
            </w:r>
          </w:p>
        </w:tc>
      </w:tr>
      <w:tr>
        <w:trPr>
          <w:trHeight w:val="204"/>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r>
      <w:tr>
        <w:trPr>
          <w:trHeight w:val="212"/>
        </w:trPr>
        <w:tc>
          <w:tcPr>
            <w:tcW w:w="9660" w:type="dxa"/>
            <w:vAlign w:val="bottom"/>
          </w:tcPr>
          <w:p>
            <w:pPr>
              <w:ind w:left="220"/>
              <w:spacing w:after="0"/>
              <w:rPr>
                <w:sz w:val="20"/>
                <w:szCs w:val="20"/>
                <w:color w:val="auto"/>
              </w:rPr>
            </w:pPr>
            <w:r>
              <w:rPr>
                <w:rFonts w:ascii="Arial" w:cs="Arial" w:eastAsia="Arial" w:hAnsi="Arial"/>
                <w:sz w:val="17"/>
                <w:szCs w:val="17"/>
                <w:color w:val="auto"/>
              </w:rPr>
              <w:t>Issuance of series E-1 preferred stock warrants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estimated fair value</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4"/>
        </w:trPr>
        <w:tc>
          <w:tcPr>
            <w:tcW w:w="9660" w:type="dxa"/>
            <w:vAlign w:val="bottom"/>
          </w:tcPr>
          <w:p>
            <w:pPr>
              <w:ind w:left="20"/>
              <w:spacing w:after="0"/>
              <w:rPr>
                <w:sz w:val="20"/>
                <w:szCs w:val="20"/>
                <w:color w:val="auto"/>
              </w:rPr>
            </w:pPr>
            <w:r>
              <w:rPr>
                <w:rFonts w:ascii="Arial" w:cs="Arial" w:eastAsia="Arial" w:hAnsi="Arial"/>
                <w:sz w:val="17"/>
                <w:szCs w:val="17"/>
                <w:color w:val="auto"/>
              </w:rPr>
              <w:t>Balance as of December 31, 2019</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548</w:t>
            </w: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estimated fair value</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12"/>
        </w:trPr>
        <w:tc>
          <w:tcPr>
            <w:tcW w:w="9660" w:type="dxa"/>
            <w:vAlign w:val="bottom"/>
          </w:tcPr>
          <w:p>
            <w:pPr>
              <w:ind w:left="220"/>
              <w:spacing w:after="0"/>
              <w:rPr>
                <w:sz w:val="20"/>
                <w:szCs w:val="20"/>
                <w:color w:val="auto"/>
              </w:rPr>
            </w:pPr>
            <w:r>
              <w:rPr>
                <w:rFonts w:ascii="Arial" w:cs="Arial" w:eastAsia="Arial" w:hAnsi="Arial"/>
                <w:sz w:val="17"/>
                <w:szCs w:val="17"/>
                <w:color w:val="auto"/>
              </w:rPr>
              <w:t>Incremental fair value due to the modification of the series E-1 preferred stock warrant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 of series F preferred stock warrant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2"/>
        </w:trPr>
        <w:tc>
          <w:tcPr>
            <w:tcW w:w="9660" w:type="dxa"/>
            <w:vAlign w:val="bottom"/>
          </w:tcPr>
          <w:p>
            <w:pPr>
              <w:ind w:left="220"/>
              <w:spacing w:after="0"/>
              <w:rPr>
                <w:sz w:val="20"/>
                <w:szCs w:val="20"/>
                <w:color w:val="auto"/>
              </w:rPr>
            </w:pPr>
            <w:r>
              <w:rPr>
                <w:rFonts w:ascii="Arial" w:cs="Arial" w:eastAsia="Arial" w:hAnsi="Arial"/>
                <w:sz w:val="17"/>
                <w:szCs w:val="17"/>
                <w:color w:val="auto"/>
              </w:rPr>
              <w:t>Issuance of series E-1 preferred stock warrant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 of series C preferred stock warrant</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04"/>
        </w:trPr>
        <w:tc>
          <w:tcPr>
            <w:tcW w:w="9660" w:type="dxa"/>
            <w:vAlign w:val="bottom"/>
          </w:tcPr>
          <w:p>
            <w:pPr>
              <w:ind w:left="20"/>
              <w:spacing w:after="0"/>
              <w:rPr>
                <w:sz w:val="20"/>
                <w:szCs w:val="20"/>
                <w:color w:val="auto"/>
              </w:rPr>
            </w:pPr>
            <w:r>
              <w:rPr>
                <w:rFonts w:ascii="Arial" w:cs="Arial" w:eastAsia="Arial" w:hAnsi="Arial"/>
                <w:sz w:val="17"/>
                <w:szCs w:val="17"/>
                <w:color w:val="auto"/>
              </w:rPr>
              <w:t>Balance as of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w:t>
            </w:r>
          </w:p>
        </w:tc>
      </w:tr>
      <w:tr>
        <w:trPr>
          <w:trHeight w:val="20"/>
        </w:trPr>
        <w:tc>
          <w:tcPr>
            <w:tcW w:w="9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key assumptions used in the Black-Scholes option-pricing model for the valuation of the convertible preferred stock warrant liabilities upon remeasurement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Year Ended December 31,</w:t>
            </w:r>
          </w:p>
        </w:tc>
      </w:tr>
      <w:tr>
        <w:trPr>
          <w:trHeight w:val="179"/>
        </w:trPr>
        <w:tc>
          <w:tcPr>
            <w:tcW w:w="656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gridSpan w:val="2"/>
          </w:tcPr>
          <w:p>
            <w:pPr>
              <w:jc w:val="right"/>
              <w:ind w:right="921"/>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2020</w:t>
            </w:r>
          </w:p>
        </w:tc>
      </w:tr>
      <w:tr>
        <w:trPr>
          <w:trHeight w:val="204"/>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remaining term (in years)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9.1</w:t>
            </w:r>
          </w:p>
        </w:tc>
        <w:tc>
          <w:tcPr>
            <w:tcW w:w="80" w:type="dxa"/>
            <w:vAlign w:val="bottom"/>
            <w:shd w:val="clear" w:color="auto" w:fill="CCEEFF"/>
          </w:tcPr>
          <w:p>
            <w:pPr>
              <w:spacing w:after="0"/>
              <w:rPr>
                <w:sz w:val="17"/>
                <w:szCs w:val="17"/>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4.1-9.4</w:t>
            </w:r>
          </w:p>
        </w:tc>
      </w:tr>
      <w:tr>
        <w:trPr>
          <w:trHeight w:val="212"/>
        </w:trPr>
        <w:tc>
          <w:tcPr>
            <w:tcW w:w="656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1080" w:type="dxa"/>
            <w:vAlign w:val="bottom"/>
          </w:tcPr>
          <w:p>
            <w:pPr>
              <w:jc w:val="right"/>
              <w:spacing w:after="0"/>
              <w:rPr>
                <w:sz w:val="20"/>
                <w:szCs w:val="20"/>
                <w:color w:val="auto"/>
              </w:rPr>
            </w:pPr>
            <w:r>
              <w:rPr>
                <w:rFonts w:ascii="Arial" w:cs="Arial" w:eastAsia="Arial" w:hAnsi="Arial"/>
                <w:sz w:val="17"/>
                <w:szCs w:val="17"/>
                <w:color w:val="auto"/>
              </w:rPr>
              <w:t>47.6%</w:t>
            </w:r>
          </w:p>
        </w:tc>
        <w:tc>
          <w:tcPr>
            <w:tcW w:w="1300" w:type="dxa"/>
            <w:vAlign w:val="bottom"/>
            <w:gridSpan w:val="2"/>
          </w:tcPr>
          <w:p>
            <w:pPr>
              <w:ind w:left="20"/>
              <w:spacing w:after="0"/>
              <w:rPr>
                <w:sz w:val="20"/>
                <w:szCs w:val="20"/>
                <w:color w:val="auto"/>
              </w:rPr>
            </w:pPr>
            <w:r>
              <w:rPr>
                <w:rFonts w:ascii="Arial" w:cs="Arial" w:eastAsia="Arial" w:hAnsi="Arial"/>
                <w:sz w:val="17"/>
                <w:szCs w:val="17"/>
                <w:color w:val="auto"/>
              </w:rPr>
              <w:t>– 60.2%</w:t>
            </w:r>
          </w:p>
        </w:tc>
        <w:tc>
          <w:tcPr>
            <w:tcW w:w="2300" w:type="dxa"/>
            <w:vAlign w:val="bottom"/>
          </w:tcPr>
          <w:p>
            <w:pPr>
              <w:jc w:val="center"/>
              <w:spacing w:after="0"/>
              <w:rPr>
                <w:sz w:val="20"/>
                <w:szCs w:val="20"/>
                <w:color w:val="auto"/>
              </w:rPr>
            </w:pPr>
            <w:r>
              <w:rPr>
                <w:rFonts w:ascii="Arial" w:cs="Arial" w:eastAsia="Arial" w:hAnsi="Arial"/>
                <w:sz w:val="17"/>
                <w:szCs w:val="17"/>
                <w:color w:val="auto"/>
                <w:w w:val="97"/>
              </w:rPr>
              <w:t>47.9%-52.4%</w:t>
            </w:r>
          </w:p>
        </w:tc>
      </w:tr>
      <w:tr>
        <w:trPr>
          <w:trHeight w:val="212"/>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risk-free rate</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1.89%</w:t>
            </w: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0.27%-0.88%</w:t>
            </w:r>
          </w:p>
        </w:tc>
      </w:tr>
      <w:tr>
        <w:trPr>
          <w:trHeight w:val="222"/>
        </w:trPr>
        <w:tc>
          <w:tcPr>
            <w:tcW w:w="656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2300" w:type="dxa"/>
            <w:vAlign w:val="bottom"/>
            <w:gridSpan w:val="2"/>
          </w:tcPr>
          <w:p>
            <w:pPr>
              <w:jc w:val="right"/>
              <w:ind w:right="961"/>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7"/>
              </w:rPr>
              <w:t>0%</w:t>
            </w:r>
          </w:p>
        </w:tc>
      </w:tr>
    </w:tbl>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Refer to Note 7, Long-term Debt and Convertible Preferred Stock Warrants, for more details on preferred stock warrants.</w:t>
      </w:r>
    </w:p>
    <w:p>
      <w:pPr>
        <w:spacing w:after="0" w:line="151" w:lineRule="exact"/>
        <w:rPr>
          <w:sz w:val="20"/>
          <w:szCs w:val="20"/>
          <w:color w:val="auto"/>
        </w:rPr>
      </w:pPr>
    </w:p>
    <w:p>
      <w:pPr>
        <w:ind w:left="580" w:hanging="580"/>
        <w:spacing w:after="0"/>
        <w:tabs>
          <w:tab w:leader="none" w:pos="58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79"/>
        </w:trPr>
        <w:tc>
          <w:tcPr>
            <w:tcW w:w="80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r>
      <w:tr>
        <w:trPr>
          <w:trHeight w:val="204"/>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Machinery and equipment</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35,254</w:t>
            </w:r>
          </w:p>
        </w:tc>
      </w:tr>
      <w:tr>
        <w:trPr>
          <w:trHeight w:val="212"/>
        </w:trPr>
        <w:tc>
          <w:tcPr>
            <w:tcW w:w="8000" w:type="dxa"/>
            <w:vAlign w:val="bottom"/>
          </w:tcPr>
          <w:p>
            <w:pPr>
              <w:ind w:left="220"/>
              <w:spacing w:after="0"/>
              <w:rPr>
                <w:sz w:val="20"/>
                <w:szCs w:val="20"/>
                <w:color w:val="auto"/>
              </w:rPr>
            </w:pPr>
            <w:r>
              <w:rPr>
                <w:rFonts w:ascii="Arial" w:cs="Arial" w:eastAsia="Arial" w:hAnsi="Arial"/>
                <w:sz w:val="17"/>
                <w:szCs w:val="17"/>
                <w:color w:val="auto"/>
              </w:rPr>
              <w:t>Internal-use software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3,442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4,764</w:t>
            </w:r>
          </w:p>
        </w:tc>
      </w:tr>
      <w:tr>
        <w:trPr>
          <w:trHeight w:val="212"/>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Leasehold improvements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w:t>
            </w:r>
          </w:p>
        </w:tc>
      </w:tr>
      <w:tr>
        <w:trPr>
          <w:trHeight w:val="212"/>
        </w:trPr>
        <w:tc>
          <w:tcPr>
            <w:tcW w:w="8000" w:type="dxa"/>
            <w:vAlign w:val="bottom"/>
          </w:tcPr>
          <w:p>
            <w:pPr>
              <w:ind w:left="220"/>
              <w:spacing w:after="0"/>
              <w:rPr>
                <w:sz w:val="20"/>
                <w:szCs w:val="20"/>
                <w:color w:val="auto"/>
              </w:rPr>
            </w:pPr>
            <w:r>
              <w:rPr>
                <w:rFonts w:ascii="Arial" w:cs="Arial" w:eastAsia="Arial" w:hAnsi="Arial"/>
                <w:sz w:val="17"/>
                <w:szCs w:val="17"/>
                <w:color w:val="auto"/>
              </w:rPr>
              <w:t>Computers and software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2,031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3,677</w:t>
            </w:r>
          </w:p>
        </w:tc>
      </w:tr>
      <w:tr>
        <w:trPr>
          <w:trHeight w:val="212"/>
        </w:trPr>
        <w:tc>
          <w:tcPr>
            <w:tcW w:w="8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Furniture and fixtures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r>
      <w:tr>
        <w:trPr>
          <w:trHeight w:val="212"/>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Construction in progress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3,852</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6,548</w:t>
            </w:r>
          </w:p>
        </w:tc>
      </w:tr>
      <w:tr>
        <w:trPr>
          <w:trHeight w:val="204"/>
        </w:trPr>
        <w:tc>
          <w:tcPr>
            <w:tcW w:w="8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35,797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55,221</w:t>
            </w:r>
          </w:p>
        </w:tc>
      </w:tr>
      <w:tr>
        <w:trPr>
          <w:trHeight w:val="21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(14,090)</w:t>
            </w: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26,053</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41,131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For the years ended December 31, 2019 and 2020, the Company capitalized $0.7 million and $1.4 million of costs associated with internal-use software, respectively. For the years ended December 31, 2019 and 2020 the Company capitalized zero and $0.4 million, respectively, out of $ 1.4 million and $1.7 million total interest costs incurred for each respective period. Depreciation and amortization expense of property and equipment was $4.3 million and $5.6 million in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240"/>
          </w:cols>
          <w:pgMar w:left="320" w:top="118" w:right="339" w:bottom="1440" w:gutter="0" w:footer="0" w:header="0"/>
        </w:sectPr>
      </w:pPr>
    </w:p>
    <w:bookmarkStart w:id="221" w:name="page222"/>
    <w:bookmarkEnd w:id="22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7"/>
                <w:szCs w:val="17"/>
                <w:b w:val="1"/>
                <w:bCs w:val="1"/>
                <w:color w:val="auto"/>
              </w:rPr>
              <w:t>5.</w:t>
            </w:r>
          </w:p>
        </w:tc>
        <w:tc>
          <w:tcPr>
            <w:tcW w:w="7780" w:type="dxa"/>
            <w:vAlign w:val="bottom"/>
          </w:tcPr>
          <w:p>
            <w:pPr>
              <w:ind w:left="360"/>
              <w:spacing w:after="0"/>
              <w:rPr>
                <w:sz w:val="20"/>
                <w:szCs w:val="20"/>
                <w:color w:val="auto"/>
              </w:rPr>
            </w:pPr>
            <w:r>
              <w:rPr>
                <w:rFonts w:ascii="Arial" w:cs="Arial" w:eastAsia="Arial" w:hAnsi="Arial"/>
                <w:sz w:val="17"/>
                <w:szCs w:val="17"/>
                <w:b w:val="1"/>
                <w:bCs w:val="1"/>
                <w:color w:val="auto"/>
              </w:rPr>
              <w:t>Other Assets and Liabilities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20" w:type="dxa"/>
            <w:vAlign w:val="bottom"/>
          </w:tcPr>
          <w:p>
            <w:pPr>
              <w:spacing w:after="0"/>
              <w:rPr>
                <w:sz w:val="24"/>
                <w:szCs w:val="24"/>
                <w:color w:val="auto"/>
              </w:rPr>
            </w:pPr>
          </w:p>
        </w:tc>
        <w:tc>
          <w:tcPr>
            <w:tcW w:w="7780" w:type="dxa"/>
            <w:vAlign w:val="bottom"/>
          </w:tcPr>
          <w:p>
            <w:pPr>
              <w:ind w:left="80"/>
              <w:spacing w:after="0"/>
              <w:rPr>
                <w:sz w:val="20"/>
                <w:szCs w:val="20"/>
                <w:color w:val="auto"/>
              </w:rPr>
            </w:pPr>
            <w:r>
              <w:rPr>
                <w:rFonts w:ascii="Arial" w:cs="Arial" w:eastAsia="Arial" w:hAnsi="Arial"/>
                <w:sz w:val="17"/>
                <w:szCs w:val="17"/>
                <w:color w:val="auto"/>
              </w:rPr>
              <w:t>Other current assets consist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20" w:type="dxa"/>
            <w:vAlign w:val="bottom"/>
            <w:tcBorders>
              <w:bottom w:val="single" w:sz="8" w:color="CCEEFF"/>
            </w:tcBorders>
          </w:tcPr>
          <w:p>
            <w:pPr>
              <w:spacing w:after="0"/>
              <w:rPr>
                <w:sz w:val="15"/>
                <w:szCs w:val="15"/>
                <w:color w:val="auto"/>
              </w:rPr>
            </w:pPr>
          </w:p>
        </w:tc>
        <w:tc>
          <w:tcPr>
            <w:tcW w:w="77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4"/>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offering costs</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2,606</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Non-trade receivables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830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Prepaid software expense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Restricted cash, current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Prepaid rent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2"/>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prepaid expenses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1,201</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229"/>
        </w:trPr>
        <w:tc>
          <w:tcPr>
            <w:tcW w:w="220" w:type="dxa"/>
            <w:vAlign w:val="bottom"/>
            <w:tcBorders>
              <w:bottom w:val="single" w:sz="8" w:color="CCEEFF"/>
            </w:tcBorders>
            <w:shd w:val="clear" w:color="auto" w:fill="CCEEFF"/>
          </w:tcPr>
          <w:p>
            <w:pPr>
              <w:spacing w:after="0"/>
              <w:rPr>
                <w:sz w:val="19"/>
                <w:szCs w:val="19"/>
                <w:color w:val="auto"/>
              </w:rPr>
            </w:pPr>
          </w:p>
        </w:tc>
        <w:tc>
          <w:tcPr>
            <w:tcW w:w="77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5,332</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7"/>
                <w:szCs w:val="17"/>
                <w:color w:val="auto"/>
              </w:rPr>
              <w:t>Accrued and other current liabilities consist of the following (in thousands):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20" w:type="dxa"/>
            <w:vAlign w:val="bottom"/>
          </w:tcPr>
          <w:p>
            <w:pPr>
              <w:spacing w:after="0"/>
              <w:rPr>
                <w:sz w:val="24"/>
                <w:szCs w:val="24"/>
                <w:color w:val="auto"/>
              </w:rPr>
            </w:pPr>
          </w:p>
        </w:tc>
        <w:tc>
          <w:tcPr>
            <w:tcW w:w="77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20" w:type="dxa"/>
            <w:vAlign w:val="bottom"/>
            <w:tcBorders>
              <w:bottom w:val="single" w:sz="8" w:color="CCEEFF"/>
            </w:tcBorders>
          </w:tcPr>
          <w:p>
            <w:pPr>
              <w:spacing w:after="0"/>
              <w:rPr>
                <w:sz w:val="15"/>
                <w:szCs w:val="15"/>
                <w:color w:val="auto"/>
              </w:rPr>
            </w:pPr>
          </w:p>
        </w:tc>
        <w:tc>
          <w:tcPr>
            <w:tcW w:w="77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4"/>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Gift card and site credit liabilities</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9,362</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Deferred revenue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1,862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5,094</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taxes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4,594</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Accrued compensation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2,955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3,443</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vendor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3,407</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Allowance for returns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3,094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3,389</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marketing</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1,648</w:t>
            </w: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Deferred rent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other</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1,604</w:t>
            </w: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26,219</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580" w:hanging="580"/>
        <w:spacing w:after="0"/>
        <w:tabs>
          <w:tab w:leader="none" w:pos="58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Lease Agreements</w:t>
      </w:r>
    </w:p>
    <w:p>
      <w:pPr>
        <w:spacing w:after="0" w:line="15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Company leases certain office space and distribution centers with lease terms ranging from 12 to 146 months. These leases require monthly lease payments that may be subject to annual increases throughout the lease term. Certain of these leases also include renewal options at the election of the Company to renew or extend the lease for an additional 12 to 120 months. For certain leases, these optional periods have been considered in the determination of the right-of-use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240"/>
          </w:cols>
          <w:pgMar w:left="320" w:top="118" w:right="339" w:bottom="1440" w:gutter="0" w:footer="0" w:header="0"/>
        </w:sectPr>
      </w:pPr>
    </w:p>
    <w:bookmarkStart w:id="222" w:name="page223"/>
    <w:bookmarkEnd w:id="22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these leases as the Company has determined it is reasonably certain it will exercise the renewal options.</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Future minimum lease payments for operating leases as of December 31, 2019, prior to our adoption of the new leases standard,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381"/>
              <w:spacing w:after="0"/>
              <w:rPr>
                <w:sz w:val="20"/>
                <w:szCs w:val="20"/>
                <w:color w:val="auto"/>
              </w:rPr>
            </w:pPr>
            <w:r>
              <w:rPr>
                <w:rFonts w:ascii="Arial" w:cs="Arial" w:eastAsia="Arial" w:hAnsi="Arial"/>
                <w:sz w:val="13"/>
                <w:szCs w:val="13"/>
                <w:b w:val="1"/>
                <w:bCs w:val="1"/>
                <w:color w:val="auto"/>
              </w:rPr>
              <w:t>Operating</w:t>
            </w:r>
          </w:p>
        </w:tc>
      </w:tr>
      <w:tr>
        <w:trPr>
          <w:trHeight w:val="162"/>
        </w:trPr>
        <w:tc>
          <w:tcPr>
            <w:tcW w:w="96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Leases</w:t>
            </w:r>
          </w:p>
        </w:tc>
      </w:tr>
      <w:tr>
        <w:trPr>
          <w:trHeight w:val="204"/>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4,695</w:t>
            </w:r>
          </w:p>
        </w:tc>
      </w:tr>
      <w:tr>
        <w:trPr>
          <w:trHeight w:val="212"/>
        </w:trPr>
        <w:tc>
          <w:tcPr>
            <w:tcW w:w="9660" w:type="dxa"/>
            <w:vAlign w:val="bottom"/>
          </w:tcPr>
          <w:p>
            <w:pPr>
              <w:ind w:left="20"/>
              <w:spacing w:after="0"/>
              <w:rPr>
                <w:sz w:val="20"/>
                <w:szCs w:val="20"/>
                <w:color w:val="auto"/>
              </w:rPr>
            </w:pPr>
            <w:r>
              <w:rPr>
                <w:rFonts w:ascii="Arial" w:cs="Arial" w:eastAsia="Arial" w:hAnsi="Arial"/>
                <w:sz w:val="17"/>
                <w:szCs w:val="17"/>
                <w:color w:val="auto"/>
              </w:rPr>
              <w:t>2021</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4,274</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3,811</w:t>
            </w:r>
          </w:p>
        </w:tc>
      </w:tr>
      <w:tr>
        <w:trPr>
          <w:trHeight w:val="212"/>
        </w:trPr>
        <w:tc>
          <w:tcPr>
            <w:tcW w:w="9660" w:type="dxa"/>
            <w:vAlign w:val="bottom"/>
          </w:tcPr>
          <w:p>
            <w:pPr>
              <w:ind w:left="20"/>
              <w:spacing w:after="0"/>
              <w:rPr>
                <w:sz w:val="20"/>
                <w:szCs w:val="20"/>
                <w:color w:val="auto"/>
              </w:rPr>
            </w:pPr>
            <w:r>
              <w:rPr>
                <w:rFonts w:ascii="Arial" w:cs="Arial" w:eastAsia="Arial" w:hAnsi="Arial"/>
                <w:sz w:val="17"/>
                <w:szCs w:val="17"/>
                <w:color w:val="auto"/>
              </w:rPr>
              <w:t>2023</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3,782</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w:t>
            </w:r>
          </w:p>
        </w:tc>
      </w:tr>
      <w:tr>
        <w:trPr>
          <w:trHeight w:val="212"/>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3,678</w:t>
            </w: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future minimum payments</w:t>
            </w: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23,653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Rent expense for operating leases (as defined by prior guidance) totaled $4.2 million and $ 4.4 million for the years ended December 31, 2018 and 2019, respectively. The current portion of deferred rent of $0.3 million is included in accrued and other current liabilities as of December 31, 2019. Security deposits and letters of credits used to secure the leases were $0.2 million and $2.2 million, respectively, as of December 31, 2019 and $0.3 million and $3.1 million, respectively, as of December 31, 2020.</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Maturities of operating lease liabilities (under current guidance) were as follows as of December 31, 2020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04"/>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5,168</w:t>
            </w:r>
          </w:p>
        </w:tc>
        <w:tc>
          <w:tcPr>
            <w:tcW w:w="0" w:type="dxa"/>
            <w:vAlign w:val="bottom"/>
          </w:tcPr>
          <w:p>
            <w:pPr>
              <w:spacing w:after="0"/>
              <w:rPr>
                <w:sz w:val="1"/>
                <w:szCs w:val="1"/>
                <w:color w:val="auto"/>
              </w:rPr>
            </w:pPr>
          </w:p>
        </w:tc>
      </w:tr>
      <w:tr>
        <w:trPr>
          <w:trHeight w:val="212"/>
        </w:trPr>
        <w:tc>
          <w:tcPr>
            <w:tcW w:w="9660" w:type="dxa"/>
            <w:vAlign w:val="bottom"/>
          </w:tcPr>
          <w:p>
            <w:pPr>
              <w:ind w:left="20"/>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4,519</w:t>
            </w:r>
          </w:p>
        </w:tc>
        <w:tc>
          <w:tcPr>
            <w:tcW w:w="0" w:type="dxa"/>
            <w:vAlign w:val="bottom"/>
          </w:tcPr>
          <w:p>
            <w:pPr>
              <w:spacing w:after="0"/>
              <w:rPr>
                <w:sz w:val="1"/>
                <w:szCs w:val="1"/>
                <w:color w:val="auto"/>
              </w:rPr>
            </w:pP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w:t>
            </w:r>
          </w:p>
        </w:tc>
        <w:tc>
          <w:tcPr>
            <w:tcW w:w="0" w:type="dxa"/>
            <w:vAlign w:val="bottom"/>
          </w:tcPr>
          <w:p>
            <w:pPr>
              <w:spacing w:after="0"/>
              <w:rPr>
                <w:sz w:val="1"/>
                <w:szCs w:val="1"/>
                <w:color w:val="auto"/>
              </w:rPr>
            </w:pPr>
          </w:p>
        </w:tc>
      </w:tr>
      <w:tr>
        <w:trPr>
          <w:trHeight w:val="212"/>
        </w:trPr>
        <w:tc>
          <w:tcPr>
            <w:tcW w:w="966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4,156</w:t>
            </w:r>
          </w:p>
        </w:tc>
        <w:tc>
          <w:tcPr>
            <w:tcW w:w="0" w:type="dxa"/>
            <w:vAlign w:val="bottom"/>
          </w:tcPr>
          <w:p>
            <w:pPr>
              <w:spacing w:after="0"/>
              <w:rPr>
                <w:sz w:val="1"/>
                <w:szCs w:val="1"/>
                <w:color w:val="auto"/>
              </w:rPr>
            </w:pP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w:t>
            </w:r>
          </w:p>
        </w:tc>
        <w:tc>
          <w:tcPr>
            <w:tcW w:w="0" w:type="dxa"/>
            <w:vAlign w:val="bottom"/>
          </w:tcPr>
          <w:p>
            <w:pPr>
              <w:spacing w:after="0"/>
              <w:rPr>
                <w:sz w:val="1"/>
                <w:szCs w:val="1"/>
                <w:color w:val="auto"/>
              </w:rPr>
            </w:pPr>
          </w:p>
        </w:tc>
      </w:tr>
      <w:tr>
        <w:trPr>
          <w:trHeight w:val="212"/>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12,292</w:t>
            </w:r>
          </w:p>
        </w:tc>
        <w:tc>
          <w:tcPr>
            <w:tcW w:w="0" w:type="dxa"/>
            <w:vAlign w:val="bottom"/>
          </w:tcPr>
          <w:p>
            <w:pPr>
              <w:spacing w:after="0"/>
              <w:rPr>
                <w:sz w:val="1"/>
                <w:szCs w:val="1"/>
                <w:color w:val="auto"/>
              </w:rPr>
            </w:pPr>
          </w:p>
        </w:tc>
      </w:tr>
      <w:tr>
        <w:trPr>
          <w:trHeight w:val="204"/>
        </w:trPr>
        <w:tc>
          <w:tcPr>
            <w:tcW w:w="9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lease payments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33,403</w:t>
            </w:r>
          </w:p>
        </w:tc>
        <w:tc>
          <w:tcPr>
            <w:tcW w:w="0" w:type="dxa"/>
            <w:vAlign w:val="bottom"/>
          </w:tcPr>
          <w:p>
            <w:pPr>
              <w:spacing w:after="0"/>
              <w:rPr>
                <w:sz w:val="1"/>
                <w:szCs w:val="1"/>
                <w:color w:val="auto"/>
              </w:rPr>
            </w:pPr>
          </w:p>
        </w:tc>
      </w:tr>
      <w:tr>
        <w:trPr>
          <w:trHeight w:val="212"/>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8,186</w:t>
            </w:r>
          </w:p>
        </w:tc>
        <w:tc>
          <w:tcPr>
            <w:tcW w:w="0" w:type="dxa"/>
            <w:vAlign w:val="bottom"/>
          </w:tcPr>
          <w:p>
            <w:pPr>
              <w:spacing w:after="0"/>
              <w:rPr>
                <w:sz w:val="1"/>
                <w:szCs w:val="1"/>
                <w:color w:val="auto"/>
              </w:rPr>
            </w:pPr>
          </w:p>
        </w:tc>
      </w:tr>
      <w:tr>
        <w:trPr>
          <w:trHeight w:val="204"/>
        </w:trPr>
        <w:tc>
          <w:tcPr>
            <w:tcW w:w="9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lease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25,217</w:t>
            </w:r>
          </w:p>
        </w:tc>
        <w:tc>
          <w:tcPr>
            <w:tcW w:w="0" w:type="dxa"/>
            <w:vAlign w:val="bottom"/>
          </w:tcPr>
          <w:p>
            <w:pPr>
              <w:spacing w:after="0"/>
              <w:rPr>
                <w:sz w:val="1"/>
                <w:szCs w:val="1"/>
                <w:color w:val="auto"/>
              </w:rPr>
            </w:pPr>
          </w:p>
        </w:tc>
      </w:tr>
      <w:tr>
        <w:trPr>
          <w:trHeight w:val="204"/>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lease liabilities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3,643</w:t>
            </w:r>
          </w:p>
        </w:tc>
        <w:tc>
          <w:tcPr>
            <w:tcW w:w="0" w:type="dxa"/>
            <w:vAlign w:val="bottom"/>
          </w:tcPr>
          <w:p>
            <w:pPr>
              <w:spacing w:after="0"/>
              <w:rPr>
                <w:sz w:val="1"/>
                <w:szCs w:val="1"/>
                <w:color w:val="auto"/>
              </w:rPr>
            </w:pPr>
          </w:p>
        </w:tc>
      </w:tr>
      <w:tr>
        <w:trPr>
          <w:trHeight w:val="229"/>
        </w:trPr>
        <w:tc>
          <w:tcPr>
            <w:tcW w:w="9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non-current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21,574</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7"/>
                <w:szCs w:val="17"/>
                <w:color w:val="auto"/>
              </w:rPr>
              <w:t>The components of lease cost were as follows (in thousands):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9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96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92"/>
        </w:trPr>
        <w:tc>
          <w:tcPr>
            <w:tcW w:w="96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Operating Lease Cost</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660" w:type="dxa"/>
            <w:vAlign w:val="bottom"/>
          </w:tcPr>
          <w:p>
            <w:pPr>
              <w:ind w:left="220"/>
              <w:spacing w:after="0"/>
              <w:rPr>
                <w:sz w:val="20"/>
                <w:szCs w:val="20"/>
                <w:color w:val="auto"/>
              </w:rPr>
            </w:pPr>
            <w:r>
              <w:rPr>
                <w:rFonts w:ascii="Arial" w:cs="Arial" w:eastAsia="Arial" w:hAnsi="Arial"/>
                <w:sz w:val="17"/>
                <w:szCs w:val="17"/>
                <w:color w:val="auto"/>
              </w:rPr>
              <w:t>Fixed Cost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5,568</w:t>
            </w:r>
          </w:p>
        </w:tc>
        <w:tc>
          <w:tcPr>
            <w:tcW w:w="0" w:type="dxa"/>
            <w:vAlign w:val="bottom"/>
          </w:tcPr>
          <w:p>
            <w:pPr>
              <w:spacing w:after="0"/>
              <w:rPr>
                <w:sz w:val="1"/>
                <w:szCs w:val="1"/>
                <w:color w:val="auto"/>
              </w:rPr>
            </w:pP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Lease Cost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2"/>
        </w:trPr>
        <w:tc>
          <w:tcPr>
            <w:tcW w:w="9660" w:type="dxa"/>
            <w:vAlign w:val="bottom"/>
            <w:tcBorders>
              <w:bottom w:val="single" w:sz="8" w:color="CCEEFF"/>
            </w:tcBorders>
          </w:tcPr>
          <w:p>
            <w:pPr>
              <w:ind w:left="220"/>
              <w:spacing w:after="0" w:line="212" w:lineRule="exact"/>
              <w:rPr>
                <w:sz w:val="20"/>
                <w:szCs w:val="20"/>
                <w:color w:val="auto"/>
              </w:rPr>
            </w:pPr>
            <w:r>
              <w:rPr>
                <w:rFonts w:ascii="Arial" w:cs="Arial" w:eastAsia="Arial" w:hAnsi="Arial"/>
                <w:sz w:val="17"/>
                <w:szCs w:val="17"/>
                <w:color w:val="auto"/>
              </w:rPr>
              <w:t>Variable Lease Cost</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w:t>
            </w:r>
          </w:p>
        </w:tc>
        <w:tc>
          <w:tcPr>
            <w:tcW w:w="0" w:type="dxa"/>
            <w:vAlign w:val="bottom"/>
          </w:tcPr>
          <w:p>
            <w:pPr>
              <w:spacing w:after="0"/>
              <w:rPr>
                <w:sz w:val="1"/>
                <w:szCs w:val="1"/>
                <w:color w:val="auto"/>
              </w:rPr>
            </w:pPr>
          </w:p>
        </w:tc>
      </w:tr>
      <w:tr>
        <w:trPr>
          <w:trHeight w:val="27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Lease Cost</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6,823</w:t>
            </w:r>
          </w:p>
        </w:tc>
        <w:tc>
          <w:tcPr>
            <w:tcW w:w="0" w:type="dxa"/>
            <w:vAlign w:val="bottom"/>
          </w:tcPr>
          <w:p>
            <w:pPr>
              <w:spacing w:after="0"/>
              <w:rPr>
                <w:sz w:val="1"/>
                <w:szCs w:val="1"/>
                <w:color w:val="auto"/>
              </w:rPr>
            </w:pPr>
          </w:p>
        </w:tc>
      </w:tr>
      <w:tr>
        <w:trPr>
          <w:trHeight w:val="106"/>
        </w:trPr>
        <w:tc>
          <w:tcPr>
            <w:tcW w:w="96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4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5"/>
          <w:szCs w:val="15"/>
          <w:color w:val="auto"/>
        </w:rPr>
        <w:t>________________</w:t>
      </w:r>
    </w:p>
    <w:p>
      <w:pPr>
        <w:spacing w:after="0" w:line="3" w:lineRule="exact"/>
        <w:rPr>
          <w:sz w:val="20"/>
          <w:szCs w:val="20"/>
          <w:color w:val="auto"/>
        </w:rPr>
      </w:pPr>
    </w:p>
    <w:p>
      <w:pPr>
        <w:ind w:left="300" w:hanging="300"/>
        <w:spacing w:after="0" w:line="257" w:lineRule="auto"/>
        <w:tabs>
          <w:tab w:leader="none" w:pos="296" w:val="left"/>
        </w:tabs>
        <w:numPr>
          <w:ilvl w:val="0"/>
          <w:numId w:val="137"/>
        </w:numPr>
        <w:rPr>
          <w:rFonts w:ascii="Arial" w:cs="Arial" w:eastAsia="Arial" w:hAnsi="Arial"/>
          <w:sz w:val="15"/>
          <w:szCs w:val="15"/>
          <w:color w:val="auto"/>
        </w:rPr>
      </w:pPr>
      <w:r>
        <w:rPr>
          <w:rFonts w:ascii="Arial" w:cs="Arial" w:eastAsia="Arial" w:hAnsi="Arial"/>
          <w:sz w:val="15"/>
          <w:szCs w:val="15"/>
          <w:color w:val="auto"/>
        </w:rPr>
        <w:t>Under the terms of the lease agreements, the Company is also responsible for certain variable lease payments that are not included in the measurement of the lease liability. Variable lease payments include non-lease components such as common area maintenance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240"/>
          </w:cols>
          <w:pgMar w:left="320" w:top="118" w:right="339" w:bottom="1440" w:gutter="0" w:footer="0" w:header="0"/>
        </w:sectPr>
      </w:pPr>
    </w:p>
    <w:bookmarkStart w:id="223" w:name="page224"/>
    <w:bookmarkEnd w:id="22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300" w:hanging="300"/>
        <w:spacing w:after="0" w:line="282" w:lineRule="auto"/>
        <w:tabs>
          <w:tab w:leader="none" w:pos="296"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majority of lease costs are reflected in the Consolidated Statement of Operations within Operations, product and technology and Sales, general and administrative expense.</w:t>
      </w:r>
    </w:p>
    <w:p>
      <w:pPr>
        <w:spacing w:after="0" w:line="87"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Other information related to leases was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December 31, 2020</w:t>
            </w:r>
          </w:p>
        </w:tc>
      </w:tr>
      <w:tr>
        <w:trPr>
          <w:trHeight w:val="154"/>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Flows Information</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212"/>
        </w:trPr>
        <w:tc>
          <w:tcPr>
            <w:tcW w:w="9660" w:type="dxa"/>
            <w:vAlign w:val="bottom"/>
            <w:gridSpan w:val="2"/>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9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Operating cash flows from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5,365</w:t>
            </w:r>
          </w:p>
        </w:tc>
      </w:tr>
      <w:tr>
        <w:trPr>
          <w:trHeight w:val="575"/>
        </w:trPr>
        <w:tc>
          <w:tcPr>
            <w:tcW w:w="9660" w:type="dxa"/>
            <w:vAlign w:val="bottom"/>
            <w:gridSpan w:val="2"/>
          </w:tcPr>
          <w:p>
            <w:pPr>
              <w:ind w:left="300"/>
              <w:spacing w:after="0"/>
              <w:rPr>
                <w:sz w:val="20"/>
                <w:szCs w:val="20"/>
                <w:color w:val="auto"/>
              </w:rPr>
            </w:pPr>
            <w:r>
              <w:rPr>
                <w:rFonts w:ascii="Arial" w:cs="Arial" w:eastAsia="Arial" w:hAnsi="Arial"/>
                <w:sz w:val="17"/>
                <w:szCs w:val="17"/>
                <w:color w:val="auto"/>
              </w:rPr>
              <w:t>The following table represents the weighted-average remaining lease term and discount rate for the period:</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95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December 31, 2020</w:t>
            </w:r>
          </w:p>
        </w:tc>
      </w:tr>
      <w:tr>
        <w:trPr>
          <w:trHeight w:val="192"/>
        </w:trPr>
        <w:tc>
          <w:tcPr>
            <w:tcW w:w="954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Operating Leases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2"/>
        </w:trPr>
        <w:tc>
          <w:tcPr>
            <w:tcW w:w="9660" w:type="dxa"/>
            <w:vAlign w:val="bottom"/>
            <w:gridSpan w:val="2"/>
          </w:tcPr>
          <w:p>
            <w:pPr>
              <w:ind w:left="20"/>
              <w:spacing w:after="0"/>
              <w:rPr>
                <w:sz w:val="20"/>
                <w:szCs w:val="20"/>
                <w:color w:val="auto"/>
              </w:rPr>
            </w:pPr>
            <w:r>
              <w:rPr>
                <w:rFonts w:ascii="Arial" w:cs="Arial" w:eastAsia="Arial" w:hAnsi="Arial"/>
                <w:sz w:val="17"/>
                <w:szCs w:val="17"/>
                <w:color w:val="auto"/>
              </w:rPr>
              <w:t>Weighted average remaining lease term (years)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2"/>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discount rate</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w:t>
            </w:r>
          </w:p>
        </w:tc>
      </w:tr>
    </w:tbl>
    <w:p>
      <w:pPr>
        <w:spacing w:after="0" w:line="351" w:lineRule="exact"/>
        <w:rPr>
          <w:sz w:val="20"/>
          <w:szCs w:val="20"/>
          <w:color w:val="auto"/>
        </w:rPr>
      </w:pPr>
    </w:p>
    <w:p>
      <w:pPr>
        <w:ind w:left="580" w:hanging="580"/>
        <w:spacing w:after="0"/>
        <w:tabs>
          <w:tab w:leader="none" w:pos="58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 and Convertible Preferred Stock Warrants</w:t>
      </w:r>
    </w:p>
    <w:p>
      <w:pPr>
        <w:spacing w:after="0" w:line="155"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February 2019, the Company entered into a loan and security agreement (“Term Loan”) with Western Alliance Bank (“Bank”) for an aggregate amount up to $ 40.0 million to refinance its Loan and Security Agreement with Silicon Valley Bank (“SVB”). The Company borrowed $20.0 million (“Tranche A”) in February 2019, which had a maturity date of February 7, 2024. The Company used $ 8.8 million of the proceeds to settle its prior term loan with SVB. The Company incurred loan origination fees and debt issuance costs of $ 0.3 million and recognized $0.4 million in extinguishment loss on the SVB loan. As of December 31, 2019, total principal outstanding under the Term Loan was $17.6 million.</w:t>
      </w:r>
    </w:p>
    <w:p>
      <w:pPr>
        <w:spacing w:after="0" w:line="119"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May 2020, the Company amended the loan and security agreement (the “Amendment”) with the Bank. Under the amendment the Company is eligible to borrow up to an aggregate of $30.0 million. The new Term Loan maturity date is May 29, 2024 and the interest rate is the greater of either the Wall Street Journal Prime Rate + 1.50% or 5.75% per annum. All tranches are payable in equal monthly installments of principal plus accrued interest over 34 months beginning July 10, 2021, with monthly payment calculated based on a 60-month period for the first 34 months, with a balloon payment made on the maturity date. The Company received $3.6 million in May 2020 for the difference between the $20.0 million related to Tranche A and the principal owed at the modification date. The Company drew an additional $5.0 million in June 2020 and another $5.0 million in July 2020 both related to Tranche B of the Term Loan.</w:t>
      </w:r>
    </w:p>
    <w:p>
      <w:pPr>
        <w:spacing w:after="0" w:line="12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Upon final payment, the Company is required to pay a success fee equal to 1% of the principal amount of all tranches drawn as of such date. The Term Loan can be prepaid without penalty or premium at any time. The Term Loan contains certain covenants, which, if not met, allows the Bank to call all outstanding borrowings plus accrued interest. The covenants include minimum cash and liquidity thresholds, quarterly minimum net revenue and revenue growth thresholds, and a debt service requirement specified by the Term Loan. The Bank has secured the loan through its first ranking lien on all corporate assets, with a negative pledge on intellectual property.</w:t>
      </w:r>
    </w:p>
    <w:p>
      <w:pPr>
        <w:spacing w:after="0" w:line="11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November 2020, the Company further amended the loan and security agreement (the “Second Amendment”) with the Bank and received credit approval to borrow an additional $10.0 million (“Tranche C”), or up to $40.0 million eligible borrowings in aggregate. The Company borrowed an additional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240"/>
          </w:cols>
          <w:pgMar w:left="320" w:top="118" w:right="339" w:bottom="1440" w:gutter="0" w:footer="0" w:header="0"/>
        </w:sectPr>
      </w:pPr>
    </w:p>
    <w:bookmarkStart w:id="224" w:name="page225"/>
    <w:bookmarkEnd w:id="22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million in November 2020 for an aggregate outstanding principal of $35.0 million as of November 30, 2020.</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December 2020, the Company further amended the loan and security agreement (the “Third Amendment”) with the Bank. As part of the Third Amendment, the covenants were revised to amend the minimum cash and liquidity requirements, further extend the timing of debt service requirements, amend the specific net revenue targets and revenue growth requirements, and add a capital raising milestone requiring the Company to raise at least $50.0 million in equity or convertible debt by March 31, 2022. Additionally, the success fee was amended to provide that the fee is payable upon the earlier of payoff of the loan, maturity of the loan or the Company’s IPO.</w:t>
      </w:r>
    </w:p>
    <w:p>
      <w:pPr>
        <w:spacing w:after="0" w:line="119"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As of December 31, 2020, the nominal interest rate was 5.75% and the effective interest rate was 6.86%. The Company is in compliance with the covenants through December 31, 2020.</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maturities of the loan agreement as of December 31, 2020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Amount</w:t>
            </w:r>
          </w:p>
        </w:tc>
      </w:tr>
      <w:tr>
        <w:trPr>
          <w:trHeight w:val="204"/>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2021</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r>
      <w:tr>
        <w:trPr>
          <w:trHeight w:val="212"/>
        </w:trPr>
        <w:tc>
          <w:tcPr>
            <w:tcW w:w="9660" w:type="dxa"/>
            <w:vAlign w:val="bottom"/>
          </w:tcPr>
          <w:p>
            <w:pPr>
              <w:ind w:left="220"/>
              <w:spacing w:after="0"/>
              <w:rPr>
                <w:sz w:val="20"/>
                <w:szCs w:val="20"/>
                <w:color w:val="auto"/>
              </w:rPr>
            </w:pPr>
            <w:r>
              <w:rPr>
                <w:rFonts w:ascii="Arial" w:cs="Arial" w:eastAsia="Arial" w:hAnsi="Arial"/>
                <w:sz w:val="17"/>
                <w:szCs w:val="17"/>
                <w:color w:val="auto"/>
              </w:rPr>
              <w:t>2022</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7,000</w:t>
            </w: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r>
      <w:tr>
        <w:trPr>
          <w:trHeight w:val="212"/>
        </w:trPr>
        <w:tc>
          <w:tcPr>
            <w:tcW w:w="9660" w:type="dxa"/>
            <w:vAlign w:val="bottom"/>
          </w:tcPr>
          <w:p>
            <w:pPr>
              <w:ind w:left="220"/>
              <w:spacing w:after="0"/>
              <w:rPr>
                <w:sz w:val="20"/>
                <w:szCs w:val="20"/>
                <w:color w:val="auto"/>
              </w:rPr>
            </w:pPr>
            <w:r>
              <w:rPr>
                <w:rFonts w:ascii="Arial" w:cs="Arial" w:eastAsia="Arial" w:hAnsi="Arial"/>
                <w:sz w:val="17"/>
                <w:szCs w:val="17"/>
                <w:color w:val="auto"/>
              </w:rPr>
              <w:t>2024</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17,500</w:t>
            </w: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9660" w:type="dxa"/>
            <w:vAlign w:val="bottom"/>
          </w:tcPr>
          <w:p>
            <w:pPr>
              <w:ind w:left="20"/>
              <w:spacing w:after="0"/>
              <w:rPr>
                <w:sz w:val="20"/>
                <w:szCs w:val="20"/>
                <w:color w:val="auto"/>
              </w:rPr>
            </w:pPr>
            <w:r>
              <w:rPr>
                <w:rFonts w:ascii="Arial" w:cs="Arial" w:eastAsia="Arial" w:hAnsi="Arial"/>
                <w:sz w:val="17"/>
                <w:szCs w:val="17"/>
                <w:color w:val="auto"/>
              </w:rPr>
              <w:t>Total future principal and success fee payments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35,000</w:t>
            </w: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unamortized debt discount and success fee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r>
      <w:tr>
        <w:trPr>
          <w:trHeight w:val="212"/>
        </w:trPr>
        <w:tc>
          <w:tcPr>
            <w:tcW w:w="9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Less: current portion of long-term debt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3,270</w:t>
            </w: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 portion of long-term debt</w:t>
            </w: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31,190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Warrants Issued with Loan and Security Agreement</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Upon issuance of a loan and security agreement advance with SVB in 2013, the Company issued a warrant for 80,294 shares of Series C convertible preferred stock to the holder that were set to expire on July 31, 2020. In July 2020, the Company modified the terms of the warrant to extend the expiration date to August 31, 2020. In August 2020, the Company issued 42,677 shares of Series C convertible preferred stock to the holder of the warrant through a cashless net exercise.</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2015, the Company issued additional warrants for 26,764 shares of Series D convertible preferred stock to SVB that expire in 2025.</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February 2019, the Company issued a warrant to the Bank to purchase Series E-1 convertible preferred stock with the exercise term of 10 years from the issuance date. The number of shares is calculated by dividing (i) 2% of the amount drawn under the Term Loan, up to $800,000, by (ii) the applicable exercise price at the time the warrant is exercised. The exercise price at the exercise date is determined as the lower of (i) $6.2581 and (ii) the purchase price in the next series of preferred stock financing held after the warrant issuance date.</w:t>
      </w:r>
    </w:p>
    <w:p>
      <w:pPr>
        <w:spacing w:after="0" w:line="11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 connection with the $3.6 million advance in May 2020, the Company issued a warrant for Series F preferred stock in the amount of 10,376 shares or (i) two percent of the additional advance amount drawn under the Term A Loans, divided by (ii) the applicable exercise price at the time the warrant is exercised. Additionally, the Series E-1 warrant agreement, entered into on February 7, 2019, was amended to extend the expiration date to May 29, 2030. In connection with each of the $5.0 million draws in June, July, and November 2020 the Company increased the number of shares under the Series E-1 warrant by 15,979 shares or (i) two percent of the additional advance amount drawn under the Term Loan, divided by (ii) the applicable exercise price at the time the warrant is exercised. As of December 31, 2020, the warrant included 111,854 shares of Series E-1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240"/>
          </w:cols>
          <w:pgMar w:left="320" w:top="118" w:right="339" w:bottom="1440" w:gutter="0" w:footer="0" w:header="0"/>
        </w:sectPr>
      </w:pPr>
    </w:p>
    <w:bookmarkStart w:id="225" w:name="page226"/>
    <w:bookmarkEnd w:id="22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Company concluded that the warrants represent freestanding financial instruments within the scope of ASC 480 and recognized them as a liability at fair value. The warrant liability is remeasured at the end of each reporting period with changes in fair value recognized in the consolidated statement of operations. The warrant liability of $0.5 million and $0.8 million was included in other non-current liabilities in the consolidated balance sheet at December 31, 2019 and 2020, respectively.</w:t>
      </w:r>
    </w:p>
    <w:p>
      <w:pPr>
        <w:spacing w:after="0" w:line="113" w:lineRule="exact"/>
        <w:rPr>
          <w:sz w:val="20"/>
          <w:szCs w:val="20"/>
          <w:color w:val="auto"/>
        </w:rPr>
      </w:pPr>
    </w:p>
    <w:p>
      <w:pPr>
        <w:ind w:left="580" w:hanging="580"/>
        <w:spacing w:after="0"/>
        <w:tabs>
          <w:tab w:leader="none" w:pos="58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Preferred Stock</w:t>
      </w:r>
    </w:p>
    <w:p>
      <w:pPr>
        <w:spacing w:after="0" w:line="155"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In June 2019, the Company entered into a Series F Preferred Stock Purchase Agreement. Under the terms of the agreement the Company issued 7,844,390 shares of its Series F convertible preferred stock with a purchase price of $6.8839 per share (“Initial Closing”). From July through September 2019, the Company issued 4,705,462 shares in subsequent closings with the same terms and conditions as the Initial Closing. The Company incurred aggregate issuance costs of $3.9 million. Subsequent to the Series F financing, certain Series F investors were obligated to launch a tender offer to purchase a maximum of $10.0 million of shares of common stock held by existing stockholders at $6.8839 per share (“Series F price” and “Tender Offer”).</w:t>
      </w:r>
    </w:p>
    <w:p>
      <w:pPr>
        <w:spacing w:after="0" w:line="122"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September 2019, the Series F investors and other investors (“Tender Offer Investors”) made a Tender Offer to the Company’s employees to purchase up to 1,125,813 shares of common stock at Series F price. In October 2019, the Tender Offer Investors purchased 1,125,813 shares of common stock from 123 eligible holders for total gross proceeds of $7.7 million. See more details in Note 10.</w:t>
      </w:r>
    </w:p>
    <w:p>
      <w:pPr>
        <w:spacing w:after="0" w:line="11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Company’s preferred stock authorized, issued and outstanding, the aggregate liquidation preferences, including dividends that would be due if and when declared by the board of directors are as follows (in thousands, except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5"/>
          </w:tcPr>
          <w:p>
            <w:pPr>
              <w:ind w:left="1020"/>
              <w:spacing w:after="0"/>
              <w:rPr>
                <w:sz w:val="20"/>
                <w:szCs w:val="20"/>
                <w:color w:val="auto"/>
              </w:rPr>
            </w:pPr>
            <w:r>
              <w:rPr>
                <w:rFonts w:ascii="Arial" w:cs="Arial" w:eastAsia="Arial" w:hAnsi="Arial"/>
                <w:sz w:val="13"/>
                <w:szCs w:val="13"/>
                <w:b w:val="1"/>
                <w:bCs w:val="1"/>
                <w:color w:val="auto"/>
              </w:rPr>
              <w:t>December 31, 2019</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1"/>
                <w:szCs w:val="11"/>
                <w:color w:val="auto"/>
              </w:rPr>
            </w:pPr>
          </w:p>
        </w:tc>
        <w:tc>
          <w:tcPr>
            <w:tcW w:w="1340" w:type="dxa"/>
            <w:vAlign w:val="bottom"/>
            <w:gridSpan w:val="2"/>
          </w:tcPr>
          <w:p>
            <w:pPr>
              <w:jc w:val="center"/>
              <w:ind w:right="400"/>
              <w:spacing w:after="0" w:line="129" w:lineRule="exact"/>
              <w:rPr>
                <w:sz w:val="20"/>
                <w:szCs w:val="20"/>
                <w:color w:val="auto"/>
              </w:rPr>
            </w:pPr>
            <w:r>
              <w:rPr>
                <w:rFonts w:ascii="Arial" w:cs="Arial" w:eastAsia="Arial" w:hAnsi="Arial"/>
                <w:sz w:val="13"/>
                <w:szCs w:val="13"/>
                <w:b w:val="1"/>
                <w:bCs w:val="1"/>
                <w:color w:val="auto"/>
              </w:rPr>
              <w:t>Net</w:t>
            </w: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Aggregate Liquidation</w:t>
            </w:r>
          </w:p>
        </w:tc>
        <w:tc>
          <w:tcPr>
            <w:tcW w:w="0" w:type="dxa"/>
            <w:vAlign w:val="bottom"/>
          </w:tcPr>
          <w:p>
            <w:pPr>
              <w:spacing w:after="0"/>
              <w:rPr>
                <w:sz w:val="1"/>
                <w:szCs w:val="1"/>
                <w:color w:val="auto"/>
              </w:rPr>
            </w:pPr>
          </w:p>
        </w:tc>
      </w:tr>
      <w:tr>
        <w:trPr>
          <w:trHeight w:val="124"/>
        </w:trPr>
        <w:tc>
          <w:tcPr>
            <w:tcW w:w="4680" w:type="dxa"/>
            <w:vAlign w:val="bottom"/>
          </w:tcPr>
          <w:p>
            <w:pPr>
              <w:spacing w:after="0"/>
              <w:rPr>
                <w:sz w:val="10"/>
                <w:szCs w:val="10"/>
                <w:color w:val="auto"/>
              </w:rPr>
            </w:pPr>
          </w:p>
        </w:tc>
        <w:tc>
          <w:tcPr>
            <w:tcW w:w="16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 Authorized</w:t>
            </w:r>
          </w:p>
        </w:tc>
        <w:tc>
          <w:tcPr>
            <w:tcW w:w="16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tcPr>
          <w:p>
            <w:pPr>
              <w:jc w:val="center"/>
              <w:ind w:right="400"/>
              <w:spacing w:after="0" w:line="124" w:lineRule="exact"/>
              <w:rPr>
                <w:sz w:val="20"/>
                <w:szCs w:val="20"/>
                <w:color w:val="auto"/>
              </w:rPr>
            </w:pPr>
            <w:r>
              <w:rPr>
                <w:rFonts w:ascii="Arial" w:cs="Arial" w:eastAsia="Arial" w:hAnsi="Arial"/>
                <w:sz w:val="13"/>
                <w:szCs w:val="13"/>
                <w:b w:val="1"/>
                <w:bCs w:val="1"/>
                <w:color w:val="auto"/>
              </w:rPr>
              <w:t>Carrying</w:t>
            </w: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Issued and Outstanding</w:t>
            </w:r>
          </w:p>
        </w:tc>
        <w:tc>
          <w:tcPr>
            <w:tcW w:w="32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Value</w:t>
            </w:r>
          </w:p>
        </w:tc>
        <w:tc>
          <w:tcPr>
            <w:tcW w:w="280" w:type="dxa"/>
            <w:vAlign w:val="bottom"/>
          </w:tcPr>
          <w:p>
            <w:pPr>
              <w:spacing w:after="0"/>
              <w:rPr>
                <w:sz w:val="14"/>
                <w:szCs w:val="14"/>
                <w:color w:val="auto"/>
              </w:rPr>
            </w:pPr>
          </w:p>
        </w:tc>
        <w:tc>
          <w:tcPr>
            <w:tcW w:w="1300" w:type="dxa"/>
            <w:vAlign w:val="bottom"/>
          </w:tcPr>
          <w:p>
            <w:pPr>
              <w:jc w:val="right"/>
              <w:ind w:right="359"/>
              <w:spacing w:after="0"/>
              <w:rPr>
                <w:sz w:val="20"/>
                <w:szCs w:val="20"/>
                <w:color w:val="auto"/>
              </w:rPr>
            </w:pPr>
            <w:r>
              <w:rPr>
                <w:rFonts w:ascii="Arial" w:cs="Arial" w:eastAsia="Arial" w:hAnsi="Arial"/>
                <w:sz w:val="13"/>
                <w:szCs w:val="13"/>
                <w:b w:val="1"/>
                <w:bCs w:val="1"/>
                <w:color w:val="auto"/>
              </w:rPr>
              <w:t>Preference</w:t>
            </w:r>
          </w:p>
        </w:tc>
        <w:tc>
          <w:tcPr>
            <w:tcW w:w="0" w:type="dxa"/>
            <w:vAlign w:val="bottom"/>
          </w:tcPr>
          <w:p>
            <w:pPr>
              <w:spacing w:after="0"/>
              <w:rPr>
                <w:sz w:val="1"/>
                <w:szCs w:val="1"/>
                <w:color w:val="auto"/>
              </w:rPr>
            </w:pPr>
          </w:p>
        </w:tc>
      </w:tr>
      <w:tr>
        <w:trPr>
          <w:trHeight w:val="204"/>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A</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1,051,540</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1,051,540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12"/>
        </w:trPr>
        <w:tc>
          <w:tcPr>
            <w:tcW w:w="4680" w:type="dxa"/>
            <w:vAlign w:val="bottom"/>
          </w:tcPr>
          <w:p>
            <w:pPr>
              <w:ind w:left="20"/>
              <w:spacing w:after="0"/>
              <w:rPr>
                <w:sz w:val="20"/>
                <w:szCs w:val="20"/>
                <w:color w:val="auto"/>
              </w:rPr>
            </w:pPr>
            <w:r>
              <w:rPr>
                <w:rFonts w:ascii="Arial" w:cs="Arial" w:eastAsia="Arial" w:hAnsi="Arial"/>
                <w:sz w:val="17"/>
                <w:szCs w:val="17"/>
                <w:color w:val="auto"/>
              </w:rPr>
              <w:t>Series A-1</w:t>
            </w:r>
          </w:p>
        </w:tc>
        <w:tc>
          <w:tcPr>
            <w:tcW w:w="1560" w:type="dxa"/>
            <w:vAlign w:val="bottom"/>
          </w:tcPr>
          <w:p>
            <w:pPr>
              <w:jc w:val="right"/>
              <w:spacing w:after="0"/>
              <w:rPr>
                <w:sz w:val="20"/>
                <w:szCs w:val="20"/>
                <w:color w:val="auto"/>
              </w:rPr>
            </w:pPr>
            <w:r>
              <w:rPr>
                <w:rFonts w:ascii="Arial" w:cs="Arial" w:eastAsia="Arial" w:hAnsi="Arial"/>
                <w:sz w:val="17"/>
                <w:szCs w:val="17"/>
                <w:color w:val="auto"/>
              </w:rPr>
              <w:t>5,475,700</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7"/>
                <w:szCs w:val="17"/>
                <w:color w:val="auto"/>
              </w:rPr>
              <w:t>5,475,700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B</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7,511,886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7,511,886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6,950</w:t>
            </w:r>
          </w:p>
        </w:tc>
        <w:tc>
          <w:tcPr>
            <w:tcW w:w="0" w:type="dxa"/>
            <w:vAlign w:val="bottom"/>
          </w:tcPr>
          <w:p>
            <w:pPr>
              <w:spacing w:after="0"/>
              <w:rPr>
                <w:sz w:val="1"/>
                <w:szCs w:val="1"/>
                <w:color w:val="auto"/>
              </w:rPr>
            </w:pPr>
          </w:p>
        </w:tc>
      </w:tr>
      <w:tr>
        <w:trPr>
          <w:trHeight w:val="212"/>
        </w:trPr>
        <w:tc>
          <w:tcPr>
            <w:tcW w:w="4680" w:type="dxa"/>
            <w:vAlign w:val="bottom"/>
          </w:tcPr>
          <w:p>
            <w:pPr>
              <w:ind w:left="20"/>
              <w:spacing w:after="0"/>
              <w:rPr>
                <w:sz w:val="20"/>
                <w:szCs w:val="20"/>
                <w:color w:val="auto"/>
              </w:rPr>
            </w:pPr>
            <w:r>
              <w:rPr>
                <w:rFonts w:ascii="Arial" w:cs="Arial" w:eastAsia="Arial" w:hAnsi="Arial"/>
                <w:sz w:val="17"/>
                <w:szCs w:val="17"/>
                <w:color w:val="auto"/>
              </w:rPr>
              <w:t>Series C</w:t>
            </w:r>
          </w:p>
        </w:tc>
        <w:tc>
          <w:tcPr>
            <w:tcW w:w="1560" w:type="dxa"/>
            <w:vAlign w:val="bottom"/>
          </w:tcPr>
          <w:p>
            <w:pPr>
              <w:jc w:val="right"/>
              <w:spacing w:after="0"/>
              <w:rPr>
                <w:sz w:val="20"/>
                <w:szCs w:val="20"/>
                <w:color w:val="auto"/>
              </w:rPr>
            </w:pPr>
            <w:r>
              <w:rPr>
                <w:rFonts w:ascii="Arial" w:cs="Arial" w:eastAsia="Arial" w:hAnsi="Arial"/>
                <w:sz w:val="17"/>
                <w:szCs w:val="17"/>
                <w:color w:val="auto"/>
              </w:rPr>
              <w:t>9,725,945</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7"/>
                <w:szCs w:val="17"/>
                <w:color w:val="auto"/>
              </w:rPr>
              <w:t>9,645,651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14,390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14,415</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11,072,579</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11,045,815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12"/>
        </w:trPr>
        <w:tc>
          <w:tcPr>
            <w:tcW w:w="4680" w:type="dxa"/>
            <w:vAlign w:val="bottom"/>
          </w:tcPr>
          <w:p>
            <w:pPr>
              <w:ind w:left="20"/>
              <w:spacing w:after="0"/>
              <w:rPr>
                <w:sz w:val="20"/>
                <w:szCs w:val="20"/>
                <w:color w:val="auto"/>
              </w:rPr>
            </w:pPr>
            <w:r>
              <w:rPr>
                <w:rFonts w:ascii="Arial" w:cs="Arial" w:eastAsia="Arial" w:hAnsi="Arial"/>
                <w:sz w:val="17"/>
                <w:szCs w:val="17"/>
                <w:color w:val="auto"/>
              </w:rPr>
              <w:t>Series E</w:t>
            </w:r>
          </w:p>
        </w:tc>
        <w:tc>
          <w:tcPr>
            <w:tcW w:w="1560" w:type="dxa"/>
            <w:vAlign w:val="bottom"/>
          </w:tcPr>
          <w:p>
            <w:pPr>
              <w:jc w:val="right"/>
              <w:spacing w:after="0"/>
              <w:rPr>
                <w:sz w:val="20"/>
                <w:szCs w:val="20"/>
                <w:color w:val="auto"/>
              </w:rPr>
            </w:pPr>
            <w:r>
              <w:rPr>
                <w:rFonts w:ascii="Arial" w:cs="Arial" w:eastAsia="Arial" w:hAnsi="Arial"/>
                <w:sz w:val="17"/>
                <w:szCs w:val="17"/>
                <w:color w:val="auto"/>
              </w:rPr>
              <w:t>12,943,216</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7"/>
                <w:szCs w:val="17"/>
                <w:color w:val="auto"/>
              </w:rPr>
              <w:t>12,943,216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80,866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81,000</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E-1</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5,768,518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5,704,601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35,700</w:t>
            </w:r>
          </w:p>
        </w:tc>
        <w:tc>
          <w:tcPr>
            <w:tcW w:w="0" w:type="dxa"/>
            <w:vAlign w:val="bottom"/>
          </w:tcPr>
          <w:p>
            <w:pPr>
              <w:spacing w:after="0"/>
              <w:rPr>
                <w:sz w:val="1"/>
                <w:szCs w:val="1"/>
                <w:color w:val="auto"/>
              </w:rPr>
            </w:pPr>
          </w:p>
        </w:tc>
      </w:tr>
      <w:tr>
        <w:trPr>
          <w:trHeight w:val="212"/>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Series F</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14,526,649</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12,549,852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82,511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86,392</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68,076,033</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65,928,261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246,905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251,175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240"/>
          </w:cols>
          <w:pgMar w:left="320" w:top="118" w:right="339" w:bottom="1440" w:gutter="0" w:footer="0" w:header="0"/>
        </w:sectPr>
      </w:pPr>
    </w:p>
    <w:bookmarkStart w:id="226" w:name="page227"/>
    <w:bookmarkEnd w:id="22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5"/>
          </w:tcPr>
          <w:p>
            <w:pPr>
              <w:ind w:left="1020"/>
              <w:spacing w:after="0"/>
              <w:rPr>
                <w:sz w:val="20"/>
                <w:szCs w:val="20"/>
                <w:color w:val="auto"/>
              </w:rPr>
            </w:pPr>
            <w:r>
              <w:rPr>
                <w:rFonts w:ascii="Arial" w:cs="Arial" w:eastAsia="Arial" w:hAnsi="Arial"/>
                <w:sz w:val="13"/>
                <w:szCs w:val="13"/>
                <w:b w:val="1"/>
                <w:bCs w:val="1"/>
                <w:color w:val="auto"/>
              </w:rPr>
              <w:t>December 31, 2020</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1"/>
                <w:szCs w:val="11"/>
                <w:color w:val="auto"/>
              </w:rPr>
            </w:pPr>
          </w:p>
        </w:tc>
        <w:tc>
          <w:tcPr>
            <w:tcW w:w="1340" w:type="dxa"/>
            <w:vAlign w:val="bottom"/>
            <w:gridSpan w:val="2"/>
          </w:tcPr>
          <w:p>
            <w:pPr>
              <w:jc w:val="center"/>
              <w:ind w:right="400"/>
              <w:spacing w:after="0" w:line="129" w:lineRule="exact"/>
              <w:rPr>
                <w:sz w:val="20"/>
                <w:szCs w:val="20"/>
                <w:color w:val="auto"/>
              </w:rPr>
            </w:pPr>
            <w:r>
              <w:rPr>
                <w:rFonts w:ascii="Arial" w:cs="Arial" w:eastAsia="Arial" w:hAnsi="Arial"/>
                <w:sz w:val="13"/>
                <w:szCs w:val="13"/>
                <w:b w:val="1"/>
                <w:bCs w:val="1"/>
                <w:color w:val="auto"/>
              </w:rPr>
              <w:t>Net</w:t>
            </w: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Aggregate Liquidation</w:t>
            </w:r>
          </w:p>
        </w:tc>
        <w:tc>
          <w:tcPr>
            <w:tcW w:w="0" w:type="dxa"/>
            <w:vAlign w:val="bottom"/>
          </w:tcPr>
          <w:p>
            <w:pPr>
              <w:spacing w:after="0"/>
              <w:rPr>
                <w:sz w:val="1"/>
                <w:szCs w:val="1"/>
                <w:color w:val="auto"/>
              </w:rPr>
            </w:pPr>
          </w:p>
        </w:tc>
      </w:tr>
      <w:tr>
        <w:trPr>
          <w:trHeight w:val="124"/>
        </w:trPr>
        <w:tc>
          <w:tcPr>
            <w:tcW w:w="4680" w:type="dxa"/>
            <w:vAlign w:val="bottom"/>
          </w:tcPr>
          <w:p>
            <w:pPr>
              <w:spacing w:after="0"/>
              <w:rPr>
                <w:sz w:val="10"/>
                <w:szCs w:val="10"/>
                <w:color w:val="auto"/>
              </w:rPr>
            </w:pPr>
          </w:p>
        </w:tc>
        <w:tc>
          <w:tcPr>
            <w:tcW w:w="16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 Authorized</w:t>
            </w:r>
          </w:p>
        </w:tc>
        <w:tc>
          <w:tcPr>
            <w:tcW w:w="16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tcPr>
          <w:p>
            <w:pPr>
              <w:jc w:val="center"/>
              <w:ind w:right="400"/>
              <w:spacing w:after="0" w:line="124" w:lineRule="exact"/>
              <w:rPr>
                <w:sz w:val="20"/>
                <w:szCs w:val="20"/>
                <w:color w:val="auto"/>
              </w:rPr>
            </w:pPr>
            <w:r>
              <w:rPr>
                <w:rFonts w:ascii="Arial" w:cs="Arial" w:eastAsia="Arial" w:hAnsi="Arial"/>
                <w:sz w:val="13"/>
                <w:szCs w:val="13"/>
                <w:b w:val="1"/>
                <w:bCs w:val="1"/>
                <w:color w:val="auto"/>
              </w:rPr>
              <w:t>Carrying</w:t>
            </w: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Issued and Outstanding</w:t>
            </w:r>
          </w:p>
        </w:tc>
        <w:tc>
          <w:tcPr>
            <w:tcW w:w="32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Value</w:t>
            </w:r>
          </w:p>
        </w:tc>
        <w:tc>
          <w:tcPr>
            <w:tcW w:w="280" w:type="dxa"/>
            <w:vAlign w:val="bottom"/>
          </w:tcPr>
          <w:p>
            <w:pPr>
              <w:spacing w:after="0"/>
              <w:rPr>
                <w:sz w:val="14"/>
                <w:szCs w:val="14"/>
                <w:color w:val="auto"/>
              </w:rPr>
            </w:pPr>
          </w:p>
        </w:tc>
        <w:tc>
          <w:tcPr>
            <w:tcW w:w="1300" w:type="dxa"/>
            <w:vAlign w:val="bottom"/>
          </w:tcPr>
          <w:p>
            <w:pPr>
              <w:jc w:val="right"/>
              <w:ind w:right="359"/>
              <w:spacing w:after="0"/>
              <w:rPr>
                <w:sz w:val="20"/>
                <w:szCs w:val="20"/>
                <w:color w:val="auto"/>
              </w:rPr>
            </w:pPr>
            <w:r>
              <w:rPr>
                <w:rFonts w:ascii="Arial" w:cs="Arial" w:eastAsia="Arial" w:hAnsi="Arial"/>
                <w:sz w:val="13"/>
                <w:szCs w:val="13"/>
                <w:b w:val="1"/>
                <w:bCs w:val="1"/>
                <w:color w:val="auto"/>
              </w:rPr>
              <w:t>Preference</w:t>
            </w:r>
          </w:p>
        </w:tc>
        <w:tc>
          <w:tcPr>
            <w:tcW w:w="0" w:type="dxa"/>
            <w:vAlign w:val="bottom"/>
          </w:tcPr>
          <w:p>
            <w:pPr>
              <w:spacing w:after="0"/>
              <w:rPr>
                <w:sz w:val="1"/>
                <w:szCs w:val="1"/>
                <w:color w:val="auto"/>
              </w:rPr>
            </w:pPr>
          </w:p>
        </w:tc>
      </w:tr>
      <w:tr>
        <w:trPr>
          <w:trHeight w:val="204"/>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A</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1,051,540</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1,051,540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12"/>
        </w:trPr>
        <w:tc>
          <w:tcPr>
            <w:tcW w:w="4680" w:type="dxa"/>
            <w:vAlign w:val="bottom"/>
          </w:tcPr>
          <w:p>
            <w:pPr>
              <w:ind w:left="20"/>
              <w:spacing w:after="0"/>
              <w:rPr>
                <w:sz w:val="20"/>
                <w:szCs w:val="20"/>
                <w:color w:val="auto"/>
              </w:rPr>
            </w:pPr>
            <w:r>
              <w:rPr>
                <w:rFonts w:ascii="Arial" w:cs="Arial" w:eastAsia="Arial" w:hAnsi="Arial"/>
                <w:sz w:val="17"/>
                <w:szCs w:val="17"/>
                <w:color w:val="auto"/>
              </w:rPr>
              <w:t>Series A-1</w:t>
            </w:r>
          </w:p>
        </w:tc>
        <w:tc>
          <w:tcPr>
            <w:tcW w:w="1560" w:type="dxa"/>
            <w:vAlign w:val="bottom"/>
          </w:tcPr>
          <w:p>
            <w:pPr>
              <w:jc w:val="right"/>
              <w:spacing w:after="0"/>
              <w:rPr>
                <w:sz w:val="20"/>
                <w:szCs w:val="20"/>
                <w:color w:val="auto"/>
              </w:rPr>
            </w:pPr>
            <w:r>
              <w:rPr>
                <w:rFonts w:ascii="Arial" w:cs="Arial" w:eastAsia="Arial" w:hAnsi="Arial"/>
                <w:sz w:val="17"/>
                <w:szCs w:val="17"/>
                <w:color w:val="auto"/>
              </w:rPr>
              <w:t>5,475,700</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7"/>
                <w:szCs w:val="17"/>
                <w:color w:val="auto"/>
              </w:rPr>
              <w:t>5,475,700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B</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7,511,886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7,511,886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6,950</w:t>
            </w:r>
          </w:p>
        </w:tc>
        <w:tc>
          <w:tcPr>
            <w:tcW w:w="0" w:type="dxa"/>
            <w:vAlign w:val="bottom"/>
          </w:tcPr>
          <w:p>
            <w:pPr>
              <w:spacing w:after="0"/>
              <w:rPr>
                <w:sz w:val="1"/>
                <w:szCs w:val="1"/>
                <w:color w:val="auto"/>
              </w:rPr>
            </w:pPr>
          </w:p>
        </w:tc>
      </w:tr>
      <w:tr>
        <w:trPr>
          <w:trHeight w:val="212"/>
        </w:trPr>
        <w:tc>
          <w:tcPr>
            <w:tcW w:w="4680" w:type="dxa"/>
            <w:vAlign w:val="bottom"/>
          </w:tcPr>
          <w:p>
            <w:pPr>
              <w:ind w:left="20"/>
              <w:spacing w:after="0"/>
              <w:rPr>
                <w:sz w:val="20"/>
                <w:szCs w:val="20"/>
                <w:color w:val="auto"/>
              </w:rPr>
            </w:pPr>
            <w:r>
              <w:rPr>
                <w:rFonts w:ascii="Arial" w:cs="Arial" w:eastAsia="Arial" w:hAnsi="Arial"/>
                <w:sz w:val="17"/>
                <w:szCs w:val="17"/>
                <w:color w:val="auto"/>
              </w:rPr>
              <w:t>Series C</w:t>
            </w:r>
          </w:p>
        </w:tc>
        <w:tc>
          <w:tcPr>
            <w:tcW w:w="1560" w:type="dxa"/>
            <w:vAlign w:val="bottom"/>
          </w:tcPr>
          <w:p>
            <w:pPr>
              <w:jc w:val="right"/>
              <w:spacing w:after="0"/>
              <w:rPr>
                <w:sz w:val="20"/>
                <w:szCs w:val="20"/>
                <w:color w:val="auto"/>
              </w:rPr>
            </w:pPr>
            <w:r>
              <w:rPr>
                <w:rFonts w:ascii="Arial" w:cs="Arial" w:eastAsia="Arial" w:hAnsi="Arial"/>
                <w:sz w:val="17"/>
                <w:szCs w:val="17"/>
                <w:color w:val="auto"/>
              </w:rPr>
              <w:t>9,725,945</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7"/>
                <w:szCs w:val="17"/>
                <w:color w:val="auto"/>
              </w:rPr>
              <w:t>9,688,328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14,526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14,479</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11,072,579</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11,045,815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12"/>
        </w:trPr>
        <w:tc>
          <w:tcPr>
            <w:tcW w:w="4680" w:type="dxa"/>
            <w:vAlign w:val="bottom"/>
          </w:tcPr>
          <w:p>
            <w:pPr>
              <w:ind w:left="20"/>
              <w:spacing w:after="0"/>
              <w:rPr>
                <w:sz w:val="20"/>
                <w:szCs w:val="20"/>
                <w:color w:val="auto"/>
              </w:rPr>
            </w:pPr>
            <w:r>
              <w:rPr>
                <w:rFonts w:ascii="Arial" w:cs="Arial" w:eastAsia="Arial" w:hAnsi="Arial"/>
                <w:sz w:val="17"/>
                <w:szCs w:val="17"/>
                <w:color w:val="auto"/>
              </w:rPr>
              <w:t>Series E</w:t>
            </w:r>
          </w:p>
        </w:tc>
        <w:tc>
          <w:tcPr>
            <w:tcW w:w="1560" w:type="dxa"/>
            <w:vAlign w:val="bottom"/>
          </w:tcPr>
          <w:p>
            <w:pPr>
              <w:jc w:val="right"/>
              <w:spacing w:after="0"/>
              <w:rPr>
                <w:sz w:val="20"/>
                <w:szCs w:val="20"/>
                <w:color w:val="auto"/>
              </w:rPr>
            </w:pPr>
            <w:r>
              <w:rPr>
                <w:rFonts w:ascii="Arial" w:cs="Arial" w:eastAsia="Arial" w:hAnsi="Arial"/>
                <w:sz w:val="17"/>
                <w:szCs w:val="17"/>
                <w:color w:val="auto"/>
              </w:rPr>
              <w:t>12,943,216</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7"/>
                <w:szCs w:val="17"/>
                <w:color w:val="auto"/>
              </w:rPr>
              <w:t>12,943,216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80,866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81,000</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E-1</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5,832,443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5,704,601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35,700</w:t>
            </w:r>
          </w:p>
        </w:tc>
        <w:tc>
          <w:tcPr>
            <w:tcW w:w="0" w:type="dxa"/>
            <w:vAlign w:val="bottom"/>
          </w:tcPr>
          <w:p>
            <w:pPr>
              <w:spacing w:after="0"/>
              <w:rPr>
                <w:sz w:val="1"/>
                <w:szCs w:val="1"/>
                <w:color w:val="auto"/>
              </w:rPr>
            </w:pPr>
          </w:p>
        </w:tc>
      </w:tr>
      <w:tr>
        <w:trPr>
          <w:trHeight w:val="212"/>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Series F</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14,526,649</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12,549,852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82,511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86,392</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68,139,958</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65,970,938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247,041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251,239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Voting</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holder of any shares of convertible preferred stock has the right to one vote for each share of common stock into which such share of convertible preferred stock could then be converted and were entitled to vote together with the holders of the common stock.</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Dividends</w:t>
      </w:r>
    </w:p>
    <w:p>
      <w:pPr>
        <w:spacing w:after="0" w:line="153"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6"/>
          <w:szCs w:val="16"/>
          <w:color w:val="auto"/>
        </w:rPr>
        <w:t>Holders of shares for each class of convertible preferred stock are entitled to receive noncumulative dividends on each share at a rate of 8% per annum of the original issue price as defined, only when, as, and if declared by the Company’s board of directors. The convertible preferred stock dividends are payable in preference and in priority to any dividends on common stock. No dividends have been declared or paid by the Company to date.</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15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In the event of any liquidation, dissolution, or winding up of the affairs of the Company, the holders of the then outstanding convertible preferred stock would be entitled to receive the amount of the assets of the Company available for distribution to the stockholders before any payment is made to the common stock holders in an amount equal to the greater of (x) the applicable original issue price for such series of preferred stock plus any dividends declared but unpaid or (y) such amount per share that would have been payable had all shares of preferred stock been converted into common stock immediately prior to liquidation. If assets available for distribution are insufficient to pay the holders of shares of preferred stock the full amount to which they shall be entitled, the holders of shares preferred stock shall share ratably in any distribution of the assets available for distribution in proportion to the respective amounts, which would otherwise be payable in respect of the shares held by them upon such distribution. After payment of all preferential amounts required to be paid to the holders of shares of preferred stock the remaining assets of the Company available for distribution shall be distributed among the holders of shares of common stock, prorated based on the number of shares held by each such holder.</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Conversion</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The holder of any shares of convertible preferred stock has the right at the holder’s option, at any time, to convert any of such shares into such number of fully paid and nonassessable shares of common stock as would have been determined by dividing the Original Issue Price for such series of preferred stock by the applicable conversion price in effect at the time of conversion. The Original Issue Price for each share of each series of convertible preferred stock is as follows: Series A – $0.233; Series A-1 – $0.269; Series B – $0.9252; Series C – $1.4945; Series D – $2.2633; Series E – $ 6.2581; Series E-1 – $6.2581 and Series F – $6.8839. The applicable conversion price is adjustable under certain circumstances for stock splits, dilution events, reorganizations, and similar events. Automatic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240"/>
          </w:cols>
          <w:pgMar w:left="320" w:top="118" w:right="339" w:bottom="1440" w:gutter="0" w:footer="0" w:header="0"/>
        </w:sectPr>
      </w:pPr>
    </w:p>
    <w:bookmarkStart w:id="227" w:name="page228"/>
    <w:bookmarkEnd w:id="22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occurs immediately prior to the closing of a qualified public offering, as defined; upon the approval of the holders of over 60% of the holders of Series D preferred stock, voting as a separate series and the holders of a majority of the outstanding shares of Series E and Series E-1 preferred stock, voting together as a single series; or upon the closing of the sale of shares of common stock to the public at a price of at least $12.5162 per share in a firm-commitment underwritten public offering pursuant to an effective registration statement under the Securities Act of 1933, having an aggregate offering price to the public of no less than $50 million.</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Redemption</w:t>
      </w:r>
    </w:p>
    <w:p>
      <w:pPr>
        <w:spacing w:after="0" w:line="153" w:lineRule="exact"/>
        <w:rPr>
          <w:sz w:val="20"/>
          <w:szCs w:val="20"/>
          <w:color w:val="auto"/>
        </w:rPr>
      </w:pPr>
    </w:p>
    <w:p>
      <w:pPr>
        <w:jc w:val="both"/>
        <w:ind w:firstLine="299"/>
        <w:spacing w:after="0" w:line="276" w:lineRule="auto"/>
        <w:rPr>
          <w:sz w:val="20"/>
          <w:szCs w:val="20"/>
          <w:color w:val="auto"/>
        </w:rPr>
      </w:pPr>
      <w:r>
        <w:rPr>
          <w:rFonts w:ascii="Arial" w:cs="Arial" w:eastAsia="Arial" w:hAnsi="Arial"/>
          <w:sz w:val="16"/>
          <w:szCs w:val="16"/>
          <w:color w:val="auto"/>
        </w:rPr>
        <w:t>The Convertible Preferred Stock is redeemable upon a liquidation event, such as voluntary or involuntary liquidation, dissolution, or winding up of the Company, which is outside of the Company’s control. Accordingly, these shares are considered contingently redeemable and are classified as temporary equity on the balance sheet. Accretion on the convertible preferred stock should only be recorded when the occurrence of a redemption event is considered probable. As of December 31, 2019 and 2020, a redemption event is not considered probable, therefore no accretion has been accrued.</w:t>
      </w:r>
    </w:p>
    <w:p>
      <w:pPr>
        <w:spacing w:after="0" w:line="97" w:lineRule="exact"/>
        <w:rPr>
          <w:sz w:val="20"/>
          <w:szCs w:val="20"/>
          <w:color w:val="auto"/>
        </w:rPr>
      </w:pPr>
    </w:p>
    <w:p>
      <w:pPr>
        <w:ind w:left="580" w:hanging="580"/>
        <w:spacing w:after="0"/>
        <w:tabs>
          <w:tab w:leader="none" w:pos="58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Holders of common stock are entitled to one vote per share on all matters to be voted upon by the stockholders of the Company.</w:t>
      </w:r>
    </w:p>
    <w:p>
      <w:pPr>
        <w:spacing w:after="0" w:line="153" w:lineRule="exact"/>
        <w:rPr>
          <w:sz w:val="20"/>
          <w:szCs w:val="20"/>
          <w:color w:val="auto"/>
        </w:rPr>
      </w:pPr>
    </w:p>
    <w:p>
      <w:pPr>
        <w:ind w:firstLine="299"/>
        <w:spacing w:after="0" w:line="277" w:lineRule="auto"/>
        <w:rPr>
          <w:sz w:val="20"/>
          <w:szCs w:val="20"/>
          <w:color w:val="auto"/>
        </w:rPr>
      </w:pPr>
      <w:r>
        <w:rPr>
          <w:rFonts w:ascii="Arial" w:cs="Arial" w:eastAsia="Arial" w:hAnsi="Arial"/>
          <w:sz w:val="17"/>
          <w:szCs w:val="17"/>
          <w:color w:val="auto"/>
        </w:rPr>
        <w:t>Subject to the preferences that may be applicable to any outstanding shares of convertible preferred stock, the holders of common stock are entitled to receive ratably such dividends, if any, as may be declared by the board of directors. No dividends have been declared to date.</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had reserved shares of common stock for issuance, on an as-converted basis,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0" w:type="dxa"/>
            <w:vAlign w:val="bottom"/>
          </w:tcPr>
          <w:p>
            <w:pPr>
              <w:spacing w:after="0"/>
              <w:rPr>
                <w:sz w:val="15"/>
                <w:szCs w:val="15"/>
                <w:color w:val="auto"/>
              </w:rPr>
            </w:pPr>
          </w:p>
        </w:tc>
        <w:tc>
          <w:tcPr>
            <w:tcW w:w="2260" w:type="dxa"/>
            <w:vAlign w:val="bottom"/>
            <w:tcBorders>
              <w:bottom w:val="single" w:sz="8" w:color="auto"/>
            </w:tcBorders>
            <w:gridSpan w:val="3"/>
          </w:tcPr>
          <w:p>
            <w:pPr>
              <w:ind w:left="1020"/>
              <w:spacing w:after="0"/>
              <w:rPr>
                <w:sz w:val="20"/>
                <w:szCs w:val="20"/>
                <w:color w:val="auto"/>
              </w:rPr>
            </w:pPr>
            <w:r>
              <w:rPr>
                <w:rFonts w:ascii="Arial" w:cs="Arial" w:eastAsia="Arial" w:hAnsi="Arial"/>
                <w:sz w:val="13"/>
                <w:szCs w:val="13"/>
                <w:b w:val="1"/>
                <w:bCs w:val="1"/>
                <w:color w:val="auto"/>
              </w:rPr>
              <w:t>December 31, 2020</w:t>
            </w:r>
          </w:p>
        </w:tc>
        <w:tc>
          <w:tcPr>
            <w:tcW w:w="980" w:type="dxa"/>
            <w:vAlign w:val="bottom"/>
            <w:tcBorders>
              <w:bottom w:val="single" w:sz="8" w:color="auto"/>
            </w:tcBorders>
          </w:tcPr>
          <w:p>
            <w:pPr>
              <w:spacing w:after="0"/>
              <w:rPr>
                <w:sz w:val="15"/>
                <w:szCs w:val="15"/>
                <w:color w:val="auto"/>
              </w:rPr>
            </w:pPr>
          </w:p>
        </w:tc>
      </w:tr>
      <w:tr>
        <w:trPr>
          <w:trHeight w:val="167"/>
        </w:trPr>
        <w:tc>
          <w:tcPr>
            <w:tcW w:w="80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r>
      <w:tr>
        <w:trPr>
          <w:trHeight w:val="204"/>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 outstanding</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65,928,261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65,970,938</w:t>
            </w:r>
          </w:p>
        </w:tc>
      </w:tr>
      <w:tr>
        <w:trPr>
          <w:trHeight w:val="212"/>
        </w:trPr>
        <w:tc>
          <w:tcPr>
            <w:tcW w:w="8000" w:type="dxa"/>
            <w:vAlign w:val="bottom"/>
          </w:tcPr>
          <w:p>
            <w:pPr>
              <w:ind w:left="20"/>
              <w:spacing w:after="0"/>
              <w:rPr>
                <w:sz w:val="20"/>
                <w:szCs w:val="20"/>
                <w:color w:val="auto"/>
              </w:rPr>
            </w:pPr>
            <w:r>
              <w:rPr>
                <w:rFonts w:ascii="Arial" w:cs="Arial" w:eastAsia="Arial" w:hAnsi="Arial"/>
                <w:sz w:val="17"/>
                <w:szCs w:val="17"/>
                <w:color w:val="auto"/>
              </w:rPr>
              <w:t>Options issued and outstanding</w:t>
            </w:r>
          </w:p>
        </w:tc>
        <w:tc>
          <w:tcPr>
            <w:tcW w:w="1580" w:type="dxa"/>
            <w:vAlign w:val="bottom"/>
          </w:tcPr>
          <w:p>
            <w:pPr>
              <w:jc w:val="right"/>
              <w:spacing w:after="0"/>
              <w:rPr>
                <w:sz w:val="20"/>
                <w:szCs w:val="20"/>
                <w:color w:val="auto"/>
              </w:rPr>
            </w:pPr>
            <w:r>
              <w:rPr>
                <w:rFonts w:ascii="Arial" w:cs="Arial" w:eastAsia="Arial" w:hAnsi="Arial"/>
                <w:sz w:val="17"/>
                <w:szCs w:val="17"/>
                <w:color w:val="auto"/>
              </w:rPr>
              <w:t>17,984,575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22,774,949</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future stock option issuances</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751,514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201,582</w:t>
            </w:r>
          </w:p>
        </w:tc>
      </w:tr>
      <w:tr>
        <w:trPr>
          <w:trHeight w:val="21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Warrants to purchase convertible preferred stock</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170,975</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148,994</w:t>
            </w:r>
          </w:p>
        </w:tc>
      </w:tr>
      <w:tr>
        <w:trPr>
          <w:trHeight w:val="229"/>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84,835,325</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89,096,463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600" w:hanging="600"/>
        <w:spacing w:after="0"/>
        <w:tabs>
          <w:tab w:leader="none" w:pos="60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Plans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2010 Stock Incentive Plan</w:t>
      </w:r>
    </w:p>
    <w:p>
      <w:pPr>
        <w:spacing w:after="0" w:line="153" w:lineRule="exact"/>
        <w:rPr>
          <w:sz w:val="20"/>
          <w:szCs w:val="20"/>
          <w:color w:val="auto"/>
        </w:rPr>
      </w:pPr>
    </w:p>
    <w:p>
      <w:pPr>
        <w:jc w:val="both"/>
        <w:ind w:firstLine="299"/>
        <w:spacing w:after="0" w:line="276" w:lineRule="auto"/>
        <w:rPr>
          <w:sz w:val="20"/>
          <w:szCs w:val="20"/>
          <w:color w:val="auto"/>
        </w:rPr>
      </w:pPr>
      <w:r>
        <w:rPr>
          <w:rFonts w:ascii="Arial" w:cs="Arial" w:eastAsia="Arial" w:hAnsi="Arial"/>
          <w:sz w:val="16"/>
          <w:szCs w:val="16"/>
          <w:color w:val="auto"/>
        </w:rPr>
        <w:t>In 2010, the Company adopted the 2010 Stock Incentive Plan (the Plan), and amended the Plan in 2011, as approved by the board of directors. The Plan provides for the granting of stock awards to employees, consultants, and directors of the Company. Options granted under the Plan may either be Incentive Stock Options (ISOs) or Nonstatutory Stock Options (NSOs). ISOs may be granted to Company employees only, while stock awards other than ISOs may be granted to employees, directors, and consultants. In 2020 the board of directors authorized an additional 6.5 million shares for the Plan.</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Stock awards under the Plan may be granted with terms of up to 10 years and at prices determined by the board of directors, provided, however, that</w:t>
      </w:r>
    </w:p>
    <w:p>
      <w:pPr>
        <w:spacing w:after="0" w:line="35" w:lineRule="exact"/>
        <w:rPr>
          <w:sz w:val="20"/>
          <w:szCs w:val="20"/>
          <w:color w:val="auto"/>
        </w:rPr>
      </w:pPr>
    </w:p>
    <w:p>
      <w:pPr>
        <w:jc w:val="both"/>
        <w:spacing w:after="0" w:line="271" w:lineRule="auto"/>
        <w:tabs>
          <w:tab w:leader="none" w:pos="19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exercise price of an ISO or NSO shall not be less than 100% of the estimated fair value of the shares on the date of the grant, and (ii) the exercise price of an ISO granted to a 10% or more stockholder shall not be less than 110% of the estimated fair value of the shares on the grant date. The options generally vest over a 4-year period. For certain options, vesting accelerates upon the occurrence of specified events, such as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240"/>
          </w:cols>
          <w:pgMar w:left="320" w:top="118" w:right="339" w:bottom="1440" w:gutter="0" w:footer="0" w:header="0"/>
        </w:sectPr>
      </w:pPr>
    </w:p>
    <w:bookmarkStart w:id="228" w:name="page229"/>
    <w:bookmarkEnd w:id="22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firstLine="299"/>
        <w:spacing w:after="0" w:line="277" w:lineRule="auto"/>
        <w:rPr>
          <w:sz w:val="20"/>
          <w:szCs w:val="20"/>
          <w:color w:val="auto"/>
        </w:rPr>
      </w:pPr>
      <w:r>
        <w:rPr>
          <w:rFonts w:ascii="Arial" w:cs="Arial" w:eastAsia="Arial" w:hAnsi="Arial"/>
          <w:sz w:val="17"/>
          <w:szCs w:val="17"/>
          <w:color w:val="auto"/>
        </w:rPr>
        <w:t>The Company records stock-based awards at fair value as of the grant date, using the Black Scholes option pricing model. The fair value of stock options granted during the years ended December 31, 2018, 2019 and 2020 was estimated using the following range of assumptions: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1800" w:type="dxa"/>
            <w:vAlign w:val="bottom"/>
            <w:tcBorders>
              <w:bottom w:val="single" w:sz="8" w:color="auto"/>
            </w:tcBorders>
          </w:tcPr>
          <w:p>
            <w:pPr>
              <w:spacing w:after="0"/>
              <w:rPr>
                <w:sz w:val="15"/>
                <w:szCs w:val="15"/>
                <w:color w:val="auto"/>
              </w:rPr>
            </w:pPr>
          </w:p>
        </w:tc>
      </w:tr>
      <w:tr>
        <w:trPr>
          <w:trHeight w:val="167"/>
        </w:trPr>
        <w:tc>
          <w:tcPr>
            <w:tcW w:w="566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gridSpan w:val="2"/>
          </w:tcPr>
          <w:p>
            <w:pPr>
              <w:jc w:val="right"/>
              <w:ind w:right="65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gridSpan w:val="2"/>
          </w:tcPr>
          <w:p>
            <w:pPr>
              <w:jc w:val="right"/>
              <w:ind w:right="67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2020(1)</w:t>
            </w:r>
          </w:p>
        </w:tc>
      </w:tr>
      <w:tr>
        <w:trPr>
          <w:trHeight w:val="204"/>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 6.09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1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6.25</w:t>
            </w: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5.00-10.00</w:t>
            </w:r>
          </w:p>
        </w:tc>
      </w:tr>
      <w:tr>
        <w:trPr>
          <w:trHeight w:val="212"/>
        </w:trPr>
        <w:tc>
          <w:tcPr>
            <w:tcW w:w="566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820" w:type="dxa"/>
            <w:vAlign w:val="bottom"/>
          </w:tcPr>
          <w:p>
            <w:pPr>
              <w:jc w:val="right"/>
              <w:spacing w:after="0"/>
              <w:rPr>
                <w:sz w:val="20"/>
                <w:szCs w:val="20"/>
                <w:color w:val="auto"/>
              </w:rPr>
            </w:pPr>
            <w:r>
              <w:rPr>
                <w:rFonts w:ascii="Arial" w:cs="Arial" w:eastAsia="Arial" w:hAnsi="Arial"/>
                <w:sz w:val="17"/>
                <w:szCs w:val="17"/>
                <w:color w:val="auto"/>
              </w:rPr>
              <w:t>44.2%</w:t>
            </w:r>
          </w:p>
        </w:tc>
        <w:tc>
          <w:tcPr>
            <w:tcW w:w="1080" w:type="dxa"/>
            <w:vAlign w:val="bottom"/>
            <w:gridSpan w:val="2"/>
          </w:tcPr>
          <w:p>
            <w:pPr>
              <w:ind w:left="40"/>
              <w:spacing w:after="0"/>
              <w:rPr>
                <w:sz w:val="20"/>
                <w:szCs w:val="20"/>
                <w:color w:val="auto"/>
              </w:rPr>
            </w:pPr>
            <w:r>
              <w:rPr>
                <w:rFonts w:ascii="Arial" w:cs="Arial" w:eastAsia="Arial" w:hAnsi="Arial"/>
                <w:sz w:val="17"/>
                <w:szCs w:val="17"/>
                <w:color w:val="auto"/>
              </w:rPr>
              <w:t>– 45.1%</w:t>
            </w:r>
          </w:p>
        </w:tc>
        <w:tc>
          <w:tcPr>
            <w:tcW w:w="800" w:type="dxa"/>
            <w:vAlign w:val="bottom"/>
          </w:tcPr>
          <w:p>
            <w:pPr>
              <w:jc w:val="right"/>
              <w:spacing w:after="0"/>
              <w:rPr>
                <w:sz w:val="20"/>
                <w:szCs w:val="20"/>
                <w:color w:val="auto"/>
              </w:rPr>
            </w:pPr>
            <w:r>
              <w:rPr>
                <w:rFonts w:ascii="Arial" w:cs="Arial" w:eastAsia="Arial" w:hAnsi="Arial"/>
                <w:sz w:val="17"/>
                <w:szCs w:val="17"/>
                <w:color w:val="auto"/>
              </w:rPr>
              <w:t>45.5%</w:t>
            </w:r>
          </w:p>
        </w:tc>
        <w:tc>
          <w:tcPr>
            <w:tcW w:w="1080" w:type="dxa"/>
            <w:vAlign w:val="bottom"/>
            <w:gridSpan w:val="2"/>
          </w:tcPr>
          <w:p>
            <w:pPr>
              <w:ind w:left="40"/>
              <w:spacing w:after="0"/>
              <w:rPr>
                <w:sz w:val="20"/>
                <w:szCs w:val="20"/>
                <w:color w:val="auto"/>
              </w:rPr>
            </w:pPr>
            <w:r>
              <w:rPr>
                <w:rFonts w:ascii="Arial" w:cs="Arial" w:eastAsia="Arial" w:hAnsi="Arial"/>
                <w:sz w:val="17"/>
                <w:szCs w:val="17"/>
                <w:color w:val="auto"/>
              </w:rPr>
              <w:t>– 47.8%</w:t>
            </w:r>
          </w:p>
        </w:tc>
        <w:tc>
          <w:tcPr>
            <w:tcW w:w="1800" w:type="dxa"/>
            <w:vAlign w:val="bottom"/>
          </w:tcPr>
          <w:p>
            <w:pPr>
              <w:jc w:val="center"/>
              <w:spacing w:after="0"/>
              <w:rPr>
                <w:sz w:val="20"/>
                <w:szCs w:val="20"/>
                <w:color w:val="auto"/>
              </w:rPr>
            </w:pPr>
            <w:r>
              <w:rPr>
                <w:rFonts w:ascii="Arial" w:cs="Arial" w:eastAsia="Arial" w:hAnsi="Arial"/>
                <w:sz w:val="17"/>
                <w:szCs w:val="17"/>
                <w:color w:val="auto"/>
                <w:w w:val="97"/>
              </w:rPr>
              <w:t>46.9%-54.9%</w:t>
            </w:r>
          </w:p>
        </w:tc>
      </w:tr>
      <w:tr>
        <w:trPr>
          <w:trHeight w:val="21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risk-free rate</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2.98%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2.44%</w:t>
            </w: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0.28%-1.55%</w:t>
            </w:r>
          </w:p>
        </w:tc>
      </w:tr>
      <w:tr>
        <w:trPr>
          <w:trHeight w:val="195"/>
        </w:trPr>
        <w:tc>
          <w:tcPr>
            <w:tcW w:w="566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820" w:type="dxa"/>
            <w:vAlign w:val="bottom"/>
          </w:tcPr>
          <w:p>
            <w:pPr>
              <w:spacing w:after="0"/>
              <w:rPr>
                <w:sz w:val="16"/>
                <w:szCs w:val="16"/>
                <w:color w:val="auto"/>
              </w:rPr>
            </w:pPr>
          </w:p>
        </w:tc>
        <w:tc>
          <w:tcPr>
            <w:tcW w:w="1080" w:type="dxa"/>
            <w:vAlign w:val="bottom"/>
            <w:gridSpan w:val="2"/>
          </w:tcPr>
          <w:p>
            <w:pPr>
              <w:jc w:val="center"/>
              <w:ind w:right="920"/>
              <w:spacing w:after="0"/>
              <w:rPr>
                <w:sz w:val="20"/>
                <w:szCs w:val="20"/>
                <w:color w:val="auto"/>
              </w:rPr>
            </w:pPr>
            <w:r>
              <w:rPr>
                <w:rFonts w:ascii="Arial" w:cs="Arial" w:eastAsia="Arial" w:hAnsi="Arial"/>
                <w:sz w:val="17"/>
                <w:szCs w:val="17"/>
                <w:color w:val="auto"/>
                <w:w w:val="93"/>
              </w:rPr>
              <w:t>—</w:t>
            </w:r>
          </w:p>
        </w:tc>
        <w:tc>
          <w:tcPr>
            <w:tcW w:w="800" w:type="dxa"/>
            <w:vAlign w:val="bottom"/>
          </w:tcPr>
          <w:p>
            <w:pPr>
              <w:spacing w:after="0"/>
              <w:rPr>
                <w:sz w:val="16"/>
                <w:szCs w:val="16"/>
                <w:color w:val="auto"/>
              </w:rPr>
            </w:pPr>
          </w:p>
        </w:tc>
        <w:tc>
          <w:tcPr>
            <w:tcW w:w="1080" w:type="dxa"/>
            <w:vAlign w:val="bottom"/>
            <w:gridSpan w:val="2"/>
          </w:tcPr>
          <w:p>
            <w:pPr>
              <w:jc w:val="center"/>
              <w:ind w:right="880"/>
              <w:spacing w:after="0"/>
              <w:rPr>
                <w:sz w:val="20"/>
                <w:szCs w:val="20"/>
                <w:color w:val="auto"/>
              </w:rPr>
            </w:pPr>
            <w:r>
              <w:rPr>
                <w:rFonts w:ascii="Arial" w:cs="Arial" w:eastAsia="Arial" w:hAnsi="Arial"/>
                <w:sz w:val="17"/>
                <w:szCs w:val="17"/>
                <w:color w:val="auto"/>
                <w:w w:val="93"/>
              </w:rPr>
              <w:t>—</w:t>
            </w:r>
          </w:p>
        </w:tc>
        <w:tc>
          <w:tcPr>
            <w:tcW w:w="18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192"/>
        </w:trPr>
        <w:tc>
          <w:tcPr>
            <w:tcW w:w="5660" w:type="dxa"/>
            <w:vAlign w:val="bottom"/>
          </w:tcPr>
          <w:p>
            <w:pPr>
              <w:spacing w:after="0"/>
              <w:rPr>
                <w:sz w:val="20"/>
                <w:szCs w:val="20"/>
                <w:color w:val="auto"/>
              </w:rPr>
            </w:pPr>
            <w:r>
              <w:rPr>
                <w:rFonts w:ascii="Arial" w:cs="Arial" w:eastAsia="Arial" w:hAnsi="Arial"/>
                <w:sz w:val="15"/>
                <w:szCs w:val="15"/>
                <w:color w:val="auto"/>
              </w:rPr>
              <w:t>________________</w:t>
            </w: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ind w:left="300" w:hanging="300"/>
        <w:spacing w:after="0"/>
        <w:tabs>
          <w:tab w:leader="none" w:pos="30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Assumptions include non-employee options after adoption of ASU 2018-07 as of January 1, 2020.</w:t>
      </w:r>
    </w:p>
    <w:p>
      <w:pPr>
        <w:spacing w:after="0" w:line="128"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Each of these inputs is subjective and generally requires significant judgment.</w:t>
      </w:r>
    </w:p>
    <w:p>
      <w:pPr>
        <w:spacing w:after="0" w:line="152" w:lineRule="exact"/>
        <w:rPr>
          <w:rFonts w:ascii="Arial" w:cs="Arial" w:eastAsia="Arial" w:hAnsi="Arial"/>
          <w:sz w:val="15"/>
          <w:szCs w:val="15"/>
          <w:color w:val="auto"/>
        </w:rPr>
      </w:pPr>
    </w:p>
    <w:p>
      <w:pPr>
        <w:jc w:val="both"/>
        <w:ind w:left="300"/>
        <w:spacing w:after="0" w:line="276" w:lineRule="auto"/>
        <w:rPr>
          <w:rFonts w:ascii="Arial" w:cs="Arial" w:eastAsia="Arial" w:hAnsi="Arial"/>
          <w:sz w:val="15"/>
          <w:szCs w:val="15"/>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—The fair value of the shares of common stock has historically been determined by the Company’s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as there was no public market for the common stock. The board of directors determines the fair value of our common stock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amongst other factors.</w:t>
      </w:r>
    </w:p>
    <w:p>
      <w:pPr>
        <w:spacing w:after="0" w:line="99" w:lineRule="exact"/>
        <w:rPr>
          <w:rFonts w:ascii="Arial" w:cs="Arial" w:eastAsia="Arial" w:hAnsi="Arial"/>
          <w:sz w:val="15"/>
          <w:szCs w:val="15"/>
          <w:color w:val="auto"/>
        </w:rPr>
      </w:pPr>
    </w:p>
    <w:p>
      <w:pPr>
        <w:jc w:val="both"/>
        <w:ind w:left="300"/>
        <w:spacing w:after="0" w:line="260" w:lineRule="auto"/>
        <w:rPr>
          <w:rFonts w:ascii="Arial" w:cs="Arial" w:eastAsia="Arial" w:hAnsi="Arial"/>
          <w:sz w:val="15"/>
          <w:szCs w:val="15"/>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Company’s stock options are expected to be outstanding and is determined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111" w:lineRule="exact"/>
        <w:rPr>
          <w:rFonts w:ascii="Arial" w:cs="Arial" w:eastAsia="Arial" w:hAnsi="Arial"/>
          <w:sz w:val="15"/>
          <w:szCs w:val="15"/>
          <w:color w:val="auto"/>
        </w:rPr>
      </w:pPr>
    </w:p>
    <w:p>
      <w:pPr>
        <w:jc w:val="both"/>
        <w:ind w:left="300"/>
        <w:spacing w:after="0" w:line="260" w:lineRule="auto"/>
        <w:rPr>
          <w:rFonts w:ascii="Arial" w:cs="Arial" w:eastAsia="Arial" w:hAnsi="Arial"/>
          <w:sz w:val="15"/>
          <w:szCs w:val="15"/>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—Because the Company is privately held and does not have an active trading market for its common stock for a sufficient period of time,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volatility was estimated based on the average volatility for comparable publicly-traded companies, over a period equal to the expected term of the stock option grants.</w:t>
      </w:r>
    </w:p>
    <w:p>
      <w:pPr>
        <w:spacing w:after="0" w:line="111" w:lineRule="exact"/>
        <w:rPr>
          <w:rFonts w:ascii="Arial" w:cs="Arial" w:eastAsia="Arial" w:hAnsi="Arial"/>
          <w:sz w:val="15"/>
          <w:szCs w:val="15"/>
          <w:color w:val="auto"/>
        </w:rPr>
      </w:pPr>
    </w:p>
    <w:p>
      <w:pPr>
        <w:ind w:left="300"/>
        <w:spacing w:after="0" w:line="277" w:lineRule="auto"/>
        <w:rPr>
          <w:rFonts w:ascii="Arial" w:cs="Arial" w:eastAsia="Arial" w:hAnsi="Arial"/>
          <w:sz w:val="15"/>
          <w:szCs w:val="15"/>
          <w:color w:val="auto"/>
        </w:rPr>
      </w:pPr>
      <w:r>
        <w:rPr>
          <w:rFonts w:ascii="Arial" w:cs="Arial" w:eastAsia="Arial" w:hAnsi="Arial"/>
          <w:sz w:val="17"/>
          <w:szCs w:val="17"/>
          <w:i w:val="1"/>
          <w:iCs w:val="1"/>
          <w:color w:val="auto"/>
        </w:rPr>
        <w:t xml:space="preserve">Risk-free Rate </w:t>
      </w:r>
      <w:r>
        <w:rPr>
          <w:rFonts w:ascii="Arial" w:cs="Arial" w:eastAsia="Arial" w:hAnsi="Arial"/>
          <w:sz w:val="17"/>
          <w:szCs w:val="17"/>
          <w:color w:val="auto"/>
        </w:rPr>
        <w:t>—The risk-free rate assumption is based on the U.S. Treasury zero coupon issues in effect at the time of grant for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96" w:lineRule="exact"/>
        <w:rPr>
          <w:rFonts w:ascii="Arial" w:cs="Arial" w:eastAsia="Arial" w:hAnsi="Arial"/>
          <w:sz w:val="15"/>
          <w:szCs w:val="15"/>
          <w:color w:val="auto"/>
        </w:rPr>
      </w:pPr>
    </w:p>
    <w:p>
      <w:pPr>
        <w:ind w:left="300"/>
        <w:spacing w:after="0" w:line="277" w:lineRule="auto"/>
        <w:rPr>
          <w:rFonts w:ascii="Arial" w:cs="Arial" w:eastAsia="Arial" w:hAnsi="Arial"/>
          <w:sz w:val="15"/>
          <w:szCs w:val="15"/>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—The Company has never paid dividends on its common stock and does not anticipate paying dividends on common stock. Therefore,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uses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240"/>
          </w:cols>
          <w:pgMar w:left="320" w:top="118" w:right="339" w:bottom="1440" w:gutter="0" w:footer="0" w:header="0"/>
        </w:sectPr>
      </w:pPr>
    </w:p>
    <w:bookmarkStart w:id="229" w:name="page230"/>
    <w:bookmarkEnd w:id="22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Stock option activity under the Plan, as amended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Options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Weighted-Average</w:t>
            </w: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6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440" w:type="dxa"/>
            <w:vAlign w:val="bottom"/>
            <w:vMerge w:val="restart"/>
          </w:tcPr>
          <w:p>
            <w:pPr>
              <w:jc w:val="right"/>
              <w:ind w:right="40"/>
              <w:spacing w:after="0"/>
              <w:rPr>
                <w:sz w:val="20"/>
                <w:szCs w:val="20"/>
                <w:color w:val="auto"/>
              </w:rPr>
            </w:pPr>
            <w:r>
              <w:rPr>
                <w:rFonts w:ascii="Arial" w:cs="Arial" w:eastAsia="Arial" w:hAnsi="Arial"/>
                <w:sz w:val="13"/>
                <w:szCs w:val="13"/>
                <w:b w:val="1"/>
                <w:bCs w:val="1"/>
                <w:color w:val="auto"/>
              </w:rPr>
              <w:t>Number of Options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52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rPr>
              <w:t>Remaining</w:t>
            </w:r>
          </w:p>
        </w:tc>
        <w:tc>
          <w:tcPr>
            <w:tcW w:w="120" w:type="dxa"/>
            <w:vAlign w:val="bottom"/>
          </w:tcPr>
          <w:p>
            <w:pPr>
              <w:spacing w:after="0"/>
              <w:rPr>
                <w:sz w:val="10"/>
                <w:szCs w:val="10"/>
                <w:color w:val="auto"/>
              </w:rPr>
            </w:pPr>
          </w:p>
        </w:tc>
        <w:tc>
          <w:tcPr>
            <w:tcW w:w="1320" w:type="dxa"/>
            <w:vAlign w:val="bottom"/>
            <w:vMerge w:val="restart"/>
          </w:tcPr>
          <w:p>
            <w:pPr>
              <w:jc w:val="right"/>
              <w:ind w:right="21"/>
              <w:spacing w:after="0"/>
              <w:rPr>
                <w:sz w:val="20"/>
                <w:szCs w:val="20"/>
                <w:color w:val="auto"/>
              </w:rPr>
            </w:pPr>
            <w:r>
              <w:rPr>
                <w:rFonts w:ascii="Arial" w:cs="Arial" w:eastAsia="Arial" w:hAnsi="Arial"/>
                <w:sz w:val="13"/>
                <w:szCs w:val="13"/>
                <w:b w:val="1"/>
                <w:bCs w:val="1"/>
                <w:color w:val="auto"/>
              </w:rPr>
              <w:t>Aggregate Intrinsic</w:t>
            </w:r>
          </w:p>
        </w:tc>
        <w:tc>
          <w:tcPr>
            <w:tcW w:w="0" w:type="dxa"/>
            <w:vAlign w:val="bottom"/>
          </w:tcPr>
          <w:p>
            <w:pPr>
              <w:spacing w:after="0"/>
              <w:rPr>
                <w:sz w:val="1"/>
                <w:szCs w:val="1"/>
                <w:color w:val="auto"/>
              </w:rPr>
            </w:pPr>
          </w:p>
        </w:tc>
      </w:tr>
      <w:tr>
        <w:trPr>
          <w:trHeight w:val="124"/>
        </w:trPr>
        <w:tc>
          <w:tcPr>
            <w:tcW w:w="3680" w:type="dxa"/>
            <w:vAlign w:val="bottom"/>
          </w:tcPr>
          <w:p>
            <w:pPr>
              <w:spacing w:after="0"/>
              <w:rPr>
                <w:sz w:val="10"/>
                <w:szCs w:val="10"/>
                <w:color w:val="auto"/>
              </w:rPr>
            </w:pPr>
          </w:p>
        </w:tc>
        <w:tc>
          <w:tcPr>
            <w:tcW w:w="154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rPr>
              <w:t>Available</w:t>
            </w:r>
          </w:p>
        </w:tc>
        <w:tc>
          <w:tcPr>
            <w:tcW w:w="1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rPr>
              <w:t>Exercise Price Per</w:t>
            </w:r>
          </w:p>
        </w:tc>
        <w:tc>
          <w:tcPr>
            <w:tcW w:w="152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rPr>
              <w:t>Contractual Life</w:t>
            </w: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for Grant</w:t>
            </w:r>
          </w:p>
        </w:tc>
        <w:tc>
          <w:tcPr>
            <w:tcW w:w="1440" w:type="dxa"/>
            <w:vAlign w:val="bottom"/>
          </w:tcPr>
          <w:p>
            <w:pPr>
              <w:jc w:val="right"/>
              <w:ind w:right="260"/>
              <w:spacing w:after="0"/>
              <w:rPr>
                <w:sz w:val="20"/>
                <w:szCs w:val="20"/>
                <w:color w:val="auto"/>
              </w:rPr>
            </w:pPr>
            <w:r>
              <w:rPr>
                <w:rFonts w:ascii="Arial" w:cs="Arial" w:eastAsia="Arial" w:hAnsi="Arial"/>
                <w:sz w:val="13"/>
                <w:szCs w:val="13"/>
                <w:b w:val="1"/>
                <w:bCs w:val="1"/>
                <w:color w:val="auto"/>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Share</w:t>
            </w: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(years)</w:t>
            </w:r>
          </w:p>
        </w:tc>
        <w:tc>
          <w:tcPr>
            <w:tcW w:w="1440" w:type="dxa"/>
            <w:vAlign w:val="bottom"/>
            <w:gridSpan w:val="2"/>
          </w:tcPr>
          <w:p>
            <w:pPr>
              <w:jc w:val="right"/>
              <w:spacing w:after="0"/>
              <w:rPr>
                <w:sz w:val="20"/>
                <w:szCs w:val="20"/>
                <w:color w:val="auto"/>
              </w:rPr>
            </w:pPr>
            <w:r>
              <w:rPr>
                <w:rFonts w:ascii="Arial" w:cs="Arial" w:eastAsia="Arial" w:hAnsi="Arial"/>
                <w:sz w:val="13"/>
                <w:szCs w:val="13"/>
                <w:b w:val="1"/>
                <w:bCs w:val="1"/>
                <w:color w:val="auto"/>
              </w:rPr>
              <w:t>Value (in thousands)</w:t>
            </w:r>
          </w:p>
        </w:tc>
        <w:tc>
          <w:tcPr>
            <w:tcW w:w="0" w:type="dxa"/>
            <w:vAlign w:val="bottom"/>
          </w:tcPr>
          <w:p>
            <w:pPr>
              <w:spacing w:after="0"/>
              <w:rPr>
                <w:sz w:val="1"/>
                <w:szCs w:val="1"/>
                <w:color w:val="auto"/>
              </w:rPr>
            </w:pPr>
          </w:p>
        </w:tc>
      </w:tr>
      <w:tr>
        <w:trPr>
          <w:trHeight w:val="204"/>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751,514</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17,984,575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7"/>
                <w:szCs w:val="17"/>
                <w:color w:val="auto"/>
              </w:rPr>
              <w:t>7.10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20,745</w:t>
            </w:r>
          </w:p>
        </w:tc>
        <w:tc>
          <w:tcPr>
            <w:tcW w:w="0" w:type="dxa"/>
            <w:vAlign w:val="bottom"/>
          </w:tcPr>
          <w:p>
            <w:pPr>
              <w:spacing w:after="0"/>
              <w:rPr>
                <w:sz w:val="1"/>
                <w:szCs w:val="1"/>
                <w:color w:val="auto"/>
              </w:rPr>
            </w:pPr>
          </w:p>
        </w:tc>
      </w:tr>
      <w:tr>
        <w:trPr>
          <w:trHeight w:val="212"/>
        </w:trPr>
        <w:tc>
          <w:tcPr>
            <w:tcW w:w="3680" w:type="dxa"/>
            <w:vAlign w:val="bottom"/>
          </w:tcPr>
          <w:p>
            <w:pPr>
              <w:ind w:left="220"/>
              <w:spacing w:after="0"/>
              <w:rPr>
                <w:sz w:val="20"/>
                <w:szCs w:val="20"/>
                <w:color w:val="auto"/>
              </w:rPr>
            </w:pPr>
            <w:r>
              <w:rPr>
                <w:rFonts w:ascii="Arial" w:cs="Arial" w:eastAsia="Arial" w:hAnsi="Arial"/>
                <w:sz w:val="17"/>
                <w:szCs w:val="17"/>
                <w:color w:val="auto"/>
              </w:rPr>
              <w:t>Options authorized</w:t>
            </w:r>
          </w:p>
        </w:tc>
        <w:tc>
          <w:tcPr>
            <w:tcW w:w="1440" w:type="dxa"/>
            <w:vAlign w:val="bottom"/>
          </w:tcPr>
          <w:p>
            <w:pPr>
              <w:jc w:val="right"/>
              <w:spacing w:after="0"/>
              <w:rPr>
                <w:sz w:val="20"/>
                <w:szCs w:val="20"/>
                <w:color w:val="auto"/>
              </w:rPr>
            </w:pPr>
            <w:r>
              <w:rPr>
                <w:rFonts w:ascii="Arial" w:cs="Arial" w:eastAsia="Arial" w:hAnsi="Arial"/>
                <w:sz w:val="17"/>
                <w:szCs w:val="17"/>
                <w:color w:val="auto"/>
              </w:rPr>
              <w:t>6,482,822</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Options 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(7,820,714)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7,820,714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tcPr>
          <w:p>
            <w:pPr>
              <w:ind w:left="220"/>
              <w:spacing w:after="0"/>
              <w:rPr>
                <w:sz w:val="20"/>
                <w:szCs w:val="20"/>
                <w:color w:val="auto"/>
              </w:rPr>
            </w:pPr>
            <w:r>
              <w:rPr>
                <w:rFonts w:ascii="Arial" w:cs="Arial" w:eastAsia="Arial" w:hAnsi="Arial"/>
                <w:sz w:val="17"/>
                <w:szCs w:val="17"/>
                <w:color w:val="auto"/>
              </w:rPr>
              <w:t>Options considered granted due to repricing</w:t>
            </w:r>
          </w:p>
        </w:tc>
        <w:tc>
          <w:tcPr>
            <w:tcW w:w="1440" w:type="dxa"/>
            <w:vAlign w:val="bottom"/>
          </w:tcPr>
          <w:p>
            <w:pPr>
              <w:jc w:val="right"/>
              <w:spacing w:after="0"/>
              <w:rPr>
                <w:sz w:val="20"/>
                <w:szCs w:val="20"/>
                <w:color w:val="auto"/>
              </w:rPr>
            </w:pPr>
            <w:r>
              <w:rPr>
                <w:rFonts w:ascii="Arial" w:cs="Arial" w:eastAsia="Arial" w:hAnsi="Arial"/>
                <w:sz w:val="17"/>
                <w:szCs w:val="17"/>
                <w:color w:val="auto"/>
              </w:rPr>
              <w:t>(13,312,076)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13,312,076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Options cancelled due to repricing</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13,312,076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(13,312,076)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tcPr>
          <w:p>
            <w:pPr>
              <w:ind w:left="220"/>
              <w:spacing w:after="0"/>
              <w:rPr>
                <w:sz w:val="20"/>
                <w:szCs w:val="20"/>
                <w:color w:val="auto"/>
              </w:rPr>
            </w:pPr>
            <w:r>
              <w:rPr>
                <w:rFonts w:ascii="Arial" w:cs="Arial" w:eastAsia="Arial" w:hAnsi="Arial"/>
                <w:sz w:val="17"/>
                <w:szCs w:val="17"/>
                <w:color w:val="auto"/>
              </w:rPr>
              <w:t>Options exercised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(2,242,380)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forfeited and 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787,960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(787,960)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80" w:type="dxa"/>
            <w:vAlign w:val="bottom"/>
          </w:tcPr>
          <w:p>
            <w:pPr>
              <w:ind w:left="20"/>
              <w:spacing w:after="0"/>
              <w:rPr>
                <w:sz w:val="20"/>
                <w:szCs w:val="20"/>
                <w:color w:val="auto"/>
              </w:rPr>
            </w:pPr>
            <w:r>
              <w:rPr>
                <w:rFonts w:ascii="Arial" w:cs="Arial" w:eastAsia="Arial" w:hAnsi="Arial"/>
                <w:sz w:val="17"/>
                <w:szCs w:val="17"/>
                <w:color w:val="auto"/>
              </w:rPr>
              <w:t>Balances at December 31, 2020</w:t>
            </w:r>
          </w:p>
        </w:tc>
        <w:tc>
          <w:tcPr>
            <w:tcW w:w="1440" w:type="dxa"/>
            <w:vAlign w:val="bottom"/>
          </w:tcPr>
          <w:p>
            <w:pPr>
              <w:jc w:val="right"/>
              <w:spacing w:after="0"/>
              <w:rPr>
                <w:sz w:val="20"/>
                <w:szCs w:val="20"/>
                <w:color w:val="auto"/>
              </w:rPr>
            </w:pPr>
            <w:r>
              <w:rPr>
                <w:rFonts w:ascii="Arial" w:cs="Arial" w:eastAsia="Arial" w:hAnsi="Arial"/>
                <w:sz w:val="17"/>
                <w:szCs w:val="17"/>
                <w:color w:val="auto"/>
              </w:rPr>
              <w:t>201,582</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22,774,949</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7"/>
                <w:szCs w:val="17"/>
                <w:color w:val="auto"/>
              </w:rPr>
            </w:pPr>
          </w:p>
        </w:tc>
        <w:tc>
          <w:tcPr>
            <w:tcW w:w="1440" w:type="dxa"/>
            <w:vAlign w:val="bottom"/>
          </w:tcPr>
          <w:p>
            <w:pPr>
              <w:jc w:val="right"/>
              <w:ind w:right="7"/>
              <w:spacing w:after="0"/>
              <w:rPr>
                <w:sz w:val="20"/>
                <w:szCs w:val="20"/>
                <w:color w:val="auto"/>
              </w:rPr>
            </w:pPr>
            <w:r>
              <w:rPr>
                <w:rFonts w:ascii="Arial" w:cs="Arial" w:eastAsia="Arial" w:hAnsi="Arial"/>
                <w:sz w:val="17"/>
                <w:szCs w:val="17"/>
                <w:color w:val="auto"/>
              </w:rPr>
              <w:t>7.36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107,696</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7"/>
              </w:rPr>
              <w:t>Options outstanding and exercisable – December</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10,493,574</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5.50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52,554</w:t>
            </w: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31, 2020</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The aggregated intrinsic value represents the difference between the exercise price and the fair value of common stock. The aggregate intrinsic value of all options exercised was $0.3 million, $0.9 million, and $2.9 million during the years ended December 31, 2018, 2019 and 2020, respectively. The weighted average grant date fair value of options granted was $1.26, $1.38 and $ 1.72 during the years ended December 31, 2018, 2019 and 2020 respectively. The average grant date fair value of the options considered granted due to the repricing in May 2020 was $1.04. The total grant date fair value of options vested was $2.4 million, $2.2 million and $4.1 million during the years ended December 31, 2018, 2019 and 2020 respectively.</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Common Stock Repurchase</w:t>
      </w:r>
    </w:p>
    <w:p>
      <w:pPr>
        <w:spacing w:after="0" w:line="153" w:lineRule="exact"/>
        <w:rPr>
          <w:sz w:val="20"/>
          <w:szCs w:val="20"/>
          <w:color w:val="auto"/>
        </w:rPr>
      </w:pPr>
    </w:p>
    <w:p>
      <w:pPr>
        <w:jc w:val="both"/>
        <w:ind w:firstLine="299"/>
        <w:spacing w:after="0" w:line="252" w:lineRule="auto"/>
        <w:rPr>
          <w:sz w:val="20"/>
          <w:szCs w:val="20"/>
          <w:color w:val="auto"/>
        </w:rPr>
      </w:pPr>
      <w:r>
        <w:rPr>
          <w:rFonts w:ascii="Arial" w:cs="Arial" w:eastAsia="Arial" w:hAnsi="Arial"/>
          <w:sz w:val="17"/>
          <w:szCs w:val="17"/>
          <w:color w:val="auto"/>
        </w:rPr>
        <w:t>In October 2019, existing investors of the Company conducted a tender offer for shares of its outstanding common stock and common stock issuable upon exercise of vested options to purchase common stock under which the investors purchased an aggregate of 1,125,813 shares of the Company’s common stock from its stockholders at a purchase price of $6.8839 per share, for an aggregate purchase price of $7.7 million. The Company recognized a stock-based compensation expense of $4.1 million equal to the excess of the purchase price over the fair value of the common stock in the 2019 consolidated statement of operations.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Option Repricing</w:t>
      </w:r>
    </w:p>
    <w:p>
      <w:pPr>
        <w:spacing w:after="0" w:line="153"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In May 2020, the Company’s Board of Directors, approved a stock option repricing program (the “Option Repricing”) authorizing the Company to reprice certain outstanding stock options held by active employees, service providers and directors that had option exercise prices above the current fair market value of the Company’s common stock. Under the Option Repricing, eligible options with an exercise price above $2.05 per share (representing an aggregate of 13.3 million options, or 66% of the options outstanding at the date of repricing) were amended to reduce such exercise price to $2.05. The Company calculated an aggregate incremental fair value of $2.3 million related to the Option Repricing, of which $0.9 million was expensed as of the modification date.</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IPO Options</w:t>
      </w:r>
    </w:p>
    <w:p>
      <w:pPr>
        <w:spacing w:after="0" w:line="15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August 2020, the Company’s Board of Directors approved stock options for 3,588,535 common shares to be granted to certain officers and employees with an exercise price of $2.05 per share. 50% of the options granted vest over a four-year period commencing on the later of January 1, 2021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240"/>
          </w:cols>
          <w:pgMar w:left="320" w:top="118" w:right="339" w:bottom="1440" w:gutter="0" w:footer="0" w:header="0"/>
        </w:sectPr>
      </w:pPr>
    </w:p>
    <w:bookmarkStart w:id="230" w:name="page231"/>
    <w:bookmarkEnd w:id="23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effective date of the IPO. The remaining 50% of the options granted vest over a 4-year period commencing on the later of January 1, 2022 or the one-year anniversary of the IPO. As these stock options vest upon the satisfaction of both a time-based condition and a performance condition, the fair value of these stock options of $6.7 million, in aggregate, will be recognized as compensation expense over the requisite service period using the accelerated attribution method, when the performance condition becomes probable of being achieved. As of December 31, 2020, the Company concluded that the performance condition was not probable of being satisfied at such time.</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Furlough Options</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In August 2020, the Company’s Board of Directors approved stock options for 858,599 shares of common stock to be granted to certain employees who were subject to a furlough program that was implemented in April 2020. The options have an exercise price of $2.05 per share and vest upon optionee’s continued employment with the Company through January 1, 2021. The aggregate grant date fair value of these options was $1.6 million, all of which was recognized in fiscal year 2020.</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stock-based compensation expense by department is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7"/>
        </w:trPr>
        <w:tc>
          <w:tcPr>
            <w:tcW w:w="63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r>
      <w:tr>
        <w:trPr>
          <w:trHeight w:val="204"/>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Operations, product and technology</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3,739</w:t>
            </w:r>
          </w:p>
        </w:tc>
      </w:tr>
      <w:tr>
        <w:trPr>
          <w:trHeight w:val="212"/>
        </w:trPr>
        <w:tc>
          <w:tcPr>
            <w:tcW w:w="6340" w:type="dxa"/>
            <w:vAlign w:val="bottom"/>
          </w:tcPr>
          <w:p>
            <w:pPr>
              <w:ind w:left="20"/>
              <w:spacing w:after="0"/>
              <w:rPr>
                <w:sz w:val="20"/>
                <w:szCs w:val="20"/>
                <w:color w:val="auto"/>
              </w:rPr>
            </w:pPr>
            <w:r>
              <w:rPr>
                <w:rFonts w:ascii="Arial" w:cs="Arial" w:eastAsia="Arial" w:hAnsi="Arial"/>
                <w:sz w:val="17"/>
                <w:szCs w:val="17"/>
                <w:color w:val="auto"/>
              </w:rPr>
              <w:t>Marketing</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1,067</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general and administrative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2,530</w:t>
            </w:r>
          </w:p>
        </w:tc>
      </w:tr>
      <w:tr>
        <w:trPr>
          <w:trHeight w:val="204"/>
        </w:trPr>
        <w:tc>
          <w:tcPr>
            <w:tcW w:w="6340" w:type="dxa"/>
            <w:vAlign w:val="bottom"/>
          </w:tcPr>
          <w:p>
            <w:pPr>
              <w:ind w:left="220"/>
              <w:spacing w:after="0"/>
              <w:rPr>
                <w:sz w:val="20"/>
                <w:szCs w:val="20"/>
                <w:color w:val="auto"/>
              </w:rPr>
            </w:pPr>
            <w:r>
              <w:rPr>
                <w:rFonts w:ascii="Arial" w:cs="Arial" w:eastAsia="Arial" w:hAnsi="Arial"/>
                <w:sz w:val="17"/>
                <w:szCs w:val="17"/>
                <w:color w:val="auto"/>
              </w:rPr>
              <w:t>Total stock-based compensation expense</w:t>
            </w:r>
          </w:p>
        </w:tc>
        <w:tc>
          <w:tcPr>
            <w:tcW w:w="1000" w:type="dxa"/>
            <w:vAlign w:val="bottom"/>
            <w:tcBorders>
              <w:bottom w:val="single" w:sz="8" w:color="auto"/>
            </w:tcBorders>
          </w:tcPr>
          <w:p>
            <w:pPr>
              <w:jc w:val="right"/>
              <w:ind w:right="82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7,678</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7,336</w:t>
            </w:r>
          </w:p>
        </w:tc>
      </w:tr>
      <w:tr>
        <w:trPr>
          <w:trHeight w:val="20"/>
        </w:trPr>
        <w:tc>
          <w:tcPr>
            <w:tcW w:w="6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firstLine="299"/>
        <w:spacing w:after="0" w:line="309" w:lineRule="auto"/>
        <w:rPr>
          <w:sz w:val="20"/>
          <w:szCs w:val="20"/>
          <w:color w:val="auto"/>
        </w:rPr>
      </w:pPr>
      <w:r>
        <w:rPr>
          <w:rFonts w:ascii="Arial" w:cs="Arial" w:eastAsia="Arial" w:hAnsi="Arial"/>
          <w:sz w:val="16"/>
          <w:szCs w:val="16"/>
          <w:color w:val="auto"/>
        </w:rPr>
        <w:t>As of December 31, 2020, there was approximately $16.4 million of total unrecognized stock-based compensation expense, related to unvested options granted to employees under the Company’s stock option plan that is expected to be recognized over a weighted average period of 1.62 years.</w:t>
      </w:r>
    </w:p>
    <w:p>
      <w:pPr>
        <w:spacing w:after="0" w:line="72" w:lineRule="exact"/>
        <w:rPr>
          <w:sz w:val="20"/>
          <w:szCs w:val="20"/>
          <w:color w:val="auto"/>
        </w:rPr>
      </w:pPr>
    </w:p>
    <w:p>
      <w:pPr>
        <w:ind w:left="580" w:hanging="580"/>
        <w:spacing w:after="0"/>
        <w:tabs>
          <w:tab w:leader="none" w:pos="58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Noncancelable Purchase Commitments</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As of December 31, 2020, the Company had various noncancellable arrangements with vendors. As of December 31, 2020, the future minimum payments under these arrangements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402"/>
              <w:spacing w:after="0"/>
              <w:rPr>
                <w:sz w:val="20"/>
                <w:szCs w:val="20"/>
                <w:color w:val="auto"/>
              </w:rPr>
            </w:pPr>
            <w:r>
              <w:rPr>
                <w:rFonts w:ascii="Arial" w:cs="Arial" w:eastAsia="Arial" w:hAnsi="Arial"/>
                <w:sz w:val="13"/>
                <w:szCs w:val="13"/>
                <w:b w:val="1"/>
                <w:bCs w:val="1"/>
                <w:color w:val="auto"/>
              </w:rPr>
              <w:t>Purchase</w:t>
            </w:r>
          </w:p>
        </w:tc>
      </w:tr>
      <w:tr>
        <w:trPr>
          <w:trHeight w:val="162"/>
        </w:trPr>
        <w:tc>
          <w:tcPr>
            <w:tcW w:w="9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02"/>
              <w:spacing w:after="0" w:line="162" w:lineRule="exact"/>
              <w:rPr>
                <w:sz w:val="20"/>
                <w:szCs w:val="20"/>
                <w:color w:val="auto"/>
              </w:rPr>
            </w:pPr>
            <w:r>
              <w:rPr>
                <w:rFonts w:ascii="Arial" w:cs="Arial" w:eastAsia="Arial" w:hAnsi="Arial"/>
                <w:sz w:val="13"/>
                <w:szCs w:val="13"/>
                <w:b w:val="1"/>
                <w:bCs w:val="1"/>
                <w:color w:val="auto"/>
              </w:rPr>
              <w:t>Commitments</w:t>
            </w:r>
            <w:r>
              <w:rPr>
                <w:rFonts w:ascii="Arial" w:cs="Arial" w:eastAsia="Arial" w:hAnsi="Arial"/>
                <w:sz w:val="17"/>
                <w:szCs w:val="17"/>
                <w:b w:val="1"/>
                <w:bCs w:val="1"/>
                <w:color w:val="auto"/>
                <w:vertAlign w:val="superscript"/>
              </w:rPr>
              <w:t>(1)</w:t>
            </w:r>
          </w:p>
        </w:tc>
      </w:tr>
      <w:tr>
        <w:trPr>
          <w:trHeight w:val="204"/>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7,416</w:t>
            </w:r>
          </w:p>
        </w:tc>
      </w:tr>
      <w:tr>
        <w:trPr>
          <w:trHeight w:val="212"/>
        </w:trPr>
        <w:tc>
          <w:tcPr>
            <w:tcW w:w="9660" w:type="dxa"/>
            <w:vAlign w:val="bottom"/>
          </w:tcPr>
          <w:p>
            <w:pPr>
              <w:ind w:left="20"/>
              <w:spacing w:after="0"/>
              <w:rPr>
                <w:sz w:val="20"/>
                <w:szCs w:val="20"/>
                <w:color w:val="auto"/>
              </w:rPr>
            </w:pPr>
            <w:r>
              <w:rPr>
                <w:rFonts w:ascii="Arial" w:cs="Arial" w:eastAsia="Arial" w:hAnsi="Arial"/>
                <w:sz w:val="17"/>
                <w:szCs w:val="17"/>
                <w:color w:val="auto"/>
              </w:rPr>
              <w:t>2022</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1,234</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12"/>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future minimum payments</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5"/>
          <w:szCs w:val="15"/>
          <w:color w:val="auto"/>
        </w:rPr>
        <w:t>_______________</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(1)  Noncancellable purchase commitments primarily consists of $3.6 million for Amazon Web Services and $5.6 million related to the Company’s distribution centers.</w:t>
      </w:r>
    </w:p>
    <w:p>
      <w:pPr>
        <w:spacing w:after="0" w:line="129"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240"/>
          </w:cols>
          <w:pgMar w:left="320" w:top="118" w:right="339" w:bottom="1440" w:gutter="0" w:footer="0" w:header="0"/>
        </w:sectPr>
      </w:pPr>
    </w:p>
    <w:bookmarkStart w:id="231" w:name="page232"/>
    <w:bookmarkEnd w:id="231"/>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53" w:lineRule="exact"/>
        <w:rPr>
          <w:sz w:val="20"/>
          <w:szCs w:val="20"/>
          <w:color w:val="auto"/>
        </w:rPr>
      </w:pPr>
    </w:p>
    <w:p>
      <w:pPr>
        <w:jc w:val="both"/>
        <w:ind w:firstLine="299"/>
        <w:spacing w:after="0" w:line="276"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99"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6"/>
          <w:szCs w:val="16"/>
          <w:color w:val="auto"/>
        </w:rPr>
        <w:t>In accordance with its Amended and Restated Certificate of Incorporation and Bylaws,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enables it to record a portion of any amounts paid for future potential claims.</w:t>
      </w:r>
    </w:p>
    <w:p>
      <w:pPr>
        <w:spacing w:after="0" w:line="93"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addition to the indemnification provided for in this Amended and Restated Certificate of Incorporation and Bylaws, the Company has also entered into separate indemnification agreements with each of its directors, which agreements provide such directors with broad indemnification rights under certain circumstances.</w:t>
      </w:r>
    </w:p>
    <w:p>
      <w:pPr>
        <w:spacing w:after="0" w:line="109" w:lineRule="exact"/>
        <w:rPr>
          <w:sz w:val="20"/>
          <w:szCs w:val="20"/>
          <w:color w:val="auto"/>
        </w:rPr>
      </w:pPr>
    </w:p>
    <w:p>
      <w:pPr>
        <w:ind w:left="600" w:hanging="600"/>
        <w:spacing w:after="0"/>
        <w:tabs>
          <w:tab w:leader="none" w:pos="60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Retirement Plan</w:t>
      </w:r>
    </w:p>
    <w:p>
      <w:pPr>
        <w:spacing w:after="0" w:line="15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2010, the Company sponsored a defined-contribution savings plan under Section 401(k) of the Internal Revenue Code (the 401(k) Plan). The 401(k) Plan covers all employees who meet defined minimum age and service requirements and allows participants to defer a portion of their annual compensation on a pretax basis. For the years ended December 31, 2018, 2019 and 2020 no employer contributions were made to the plan.</w:t>
      </w:r>
    </w:p>
    <w:p>
      <w:pPr>
        <w:spacing w:after="0" w:line="109" w:lineRule="exact"/>
        <w:rPr>
          <w:sz w:val="20"/>
          <w:szCs w:val="20"/>
          <w:color w:val="auto"/>
        </w:rPr>
      </w:pPr>
    </w:p>
    <w:p>
      <w:pPr>
        <w:ind w:left="600" w:hanging="600"/>
        <w:spacing w:after="0"/>
        <w:tabs>
          <w:tab w:leader="none" w:pos="60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Company had no federal provision for income taxes as the Company has incurred operating losses since inception. The Company’s state tax provision, which was current, was $37,000, $36,000 and $56,000 for the years ended December 31, 2018, 2019 and 2020 respectively.</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Company’s effective tax rate, as a percentage of pretax income, differs from the statutory federal rate primarily due to the valuation allowance that the Company records on its deferred tax assets as management believes it is more likely than not that the deferred tax assets will not be fully realized.</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reconciliation of the Federal statutory income tax provision for the Company’s effective income tax provision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7"/>
        </w:trPr>
        <w:tc>
          <w:tcPr>
            <w:tcW w:w="63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r>
      <w:tr>
        <w:trPr>
          <w:trHeight w:val="204"/>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at federal statutory rate</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(10,042)</w:t>
            </w:r>
          </w:p>
        </w:tc>
      </w:tr>
      <w:tr>
        <w:trPr>
          <w:trHeight w:val="212"/>
        </w:trPr>
        <w:tc>
          <w:tcPr>
            <w:tcW w:w="6340" w:type="dxa"/>
            <w:vAlign w:val="bottom"/>
          </w:tcPr>
          <w:p>
            <w:pPr>
              <w:ind w:left="220"/>
              <w:spacing w:after="0"/>
              <w:rPr>
                <w:sz w:val="20"/>
                <w:szCs w:val="20"/>
                <w:color w:val="auto"/>
              </w:rPr>
            </w:pPr>
            <w:r>
              <w:rPr>
                <w:rFonts w:ascii="Arial" w:cs="Arial" w:eastAsia="Arial" w:hAnsi="Arial"/>
                <w:sz w:val="17"/>
                <w:szCs w:val="17"/>
                <w:color w:val="auto"/>
              </w:rPr>
              <w:t>State taxes, net of federal effect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Non-deductible expenses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2"/>
        </w:trPr>
        <w:tc>
          <w:tcPr>
            <w:tcW w:w="6340" w:type="dxa"/>
            <w:vAlign w:val="bottom"/>
          </w:tcPr>
          <w:p>
            <w:pPr>
              <w:ind w:left="220"/>
              <w:spacing w:after="0"/>
              <w:rPr>
                <w:sz w:val="20"/>
                <w:szCs w:val="20"/>
                <w:color w:val="auto"/>
              </w:rPr>
            </w:pPr>
            <w:r>
              <w:rPr>
                <w:rFonts w:ascii="Arial" w:cs="Arial" w:eastAsia="Arial" w:hAnsi="Arial"/>
                <w:sz w:val="17"/>
                <w:szCs w:val="17"/>
                <w:color w:val="auto"/>
              </w:rPr>
              <w:t>Stock based compensation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1,077</w:t>
            </w: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valuation allowance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8,814</w:t>
            </w:r>
          </w:p>
        </w:tc>
      </w:tr>
      <w:tr>
        <w:trPr>
          <w:trHeight w:val="212"/>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240"/>
          </w:cols>
          <w:pgMar w:left="320" w:top="118" w:right="339" w:bottom="1440" w:gutter="0" w:footer="0" w:header="0"/>
        </w:sectPr>
      </w:pPr>
    </w:p>
    <w:bookmarkStart w:id="232" w:name="page233"/>
    <w:bookmarkEnd w:id="232"/>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significant components of the Company’s deferred tax assets and liabilities consisted of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7"/>
        </w:trPr>
        <w:tc>
          <w:tcPr>
            <w:tcW w:w="6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r>
      <w:tr>
        <w:trPr>
          <w:trHeight w:val="192"/>
        </w:trPr>
        <w:tc>
          <w:tcPr>
            <w:tcW w:w="634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Deferred tax assets:</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6340" w:type="dxa"/>
            <w:vAlign w:val="bottom"/>
          </w:tcPr>
          <w:p>
            <w:pPr>
              <w:ind w:left="220"/>
              <w:spacing w:after="0"/>
              <w:rPr>
                <w:sz w:val="20"/>
                <w:szCs w:val="20"/>
                <w:color w:val="auto"/>
              </w:rPr>
            </w:pPr>
            <w:r>
              <w:rPr>
                <w:rFonts w:ascii="Arial" w:cs="Arial" w:eastAsia="Arial" w:hAnsi="Arial"/>
                <w:sz w:val="17"/>
                <w:szCs w:val="17"/>
                <w:color w:val="auto"/>
              </w:rPr>
              <w:t>Accruals and reserves</w:t>
            </w:r>
          </w:p>
        </w:tc>
        <w:tc>
          <w:tcPr>
            <w:tcW w:w="940" w:type="dxa"/>
            <w:vAlign w:val="bottom"/>
          </w:tcPr>
          <w:p>
            <w:pPr>
              <w:jc w:val="right"/>
              <w:ind w:right="76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1,107</w:t>
            </w:r>
          </w:p>
        </w:tc>
        <w:tc>
          <w:tcPr>
            <w:tcW w:w="8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1,412</w:t>
            </w:r>
          </w:p>
        </w:tc>
        <w:tc>
          <w:tcPr>
            <w:tcW w:w="80" w:type="dxa"/>
            <w:vAlign w:val="bottom"/>
          </w:tcPr>
          <w:p>
            <w:pPr>
              <w:spacing w:after="0"/>
              <w:rPr>
                <w:sz w:val="18"/>
                <w:szCs w:val="18"/>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2,472</w:t>
            </w: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Inventory and deferred revenue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r>
      <w:tr>
        <w:trPr>
          <w:trHeight w:val="212"/>
        </w:trPr>
        <w:tc>
          <w:tcPr>
            <w:tcW w:w="6340" w:type="dxa"/>
            <w:vAlign w:val="bottom"/>
          </w:tcPr>
          <w:p>
            <w:pPr>
              <w:ind w:left="220"/>
              <w:spacing w:after="0"/>
              <w:rPr>
                <w:sz w:val="20"/>
                <w:szCs w:val="20"/>
                <w:color w:val="auto"/>
              </w:rPr>
            </w:pPr>
            <w:r>
              <w:rPr>
                <w:rFonts w:ascii="Arial" w:cs="Arial" w:eastAsia="Arial" w:hAnsi="Arial"/>
                <w:sz w:val="17"/>
                <w:szCs w:val="17"/>
                <w:color w:val="auto"/>
              </w:rPr>
              <w:t>Stock compensation</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1,151</w:t>
            </w: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w:t>
            </w:r>
          </w:p>
        </w:tc>
      </w:tr>
      <w:tr>
        <w:trPr>
          <w:trHeight w:val="212"/>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operating loss carryforwards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34,130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43,469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53,550</w:t>
            </w:r>
          </w:p>
        </w:tc>
      </w:tr>
      <w:tr>
        <w:trPr>
          <w:trHeight w:val="204"/>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deferred tax assets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47,382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58,533</w:t>
            </w:r>
          </w:p>
        </w:tc>
      </w:tr>
      <w:tr>
        <w:trPr>
          <w:trHeight w:val="212"/>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Less: valuation allowance</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(36,900)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(46,042)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(56,581)</w:t>
            </w:r>
          </w:p>
        </w:tc>
      </w:tr>
      <w:tr>
        <w:trPr>
          <w:trHeight w:val="204"/>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tax assets</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w:t>
            </w:r>
          </w:p>
        </w:tc>
      </w:tr>
      <w:tr>
        <w:trPr>
          <w:trHeight w:val="212"/>
        </w:trPr>
        <w:tc>
          <w:tcPr>
            <w:tcW w:w="634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Fixed assets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(1,952)</w:t>
            </w:r>
          </w:p>
        </w:tc>
      </w:tr>
      <w:tr>
        <w:trPr>
          <w:trHeight w:val="204"/>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deferred tax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(1,952)</w:t>
            </w:r>
          </w:p>
        </w:tc>
      </w:tr>
      <w:tr>
        <w:trPr>
          <w:trHeight w:val="22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Net deferred tax assets consist primarily of net operating losses of approximately $53.6 million as of December 31, 2020 related to U.S. federal and state taxes. A valuation allowance is provided when it is more likely than not that the deferred tax assets will not be realized. The Company has established a valuation allowance to offset deferred tax assets as of December 31, 2019 and 2020 due to the uncertainty of realizing future benefits from its net operating loss carryforwards and other deferred tax assets. The valuation allowance increased by approximately $9.1 million and $10.5 million in the years ended December 31, 2019 and 2020 respectively.</w:t>
      </w:r>
    </w:p>
    <w:p>
      <w:pPr>
        <w:spacing w:after="0" w:line="12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Federal and state net operating loss carryforwards of approximately $172.0 million and $116.9 million for income tax purposes are available to offset future taxable income as of December 31, 2019. Federal and state net operating loss carryforwards of approximately $211.8 million and $146.8 million for income tax purposes are available to offset future taxable income as of December 31, 2020. If not used, these carryforwards will begin to expire in varying amounts beginning in 2030. Federal carryforwards of $103.4 million originating in 2018 do not have an expiration date.</w:t>
      </w:r>
    </w:p>
    <w:p>
      <w:pPr>
        <w:spacing w:after="0" w:line="115"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Federal and state laws impose substantial restrictions on the utilization of net operating loss and tax credit carryforwards in the event of an ownership change for tax purposes, as defined in Section 382 of the Internal Revenue Code. Depending on the significance of past and future ownership changes, the Company’s ability to realize the potential future benefit of tax losses and tax credits that existed at the time of the ownership change may be significantly reduced. The Company has not yet performed a Section 382 study to determine the amount of reduction, if any.</w:t>
      </w:r>
    </w:p>
    <w:p>
      <w:pPr>
        <w:spacing w:after="0" w:line="11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Company’s policy is to recognize interest expense and penalties related to income tax matters as a component of income tax expense. There was no accrued interest and penalties associated with uncertain tax positions as of December 31, 2019 and 2020.</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Company’s tax years 2010 through current will remain open for examination by the federal and state authorities for three and four years, respectively, from the date of utilization of any net operating loss credits. The Company is not currently under examination by income tax authorities in federal, state, or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240"/>
          </w:cols>
          <w:pgMar w:left="320" w:top="118" w:right="339" w:bottom="1440" w:gutter="0" w:footer="0" w:header="0"/>
        </w:sectPr>
      </w:pPr>
    </w:p>
    <w:bookmarkStart w:id="233" w:name="page234"/>
    <w:bookmarkEnd w:id="233"/>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ind w:left="600" w:hanging="600"/>
        <w:spacing w:after="0"/>
        <w:tabs>
          <w:tab w:leader="none" w:pos="600"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following participating securities were excluded from the computation of diluted net loss per share attributable to common stockholders for the periods presented, because including them would have been anti-dilutive (on an as-converted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Borders>
              <w:bottom w:val="single" w:sz="8" w:color="auto"/>
            </w:tcBorders>
          </w:tcPr>
          <w:p>
            <w:pPr>
              <w:spacing w:after="0"/>
              <w:rPr>
                <w:sz w:val="15"/>
                <w:szCs w:val="15"/>
                <w:color w:val="auto"/>
              </w:rPr>
            </w:pPr>
          </w:p>
        </w:tc>
      </w:tr>
      <w:tr>
        <w:trPr>
          <w:trHeight w:val="167"/>
        </w:trPr>
        <w:tc>
          <w:tcPr>
            <w:tcW w:w="6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r>
      <w:tr>
        <w:trPr>
          <w:trHeight w:val="204"/>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53,378,409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65,928,261</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65,970,938</w:t>
            </w:r>
          </w:p>
        </w:tc>
      </w:tr>
      <w:tr>
        <w:trPr>
          <w:trHeight w:val="212"/>
        </w:trPr>
        <w:tc>
          <w:tcPr>
            <w:tcW w:w="6340" w:type="dxa"/>
            <w:vAlign w:val="bottom"/>
          </w:tcPr>
          <w:p>
            <w:pPr>
              <w:ind w:left="20"/>
              <w:spacing w:after="0"/>
              <w:rPr>
                <w:sz w:val="20"/>
                <w:szCs w:val="20"/>
                <w:color w:val="auto"/>
              </w:rPr>
            </w:pPr>
            <w:r>
              <w:rPr>
                <w:rFonts w:ascii="Arial" w:cs="Arial" w:eastAsia="Arial" w:hAnsi="Arial"/>
                <w:sz w:val="17"/>
                <w:szCs w:val="17"/>
                <w:color w:val="auto"/>
              </w:rPr>
              <w:t>Outstanding stock options</w:t>
            </w:r>
          </w:p>
        </w:tc>
        <w:tc>
          <w:tcPr>
            <w:tcW w:w="1580" w:type="dxa"/>
            <w:vAlign w:val="bottom"/>
          </w:tcPr>
          <w:p>
            <w:pPr>
              <w:jc w:val="right"/>
              <w:spacing w:after="0"/>
              <w:rPr>
                <w:sz w:val="20"/>
                <w:szCs w:val="20"/>
                <w:color w:val="auto"/>
              </w:rPr>
            </w:pPr>
            <w:r>
              <w:rPr>
                <w:rFonts w:ascii="Arial" w:cs="Arial" w:eastAsia="Arial" w:hAnsi="Arial"/>
                <w:sz w:val="17"/>
                <w:szCs w:val="17"/>
                <w:color w:val="auto"/>
              </w:rPr>
              <w:t>13,636,653</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17,984,575</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22,774,949</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convertible preferred stock warrants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107,058</w:t>
            </w:r>
          </w:p>
        </w:tc>
        <w:tc>
          <w:tcPr>
            <w:tcW w:w="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170,975</w:t>
            </w:r>
          </w:p>
        </w:tc>
        <w:tc>
          <w:tcPr>
            <w:tcW w:w="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148,994</w:t>
            </w:r>
          </w:p>
        </w:tc>
      </w:tr>
      <w:tr>
        <w:trPr>
          <w:trHeight w:val="204"/>
        </w:trPr>
        <w:tc>
          <w:tcPr>
            <w:tcW w:w="6340" w:type="dxa"/>
            <w:vAlign w:val="bottom"/>
          </w:tcPr>
          <w:p>
            <w:pPr>
              <w:ind w:left="20"/>
              <w:spacing w:after="0"/>
              <w:rPr>
                <w:sz w:val="20"/>
                <w:szCs w:val="20"/>
                <w:color w:val="auto"/>
              </w:rPr>
            </w:pPr>
            <w:r>
              <w:rPr>
                <w:rFonts w:ascii="Arial" w:cs="Arial" w:eastAsia="Arial" w:hAnsi="Arial"/>
                <w:sz w:val="17"/>
                <w:szCs w:val="17"/>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67,122,120</w:t>
            </w:r>
          </w:p>
        </w:tc>
        <w:tc>
          <w:tcPr>
            <w:tcW w:w="8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84,083,811</w:t>
            </w:r>
          </w:p>
        </w:tc>
        <w:tc>
          <w:tcPr>
            <w:tcW w:w="8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88,894,881</w:t>
            </w:r>
          </w:p>
        </w:tc>
      </w:tr>
      <w:tr>
        <w:trPr>
          <w:trHeight w:val="20"/>
        </w:trPr>
        <w:tc>
          <w:tcPr>
            <w:tcW w:w="6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share attributable to common stockholders (in thousands, except share and per share data) assuming the automatic conversion of the convertible preferred stock into common stock and convertible preferred stock warrants into common stock warrants upon consummation of an IPO as if such an event had occurred as of the beginning of the respective period, or the issuance date of the redeemable convertible preferred stock or the convertible preferred stock, if later.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43"/>
              <w:spacing w:after="0"/>
              <w:rPr>
                <w:sz w:val="20"/>
                <w:szCs w:val="20"/>
                <w:color w:val="auto"/>
              </w:rPr>
            </w:pPr>
            <w:r>
              <w:rPr>
                <w:rFonts w:ascii="Arial" w:cs="Arial" w:eastAsia="Arial" w:hAnsi="Arial"/>
                <w:sz w:val="13"/>
                <w:szCs w:val="13"/>
                <w:b w:val="1"/>
                <w:bCs w:val="1"/>
                <w:color w:val="auto"/>
              </w:rPr>
              <w:t>Year Ended</w:t>
            </w:r>
          </w:p>
        </w:tc>
      </w:tr>
      <w:tr>
        <w:trPr>
          <w:trHeight w:val="124"/>
        </w:trPr>
        <w:tc>
          <w:tcPr>
            <w:tcW w:w="9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center"/>
              <w:ind w:right="163"/>
              <w:spacing w:after="0" w:line="124" w:lineRule="exact"/>
              <w:rPr>
                <w:sz w:val="20"/>
                <w:szCs w:val="20"/>
                <w:color w:val="auto"/>
              </w:rPr>
            </w:pPr>
            <w:r>
              <w:rPr>
                <w:rFonts w:ascii="Arial" w:cs="Arial" w:eastAsia="Arial" w:hAnsi="Arial"/>
                <w:sz w:val="13"/>
                <w:szCs w:val="13"/>
                <w:b w:val="1"/>
                <w:bCs w:val="1"/>
                <w:color w:val="auto"/>
              </w:rPr>
              <w:t>December 31,</w:t>
            </w:r>
          </w:p>
        </w:tc>
      </w:tr>
      <w:tr>
        <w:trPr>
          <w:trHeight w:val="162"/>
        </w:trPr>
        <w:tc>
          <w:tcPr>
            <w:tcW w:w="9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43"/>
              <w:spacing w:after="0"/>
              <w:rPr>
                <w:sz w:val="20"/>
                <w:szCs w:val="20"/>
                <w:color w:val="auto"/>
              </w:rPr>
            </w:pPr>
            <w:r>
              <w:rPr>
                <w:rFonts w:ascii="Arial" w:cs="Arial" w:eastAsia="Arial" w:hAnsi="Arial"/>
                <w:sz w:val="13"/>
                <w:szCs w:val="13"/>
                <w:b w:val="1"/>
                <w:bCs w:val="1"/>
                <w:color w:val="auto"/>
                <w:w w:val="96"/>
              </w:rPr>
              <w:t>2020</w:t>
            </w:r>
          </w:p>
        </w:tc>
      </w:tr>
      <w:tr>
        <w:trPr>
          <w:trHeight w:val="167"/>
        </w:trPr>
        <w:tc>
          <w:tcPr>
            <w:tcW w:w="9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43"/>
              <w:spacing w:after="0"/>
              <w:rPr>
                <w:sz w:val="20"/>
                <w:szCs w:val="20"/>
                <w:color w:val="auto"/>
              </w:rPr>
            </w:pPr>
            <w:r>
              <w:rPr>
                <w:rFonts w:ascii="Arial" w:cs="Arial" w:eastAsia="Arial" w:hAnsi="Arial"/>
                <w:sz w:val="13"/>
                <w:szCs w:val="13"/>
                <w:b w:val="1"/>
                <w:bCs w:val="1"/>
                <w:color w:val="auto"/>
              </w:rPr>
              <w:t>(unaudited)</w:t>
            </w:r>
          </w:p>
        </w:tc>
      </w:tr>
      <w:tr>
        <w:trPr>
          <w:trHeight w:val="212"/>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2"/>
        </w:trPr>
        <w:tc>
          <w:tcPr>
            <w:tcW w:w="9660" w:type="dxa"/>
            <w:vAlign w:val="bottom"/>
          </w:tcPr>
          <w:p>
            <w:pPr>
              <w:ind w:left="220"/>
              <w:spacing w:after="0"/>
              <w:rPr>
                <w:sz w:val="20"/>
                <w:szCs w:val="20"/>
                <w:color w:val="auto"/>
              </w:rPr>
            </w:pPr>
            <w:r>
              <w:rPr>
                <w:rFonts w:ascii="Arial" w:cs="Arial" w:eastAsia="Arial" w:hAnsi="Arial"/>
                <w:sz w:val="17"/>
                <w:szCs w:val="17"/>
                <w:color w:val="auto"/>
              </w:rPr>
              <w:t>Net loss per share attributable to common stockholders</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(47,877)</w:t>
            </w: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 change in fair value of convertible preferred stock warrant liability</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04"/>
        </w:trPr>
        <w:tc>
          <w:tcPr>
            <w:tcW w:w="9660" w:type="dxa"/>
            <w:vAlign w:val="bottom"/>
          </w:tcPr>
          <w:p>
            <w:pPr>
              <w:ind w:left="220"/>
              <w:spacing w:after="0"/>
              <w:rPr>
                <w:sz w:val="20"/>
                <w:szCs w:val="20"/>
                <w:color w:val="auto"/>
              </w:rPr>
            </w:pPr>
            <w:r>
              <w:rPr>
                <w:rFonts w:ascii="Arial" w:cs="Arial" w:eastAsia="Arial" w:hAnsi="Arial"/>
                <w:sz w:val="17"/>
                <w:szCs w:val="17"/>
                <w:color w:val="auto"/>
              </w:rPr>
              <w:t>Pro forma net loss</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(47,676)</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96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Denominator:</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2"/>
        </w:trPr>
        <w:tc>
          <w:tcPr>
            <w:tcW w:w="9660" w:type="dxa"/>
            <w:vAlign w:val="bottom"/>
          </w:tcPr>
          <w:p>
            <w:pPr>
              <w:ind w:left="220"/>
              <w:spacing w:after="0"/>
              <w:rPr>
                <w:sz w:val="20"/>
                <w:szCs w:val="20"/>
                <w:color w:val="auto"/>
              </w:rPr>
            </w:pPr>
            <w:r>
              <w:rPr>
                <w:rFonts w:ascii="Arial" w:cs="Arial" w:eastAsia="Arial" w:hAnsi="Arial"/>
                <w:sz w:val="17"/>
                <w:szCs w:val="17"/>
                <w:color w:val="auto"/>
              </w:rPr>
              <w:t>Weighted-average shares used in computing net loss per share attributable to common stockholders, basic and diluted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11,565,443</w:t>
            </w:r>
          </w:p>
        </w:tc>
      </w:tr>
      <w:tr>
        <w:trPr>
          <w:trHeight w:val="212"/>
        </w:trPr>
        <w:tc>
          <w:tcPr>
            <w:tcW w:w="9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 conversion of convertible preferred stock</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65,944,657</w:t>
            </w:r>
          </w:p>
        </w:tc>
      </w:tr>
      <w:tr>
        <w:trPr>
          <w:trHeight w:val="204"/>
        </w:trPr>
        <w:tc>
          <w:tcPr>
            <w:tcW w:w="9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Weighted-average shares used in computing pro forma net loss per share, basic and diluted</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77,510,100</w:t>
            </w: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net loss per share, basic and diluted</w:t>
            </w: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600" w:hanging="600"/>
        <w:spacing w:after="0"/>
        <w:tabs>
          <w:tab w:leader="none" w:pos="60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55" w:lineRule="exact"/>
        <w:rPr>
          <w:sz w:val="20"/>
          <w:szCs w:val="20"/>
          <w:color w:val="auto"/>
        </w:rPr>
      </w:pPr>
    </w:p>
    <w:p>
      <w:pPr>
        <w:jc w:val="both"/>
        <w:ind w:firstLine="299"/>
        <w:spacing w:after="0" w:line="276" w:lineRule="auto"/>
        <w:rPr>
          <w:sz w:val="20"/>
          <w:szCs w:val="20"/>
          <w:color w:val="auto"/>
        </w:rPr>
      </w:pPr>
      <w:r>
        <w:rPr>
          <w:rFonts w:ascii="Arial" w:cs="Arial" w:eastAsia="Arial" w:hAnsi="Arial"/>
          <w:sz w:val="16"/>
          <w:szCs w:val="16"/>
          <w:color w:val="auto"/>
        </w:rPr>
        <w:t>In February 2021, the Company amended and restated the loan and security agreement with Western Alliance Bank to reflect all waivers and amendments to date. Subsequently, the Company borrowed an additional $5.0 million for an aggregate amount of $40.0 million. In connection with the additional $5.0 million draw, the Company issued additional warrant shares for Series E-1 preferred stock in the amount of 15,979 or (i) two percent of the additional advance amount drawn under the Term A Loans, divided by (ii) the applicable exercise price at the time the warrant is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240"/>
          </w:cols>
          <w:pgMar w:left="320" w:top="118" w:right="339" w:bottom="1440" w:gutter="0" w:footer="0" w:header="0"/>
        </w:sectPr>
      </w:pPr>
    </w:p>
    <w:bookmarkStart w:id="234" w:name="page235"/>
    <w:bookmarkEnd w:id="234"/>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780"/>
        <w:spacing w:after="0"/>
        <w:rPr>
          <w:sz w:val="20"/>
          <w:szCs w:val="20"/>
          <w:color w:val="auto"/>
        </w:rPr>
      </w:pPr>
      <w:r>
        <w:rPr>
          <w:rFonts w:ascii="Arial" w:cs="Arial" w:eastAsia="Arial" w:hAnsi="Arial"/>
          <w:sz w:val="30"/>
          <w:szCs w:val="30"/>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972185</wp:posOffset>
            </wp:positionV>
            <wp:extent cx="1975485" cy="466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7548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426720</wp:posOffset>
            </wp:positionV>
            <wp:extent cx="151701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015" cy="762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Morgan Stanley</w:t>
      </w:r>
    </w:p>
    <w:p>
      <w:pPr>
        <w:spacing w:after="0" w:line="75" w:lineRule="exact"/>
        <w:rPr>
          <w:sz w:val="20"/>
          <w:szCs w:val="20"/>
          <w:color w:val="auto"/>
        </w:rPr>
      </w:pPr>
    </w:p>
    <w:p>
      <w:pPr>
        <w:sectPr>
          <w:pgSz w:w="11900" w:h="16838" w:orient="portrait"/>
          <w:cols w:equalWidth="0" w:num="2">
            <w:col w:w="8540" w:space="720"/>
            <w:col w:w="198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23"/>
          <w:szCs w:val="23"/>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William Blair</w:t>
      </w:r>
    </w:p>
    <w:p>
      <w:pPr>
        <w:spacing w:after="0" w:line="64" w:lineRule="exact"/>
        <w:rPr>
          <w:sz w:val="20"/>
          <w:szCs w:val="20"/>
          <w:color w:val="auto"/>
        </w:rPr>
      </w:pPr>
    </w:p>
    <w:p>
      <w:pPr>
        <w:sectPr>
          <w:pgSz w:w="11900" w:h="16838" w:orient="portrait"/>
          <w:cols w:equalWidth="0" w:num="2">
            <w:col w:w="9120" w:space="720"/>
            <w:col w:w="1400"/>
          </w:cols>
          <w:pgMar w:left="320" w:top="118" w:right="339" w:bottom="1440" w:gutter="0" w:footer="0" w:header="0"/>
          <w:type w:val="continuous"/>
        </w:sectPr>
      </w:pPr>
    </w:p>
    <w:p>
      <w:pPr>
        <w:jc w:val="center"/>
        <w:ind w:right="-19"/>
        <w:spacing w:after="0"/>
        <w:rPr>
          <w:sz w:val="20"/>
          <w:szCs w:val="20"/>
          <w:color w:val="auto"/>
        </w:rPr>
      </w:pPr>
      <w:r>
        <w:rPr>
          <w:rFonts w:ascii="Arial" w:cs="Arial" w:eastAsia="Arial" w:hAnsi="Arial"/>
          <w:sz w:val="19"/>
          <w:szCs w:val="19"/>
          <w:b w:val="1"/>
          <w:bCs w:val="1"/>
          <w:color w:val="auto"/>
        </w:rPr>
        <w:t>Wells Fargo Securities</w:t>
      </w:r>
    </w:p>
    <w:p>
      <w:pPr>
        <w:sectPr>
          <w:pgSz w:w="11900" w:h="16838" w:orient="portrait"/>
          <w:cols w:equalWidth="0" w:num="1">
            <w:col w:w="11240"/>
          </w:cols>
          <w:pgMar w:left="320" w:top="118" w:right="339" w:bottom="1440" w:gutter="0" w:footer="0" w:header="0"/>
          <w:type w:val="continuous"/>
        </w:sectPr>
      </w:pPr>
    </w:p>
    <w:p>
      <w:pPr>
        <w:spacing w:after="0" w:line="9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Needham &amp; Company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Piper Sandler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Telsey Advisory Group</w:t>
      </w:r>
    </w:p>
    <w:p>
      <w:pPr>
        <w:sectPr>
          <w:pgSz w:w="11900" w:h="16838" w:orient="portrait"/>
          <w:cols w:equalWidth="0" w:num="4">
            <w:col w:w="3100" w:space="720"/>
            <w:col w:w="2100" w:space="720"/>
            <w:col w:w="2060" w:space="720"/>
            <w:col w:w="1820"/>
          </w:cols>
          <w:pgMar w:left="320" w:top="118" w:right="339" w:bottom="1440" w:gutter="0" w:footer="0" w:header="0"/>
          <w:type w:val="continuous"/>
        </w:sectPr>
      </w:pPr>
    </w:p>
    <w:bookmarkStart w:id="235" w:name="page236"/>
    <w:bookmarkEnd w:id="235"/>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340"/>
        <w:spacing w:after="0"/>
        <w:rPr>
          <w:sz w:val="20"/>
          <w:szCs w:val="20"/>
          <w:color w:val="auto"/>
        </w:rPr>
      </w:pPr>
      <w:r>
        <w:rPr>
          <w:rFonts w:ascii="Arial" w:cs="Arial" w:eastAsia="Arial" w:hAnsi="Arial"/>
          <w:sz w:val="17"/>
          <w:szCs w:val="17"/>
          <w:b w:val="1"/>
          <w:bCs w:val="1"/>
          <w:color w:val="auto"/>
        </w:rPr>
        <w:t>PART II</w:t>
      </w:r>
    </w:p>
    <w:p>
      <w:pPr>
        <w:spacing w:after="0" w:line="153"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5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55" w:lineRule="exact"/>
        <w:rPr>
          <w:sz w:val="20"/>
          <w:szCs w:val="20"/>
          <w:color w:val="auto"/>
        </w:rPr>
      </w:pPr>
    </w:p>
    <w:p>
      <w:pPr>
        <w:ind w:firstLine="299"/>
        <w:spacing w:after="0" w:line="309" w:lineRule="auto"/>
        <w:rPr>
          <w:sz w:val="20"/>
          <w:szCs w:val="20"/>
          <w:color w:val="auto"/>
        </w:rPr>
      </w:pPr>
      <w:r>
        <w:rPr>
          <w:rFonts w:ascii="Arial" w:cs="Arial" w:eastAsia="Arial" w:hAnsi="Arial"/>
          <w:sz w:val="16"/>
          <w:szCs w:val="16"/>
          <w:color w:val="auto"/>
        </w:rPr>
        <w:t>The following table sets forth all expenses to be paid by us, other than underwriting discounts and commissions, in connection with this offering. All amounts shown are estimates except for the SEC registration fee, the FINRA filing fee and the Nasdaq Global Select Market, or Nasdaq, listing fee.</w:t>
      </w:r>
    </w:p>
    <w:p>
      <w:pPr>
        <w:sectPr>
          <w:pgSz w:w="11900" w:h="16838" w:orient="portrait"/>
          <w:cols w:equalWidth="0" w:num="1">
            <w:col w:w="11240"/>
          </w:cols>
          <w:pgMar w:left="320" w:top="118" w:right="339" w:bottom="1440" w:gutter="0" w:footer="0" w:header="0"/>
        </w:sect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43115" cy="142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115" cy="14224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3115"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Nasdaq listing fee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Printing and engraving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3115" cy="134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Legal fees and expenses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3115" cy="134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115"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Transfer agent and registrar fees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3115" cy="158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115" cy="15811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300" w:hanging="300"/>
        <w:spacing w:after="0"/>
        <w:tabs>
          <w:tab w:leader="none" w:pos="3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To be provided by amendment.</w:t>
      </w:r>
    </w:p>
    <w:p>
      <w:pPr>
        <w:spacing w:after="0" w:line="12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562"/>
        <w:spacing w:after="0"/>
        <w:rPr>
          <w:sz w:val="20"/>
          <w:szCs w:val="20"/>
          <w:color w:val="auto"/>
        </w:rPr>
      </w:pPr>
      <w:r>
        <w:rPr>
          <w:rFonts w:ascii="Arial" w:cs="Arial" w:eastAsia="Arial" w:hAnsi="Arial"/>
          <w:sz w:val="13"/>
          <w:szCs w:val="13"/>
          <w:b w:val="1"/>
          <w:bCs w:val="1"/>
          <w:color w:val="auto"/>
        </w:rPr>
        <w:t>Amount</w:t>
      </w:r>
    </w:p>
    <w:p>
      <w:pPr>
        <w:spacing w:after="0" w:line="37" w:lineRule="exact"/>
        <w:rPr>
          <w:sz w:val="20"/>
          <w:szCs w:val="20"/>
          <w:color w:val="auto"/>
        </w:rPr>
      </w:pPr>
    </w:p>
    <w:p>
      <w:pPr>
        <w:ind w:left="1082" w:hanging="1082"/>
        <w:spacing w:after="0"/>
        <w:tabs>
          <w:tab w:leader="none" w:pos="108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10,910</w:t>
      </w:r>
    </w:p>
    <w:p>
      <w:pPr>
        <w:spacing w:after="0" w:line="20" w:lineRule="exact"/>
        <w:rPr>
          <w:rFonts w:ascii="Arial" w:cs="Arial" w:eastAsia="Arial" w:hAnsi="Arial"/>
          <w:sz w:val="17"/>
          <w:szCs w:val="17"/>
          <w:color w:val="auto"/>
        </w:rPr>
      </w:pPr>
    </w:p>
    <w:p>
      <w:pPr>
        <w:ind w:left="1082"/>
        <w:spacing w:after="0"/>
        <w:rPr>
          <w:rFonts w:ascii="Arial" w:cs="Arial" w:eastAsia="Arial" w:hAnsi="Arial"/>
          <w:sz w:val="17"/>
          <w:szCs w:val="17"/>
          <w:color w:val="auto"/>
        </w:rPr>
      </w:pPr>
      <w:r>
        <w:rPr>
          <w:rFonts w:ascii="Arial" w:cs="Arial" w:eastAsia="Arial" w:hAnsi="Arial"/>
          <w:sz w:val="17"/>
          <w:szCs w:val="17"/>
          <w:color w:val="auto"/>
        </w:rPr>
        <w:t>15,500</w:t>
      </w:r>
    </w:p>
    <w:p>
      <w:pPr>
        <w:spacing w:after="0" w:line="16" w:lineRule="exact"/>
        <w:rPr>
          <w:rFonts w:ascii="Arial" w:cs="Arial" w:eastAsia="Arial" w:hAnsi="Arial"/>
          <w:sz w:val="17"/>
          <w:szCs w:val="17"/>
          <w:color w:val="auto"/>
        </w:rPr>
      </w:pPr>
    </w:p>
    <w:p>
      <w:pPr>
        <w:ind w:left="1562"/>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6" w:lineRule="exact"/>
        <w:rPr>
          <w:rFonts w:ascii="Arial" w:cs="Arial" w:eastAsia="Arial" w:hAnsi="Arial"/>
          <w:sz w:val="17"/>
          <w:szCs w:val="17"/>
          <w:color w:val="auto"/>
        </w:rPr>
      </w:pPr>
    </w:p>
    <w:p>
      <w:pPr>
        <w:ind w:left="1562"/>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6" w:lineRule="exact"/>
        <w:rPr>
          <w:rFonts w:ascii="Arial" w:cs="Arial" w:eastAsia="Arial" w:hAnsi="Arial"/>
          <w:sz w:val="17"/>
          <w:szCs w:val="17"/>
          <w:color w:val="auto"/>
        </w:rPr>
      </w:pPr>
    </w:p>
    <w:p>
      <w:pPr>
        <w:ind w:left="1562"/>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6" w:lineRule="exact"/>
        <w:rPr>
          <w:rFonts w:ascii="Arial" w:cs="Arial" w:eastAsia="Arial" w:hAnsi="Arial"/>
          <w:sz w:val="17"/>
          <w:szCs w:val="17"/>
          <w:color w:val="auto"/>
        </w:rPr>
      </w:pPr>
    </w:p>
    <w:p>
      <w:pPr>
        <w:ind w:left="1562"/>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6" w:lineRule="exact"/>
        <w:rPr>
          <w:rFonts w:ascii="Arial" w:cs="Arial" w:eastAsia="Arial" w:hAnsi="Arial"/>
          <w:sz w:val="17"/>
          <w:szCs w:val="17"/>
          <w:color w:val="auto"/>
        </w:rPr>
      </w:pPr>
    </w:p>
    <w:p>
      <w:pPr>
        <w:ind w:left="1562"/>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6" w:lineRule="exact"/>
        <w:rPr>
          <w:rFonts w:ascii="Arial" w:cs="Arial" w:eastAsia="Arial" w:hAnsi="Arial"/>
          <w:sz w:val="17"/>
          <w:szCs w:val="17"/>
          <w:color w:val="auto"/>
        </w:rPr>
      </w:pPr>
    </w:p>
    <w:p>
      <w:pPr>
        <w:ind w:left="1562"/>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8" w:lineRule="exact"/>
        <w:rPr>
          <w:sz w:val="20"/>
          <w:szCs w:val="20"/>
          <w:color w:val="auto"/>
        </w:rPr>
      </w:pPr>
    </w:p>
    <w:p>
      <w:pPr>
        <w:ind w:left="2"/>
        <w:spacing w:after="0"/>
        <w:tabs>
          <w:tab w:leader="none" w:pos="1542"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39370</wp:posOffset>
            </wp:positionV>
            <wp:extent cx="105854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58545" cy="7620"/>
                    </a:xfrm>
                    <a:prstGeom prst="rect">
                      <a:avLst/>
                    </a:prstGeom>
                    <a:noFill/>
                  </pic:spPr>
                </pic:pic>
              </a:graphicData>
            </a:graphic>
          </wp:anchor>
        </w:drawing>
      </w:r>
    </w:p>
    <w:p>
      <w:pPr>
        <w:spacing w:after="0" w:line="899" w:lineRule="exact"/>
        <w:rPr>
          <w:sz w:val="20"/>
          <w:szCs w:val="20"/>
          <w:color w:val="auto"/>
        </w:rPr>
      </w:pPr>
    </w:p>
    <w:p>
      <w:pPr>
        <w:sectPr>
          <w:pgSz w:w="11900" w:h="16838" w:orient="portrait"/>
          <w:cols w:equalWidth="0" w:num="2">
            <w:col w:w="8878" w:space="720"/>
            <w:col w:w="1642"/>
          </w:cols>
          <w:pgMar w:left="320" w:top="118" w:right="339" w:bottom="1440" w:gutter="0" w:footer="0" w:header="0"/>
          <w:type w:val="continuous"/>
        </w:sectPr>
      </w:pPr>
    </w:p>
    <w:p>
      <w:pPr>
        <w:jc w:val="both"/>
        <w:ind w:firstLine="299"/>
        <w:spacing w:after="0" w:line="277" w:lineRule="auto"/>
        <w:rPr>
          <w:sz w:val="20"/>
          <w:szCs w:val="20"/>
          <w:color w:val="auto"/>
        </w:rPr>
      </w:pPr>
      <w:r>
        <w:rPr>
          <w:rFonts w:ascii="Arial" w:cs="Arial" w:eastAsia="Arial" w:hAnsi="Arial"/>
          <w:sz w:val="17"/>
          <w:szCs w:val="17"/>
          <w:color w:val="auto"/>
        </w:rPr>
        <w:t>Section 145 of the Delaware General Corporation Law authorizes a corporation’s board of directors to grant, and authorizes a court to award, indemnity to officers, directors and other corporate agents.</w:t>
      </w:r>
    </w:p>
    <w:p>
      <w:pPr>
        <w:spacing w:after="0" w:line="96"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115" w:lineRule="exact"/>
        <w:rPr>
          <w:sz w:val="20"/>
          <w:szCs w:val="20"/>
          <w:color w:val="auto"/>
        </w:rPr>
      </w:pPr>
    </w:p>
    <w:p>
      <w:pPr>
        <w:ind w:left="600" w:hanging="302"/>
        <w:spacing w:after="0"/>
        <w:tabs>
          <w:tab w:leader="none" w:pos="6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breach of their duty of loyalty to our company or our stockholders;</w:t>
      </w:r>
    </w:p>
    <w:p>
      <w:pPr>
        <w:spacing w:after="0" w:line="152" w:lineRule="exact"/>
        <w:rPr>
          <w:rFonts w:ascii="Arial" w:cs="Arial" w:eastAsia="Arial" w:hAnsi="Arial"/>
          <w:sz w:val="17"/>
          <w:szCs w:val="17"/>
          <w:color w:val="auto"/>
        </w:rPr>
      </w:pPr>
    </w:p>
    <w:p>
      <w:pPr>
        <w:ind w:left="600" w:hanging="302"/>
        <w:spacing w:after="0"/>
        <w:tabs>
          <w:tab w:leader="none" w:pos="6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52" w:lineRule="exact"/>
        <w:rPr>
          <w:rFonts w:ascii="Arial" w:cs="Arial" w:eastAsia="Arial" w:hAnsi="Arial"/>
          <w:sz w:val="17"/>
          <w:szCs w:val="17"/>
          <w:color w:val="auto"/>
        </w:rPr>
      </w:pPr>
    </w:p>
    <w:p>
      <w:pPr>
        <w:ind w:left="600" w:hanging="302"/>
        <w:spacing w:after="0" w:line="277" w:lineRule="auto"/>
        <w:tabs>
          <w:tab w:leader="none" w:pos="59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Delaware General Corporation Law; or</w:t>
      </w:r>
    </w:p>
    <w:p>
      <w:pPr>
        <w:spacing w:after="0" w:line="96" w:lineRule="exact"/>
        <w:rPr>
          <w:rFonts w:ascii="Arial" w:cs="Arial" w:eastAsia="Arial" w:hAnsi="Arial"/>
          <w:sz w:val="17"/>
          <w:szCs w:val="17"/>
          <w:color w:val="auto"/>
        </w:rPr>
      </w:pPr>
    </w:p>
    <w:p>
      <w:pPr>
        <w:ind w:left="600" w:hanging="302"/>
        <w:spacing w:after="0"/>
        <w:tabs>
          <w:tab w:leader="none" w:pos="6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transaction from which they derived an improper personal benefit.</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5"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240"/>
          </w:cols>
          <w:pgMar w:left="320" w:top="118" w:right="339" w:bottom="1440" w:gutter="0" w:footer="0" w:header="0"/>
          <w:type w:val="continuous"/>
        </w:sectPr>
      </w:pPr>
    </w:p>
    <w:bookmarkStart w:id="236" w:name="page237"/>
    <w:bookmarkEnd w:id="236"/>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19"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22"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We expect to obtain insurance policies under which, subject to the limitations of the policies, coverage is provided to our directors and executive officers against losses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1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underwriting agreement to be filed as Exhibit 1.1 to this registration statement will provide for indemnification by the underwriters of us and our officers and directors for certain liabilities arising under the Securities Act and otherwise.</w:t>
      </w:r>
    </w:p>
    <w:p>
      <w:pPr>
        <w:spacing w:after="0" w:line="9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RECENT SALES OF UNREGISTERED SECURITIES.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Since January 1, 2018, we made sales of the following unregistered securities: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Preferred Issuances</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In January 2018, we sold an aggregate of 5,704,601 shares of our Series E-1 convertible preferred stock to 17 accredited investors at a purchase price of $6.2581 per share, for an aggregate purchase price of $35,699,964.</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From June 2019 through September 2019, we sold an aggregate of 12,549,852 shares of our Series F convertible preferred stock to 28 accredited investors at a purchase price of $6.8839 per share, for an aggregate purchase price of $86,391,926.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240"/>
          </w:cols>
          <w:pgMar w:left="320" w:top="118" w:right="339" w:bottom="1440" w:gutter="0" w:footer="0" w:header="0"/>
        </w:sectPr>
      </w:pPr>
    </w:p>
    <w:bookmarkStart w:id="237" w:name="page238"/>
    <w:bookmarkEnd w:id="237"/>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Option and Common Issuances</w:t>
      </w:r>
    </w:p>
    <w:p>
      <w:pPr>
        <w:spacing w:after="0" w:line="15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Since January 1, 2018, we granted to our employees, consultants and other service providers options to purchase an aggregate of 29,973,107 shares of common stock under our 2010 Plan, at exercise prices ranging from $2.05 to $6.54 per share.</w:t>
      </w:r>
    </w:p>
    <w:p>
      <w:pPr>
        <w:spacing w:after="0" w:line="96"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Since January 1, 2018, we issued and sold to our employees, consultants and other service providers an aggregate of 2,913,204 shares of common stock upon the exercise of options under our 2010 Plan at exercise prices ranging from $0.074 to $6.54 per share, for a weighted-average exercise price of $1.11.</w:t>
      </w:r>
    </w:p>
    <w:p>
      <w:pPr>
        <w:spacing w:after="0" w:line="11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In April 2018, we sold an aggregate of 1,200,000 shares of our common stock to accredited investors at a purchase price of $2.60 per share, for an aggregate purchase price of $3,120,000.</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Warrant Issuances</w:t>
      </w:r>
    </w:p>
    <w:p>
      <w:pPr>
        <w:spacing w:after="0" w:line="153" w:lineRule="exact"/>
        <w:rPr>
          <w:sz w:val="20"/>
          <w:szCs w:val="20"/>
          <w:color w:val="auto"/>
        </w:rPr>
      </w:pPr>
    </w:p>
    <w:p>
      <w:pPr>
        <w:jc w:val="both"/>
        <w:ind w:firstLine="299"/>
        <w:spacing w:after="0" w:line="255" w:lineRule="auto"/>
        <w:rPr>
          <w:sz w:val="20"/>
          <w:szCs w:val="20"/>
          <w:color w:val="auto"/>
        </w:rPr>
      </w:pPr>
      <w:r>
        <w:rPr>
          <w:rFonts w:ascii="Arial" w:cs="Arial" w:eastAsia="Arial" w:hAnsi="Arial"/>
          <w:sz w:val="17"/>
          <w:szCs w:val="17"/>
          <w:color w:val="auto"/>
        </w:rPr>
        <w:t>On February 7, 2019, we granted Western Alliance Bank a warrant to purchase shares of our Series E-1 preferred stock at $6.26 per share up to 127,835 shares, as amended, or the WAB Warrant to Purchase Stock, based on our drawdowns under our loan and security agreement with Western Alliance Bank. Also on February 7, 2019, we granted Western Alliance Bank 63,917 warrant shares for shares of our Series E-1 preferred stock at $6.26 per share pursuant to the WAB Warrant to Purchase Stock.</w:t>
      </w:r>
    </w:p>
    <w:p>
      <w:pPr>
        <w:spacing w:after="0" w:line="11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On May 5, 2020, we granted Western Alliance Bank a warrant to purchase 10,376 shares of our Series F preferred stock at $6.88 per share, pursuant to the terms of an amendment to our loan and security agreement with Western Alliance Bank.</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On August 14, 2020, we granted Western Alliance Bank 31,958 additional warrant shares for shares of our Series E-1 preferred stock at $6.26 per share, pursuant to the terms of the WAB Warrant to Purchase Stock.</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On November 25, 2020 we granted Western Alliance Bank 15,979 additional warrant shares for shares of our Series E-1 preferred stock at $6.26 per share, pursuant to the terms of the WAB Warrant to Purchase Stock.</w:t>
      </w:r>
    </w:p>
    <w:p>
      <w:pPr>
        <w:spacing w:after="0" w:line="96"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On February 8, 2021 we granted Western Alliance Bank 15,979 additional warrant shares for shares of our Series E-1 preferred stock at $6.26 per share, pursuant to the terms of the WAB Warrant to Purchase Stock.</w:t>
      </w:r>
    </w:p>
    <w:p>
      <w:pPr>
        <w:spacing w:after="0" w:line="96" w:lineRule="exact"/>
        <w:rPr>
          <w:sz w:val="20"/>
          <w:szCs w:val="20"/>
          <w:color w:val="auto"/>
        </w:rPr>
      </w:pPr>
    </w:p>
    <w:p>
      <w:pPr>
        <w:jc w:val="both"/>
        <w:ind w:firstLine="299"/>
        <w:spacing w:after="0" w:line="250" w:lineRule="auto"/>
        <w:rPr>
          <w:sz w:val="20"/>
          <w:szCs w:val="20"/>
          <w:color w:val="auto"/>
        </w:rPr>
      </w:pPr>
      <w:r>
        <w:rPr>
          <w:rFonts w:ascii="Arial" w:cs="Arial" w:eastAsia="Arial" w:hAnsi="Arial"/>
          <w:sz w:val="17"/>
          <w:szCs w:val="17"/>
          <w:color w:val="auto"/>
        </w:rPr>
        <w:t>We believe these transactions were exempt from registration under the Securities Act in reliance upon Section 4(a)(2) of the Securities Act,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ThredUp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240"/>
          </w:cols>
          <w:pgMar w:left="320" w:top="118" w:right="339" w:bottom="1440" w:gutter="0" w:footer="0" w:header="0"/>
        </w:sectPr>
      </w:pPr>
    </w:p>
    <w:bookmarkStart w:id="238" w:name="page239"/>
    <w:bookmarkEnd w:id="238"/>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 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40" w:type="dxa"/>
            <w:vAlign w:val="bottom"/>
            <w:gridSpan w:val="10"/>
            <w:vMerge w:val="restart"/>
          </w:tcPr>
          <w:p>
            <w:pPr>
              <w:ind w:left="960"/>
              <w:spacing w:after="0"/>
              <w:rPr>
                <w:sz w:val="20"/>
                <w:szCs w:val="20"/>
                <w:color w:val="auto"/>
              </w:rPr>
            </w:pPr>
            <w:r>
              <w:rPr>
                <w:rFonts w:ascii="Arial" w:cs="Arial" w:eastAsia="Arial" w:hAnsi="Arial"/>
                <w:sz w:val="13"/>
                <w:szCs w:val="13"/>
                <w:b w:val="1"/>
                <w:bCs w:val="1"/>
                <w:color w:val="auto"/>
              </w:rPr>
              <w:t>Exhibit Title</w:t>
            </w:r>
          </w:p>
        </w:tc>
        <w:tc>
          <w:tcPr>
            <w:tcW w:w="0" w:type="dxa"/>
            <w:vAlign w:val="bottom"/>
          </w:tcPr>
          <w:p>
            <w:pPr>
              <w:spacing w:after="0"/>
              <w:rPr>
                <w:sz w:val="1"/>
                <w:szCs w:val="1"/>
                <w:color w:val="auto"/>
              </w:rPr>
            </w:pPr>
          </w:p>
        </w:tc>
      </w:tr>
      <w:tr>
        <w:trPr>
          <w:trHeight w:val="162"/>
        </w:trPr>
        <w:tc>
          <w:tcPr>
            <w:tcW w:w="1020" w:type="dxa"/>
            <w:vAlign w:val="bottom"/>
            <w:gridSpan w:val="2"/>
          </w:tcPr>
          <w:p>
            <w:pPr>
              <w:ind w:left="220"/>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4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180" w:type="dxa"/>
            <w:vAlign w:val="bottom"/>
            <w:tcBorders>
              <w:top w:val="single" w:sz="8" w:color="auto"/>
            </w:tcBorders>
            <w:gridSpan w:val="16"/>
          </w:tcPr>
          <w:p>
            <w:pPr>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Form of Underwriting Agreement.</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286">
              <w:r>
                <w:rPr>
                  <w:rFonts w:ascii="Arial" w:cs="Arial" w:eastAsia="Arial" w:hAnsi="Arial"/>
                  <w:sz w:val="17"/>
                  <w:szCs w:val="17"/>
                  <w:u w:val="single" w:color="auto"/>
                  <w:color w:val="0000FF"/>
                </w:rPr>
                <w:t>Eighth Amended and Restated Certificate of Incorporation of the Registrant, as amended, as currently in effect.</w:t>
              </w:r>
            </w:hyperlink>
          </w:p>
        </w:tc>
        <w:tc>
          <w:tcPr>
            <w:tcW w:w="0" w:type="dxa"/>
            <w:vAlign w:val="bottom"/>
          </w:tcPr>
          <w:p>
            <w:pPr>
              <w:spacing w:after="0"/>
              <w:rPr>
                <w:sz w:val="1"/>
                <w:szCs w:val="1"/>
                <w:color w:val="auto"/>
              </w:rPr>
            </w:pPr>
          </w:p>
        </w:tc>
      </w:tr>
      <w:tr>
        <w:trPr>
          <w:trHeight w:val="183"/>
        </w:trPr>
        <w:tc>
          <w:tcPr>
            <w:tcW w:w="940" w:type="dxa"/>
            <w:vAlign w:val="bottom"/>
          </w:tcPr>
          <w:p>
            <w:pPr>
              <w:ind w:left="20"/>
              <w:spacing w:after="0" w:line="183" w:lineRule="exact"/>
              <w:rPr>
                <w:sz w:val="20"/>
                <w:szCs w:val="20"/>
                <w:color w:val="auto"/>
              </w:rPr>
            </w:pPr>
            <w:r>
              <w:rPr>
                <w:rFonts w:ascii="Arial" w:cs="Arial" w:eastAsia="Arial" w:hAnsi="Arial"/>
                <w:sz w:val="17"/>
                <w:szCs w:val="17"/>
                <w:color w:val="auto"/>
              </w:rPr>
              <w:t>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6"/>
          </w:tcPr>
          <w:p>
            <w:pPr>
              <w:spacing w:after="0" w:line="183" w:lineRule="exact"/>
              <w:rPr>
                <w:rFonts w:ascii="Arial" w:cs="Arial" w:eastAsia="Arial" w:hAnsi="Arial"/>
                <w:sz w:val="17"/>
                <w:szCs w:val="17"/>
                <w:color w:val="0000FF"/>
              </w:rPr>
            </w:pPr>
            <w:hyperlink w:anchor="page321">
              <w:r>
                <w:rPr>
                  <w:rFonts w:ascii="Arial" w:cs="Arial" w:eastAsia="Arial" w:hAnsi="Arial"/>
                  <w:sz w:val="17"/>
                  <w:szCs w:val="17"/>
                  <w:color w:val="0000FF"/>
                </w:rPr>
                <w:t>Form of Amended and Restated Certificate of Incorporation of the Registrant to be in effect immediately prior to the completion of this</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321">
              <w:r>
                <w:rPr>
                  <w:rFonts w:ascii="Arial" w:cs="Arial" w:eastAsia="Arial" w:hAnsi="Arial"/>
                  <w:sz w:val="16"/>
                  <w:szCs w:val="16"/>
                  <w:color w:val="0000FF"/>
                </w:rPr>
                <w:t>offering.</w:t>
              </w:r>
            </w:hyperlink>
          </w:p>
        </w:tc>
        <w:tc>
          <w:tcPr>
            <w:tcW w:w="9160" w:type="dxa"/>
            <w:vAlign w:val="bottom"/>
            <w:tcBorders>
              <w:top w:val="single" w:sz="8" w:color="0000FF"/>
            </w:tcBorders>
            <w:gridSpan w:val="13"/>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940" w:type="dxa"/>
            <w:vAlign w:val="bottom"/>
          </w:tcPr>
          <w:p>
            <w:pPr>
              <w:ind w:left="2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332">
              <w:r>
                <w:rPr>
                  <w:rFonts w:ascii="Arial" w:cs="Arial" w:eastAsia="Arial" w:hAnsi="Arial"/>
                  <w:sz w:val="17"/>
                  <w:szCs w:val="17"/>
                  <w:u w:val="single" w:color="auto"/>
                  <w:color w:val="0000FF"/>
                </w:rPr>
                <w:t>Second Amended and Restated Bylaws of the Registrant, as currently in effect.</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344">
              <w:r>
                <w:rPr>
                  <w:rFonts w:ascii="Arial" w:cs="Arial" w:eastAsia="Arial" w:hAnsi="Arial"/>
                  <w:sz w:val="17"/>
                  <w:szCs w:val="17"/>
                  <w:u w:val="single" w:color="auto"/>
                  <w:color w:val="0000FF"/>
                </w:rPr>
                <w:t>Form of Amended and Restated Bylaws of the Registrant to be in effect immediately prior to the completion of this offering.</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color w:val="0000FF"/>
              </w:rPr>
            </w:pPr>
            <w:hyperlink w:anchor="page373">
              <w:r>
                <w:rPr>
                  <w:rFonts w:ascii="Arial" w:cs="Arial" w:eastAsia="Arial" w:hAnsi="Arial"/>
                  <w:sz w:val="17"/>
                  <w:szCs w:val="17"/>
                  <w:u w:val="single" w:color="auto"/>
                  <w:color w:val="0000FF"/>
                </w:rPr>
                <w:t>Form of Class A common stock certificate of the Registrant</w:t>
              </w:r>
              <w:r>
                <w:rPr>
                  <w:rFonts w:ascii="Arial" w:cs="Arial" w:eastAsia="Arial" w:hAnsi="Arial"/>
                  <w:sz w:val="17"/>
                  <w:szCs w:val="17"/>
                  <w:color w:val="0000FF"/>
                </w:rPr>
                <w:t>.</w:t>
              </w:r>
            </w:hyperlink>
          </w:p>
        </w:tc>
        <w:tc>
          <w:tcPr>
            <w:tcW w:w="0" w:type="dxa"/>
            <w:vAlign w:val="bottom"/>
          </w:tcPr>
          <w:p>
            <w:pPr>
              <w:spacing w:after="0"/>
              <w:rPr>
                <w:sz w:val="1"/>
                <w:szCs w:val="1"/>
                <w:color w:val="auto"/>
              </w:rPr>
            </w:pPr>
          </w:p>
        </w:tc>
      </w:tr>
      <w:tr>
        <w:trPr>
          <w:trHeight w:val="175"/>
        </w:trPr>
        <w:tc>
          <w:tcPr>
            <w:tcW w:w="940" w:type="dxa"/>
            <w:vAlign w:val="bottom"/>
          </w:tcPr>
          <w:p>
            <w:pPr>
              <w:ind w:left="20"/>
              <w:spacing w:after="0" w:line="170" w:lineRule="exact"/>
              <w:rPr>
                <w:sz w:val="20"/>
                <w:szCs w:val="20"/>
                <w:color w:val="auto"/>
              </w:rPr>
            </w:pPr>
            <w:r>
              <w:rPr>
                <w:rFonts w:ascii="Arial" w:cs="Arial" w:eastAsia="Arial" w:hAnsi="Arial"/>
                <w:sz w:val="17"/>
                <w:szCs w:val="17"/>
                <w:color w:val="auto"/>
              </w:rPr>
              <w:t>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6"/>
          </w:tcPr>
          <w:p>
            <w:pPr>
              <w:spacing w:after="0" w:line="170" w:lineRule="exact"/>
              <w:rPr>
                <w:rFonts w:ascii="Arial" w:cs="Arial" w:eastAsia="Arial" w:hAnsi="Arial"/>
                <w:sz w:val="17"/>
                <w:szCs w:val="17"/>
                <w:color w:val="0000FF"/>
              </w:rPr>
            </w:pPr>
            <w:hyperlink w:anchor="page375">
              <w:r>
                <w:rPr>
                  <w:rFonts w:ascii="Arial" w:cs="Arial" w:eastAsia="Arial" w:hAnsi="Arial"/>
                  <w:sz w:val="17"/>
                  <w:szCs w:val="17"/>
                  <w:u w:val="single" w:color="auto"/>
                  <w:color w:val="0000FF"/>
                </w:rPr>
                <w:t>Tenth Amended and Restated Investors’ Rights Agreement, dated February 16,</w:t>
              </w:r>
              <w:r>
                <w:rPr>
                  <w:rFonts w:ascii="Arial" w:cs="Arial" w:eastAsia="Arial" w:hAnsi="Arial"/>
                  <w:sz w:val="17"/>
                  <w:szCs w:val="17"/>
                  <w:color w:val="0000FF"/>
                </w:rPr>
                <w:t xml:space="preserve"> 2021, by and among the Registrant and certain of its</w:t>
              </w:r>
            </w:hyperlink>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0000FF"/>
            </w:tcBorders>
            <w:gridSpan w:val="3"/>
          </w:tcPr>
          <w:p>
            <w:pPr>
              <w:spacing w:after="0" w:line="150" w:lineRule="exact"/>
              <w:rPr>
                <w:rFonts w:ascii="Arial" w:cs="Arial" w:eastAsia="Arial" w:hAnsi="Arial"/>
                <w:sz w:val="17"/>
                <w:szCs w:val="17"/>
                <w:color w:val="0000FF"/>
                <w:w w:val="95"/>
              </w:rPr>
            </w:pPr>
            <w:hyperlink w:anchor="page375">
              <w:r>
                <w:rPr>
                  <w:rFonts w:ascii="Arial" w:cs="Arial" w:eastAsia="Arial" w:hAnsi="Arial"/>
                  <w:sz w:val="17"/>
                  <w:szCs w:val="17"/>
                  <w:color w:val="0000FF"/>
                  <w:w w:val="95"/>
                </w:rPr>
                <w:t>stockholders.</w:t>
              </w:r>
            </w:hyperlink>
          </w:p>
        </w:tc>
        <w:tc>
          <w:tcPr>
            <w:tcW w:w="4840" w:type="dxa"/>
            <w:vAlign w:val="bottom"/>
            <w:gridSpan w:val="6"/>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940" w:type="dxa"/>
            <w:vAlign w:val="bottom"/>
          </w:tcPr>
          <w:p>
            <w:pPr>
              <w:ind w:left="20"/>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435">
              <w:r>
                <w:rPr>
                  <w:rFonts w:ascii="Arial" w:cs="Arial" w:eastAsia="Arial" w:hAnsi="Arial"/>
                  <w:sz w:val="17"/>
                  <w:szCs w:val="17"/>
                  <w:u w:val="single" w:color="auto"/>
                  <w:color w:val="0000FF"/>
                </w:rPr>
                <w:t>Warrant to Purchase Stock issued to Silicon Valley Bank by the Registrant, dated January 22, 2015.</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449">
              <w:r>
                <w:rPr>
                  <w:rFonts w:ascii="Arial" w:cs="Arial" w:eastAsia="Arial" w:hAnsi="Arial"/>
                  <w:sz w:val="17"/>
                  <w:szCs w:val="17"/>
                  <w:u w:val="single" w:color="auto"/>
                  <w:color w:val="0000FF"/>
                </w:rPr>
                <w:t>Warrant to Purchase Stock issued to Western Alliance Bank by the Registrant, dated February 7, 2019.</w:t>
              </w:r>
            </w:hyperlink>
          </w:p>
        </w:tc>
        <w:tc>
          <w:tcPr>
            <w:tcW w:w="0" w:type="dxa"/>
            <w:vAlign w:val="bottom"/>
          </w:tcPr>
          <w:p>
            <w:pPr>
              <w:spacing w:after="0"/>
              <w:rPr>
                <w:sz w:val="1"/>
                <w:szCs w:val="1"/>
                <w:color w:val="auto"/>
              </w:rPr>
            </w:pPr>
          </w:p>
        </w:tc>
      </w:tr>
      <w:tr>
        <w:trPr>
          <w:trHeight w:val="183"/>
        </w:trPr>
        <w:tc>
          <w:tcPr>
            <w:tcW w:w="940" w:type="dxa"/>
            <w:vAlign w:val="bottom"/>
          </w:tcPr>
          <w:p>
            <w:pPr>
              <w:ind w:left="20"/>
              <w:spacing w:after="0" w:line="183" w:lineRule="exact"/>
              <w:rPr>
                <w:sz w:val="20"/>
                <w:szCs w:val="20"/>
                <w:color w:val="auto"/>
              </w:rPr>
            </w:pPr>
            <w:r>
              <w:rPr>
                <w:rFonts w:ascii="Arial" w:cs="Arial" w:eastAsia="Arial" w:hAnsi="Arial"/>
                <w:sz w:val="17"/>
                <w:szCs w:val="17"/>
                <w:color w:val="auto"/>
              </w:rPr>
              <w:t>4.5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6"/>
          </w:tcPr>
          <w:p>
            <w:pPr>
              <w:spacing w:after="0" w:line="183" w:lineRule="exact"/>
              <w:rPr>
                <w:rFonts w:ascii="Arial" w:cs="Arial" w:eastAsia="Arial" w:hAnsi="Arial"/>
                <w:sz w:val="17"/>
                <w:szCs w:val="17"/>
                <w:color w:val="0000FF"/>
              </w:rPr>
            </w:pPr>
            <w:hyperlink w:anchor="page459">
              <w:r>
                <w:rPr>
                  <w:rFonts w:ascii="Arial" w:cs="Arial" w:eastAsia="Arial" w:hAnsi="Arial"/>
                  <w:sz w:val="17"/>
                  <w:szCs w:val="17"/>
                  <w:color w:val="0000FF"/>
                </w:rPr>
                <w:t xml:space="preserve">First Amendment to Warrant to Purchase </w:t>
              </w:r>
              <w:r>
                <w:rPr>
                  <w:rFonts w:ascii="Arial" w:cs="Arial" w:eastAsia="Arial" w:hAnsi="Arial"/>
                  <w:sz w:val="17"/>
                  <w:szCs w:val="17"/>
                  <w:u w:val="single" w:color="auto"/>
                  <w:color w:val="0000FF"/>
                </w:rPr>
                <w:t>Stock, by</w:t>
              </w:r>
              <w:r>
                <w:rPr>
                  <w:rFonts w:ascii="Arial" w:cs="Arial" w:eastAsia="Arial" w:hAnsi="Arial"/>
                  <w:sz w:val="17"/>
                  <w:szCs w:val="17"/>
                  <w:color w:val="0000FF"/>
                </w:rPr>
                <w:t xml:space="preserve"> and between </w:t>
              </w:r>
              <w:r>
                <w:rPr>
                  <w:rFonts w:ascii="Arial" w:cs="Arial" w:eastAsia="Arial" w:hAnsi="Arial"/>
                  <w:sz w:val="17"/>
                  <w:szCs w:val="17"/>
                  <w:u w:val="single" w:color="auto"/>
                  <w:color w:val="0000FF"/>
                </w:rPr>
                <w:t>the Registrant</w:t>
              </w:r>
              <w:r>
                <w:rPr>
                  <w:rFonts w:ascii="Arial" w:cs="Arial" w:eastAsia="Arial" w:hAnsi="Arial"/>
                  <w:sz w:val="17"/>
                  <w:szCs w:val="17"/>
                  <w:color w:val="0000FF"/>
                </w:rPr>
                <w:t xml:space="preserve"> and Western Alliance </w:t>
              </w:r>
              <w:r>
                <w:rPr>
                  <w:rFonts w:ascii="Arial" w:cs="Arial" w:eastAsia="Arial" w:hAnsi="Arial"/>
                  <w:sz w:val="17"/>
                  <w:szCs w:val="17"/>
                  <w:u w:val="single" w:color="auto"/>
                  <w:color w:val="0000FF"/>
                </w:rPr>
                <w:t>Bancorporation,</w:t>
              </w:r>
              <w:r>
                <w:rPr>
                  <w:rFonts w:ascii="Arial" w:cs="Arial" w:eastAsia="Arial" w:hAnsi="Arial"/>
                  <w:sz w:val="17"/>
                  <w:szCs w:val="17"/>
                  <w:color w:val="0000FF"/>
                </w:rPr>
                <w:t xml:space="preserve"> dated May 29,</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459">
              <w:r>
                <w:rPr>
                  <w:rFonts w:ascii="Arial" w:cs="Arial" w:eastAsia="Arial" w:hAnsi="Arial"/>
                  <w:sz w:val="16"/>
                  <w:szCs w:val="16"/>
                  <w:color w:val="0000FF"/>
                  <w:w w:val="99"/>
                </w:rPr>
                <w:t>2020.</w:t>
              </w:r>
            </w:hyperlink>
          </w:p>
        </w:tc>
        <w:tc>
          <w:tcPr>
            <w:tcW w:w="1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80" w:type="dxa"/>
            <w:vAlign w:val="bottom"/>
            <w:tcBorders>
              <w:top w:val="single" w:sz="8" w:color="0000FF"/>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940" w:type="dxa"/>
            <w:vAlign w:val="bottom"/>
          </w:tcPr>
          <w:p>
            <w:pPr>
              <w:ind w:left="20"/>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461">
              <w:r>
                <w:rPr>
                  <w:rFonts w:ascii="Arial" w:cs="Arial" w:eastAsia="Arial" w:hAnsi="Arial"/>
                  <w:sz w:val="17"/>
                  <w:szCs w:val="17"/>
                  <w:u w:val="single" w:color="auto"/>
                  <w:color w:val="0000FF"/>
                </w:rPr>
                <w:t>Warrant to Purchase Stock issued to Western Alliance Bank by the Registrant, dated May 29, 2020.</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sz w:val="20"/>
                <w:szCs w:val="20"/>
                <w:color w:val="auto"/>
              </w:rPr>
            </w:pPr>
            <w:r>
              <w:rPr>
                <w:rFonts w:ascii="Arial" w:cs="Arial" w:eastAsia="Arial" w:hAnsi="Arial"/>
                <w:sz w:val="17"/>
                <w:szCs w:val="17"/>
                <w:color w:val="auto"/>
              </w:rPr>
              <w:t>Opinion of Goodwin Procter LLP.</w:t>
            </w:r>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471">
              <w:r>
                <w:rPr>
                  <w:rFonts w:ascii="Arial" w:cs="Arial" w:eastAsia="Arial" w:hAnsi="Arial"/>
                  <w:sz w:val="17"/>
                  <w:szCs w:val="17"/>
                  <w:u w:val="single" w:color="auto"/>
                  <w:color w:val="0000FF"/>
                </w:rPr>
                <w:t>Form of Indemnification Agreement between the Registrant and each of its directors and executive officers.</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489">
              <w:r>
                <w:rPr>
                  <w:rFonts w:ascii="Arial" w:cs="Arial" w:eastAsia="Arial" w:hAnsi="Arial"/>
                  <w:sz w:val="17"/>
                  <w:szCs w:val="17"/>
                  <w:u w:val="single" w:color="auto"/>
                  <w:color w:val="0000FF"/>
                </w:rPr>
                <w:t>Second Amended and Restated 2010 Stock Incentive Plan, as amended, and forms of agreements thereunder.</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sz w:val="20"/>
                <w:szCs w:val="20"/>
                <w:color w:val="auto"/>
              </w:rPr>
            </w:pPr>
            <w:r>
              <w:rPr>
                <w:rFonts w:ascii="Arial" w:cs="Arial" w:eastAsia="Arial" w:hAnsi="Arial"/>
                <w:sz w:val="17"/>
                <w:szCs w:val="17"/>
                <w:color w:val="auto"/>
              </w:rPr>
              <w:t>2021 Stock Option and Incentive Plan and forms of agreements thereunder.</w:t>
            </w:r>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sz w:val="20"/>
                <w:szCs w:val="20"/>
                <w:color w:val="auto"/>
              </w:rPr>
            </w:pPr>
            <w:r>
              <w:rPr>
                <w:rFonts w:ascii="Arial" w:cs="Arial" w:eastAsia="Arial" w:hAnsi="Arial"/>
                <w:sz w:val="17"/>
                <w:szCs w:val="17"/>
                <w:color w:val="auto"/>
              </w:rPr>
              <w:t>2021 Employee Stock Purchase Plan.</w:t>
            </w:r>
          </w:p>
        </w:tc>
        <w:tc>
          <w:tcPr>
            <w:tcW w:w="0" w:type="dxa"/>
            <w:vAlign w:val="bottom"/>
          </w:tcPr>
          <w:p>
            <w:pPr>
              <w:spacing w:after="0"/>
              <w:rPr>
                <w:sz w:val="1"/>
                <w:szCs w:val="1"/>
                <w:color w:val="auto"/>
              </w:rPr>
            </w:pPr>
          </w:p>
        </w:tc>
      </w:tr>
      <w:tr>
        <w:trPr>
          <w:trHeight w:val="183"/>
        </w:trPr>
        <w:tc>
          <w:tcPr>
            <w:tcW w:w="940" w:type="dxa"/>
            <w:vAlign w:val="bottom"/>
          </w:tcPr>
          <w:p>
            <w:pPr>
              <w:ind w:left="20"/>
              <w:spacing w:after="0" w:line="183" w:lineRule="exact"/>
              <w:rPr>
                <w:sz w:val="20"/>
                <w:szCs w:val="20"/>
                <w:color w:val="auto"/>
              </w:rPr>
            </w:pPr>
            <w:r>
              <w:rPr>
                <w:rFonts w:ascii="Arial" w:cs="Arial" w:eastAsia="Arial" w:hAnsi="Arial"/>
                <w:sz w:val="17"/>
                <w:szCs w:val="17"/>
                <w:color w:val="auto"/>
              </w:rPr>
              <w:t>10.5#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6"/>
          </w:tcPr>
          <w:p>
            <w:pPr>
              <w:spacing w:after="0" w:line="183" w:lineRule="exact"/>
              <w:rPr>
                <w:rFonts w:ascii="Arial" w:cs="Arial" w:eastAsia="Arial" w:hAnsi="Arial"/>
                <w:sz w:val="17"/>
                <w:szCs w:val="17"/>
                <w:color w:val="0000FF"/>
              </w:rPr>
            </w:pPr>
            <w:hyperlink w:anchor="page554">
              <w:r>
                <w:rPr>
                  <w:rFonts w:ascii="Arial" w:cs="Arial" w:eastAsia="Arial" w:hAnsi="Arial"/>
                  <w:sz w:val="17"/>
                  <w:szCs w:val="17"/>
                  <w:color w:val="0000FF"/>
                </w:rPr>
                <w:t>Senior Executive Cash Incentive Bonus Plan.</w:t>
              </w:r>
            </w:hyperlink>
          </w:p>
        </w:tc>
        <w:tc>
          <w:tcPr>
            <w:tcW w:w="0" w:type="dxa"/>
            <w:vAlign w:val="bottom"/>
          </w:tcPr>
          <w:p>
            <w:pPr>
              <w:spacing w:after="0"/>
              <w:rPr>
                <w:sz w:val="1"/>
                <w:szCs w:val="1"/>
                <w:color w:val="auto"/>
              </w:rPr>
            </w:pPr>
          </w:p>
        </w:tc>
      </w:tr>
      <w:tr>
        <w:trPr>
          <w:trHeight w:val="221"/>
        </w:trPr>
        <w:tc>
          <w:tcPr>
            <w:tcW w:w="940" w:type="dxa"/>
            <w:vAlign w:val="bottom"/>
          </w:tcPr>
          <w:p>
            <w:pPr>
              <w:ind w:left="20"/>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tcBorders>
              <w:top w:val="single" w:sz="8" w:color="0000FF"/>
            </w:tcBorders>
            <w:gridSpan w:val="5"/>
          </w:tcPr>
          <w:p>
            <w:pPr>
              <w:spacing w:after="0"/>
              <w:rPr>
                <w:rFonts w:ascii="Arial" w:cs="Arial" w:eastAsia="Arial" w:hAnsi="Arial"/>
                <w:sz w:val="17"/>
                <w:szCs w:val="17"/>
                <w:u w:val="single" w:color="auto"/>
                <w:color w:val="0000FF"/>
              </w:rPr>
            </w:pPr>
            <w:hyperlink w:anchor="page557">
              <w:r>
                <w:rPr>
                  <w:rFonts w:ascii="Arial" w:cs="Arial" w:eastAsia="Arial" w:hAnsi="Arial"/>
                  <w:sz w:val="17"/>
                  <w:szCs w:val="17"/>
                  <w:u w:val="single" w:color="auto"/>
                  <w:color w:val="0000FF"/>
                </w:rPr>
                <w:t>Executive Severance Plan.</w:t>
              </w:r>
            </w:hyperlink>
          </w:p>
        </w:tc>
        <w:tc>
          <w:tcPr>
            <w:tcW w:w="686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color w:val="0000FF"/>
              </w:rPr>
            </w:pPr>
            <w:hyperlink w:anchor="page567">
              <w:r>
                <w:rPr>
                  <w:rFonts w:ascii="Arial" w:cs="Arial" w:eastAsia="Arial" w:hAnsi="Arial"/>
                  <w:sz w:val="17"/>
                  <w:szCs w:val="17"/>
                  <w:u w:val="single" w:color="auto"/>
                  <w:color w:val="0000FF"/>
                </w:rPr>
                <w:t>Non-Employee Director Compensation Policy</w:t>
              </w:r>
              <w:r>
                <w:rPr>
                  <w:rFonts w:ascii="Arial" w:cs="Arial" w:eastAsia="Arial" w:hAnsi="Arial"/>
                  <w:sz w:val="17"/>
                  <w:szCs w:val="17"/>
                  <w:color w:val="0000FF"/>
                </w:rPr>
                <w:t>.</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color w:val="0000FF"/>
              </w:rPr>
            </w:pPr>
            <w:hyperlink w:anchor="page570">
              <w:r>
                <w:rPr>
                  <w:rFonts w:ascii="Arial" w:cs="Arial" w:eastAsia="Arial" w:hAnsi="Arial"/>
                  <w:sz w:val="17"/>
                  <w:szCs w:val="17"/>
                  <w:u w:val="single" w:color="auto"/>
                  <w:color w:val="0000FF"/>
                </w:rPr>
                <w:t>Terms and Conditions of the Registrant’s Fiscal Year 2021 Incentive Compensation Targets</w:t>
              </w:r>
              <w:r>
                <w:rPr>
                  <w:rFonts w:ascii="Arial" w:cs="Arial" w:eastAsia="Arial" w:hAnsi="Arial"/>
                  <w:sz w:val="17"/>
                  <w:szCs w:val="17"/>
                  <w:color w:val="0000FF"/>
                </w:rPr>
                <w:t>.</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571">
              <w:r>
                <w:rPr>
                  <w:rFonts w:ascii="Arial" w:cs="Arial" w:eastAsia="Arial" w:hAnsi="Arial"/>
                  <w:sz w:val="17"/>
                  <w:szCs w:val="17"/>
                  <w:u w:val="single" w:color="auto"/>
                  <w:color w:val="0000FF"/>
                </w:rPr>
                <w:t>Offer Letter between the Registrant and Anthony Marino, dated August 5, 2013.</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572">
              <w:r>
                <w:rPr>
                  <w:rFonts w:ascii="Arial" w:cs="Arial" w:eastAsia="Arial" w:hAnsi="Arial"/>
                  <w:sz w:val="17"/>
                  <w:szCs w:val="17"/>
                  <w:u w:val="single" w:color="auto"/>
                  <w:color w:val="0000FF"/>
                </w:rPr>
                <w:t>Offer Letter between the Registrant and Sean Sobers, dated September 30, 2019.</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color w:val="0000FF"/>
              </w:rPr>
            </w:pPr>
            <w:hyperlink w:anchor="page578">
              <w:r>
                <w:rPr>
                  <w:rFonts w:ascii="Arial" w:cs="Arial" w:eastAsia="Arial" w:hAnsi="Arial"/>
                  <w:sz w:val="17"/>
                  <w:szCs w:val="17"/>
                  <w:u w:val="single" w:color="auto"/>
                  <w:color w:val="0000FF"/>
                </w:rPr>
                <w:t>Board Member Agreement between the Registrant and Mandy Ginsberg, dated December 3, 2020</w:t>
              </w:r>
              <w:r>
                <w:rPr>
                  <w:rFonts w:ascii="Arial" w:cs="Arial" w:eastAsia="Arial" w:hAnsi="Arial"/>
                  <w:sz w:val="17"/>
                  <w:szCs w:val="17"/>
                  <w:color w:val="0000FF"/>
                </w:rPr>
                <w:t>.</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581">
              <w:r>
                <w:rPr>
                  <w:rFonts w:ascii="Arial" w:cs="Arial" w:eastAsia="Arial" w:hAnsi="Arial"/>
                  <w:sz w:val="17"/>
                  <w:szCs w:val="17"/>
                  <w:u w:val="single" w:color="auto"/>
                  <w:color w:val="0000FF"/>
                </w:rPr>
                <w:t>Board Member Agreement between the Registrant and Marcie Vu, dated February 11, 2021.</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color w:val="0000FF"/>
              </w:rPr>
            </w:pPr>
            <w:hyperlink w:anchor="page584">
              <w:r>
                <w:rPr>
                  <w:rFonts w:ascii="Arial" w:cs="Arial" w:eastAsia="Arial" w:hAnsi="Arial"/>
                  <w:sz w:val="17"/>
                  <w:szCs w:val="17"/>
                  <w:u w:val="single" w:color="auto"/>
                  <w:color w:val="0000FF"/>
                </w:rPr>
                <w:t>Lease Agreement by and between the Registrant and 11 West Ninth Street Property Owner, LP, dated March 31, 2019</w:t>
              </w:r>
              <w:r>
                <w:rPr>
                  <w:rFonts w:ascii="Arial" w:cs="Arial" w:eastAsia="Arial" w:hAnsi="Arial"/>
                  <w:sz w:val="17"/>
                  <w:szCs w:val="17"/>
                  <w:color w:val="0000FF"/>
                </w:rPr>
                <w:t>.</w:t>
              </w:r>
            </w:hyperlink>
          </w:p>
        </w:tc>
        <w:tc>
          <w:tcPr>
            <w:tcW w:w="0" w:type="dxa"/>
            <w:vAlign w:val="bottom"/>
          </w:tcPr>
          <w:p>
            <w:pPr>
              <w:spacing w:after="0"/>
              <w:rPr>
                <w:sz w:val="1"/>
                <w:szCs w:val="1"/>
                <w:color w:val="auto"/>
              </w:rPr>
            </w:pPr>
          </w:p>
        </w:tc>
      </w:tr>
      <w:tr>
        <w:trPr>
          <w:trHeight w:val="175"/>
        </w:trPr>
        <w:tc>
          <w:tcPr>
            <w:tcW w:w="940" w:type="dxa"/>
            <w:vAlign w:val="bottom"/>
          </w:tcPr>
          <w:p>
            <w:pPr>
              <w:ind w:left="20"/>
              <w:spacing w:after="0" w:line="170" w:lineRule="exact"/>
              <w:rPr>
                <w:sz w:val="20"/>
                <w:szCs w:val="20"/>
                <w:color w:val="auto"/>
              </w:rPr>
            </w:pPr>
            <w:r>
              <w:rPr>
                <w:rFonts w:ascii="Arial" w:cs="Arial" w:eastAsia="Arial" w:hAnsi="Arial"/>
                <w:sz w:val="17"/>
                <w:szCs w:val="17"/>
                <w:color w:val="auto"/>
              </w:rPr>
              <w:t>10.14+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6"/>
          </w:tcPr>
          <w:p>
            <w:pPr>
              <w:spacing w:after="0" w:line="170" w:lineRule="exact"/>
              <w:rPr>
                <w:rFonts w:ascii="Arial" w:cs="Arial" w:eastAsia="Arial" w:hAnsi="Arial"/>
                <w:sz w:val="17"/>
                <w:szCs w:val="17"/>
                <w:color w:val="0000FF"/>
              </w:rPr>
            </w:pPr>
            <w:hyperlink w:anchor="page632">
              <w:r>
                <w:rPr>
                  <w:rFonts w:ascii="Arial" w:cs="Arial" w:eastAsia="Arial" w:hAnsi="Arial"/>
                  <w:sz w:val="17"/>
                  <w:szCs w:val="17"/>
                  <w:u w:val="single" w:color="auto"/>
                  <w:color w:val="0000FF"/>
                </w:rPr>
                <w:t>Amended and Restated Loan and Security Agreement, dated February 3, 2021, by and between the Registrant</w:t>
              </w:r>
              <w:r>
                <w:rPr>
                  <w:rFonts w:ascii="Arial" w:cs="Arial" w:eastAsia="Arial" w:hAnsi="Arial"/>
                  <w:sz w:val="17"/>
                  <w:szCs w:val="17"/>
                  <w:color w:val="0000FF"/>
                </w:rPr>
                <w:t xml:space="preserve"> and Western Alliance</w:t>
              </w:r>
            </w:hyperlink>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140" w:type="dxa"/>
            <w:vAlign w:val="bottom"/>
            <w:gridSpan w:val="11"/>
          </w:tcPr>
          <w:p>
            <w:pPr>
              <w:spacing w:after="0" w:line="150" w:lineRule="exact"/>
              <w:rPr>
                <w:rFonts w:ascii="Arial" w:cs="Arial" w:eastAsia="Arial" w:hAnsi="Arial"/>
                <w:sz w:val="17"/>
                <w:szCs w:val="17"/>
                <w:color w:val="0000FF"/>
              </w:rPr>
            </w:pPr>
            <w:hyperlink w:anchor="page632">
              <w:r>
                <w:rPr>
                  <w:rFonts w:ascii="Arial" w:cs="Arial" w:eastAsia="Arial" w:hAnsi="Arial"/>
                  <w:sz w:val="17"/>
                  <w:szCs w:val="17"/>
                  <w:color w:val="0000FF"/>
                </w:rPr>
                <w:t>Bank.</w:t>
              </w:r>
            </w:hyperlink>
          </w:p>
        </w:tc>
        <w:tc>
          <w:tcPr>
            <w:tcW w:w="1600" w:type="dxa"/>
            <w:vAlign w:val="bottom"/>
            <w:tcBorders>
              <w:top w:val="single" w:sz="8" w:color="0000FF"/>
            </w:tcBorders>
            <w:gridSpan w:val="3"/>
          </w:tcPr>
          <w:p>
            <w:pPr>
              <w:spacing w:after="0"/>
              <w:rPr>
                <w:sz w:val="12"/>
                <w:szCs w:val="12"/>
                <w:color w:val="auto"/>
              </w:rPr>
            </w:pPr>
          </w:p>
        </w:tc>
        <w:tc>
          <w:tcPr>
            <w:tcW w:w="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7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0" w:type="dxa"/>
            <w:vAlign w:val="bottom"/>
          </w:tcPr>
          <w:p>
            <w:pPr>
              <w:ind w:left="20"/>
              <w:spacing w:after="0"/>
              <w:rPr>
                <w:sz w:val="20"/>
                <w:szCs w:val="20"/>
                <w:color w:val="auto"/>
              </w:rPr>
            </w:pPr>
            <w:r>
              <w:rPr>
                <w:rFonts w:ascii="Arial" w:cs="Arial" w:eastAsia="Arial" w:hAnsi="Arial"/>
                <w:sz w:val="17"/>
                <w:szCs w:val="17"/>
                <w:color w:val="auto"/>
              </w:rPr>
              <w:t>21.1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663">
              <w:r>
                <w:rPr>
                  <w:rFonts w:ascii="Arial" w:cs="Arial" w:eastAsia="Arial" w:hAnsi="Arial"/>
                  <w:sz w:val="17"/>
                  <w:szCs w:val="17"/>
                  <w:u w:val="single" w:color="auto"/>
                  <w:color w:val="0000FF"/>
                </w:rPr>
                <w:t>Subsidiaries of the Registrant.</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23.1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664">
              <w:r>
                <w:rPr>
                  <w:rFonts w:ascii="Arial" w:cs="Arial" w:eastAsia="Arial" w:hAnsi="Arial"/>
                  <w:sz w:val="17"/>
                  <w:szCs w:val="17"/>
                  <w:u w:val="single" w:color="auto"/>
                  <w:color w:val="0000FF"/>
                </w:rPr>
                <w:t>Consent of KPMG LLP, independent registered public accounting firm.</w:t>
              </w:r>
            </w:hyperlink>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23.2*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sz w:val="20"/>
                <w:szCs w:val="20"/>
                <w:color w:val="auto"/>
              </w:rPr>
            </w:pPr>
            <w:r>
              <w:rPr>
                <w:rFonts w:ascii="Arial" w:cs="Arial" w:eastAsia="Arial" w:hAnsi="Arial"/>
                <w:sz w:val="17"/>
                <w:szCs w:val="17"/>
                <w:color w:val="auto"/>
              </w:rPr>
              <w:t>Consent of Goodwin Procter LLP (included in Exhibit 5.1).</w:t>
            </w:r>
          </w:p>
        </w:tc>
        <w:tc>
          <w:tcPr>
            <w:tcW w:w="0" w:type="dxa"/>
            <w:vAlign w:val="bottom"/>
          </w:tcPr>
          <w:p>
            <w:pPr>
              <w:spacing w:after="0"/>
              <w:rPr>
                <w:sz w:val="1"/>
                <w:szCs w:val="1"/>
                <w:color w:val="auto"/>
              </w:rPr>
            </w:pPr>
          </w:p>
        </w:tc>
      </w:tr>
      <w:tr>
        <w:trPr>
          <w:trHeight w:val="212"/>
        </w:trPr>
        <w:tc>
          <w:tcPr>
            <w:tcW w:w="940" w:type="dxa"/>
            <w:vAlign w:val="bottom"/>
          </w:tcPr>
          <w:p>
            <w:pPr>
              <w:ind w:left="20"/>
              <w:spacing w:after="0"/>
              <w:rPr>
                <w:sz w:val="20"/>
                <w:szCs w:val="20"/>
                <w:color w:val="auto"/>
              </w:rPr>
            </w:pPr>
            <w:r>
              <w:rPr>
                <w:rFonts w:ascii="Arial" w:cs="Arial" w:eastAsia="Arial" w:hAnsi="Arial"/>
                <w:sz w:val="17"/>
                <w:szCs w:val="17"/>
                <w:color w:val="auto"/>
              </w:rPr>
              <w:t>23.3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665">
              <w:r>
                <w:rPr>
                  <w:rFonts w:ascii="Arial" w:cs="Arial" w:eastAsia="Arial" w:hAnsi="Arial"/>
                  <w:sz w:val="17"/>
                  <w:szCs w:val="17"/>
                  <w:u w:val="single" w:color="auto"/>
                  <w:color w:val="0000FF"/>
                </w:rPr>
                <w:t>Consent of GlobalData plc</w:t>
              </w:r>
            </w:hyperlink>
          </w:p>
        </w:tc>
        <w:tc>
          <w:tcPr>
            <w:tcW w:w="0" w:type="dxa"/>
            <w:vAlign w:val="bottom"/>
          </w:tcPr>
          <w:p>
            <w:pPr>
              <w:spacing w:after="0"/>
              <w:rPr>
                <w:sz w:val="1"/>
                <w:szCs w:val="1"/>
                <w:color w:val="auto"/>
              </w:rPr>
            </w:pPr>
          </w:p>
        </w:tc>
      </w:tr>
      <w:tr>
        <w:trPr>
          <w:trHeight w:val="222"/>
        </w:trPr>
        <w:tc>
          <w:tcPr>
            <w:tcW w:w="940" w:type="dxa"/>
            <w:vAlign w:val="bottom"/>
          </w:tcPr>
          <w:p>
            <w:pPr>
              <w:ind w:left="20"/>
              <w:spacing w:after="0"/>
              <w:rPr>
                <w:sz w:val="20"/>
                <w:szCs w:val="20"/>
                <w:color w:val="auto"/>
              </w:rPr>
            </w:pPr>
            <w:r>
              <w:rPr>
                <w:rFonts w:ascii="Arial" w:cs="Arial" w:eastAsia="Arial" w:hAnsi="Arial"/>
                <w:sz w:val="17"/>
                <w:szCs w:val="17"/>
                <w:color w:val="auto"/>
              </w:rPr>
              <w:t>24.1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16"/>
          </w:tcPr>
          <w:p>
            <w:pPr>
              <w:spacing w:after="0"/>
              <w:rPr>
                <w:rFonts w:ascii="Arial" w:cs="Arial" w:eastAsia="Arial" w:hAnsi="Arial"/>
                <w:sz w:val="17"/>
                <w:szCs w:val="17"/>
                <w:u w:val="single" w:color="auto"/>
                <w:color w:val="0000FF"/>
              </w:rPr>
            </w:pPr>
            <w:hyperlink w:anchor="page240">
              <w:r>
                <w:rPr>
                  <w:rFonts w:ascii="Arial" w:cs="Arial" w:eastAsia="Arial" w:hAnsi="Arial"/>
                  <w:sz w:val="17"/>
                  <w:szCs w:val="17"/>
                  <w:u w:val="single" w:color="auto"/>
                  <w:color w:val="0000FF"/>
                </w:rPr>
                <w:t>Power of Attorney (see page II-6 of this Registration Statement on Form S-1)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220"/>
          </w:cols>
          <w:pgMar w:left="320" w:top="118" w:right="359" w:bottom="1440" w:gutter="0" w:footer="0" w:header="0"/>
        </w:sectPr>
      </w:pPr>
    </w:p>
    <w:bookmarkStart w:id="239" w:name="page240"/>
    <w:bookmarkEnd w:id="239"/>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right="9200"/>
        <w:spacing w:after="0" w:line="259" w:lineRule="auto"/>
        <w:tabs>
          <w:tab w:leader="none" w:pos="295"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To be filed by amendment. ** Previously filed.</w:t>
      </w:r>
    </w:p>
    <w:p>
      <w:pPr>
        <w:spacing w:after="0"/>
        <w:rPr>
          <w:rFonts w:ascii="Arial" w:cs="Arial" w:eastAsia="Arial" w:hAnsi="Arial"/>
          <w:sz w:val="14"/>
          <w:szCs w:val="14"/>
          <w:color w:val="auto"/>
        </w:rPr>
      </w:pPr>
      <w:r>
        <w:rPr>
          <w:rFonts w:ascii="Arial" w:cs="Arial" w:eastAsia="Arial" w:hAnsi="Arial"/>
          <w:sz w:val="15"/>
          <w:szCs w:val="15"/>
          <w:color w:val="auto"/>
        </w:rPr>
        <w:t>#   Indicates management contract or compensatory plan, contract or agreement.</w:t>
      </w:r>
    </w:p>
    <w:p>
      <w:pPr>
        <w:spacing w:after="0" w:line="1" w:lineRule="exact"/>
        <w:rPr>
          <w:rFonts w:ascii="Arial" w:cs="Arial" w:eastAsia="Arial" w:hAnsi="Arial"/>
          <w:sz w:val="14"/>
          <w:szCs w:val="14"/>
          <w:color w:val="auto"/>
        </w:rPr>
      </w:pPr>
    </w:p>
    <w:p>
      <w:pPr>
        <w:ind w:left="300" w:hanging="299"/>
        <w:spacing w:after="0" w:line="257" w:lineRule="auto"/>
        <w:rPr>
          <w:rFonts w:ascii="Arial" w:cs="Arial" w:eastAsia="Arial" w:hAnsi="Arial"/>
          <w:sz w:val="14"/>
          <w:szCs w:val="14"/>
          <w:color w:val="auto"/>
        </w:rPr>
      </w:pPr>
      <w:r>
        <w:rPr>
          <w:rFonts w:ascii="Arial" w:cs="Arial" w:eastAsia="Arial" w:hAnsi="Arial"/>
          <w:sz w:val="15"/>
          <w:szCs w:val="15"/>
          <w:color w:val="auto"/>
        </w:rPr>
        <w:t>+Certain confidential information contained in this exhibit has been omitted because it is both (i) not material and (ii) would be competitively harmful if publicly disclosed.</w:t>
      </w:r>
    </w:p>
    <w:p>
      <w:pPr>
        <w:spacing w:after="0" w:line="107" w:lineRule="exact"/>
        <w:rPr>
          <w:rFonts w:ascii="Arial" w:cs="Arial" w:eastAsia="Arial" w:hAnsi="Arial"/>
          <w:sz w:val="14"/>
          <w:szCs w:val="14"/>
          <w:color w:val="auto"/>
        </w:rPr>
      </w:pPr>
    </w:p>
    <w:p>
      <w:pPr>
        <w:ind w:left="580" w:hanging="282"/>
        <w:spacing w:after="0"/>
        <w:tabs>
          <w:tab w:leader="none" w:pos="580" w:val="left"/>
        </w:tabs>
        <w:numPr>
          <w:ilvl w:val="1"/>
          <w:numId w:val="153"/>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Statement Schedules.</w:t>
      </w:r>
    </w:p>
    <w:p>
      <w:pPr>
        <w:spacing w:after="0" w:line="151"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All schedules are omitted because the required information is either not present, not present in material amounts or is presented within the consolidated financial statements included in the prospectus that is part of this registration statement.</w:t>
      </w:r>
    </w:p>
    <w:p>
      <w:pPr>
        <w:spacing w:after="0" w:line="9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6"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Insofar as indemnification by the Registrant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undersigned Registrant hereby undertakes that:</w:t>
      </w:r>
    </w:p>
    <w:p>
      <w:pPr>
        <w:spacing w:after="0" w:line="153" w:lineRule="exact"/>
        <w:rPr>
          <w:sz w:val="20"/>
          <w:szCs w:val="20"/>
          <w:color w:val="auto"/>
        </w:rPr>
      </w:pPr>
    </w:p>
    <w:p>
      <w:pPr>
        <w:jc w:val="both"/>
        <w:ind w:left="600" w:hanging="302"/>
        <w:spacing w:after="0" w:line="260" w:lineRule="auto"/>
        <w:tabs>
          <w:tab w:leader="none" w:pos="59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1" w:lineRule="exact"/>
        <w:rPr>
          <w:rFonts w:ascii="Arial" w:cs="Arial" w:eastAsia="Arial" w:hAnsi="Arial"/>
          <w:sz w:val="17"/>
          <w:szCs w:val="17"/>
          <w:color w:val="auto"/>
        </w:rPr>
      </w:pPr>
    </w:p>
    <w:p>
      <w:pPr>
        <w:jc w:val="both"/>
        <w:ind w:left="600" w:hanging="302"/>
        <w:spacing w:after="0" w:line="260" w:lineRule="auto"/>
        <w:tabs>
          <w:tab w:leader="none" w:pos="59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240"/>
          </w:cols>
          <w:pgMar w:left="320" w:top="118" w:right="339" w:bottom="1440" w:gutter="0" w:footer="0" w:header="0"/>
        </w:sectPr>
      </w:pPr>
    </w:p>
    <w:bookmarkStart w:id="240" w:name="page241"/>
    <w:bookmarkEnd w:id="240"/>
    <w:p>
      <w:pP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55"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Oakland, California, on March 3, 2021.</w:t>
      </w:r>
    </w:p>
    <w:p>
      <w:pPr>
        <w:spacing w:after="0" w:line="132" w:lineRule="exact"/>
        <w:rPr>
          <w:sz w:val="20"/>
          <w:szCs w:val="20"/>
          <w:color w:val="auto"/>
        </w:rPr>
      </w:pPr>
    </w:p>
    <w:p>
      <w:pPr>
        <w:ind w:left="7180"/>
        <w:spacing w:after="0"/>
        <w:rPr>
          <w:sz w:val="20"/>
          <w:szCs w:val="20"/>
          <w:color w:val="auto"/>
        </w:rPr>
      </w:pPr>
      <w:r>
        <w:rPr>
          <w:rFonts w:ascii="Arial" w:cs="Arial" w:eastAsia="Arial" w:hAnsi="Arial"/>
          <w:sz w:val="17"/>
          <w:szCs w:val="17"/>
          <w:b w:val="1"/>
          <w:bCs w:val="1"/>
          <w:color w:val="auto"/>
        </w:rPr>
        <w:t>THREDUP INC.</w:t>
      </w:r>
    </w:p>
    <w:p>
      <w:pPr>
        <w:spacing w:after="0" w:line="167" w:lineRule="exact"/>
        <w:rPr>
          <w:sz w:val="20"/>
          <w:szCs w:val="20"/>
          <w:color w:val="auto"/>
        </w:rPr>
      </w:pPr>
    </w:p>
    <w:p>
      <w:pPr>
        <w:ind w:left="7180"/>
        <w:spacing w:after="0"/>
        <w:tabs>
          <w:tab w:leader="none" w:pos="7640" w:val="left"/>
        </w:tabs>
        <w:rPr>
          <w:sz w:val="20"/>
          <w:szCs w:val="20"/>
          <w:color w:val="auto"/>
        </w:rPr>
      </w:pPr>
      <w:r>
        <w:rPr>
          <w:rFonts w:ascii="Arial" w:cs="Arial" w:eastAsia="Arial" w:hAnsi="Arial"/>
          <w:sz w:val="17"/>
          <w:szCs w:val="17"/>
          <w:color w:val="auto"/>
        </w:rPr>
        <w:t>By:</w:t>
        <w:tab/>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15240</wp:posOffset>
            </wp:positionV>
            <wp:extent cx="22834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83460" cy="762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7"/>
          <w:szCs w:val="17"/>
          <w:color w:val="auto"/>
        </w:rPr>
        <w:t>James Reinhart</w:t>
      </w:r>
    </w:p>
    <w:p>
      <w:pPr>
        <w:ind w:left="7660"/>
        <w:spacing w:after="0"/>
        <w:rPr>
          <w:sz w:val="20"/>
          <w:szCs w:val="20"/>
          <w:color w:val="auto"/>
        </w:rPr>
      </w:pPr>
      <w:r>
        <w:rPr>
          <w:rFonts w:ascii="Arial" w:cs="Arial" w:eastAsia="Arial" w:hAnsi="Arial"/>
          <w:sz w:val="17"/>
          <w:szCs w:val="17"/>
          <w:i w:val="1"/>
          <w:iCs w:val="1"/>
          <w:color w:val="auto"/>
        </w:rPr>
        <w:t>Chief Executive Officer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55"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James Reinhart, Sean Sobers and Alon Rotem, and each of them, as his or her true and lawful attorneys-in-fact and agents, with full power of substitution and resubstitution, for him or her and in his or her name, place and stead, in any and all capacities, to sign the Registration Statement on Form S-1 of ThredUp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23" w:lineRule="exact"/>
        <w:rPr>
          <w:sz w:val="20"/>
          <w:szCs w:val="20"/>
          <w:color w:val="auto"/>
        </w:rPr>
      </w:pPr>
    </w:p>
    <w:p>
      <w:pPr>
        <w:jc w:val="both"/>
        <w:ind w:firstLine="299"/>
        <w:spacing w:after="0" w:line="277" w:lineRule="auto"/>
        <w:rPr>
          <w:sz w:val="20"/>
          <w:szCs w:val="20"/>
          <w:color w:val="auto"/>
        </w:rPr>
      </w:pPr>
      <w:r>
        <w:rPr>
          <w:rFonts w:ascii="Arial" w:cs="Arial" w:eastAsia="Arial" w:hAnsi="Arial"/>
          <w:sz w:val="17"/>
          <w:szCs w:val="17"/>
          <w:color w:val="auto"/>
        </w:rPr>
        <w:t>Pursuant to the requirements of the Securities Act of 1933, as amended, this registration statement on Form S-1 has been signed by the following persons in the capacities and on the dates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Signature</w:t>
            </w:r>
          </w:p>
        </w:tc>
        <w:tc>
          <w:tcPr>
            <w:tcW w:w="100" w:type="dxa"/>
            <w:vAlign w:val="bottom"/>
          </w:tcPr>
          <w:p>
            <w:pPr>
              <w:spacing w:after="0"/>
              <w:rPr>
                <w:sz w:val="15"/>
                <w:szCs w:val="15"/>
                <w:color w:val="auto"/>
              </w:rPr>
            </w:pP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w:t>
            </w:r>
          </w:p>
        </w:tc>
        <w:tc>
          <w:tcPr>
            <w:tcW w:w="8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41"/>
        </w:trPr>
        <w:tc>
          <w:tcPr>
            <w:tcW w:w="3580" w:type="dxa"/>
            <w:vAlign w:val="bottom"/>
          </w:tcPr>
          <w:p>
            <w:pPr>
              <w:jc w:val="center"/>
              <w:spacing w:after="0"/>
              <w:rPr>
                <w:sz w:val="20"/>
                <w:szCs w:val="20"/>
                <w:color w:val="auto"/>
              </w:rPr>
            </w:pPr>
            <w:r>
              <w:rPr>
                <w:rFonts w:ascii="Arial" w:cs="Arial" w:eastAsia="Arial" w:hAnsi="Arial"/>
                <w:sz w:val="17"/>
                <w:szCs w:val="17"/>
                <w:color w:val="auto"/>
                <w:w w:val="97"/>
              </w:rPr>
              <w:t>/s/ James Reinhart</w:t>
            </w:r>
          </w:p>
        </w:tc>
        <w:tc>
          <w:tcPr>
            <w:tcW w:w="100" w:type="dxa"/>
            <w:vAlign w:val="bottom"/>
          </w:tcPr>
          <w:p>
            <w:pPr>
              <w:spacing w:after="0"/>
              <w:rPr>
                <w:sz w:val="20"/>
                <w:szCs w:val="20"/>
                <w:color w:val="auto"/>
              </w:rPr>
            </w:pPr>
          </w:p>
        </w:tc>
        <w:tc>
          <w:tcPr>
            <w:tcW w:w="518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Chief Executive Officer and 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25"/>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w w:val="97"/>
              </w:rPr>
              <w:t>(Principal Executive Officer)</w:t>
            </w: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7"/>
              </w:rPr>
              <w:t>James Reinhart</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80" w:type="dxa"/>
            <w:vAlign w:val="bottom"/>
            <w:gridSpan w:val="2"/>
            <w:vMerge w:val="continue"/>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3580" w:type="dxa"/>
            <w:vAlign w:val="bottom"/>
          </w:tcPr>
          <w:p>
            <w:pPr>
              <w:jc w:val="center"/>
              <w:spacing w:after="0"/>
              <w:rPr>
                <w:sz w:val="20"/>
                <w:szCs w:val="20"/>
                <w:color w:val="auto"/>
              </w:rPr>
            </w:pPr>
            <w:r>
              <w:rPr>
                <w:rFonts w:ascii="Arial" w:cs="Arial" w:eastAsia="Arial" w:hAnsi="Arial"/>
                <w:sz w:val="17"/>
                <w:szCs w:val="17"/>
                <w:color w:val="auto"/>
                <w:w w:val="97"/>
              </w:rPr>
              <w:t>/s/ Sean Sobers</w:t>
            </w:r>
          </w:p>
        </w:tc>
        <w:tc>
          <w:tcPr>
            <w:tcW w:w="100" w:type="dxa"/>
            <w:vAlign w:val="bottom"/>
          </w:tcPr>
          <w:p>
            <w:pPr>
              <w:spacing w:after="0"/>
              <w:rPr>
                <w:sz w:val="22"/>
                <w:szCs w:val="22"/>
                <w:color w:val="auto"/>
              </w:rPr>
            </w:pPr>
          </w:p>
        </w:tc>
        <w:tc>
          <w:tcPr>
            <w:tcW w:w="518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Chief Financial Officer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25"/>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w w:val="96"/>
              </w:rPr>
              <w:t>(Principal Financial and Accounting Officer)</w:t>
            </w: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7"/>
              </w:rPr>
              <w:t>Sean Sobers</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80" w:type="dxa"/>
            <w:vAlign w:val="bottom"/>
            <w:gridSpan w:val="2"/>
            <w:vMerge w:val="continue"/>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Greg Bettinelli</w:t>
            </w:r>
          </w:p>
        </w:tc>
        <w:tc>
          <w:tcPr>
            <w:tcW w:w="100" w:type="dxa"/>
            <w:vAlign w:val="bottom"/>
          </w:tcPr>
          <w:p>
            <w:pPr>
              <w:spacing w:after="0"/>
              <w:rPr>
                <w:sz w:val="24"/>
                <w:szCs w:val="24"/>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89"/>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7"/>
              </w:rPr>
              <w:t>Greg Bettinelli</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Ian Friedman</w:t>
            </w:r>
          </w:p>
        </w:tc>
        <w:tc>
          <w:tcPr>
            <w:tcW w:w="100" w:type="dxa"/>
            <w:vAlign w:val="bottom"/>
          </w:tcPr>
          <w:p>
            <w:pPr>
              <w:spacing w:after="0"/>
              <w:rPr>
                <w:sz w:val="24"/>
                <w:szCs w:val="24"/>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89"/>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7"/>
              </w:rPr>
              <w:t>Ian Friedman</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Mandy Ginsberg</w:t>
            </w:r>
          </w:p>
        </w:tc>
        <w:tc>
          <w:tcPr>
            <w:tcW w:w="100" w:type="dxa"/>
            <w:vAlign w:val="bottom"/>
          </w:tcPr>
          <w:p>
            <w:pPr>
              <w:spacing w:after="0"/>
              <w:rPr>
                <w:sz w:val="24"/>
                <w:szCs w:val="24"/>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89"/>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7"/>
              </w:rPr>
              <w:t>Mandy Ginsberg</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Timothy Haley</w:t>
            </w:r>
          </w:p>
        </w:tc>
        <w:tc>
          <w:tcPr>
            <w:tcW w:w="100" w:type="dxa"/>
            <w:vAlign w:val="bottom"/>
          </w:tcPr>
          <w:p>
            <w:pPr>
              <w:spacing w:after="0"/>
              <w:rPr>
                <w:sz w:val="24"/>
                <w:szCs w:val="24"/>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82"/>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7"/>
              </w:rPr>
              <w:t>Timothy Haley</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3580" w:type="dxa"/>
            <w:vAlign w:val="bottom"/>
          </w:tcPr>
          <w:p>
            <w:pPr>
              <w:jc w:val="center"/>
              <w:spacing w:after="0"/>
              <w:rPr>
                <w:sz w:val="20"/>
                <w:szCs w:val="20"/>
                <w:color w:val="auto"/>
              </w:rPr>
            </w:pPr>
            <w:r>
              <w:rPr>
                <w:rFonts w:ascii="Arial" w:cs="Arial" w:eastAsia="Arial" w:hAnsi="Arial"/>
                <w:sz w:val="17"/>
                <w:szCs w:val="17"/>
                <w:color w:val="auto"/>
                <w:w w:val="97"/>
              </w:rPr>
              <w:t>/s/ Jack Lazar</w:t>
            </w:r>
          </w:p>
        </w:tc>
        <w:tc>
          <w:tcPr>
            <w:tcW w:w="100" w:type="dxa"/>
            <w:vAlign w:val="bottom"/>
          </w:tcPr>
          <w:p>
            <w:pPr>
              <w:spacing w:after="0"/>
              <w:rPr>
                <w:sz w:val="22"/>
                <w:szCs w:val="22"/>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180" w:type="dxa"/>
            <w:vAlign w:val="bottom"/>
            <w:gridSpan w:val="2"/>
            <w:vMerge w:val="continue"/>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7"/>
              </w:rPr>
              <w:t>Jack Lazar</w:t>
            </w:r>
          </w:p>
        </w:tc>
        <w:tc>
          <w:tcPr>
            <w:tcW w:w="100" w:type="dxa"/>
            <w:vAlign w:val="bottom"/>
            <w:vMerge w:val="continue"/>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Norman Matthews</w:t>
            </w:r>
          </w:p>
        </w:tc>
        <w:tc>
          <w:tcPr>
            <w:tcW w:w="100" w:type="dxa"/>
            <w:vAlign w:val="bottom"/>
          </w:tcPr>
          <w:p>
            <w:pPr>
              <w:spacing w:after="0"/>
              <w:rPr>
                <w:sz w:val="24"/>
                <w:szCs w:val="24"/>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89"/>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7"/>
              </w:rPr>
              <w:t>Norman Matthews</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Patricia Nakache</w:t>
            </w:r>
          </w:p>
        </w:tc>
        <w:tc>
          <w:tcPr>
            <w:tcW w:w="100" w:type="dxa"/>
            <w:vAlign w:val="bottom"/>
          </w:tcPr>
          <w:p>
            <w:pPr>
              <w:spacing w:after="0"/>
              <w:rPr>
                <w:sz w:val="24"/>
                <w:szCs w:val="24"/>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89"/>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8"/>
              </w:rPr>
              <w:t>Patricia Nakache</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Dan Nova</w:t>
            </w:r>
          </w:p>
        </w:tc>
        <w:tc>
          <w:tcPr>
            <w:tcW w:w="100" w:type="dxa"/>
            <w:vAlign w:val="bottom"/>
          </w:tcPr>
          <w:p>
            <w:pPr>
              <w:spacing w:after="0"/>
              <w:rPr>
                <w:sz w:val="24"/>
                <w:szCs w:val="24"/>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89"/>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7"/>
              </w:rPr>
              <w:t>Dan Nova</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Paula Sutter</w:t>
            </w:r>
          </w:p>
        </w:tc>
        <w:tc>
          <w:tcPr>
            <w:tcW w:w="100" w:type="dxa"/>
            <w:vAlign w:val="bottom"/>
          </w:tcPr>
          <w:p>
            <w:pPr>
              <w:spacing w:after="0"/>
              <w:rPr>
                <w:sz w:val="24"/>
                <w:szCs w:val="24"/>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89"/>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6"/>
              </w:rPr>
              <w:t>Paula Sutter</w:t>
            </w: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3580" w:type="dxa"/>
            <w:vAlign w:val="bottom"/>
          </w:tcPr>
          <w:p>
            <w:pPr>
              <w:jc w:val="center"/>
              <w:spacing w:after="0"/>
              <w:rPr>
                <w:sz w:val="20"/>
                <w:szCs w:val="20"/>
                <w:color w:val="auto"/>
              </w:rPr>
            </w:pPr>
            <w:r>
              <w:rPr>
                <w:rFonts w:ascii="Arial" w:cs="Arial" w:eastAsia="Arial" w:hAnsi="Arial"/>
                <w:sz w:val="17"/>
                <w:szCs w:val="17"/>
                <w:color w:val="auto"/>
                <w:w w:val="96"/>
              </w:rPr>
              <w:t>/s/ Marcie Vu</w:t>
            </w:r>
          </w:p>
        </w:tc>
        <w:tc>
          <w:tcPr>
            <w:tcW w:w="100" w:type="dxa"/>
            <w:vAlign w:val="bottom"/>
          </w:tcPr>
          <w:p>
            <w:pPr>
              <w:spacing w:after="0"/>
              <w:rPr>
                <w:sz w:val="23"/>
                <w:szCs w:val="23"/>
                <w:color w:val="auto"/>
              </w:rPr>
            </w:pPr>
          </w:p>
        </w:tc>
        <w:tc>
          <w:tcPr>
            <w:tcW w:w="5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7"/>
              </w:rPr>
              <w:t>Director</w:t>
            </w:r>
          </w:p>
        </w:tc>
        <w:tc>
          <w:tcPr>
            <w:tcW w:w="2380" w:type="dxa"/>
            <w:vAlign w:val="bottom"/>
            <w:vMerge w:val="restart"/>
          </w:tcPr>
          <w:p>
            <w:pPr>
              <w:jc w:val="center"/>
              <w:spacing w:after="0"/>
              <w:rPr>
                <w:sz w:val="20"/>
                <w:szCs w:val="20"/>
                <w:color w:val="auto"/>
              </w:rPr>
            </w:pPr>
            <w:r>
              <w:rPr>
                <w:rFonts w:ascii="Arial" w:cs="Arial" w:eastAsia="Arial" w:hAnsi="Arial"/>
                <w:sz w:val="17"/>
                <w:szCs w:val="17"/>
                <w:color w:val="auto"/>
                <w:w w:val="97"/>
              </w:rPr>
              <w:t>March 3, 2021</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180" w:type="dxa"/>
            <w:vAlign w:val="bottom"/>
            <w:gridSpan w:val="2"/>
            <w:vMerge w:val="continue"/>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
        </w:trPr>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6"/>
              </w:rPr>
              <w:t>Marcie Vu</w:t>
            </w:r>
          </w:p>
        </w:tc>
        <w:tc>
          <w:tcPr>
            <w:tcW w:w="100" w:type="dxa"/>
            <w:vAlign w:val="bottom"/>
            <w:vMerge w:val="continue"/>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240"/>
          </w:cols>
          <w:pgMar w:left="320" w:top="118" w:right="339" w:bottom="1440" w:gutter="0" w:footer="0" w:header="0"/>
          <w:type w:val="continuous"/>
        </w:sectPr>
      </w:pPr>
    </w:p>
    <w:bookmarkStart w:id="241" w:name="page242"/>
    <w:bookmarkEnd w:id="241"/>
    <w:p>
      <w:pPr>
        <w:jc w:val="right"/>
        <w:spacing w:after="0"/>
        <w:rPr>
          <w:sz w:val="20"/>
          <w:szCs w:val="20"/>
          <w:color w:val="auto"/>
        </w:rPr>
      </w:pPr>
      <w:r>
        <w:rPr>
          <w:rFonts w:ascii="Times New Roman" w:cs="Times New Roman" w:eastAsia="Times New Roman" w:hAnsi="Times New Roman"/>
          <w:sz w:val="17"/>
          <w:szCs w:val="17"/>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ThredUp Inc.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_________</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representatives (the "Representatives") of the several Underwriters named in Schedule I hereto,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8"/>
          <w:szCs w:val="18"/>
          <w:color w:val="auto"/>
        </w:rPr>
        <w:t>ThredUp Inc., a Delaware corporation (the "Company"), proposes, subject to the terms and conditions stated in this agreement (this "Agreement"), to issue and sell to the several Underwriters named in Schedule I hereto (the "Underwriters"), for whom Goldman Sachs &amp; Co. LLC, Morgan Stanley &amp; Co. LLC and Barclays Capital Inc. are acting as representatives (the "Representatives"), an aggregate of [_____] shares and, at the election of the Underwriters, up to [____] additional shares of Class A Common Stock, par value $0.0001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 of the Company. The aggregate of [_______] shares to be sold by the Company are herein called the "Firm Shares" and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aggregate of [______] additional shares to be sold by the Company are herein called the "Optional Shares". The Firm Shares and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Optional Shares that the Underwriters elect to purchase pursuant to Section 2 hereof are herein collectively called the "Shares".</w:t>
      </w:r>
    </w:p>
    <w:p>
      <w:pPr>
        <w:spacing w:after="0" w:line="130"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8"/>
          <w:szCs w:val="18"/>
          <w:color w:val="auto"/>
        </w:rPr>
        <w:t>Goldman Sachs &amp; Co. LLC (the "Directed Share Underwriter") has agreed to reserve up to [__] Shares of the Shares to be purchased by it under this Agreement for sale at the direction of the Company to certain parties related to the Company (collectively, "Participants"). The Shares to be sold by the Directed Share Underwriter pursuant to the Directed Share Program are hereinafter called the "Directed Shares." Any Directed Shares not confirmed for purchase by the deadline established therefor by the Directed Share Underwriter in consultation with the Company will be offered to the public by the Underwriters as set forth in the Prospectus.</w:t>
      </w:r>
    </w:p>
    <w:p>
      <w:pPr>
        <w:sectPr>
          <w:pgSz w:w="11900" w:h="16838" w:orient="portrait"/>
          <w:cols w:equalWidth="0" w:num="1">
            <w:col w:w="11240"/>
          </w:cols>
          <w:pgMar w:left="320" w:top="119" w:right="339" w:bottom="1440" w:gutter="0" w:footer="0" w:header="0"/>
        </w:sectPr>
      </w:pPr>
    </w:p>
    <w:bookmarkStart w:id="242" w:name="page243"/>
    <w:bookmarkEnd w:id="242"/>
    <w:p>
      <w:pPr>
        <w:ind w:left="583" w:hanging="583"/>
        <w:spacing w:after="0"/>
        <w:tabs>
          <w:tab w:leader="none" w:pos="58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The Company represents and warrants to, and agrees with, each of the Underwriters that:</w:t>
      </w:r>
    </w:p>
    <w:p>
      <w:pPr>
        <w:spacing w:after="0" w:line="153" w:lineRule="exact"/>
        <w:rPr>
          <w:rFonts w:ascii="Arial" w:cs="Arial" w:eastAsia="Arial" w:hAnsi="Arial"/>
          <w:sz w:val="18"/>
          <w:szCs w:val="18"/>
          <w:color w:val="auto"/>
        </w:rPr>
      </w:pPr>
    </w:p>
    <w:p>
      <w:pPr>
        <w:jc w:val="both"/>
        <w:ind w:left="3" w:firstLine="1191"/>
        <w:spacing w:after="0" w:line="247" w:lineRule="auto"/>
        <w:tabs>
          <w:tab w:leader="none" w:pos="156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registration statement on Form S–1 (File No. 333-[_______]) (the "Initial Registration Statement") in respect of the Shares has been filed with the Securities and Exchange Commission (the "Commission"); the Initial Registration Statement and any post-effective amendment thereto, each in the form heretofore delivered to the 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Securities Act has been initiated or, to the Company's knowledge, threatened by the Commission (any preliminary prospectus included in the Initial Registration Statement or filed with the Commission pursuant to Rule 424(a)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any "issuer free writing prospectus" as defined in Rule 433 under the Act relating to the Shares is hereinafter called an "Issuer Free Writing Prospectus"); and any "bona fide electronic road show" as defined in Rule 433(h)(5) under the Act that has been made available without restriction to any person is hereinafter called a "broadly available road show";</w:t>
      </w:r>
    </w:p>
    <w:p>
      <w:pPr>
        <w:spacing w:after="0" w:line="113" w:lineRule="exact"/>
        <w:rPr>
          <w:rFonts w:ascii="Arial" w:cs="Arial" w:eastAsia="Arial" w:hAnsi="Arial"/>
          <w:sz w:val="18"/>
          <w:szCs w:val="18"/>
          <w:color w:val="auto"/>
        </w:rPr>
      </w:pPr>
    </w:p>
    <w:p>
      <w:pPr>
        <w:jc w:val="both"/>
        <w:ind w:left="3" w:firstLine="1191"/>
        <w:spacing w:after="0" w:line="254" w:lineRule="auto"/>
        <w:tabs>
          <w:tab w:leader="none" w:pos="173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w:t>
      </w:r>
    </w:p>
    <w:p>
      <w:pPr>
        <w:sectPr>
          <w:pgSz w:w="11900" w:h="16838" w:orient="portrait"/>
          <w:cols w:equalWidth="0" w:num="1">
            <w:col w:w="10643"/>
          </w:cols>
          <w:pgMar w:left="917" w:top="1307" w:right="339" w:bottom="1440" w:gutter="0" w:footer="0" w:header="0"/>
        </w:sectPr>
      </w:pPr>
    </w:p>
    <w:bookmarkStart w:id="243" w:name="page244"/>
    <w:bookmarkEnd w:id="243"/>
    <w:p>
      <w:pPr>
        <w:spacing w:after="0" w:line="291" w:lineRule="auto"/>
        <w:rPr>
          <w:sz w:val="20"/>
          <w:szCs w:val="20"/>
          <w:color w:val="auto"/>
        </w:rPr>
      </w:pPr>
      <w:r>
        <w:rPr>
          <w:rFonts w:ascii="Arial" w:cs="Arial" w:eastAsia="Arial" w:hAnsi="Arial"/>
          <w:sz w:val="18"/>
          <w:szCs w:val="18"/>
          <w:color w:val="auto"/>
        </w:rPr>
        <w:t>any statements or omissions made in reliance upon and in conformity with the Underwriter Information (as defined in Section 9(b) of this Agreement);</w:t>
      </w:r>
    </w:p>
    <w:p>
      <w:pPr>
        <w:spacing w:after="0" w:line="70" w:lineRule="exact"/>
        <w:rPr>
          <w:sz w:val="20"/>
          <w:szCs w:val="20"/>
          <w:color w:val="auto"/>
        </w:rPr>
      </w:pPr>
    </w:p>
    <w:p>
      <w:pPr>
        <w:jc w:val="both"/>
        <w:ind w:firstLine="1191"/>
        <w:spacing w:after="0" w:line="249" w:lineRule="auto"/>
        <w:tabs>
          <w:tab w:leader="none" w:pos="169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the purposes of this Agreement, the "Applicable Time" is ___:___ __m (Eastern time) on the date of this Agreement; the Pricing Prospectus, as supplemented by the information listed on Schedule II(b)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each broadly available road show and each Written Testing-the-Waters Communication does not conflict with the information contained in the Registration Statement, the Pricing Prospectus or the Prospectus, and each Issuer Free Writing Prospectus, each broadly available road show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10" w:lineRule="exact"/>
        <w:rPr>
          <w:rFonts w:ascii="Arial" w:cs="Arial" w:eastAsia="Arial" w:hAnsi="Arial"/>
          <w:sz w:val="18"/>
          <w:szCs w:val="18"/>
          <w:color w:val="auto"/>
        </w:rPr>
      </w:pPr>
    </w:p>
    <w:p>
      <w:pPr>
        <w:jc w:val="both"/>
        <w:ind w:firstLine="1191"/>
        <w:spacing w:after="0" w:line="253" w:lineRule="auto"/>
        <w:tabs>
          <w:tab w:leader="none" w:pos="167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02" w:lineRule="exact"/>
        <w:rPr>
          <w:rFonts w:ascii="Arial" w:cs="Arial" w:eastAsia="Arial" w:hAnsi="Arial"/>
          <w:sz w:val="18"/>
          <w:szCs w:val="18"/>
          <w:color w:val="auto"/>
        </w:rPr>
      </w:pPr>
    </w:p>
    <w:p>
      <w:pPr>
        <w:jc w:val="both"/>
        <w:ind w:firstLine="1191"/>
        <w:spacing w:after="0" w:line="250" w:lineRule="auto"/>
        <w:tabs>
          <w:tab w:leader="none" w:pos="167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would be required to be filed as an exhibit to the Registration Statement pursuant to Item 601 of Regulation S-K of the Act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vesting or settlement, if any, of stock options or the award, if any, of stock options, restricted stock units, restricted stock or other awards pursuant to the Company's equity plans that are described in the Pricing Prospectus and the Prospectus, (ii) the</w:t>
      </w:r>
    </w:p>
    <w:p>
      <w:pPr>
        <w:sectPr>
          <w:pgSz w:w="11900" w:h="16838" w:orient="portrait"/>
          <w:cols w:equalWidth="0" w:num="1">
            <w:col w:w="10640"/>
          </w:cols>
          <w:pgMar w:left="920" w:top="1307" w:right="339" w:bottom="1440" w:gutter="0" w:footer="0" w:header="0"/>
        </w:sectPr>
      </w:pPr>
    </w:p>
    <w:bookmarkStart w:id="244" w:name="page245"/>
    <w:bookmarkEnd w:id="244"/>
    <w:p>
      <w:pPr>
        <w:jc w:val="both"/>
        <w:ind w:left="3"/>
        <w:spacing w:after="0" w:line="249" w:lineRule="auto"/>
        <w:rPr>
          <w:sz w:val="20"/>
          <w:szCs w:val="20"/>
          <w:color w:val="auto"/>
        </w:rPr>
      </w:pPr>
      <w:r>
        <w:rPr>
          <w:rFonts w:ascii="Arial" w:cs="Arial" w:eastAsia="Arial" w:hAnsi="Arial"/>
          <w:sz w:val="18"/>
          <w:szCs w:val="18"/>
          <w:color w:val="auto"/>
        </w:rPr>
        <w:t>repurchase of shares of capital stock upon termination of a holder's employment or service with the Company pursuant to agreements providing for an option to repurchase or a right of first refusal on behalf of the Company, (iii) the issuance, if any, of stock upon exercise or conversion of Company securities as described in the Pricing Prospectus and the Prospectus), or (iv) as otherwise set forth or contemplated in the Pricing Prospectus, or any increase in long-term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w:t>
      </w:r>
    </w:p>
    <w:p>
      <w:pPr>
        <w:spacing w:after="0" w:line="5" w:lineRule="exact"/>
        <w:rPr>
          <w:sz w:val="20"/>
          <w:szCs w:val="20"/>
          <w:color w:val="auto"/>
        </w:rPr>
      </w:pPr>
    </w:p>
    <w:p>
      <w:pPr>
        <w:jc w:val="both"/>
        <w:ind w:left="3" w:hanging="3"/>
        <w:spacing w:after="0" w:line="251" w:lineRule="auto"/>
        <w:tabs>
          <w:tab w:leader="none" w:pos="2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105" w:lineRule="exact"/>
        <w:rPr>
          <w:rFonts w:ascii="Arial" w:cs="Arial" w:eastAsia="Arial" w:hAnsi="Arial"/>
          <w:sz w:val="18"/>
          <w:szCs w:val="18"/>
          <w:color w:val="auto"/>
        </w:rPr>
      </w:pPr>
    </w:p>
    <w:p>
      <w:pPr>
        <w:jc w:val="both"/>
        <w:ind w:left="3" w:firstLine="1191"/>
        <w:spacing w:after="0" w:line="249" w:lineRule="auto"/>
        <w:tabs>
          <w:tab w:leader="none" w:pos="175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Company and its subsidiaries do not own any real property and have good and marketable title to all personal property owned by them (other than with respect to Intellectual Property, title to which is addressed exclusively in subsection (xxvii)), in each case free and clear of all liens, encumbrances and defects except such as are described in the Pricing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materially interfere with the use made of such property and buildings by the Company and its subsidiaries;</w:t>
      </w:r>
    </w:p>
    <w:p>
      <w:pPr>
        <w:spacing w:after="0" w:line="110" w:lineRule="exact"/>
        <w:rPr>
          <w:rFonts w:ascii="Arial" w:cs="Arial" w:eastAsia="Arial" w:hAnsi="Arial"/>
          <w:sz w:val="18"/>
          <w:szCs w:val="18"/>
          <w:color w:val="auto"/>
        </w:rPr>
      </w:pPr>
    </w:p>
    <w:p>
      <w:pPr>
        <w:jc w:val="both"/>
        <w:ind w:left="3" w:firstLine="1191"/>
        <w:spacing w:after="0" w:line="254" w:lineRule="auto"/>
        <w:tabs>
          <w:tab w:leader="none" w:pos="176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w:t>
      </w:r>
    </w:p>
    <w:p>
      <w:pPr>
        <w:spacing w:after="0" w:line="104" w:lineRule="exact"/>
        <w:rPr>
          <w:rFonts w:ascii="Arial" w:cs="Arial" w:eastAsia="Arial" w:hAnsi="Arial"/>
          <w:sz w:val="18"/>
          <w:szCs w:val="18"/>
          <w:color w:val="auto"/>
        </w:rPr>
      </w:pPr>
    </w:p>
    <w:p>
      <w:pPr>
        <w:jc w:val="both"/>
        <w:ind w:left="3" w:firstLine="1191"/>
        <w:spacing w:after="0" w:line="260" w:lineRule="auto"/>
        <w:tabs>
          <w:tab w:leader="none" w:pos="1739"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Pricing Prospectus and Prospectus and all of the issued shares of capital stock of the Company have been duly and validly authorized and issued and are fully paid and non-assessable and conform in all material respects to the description of the Stock contained in the Pricing Disclosure Package and the Prospectus; and all of the issued shares of capital stock of each subsidiary of the Company have been duly and validly authorized</w:t>
      </w:r>
    </w:p>
    <w:p>
      <w:pPr>
        <w:sectPr>
          <w:pgSz w:w="11900" w:h="16838" w:orient="portrait"/>
          <w:cols w:equalWidth="0" w:num="1">
            <w:col w:w="10643"/>
          </w:cols>
          <w:pgMar w:left="917" w:top="1307" w:right="339" w:bottom="1440" w:gutter="0" w:footer="0" w:header="0"/>
        </w:sectPr>
      </w:pPr>
    </w:p>
    <w:bookmarkStart w:id="245" w:name="page246"/>
    <w:bookmarkEnd w:id="245"/>
    <w:p>
      <w:pPr>
        <w:ind w:left="3"/>
        <w:spacing w:after="0" w:line="291" w:lineRule="auto"/>
        <w:rPr>
          <w:sz w:val="20"/>
          <w:szCs w:val="20"/>
          <w:color w:val="auto"/>
        </w:rPr>
      </w:pPr>
      <w:r>
        <w:rPr>
          <w:rFonts w:ascii="Arial" w:cs="Arial" w:eastAsia="Arial" w:hAnsi="Arial"/>
          <w:sz w:val="18"/>
          <w:szCs w:val="18"/>
          <w:color w:val="auto"/>
        </w:rPr>
        <w:t>and issued, are fully paid and non-assessable and are owned directly or indirectly by the Company, free and clear of all liens, encumbrances, equities or claims, except for such liens or encumbrances described in the Pricing Prospectus and the Prospectus;</w:t>
      </w:r>
    </w:p>
    <w:p>
      <w:pPr>
        <w:spacing w:after="0" w:line="70" w:lineRule="exact"/>
        <w:rPr>
          <w:sz w:val="20"/>
          <w:szCs w:val="20"/>
          <w:color w:val="auto"/>
        </w:rPr>
      </w:pPr>
    </w:p>
    <w:p>
      <w:pPr>
        <w:jc w:val="both"/>
        <w:ind w:left="3" w:firstLine="1191"/>
        <w:spacing w:after="0" w:line="256" w:lineRule="auto"/>
        <w:tabs>
          <w:tab w:leader="none" w:pos="171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Shares to be issued and sold by the Company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rights that have been complied with or waived in writing as of the date of this Agreement;</w:t>
      </w:r>
    </w:p>
    <w:p>
      <w:pPr>
        <w:spacing w:after="0" w:line="103" w:lineRule="exact"/>
        <w:rPr>
          <w:rFonts w:ascii="Arial" w:cs="Arial" w:eastAsia="Arial" w:hAnsi="Arial"/>
          <w:sz w:val="18"/>
          <w:szCs w:val="18"/>
          <w:color w:val="auto"/>
        </w:rPr>
      </w:pPr>
    </w:p>
    <w:p>
      <w:pPr>
        <w:jc w:val="both"/>
        <w:ind w:left="3" w:firstLine="1191"/>
        <w:spacing w:after="0" w:line="254"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issue and sale of the Shares to be sold by the Company and the execution, delivery and compliance by the Company with this Agreement and the consummation of the transactions contemplated in this Agreement and the Pricing Prospectus will not conflict with or result in a breach or violation of any of the terms or provisions of, or constitute a default under,</w:t>
      </w:r>
    </w:p>
    <w:p>
      <w:pPr>
        <w:spacing w:after="0" w:line="1" w:lineRule="exact"/>
        <w:rPr>
          <w:rFonts w:ascii="Arial" w:cs="Arial" w:eastAsia="Arial" w:hAnsi="Arial"/>
          <w:sz w:val="18"/>
          <w:szCs w:val="18"/>
          <w:color w:val="auto"/>
        </w:rPr>
      </w:pPr>
    </w:p>
    <w:p>
      <w:pPr>
        <w:jc w:val="both"/>
        <w:ind w:left="3" w:hanging="3"/>
        <w:spacing w:after="0" w:line="246" w:lineRule="auto"/>
        <w:tabs>
          <w:tab w:leader="none" w:pos="2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defaults, breaches, or violations that would not, individually or in the aggregate, reasonably be expected to have a Material Adverse Effect; and no consent, approval, authorization, order, registration or qualification of or with any such court or governmental agency or regulatory body is required for the issue of the Shares to be sold by the Company and the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on the Nasdaq Global Select Market (the "Exchange") and such consents, approvals, authorizations, orders, registrations or qualifications as may have been obtained or as may be required under state securities or Blue Sky laws in connection with the purchase and distribution of the Shares by the Underwriters;</w:t>
      </w:r>
    </w:p>
    <w:p>
      <w:pPr>
        <w:spacing w:after="0" w:line="117" w:lineRule="exact"/>
        <w:rPr>
          <w:rFonts w:ascii="Arial" w:cs="Arial" w:eastAsia="Arial" w:hAnsi="Arial"/>
          <w:sz w:val="18"/>
          <w:szCs w:val="18"/>
          <w:color w:val="auto"/>
        </w:rPr>
      </w:pPr>
    </w:p>
    <w:p>
      <w:pPr>
        <w:jc w:val="both"/>
        <w:ind w:left="3" w:firstLine="1191"/>
        <w:spacing w:after="0" w:line="253" w:lineRule="auto"/>
        <w:tabs>
          <w:tab w:leader="none" w:pos="167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Effect;</w:t>
      </w:r>
    </w:p>
    <w:p>
      <w:pPr>
        <w:spacing w:after="0" w:line="102" w:lineRule="exact"/>
        <w:rPr>
          <w:rFonts w:ascii="Arial" w:cs="Arial" w:eastAsia="Arial" w:hAnsi="Arial"/>
          <w:sz w:val="18"/>
          <w:szCs w:val="18"/>
          <w:color w:val="auto"/>
        </w:rPr>
      </w:pPr>
    </w:p>
    <w:p>
      <w:pPr>
        <w:ind w:left="3" w:firstLine="1191"/>
        <w:spacing w:after="0" w:line="291" w:lineRule="auto"/>
        <w:tabs>
          <w:tab w:leader="none" w:pos="181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w:t>
      </w:r>
    </w:p>
    <w:p>
      <w:pPr>
        <w:sectPr>
          <w:pgSz w:w="11900" w:h="16838" w:orient="portrait"/>
          <w:cols w:equalWidth="0" w:num="1">
            <w:col w:w="10643"/>
          </w:cols>
          <w:pgMar w:left="917" w:top="1307" w:right="339" w:bottom="1440" w:gutter="0" w:footer="0" w:header="0"/>
        </w:sectPr>
      </w:pPr>
    </w:p>
    <w:bookmarkStart w:id="246" w:name="page247"/>
    <w:bookmarkEnd w:id="246"/>
    <w:p>
      <w:pPr>
        <w:jc w:val="both"/>
        <w:spacing w:after="0" w:line="256" w:lineRule="auto"/>
        <w:rPr>
          <w:sz w:val="20"/>
          <w:szCs w:val="20"/>
          <w:color w:val="auto"/>
        </w:rPr>
      </w:pPr>
      <w:r>
        <w:rPr>
          <w:rFonts w:ascii="Arial" w:cs="Arial" w:eastAsia="Arial" w:hAnsi="Arial"/>
          <w:sz w:val="18"/>
          <w:szCs w:val="18"/>
          <w:color w:val="auto"/>
        </w:rPr>
        <w:t>constitute a summary of the terms of the Stock, under the caption "Material U.S. Federal Income Tax Consequences to Non-U.S. Holders", and under the caption "Underwriting", insofar as they purport to describe the provisions of the laws (other than laws, rules and regulations relating to selling restrictions in various foreign jurisdictions) and documents referred to therein, are accurate, complete and fair in all material respects, provided, however, that this representation and warranty shall not apply to any statements or omissions made in reliance upon and in conformity with the Underwriter Information;</w:t>
      </w:r>
    </w:p>
    <w:p>
      <w:pPr>
        <w:spacing w:after="0" w:line="103" w:lineRule="exact"/>
        <w:rPr>
          <w:sz w:val="20"/>
          <w:szCs w:val="20"/>
          <w:color w:val="auto"/>
        </w:rPr>
      </w:pPr>
    </w:p>
    <w:p>
      <w:pPr>
        <w:jc w:val="both"/>
        <w:ind w:firstLine="1191"/>
        <w:spacing w:after="0" w:line="254" w:lineRule="auto"/>
        <w:tabs>
          <w:tab w:leader="none" w:pos="176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Other than as set forth in the Pricing Prospectus, there are no legal or governmental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others;</w:t>
      </w:r>
    </w:p>
    <w:p>
      <w:pPr>
        <w:spacing w:after="0" w:line="104" w:lineRule="exact"/>
        <w:rPr>
          <w:rFonts w:ascii="Arial" w:cs="Arial" w:eastAsia="Arial" w:hAnsi="Arial"/>
          <w:sz w:val="18"/>
          <w:szCs w:val="18"/>
          <w:color w:val="auto"/>
        </w:rPr>
      </w:pPr>
    </w:p>
    <w:p>
      <w:pPr>
        <w:jc w:val="both"/>
        <w:ind w:firstLine="1191"/>
        <w:spacing w:after="0" w:line="268" w:lineRule="auto"/>
        <w:tabs>
          <w:tab w:leader="none" w:pos="179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will not be an "investment company", as such term is defined in the Investment Company Act of 1940, as amended (the "Investment Company Act");</w:t>
      </w:r>
    </w:p>
    <w:p>
      <w:pPr>
        <w:spacing w:after="0" w:line="90" w:lineRule="exact"/>
        <w:rPr>
          <w:rFonts w:ascii="Arial" w:cs="Arial" w:eastAsia="Arial" w:hAnsi="Arial"/>
          <w:sz w:val="18"/>
          <w:szCs w:val="18"/>
          <w:color w:val="auto"/>
        </w:rPr>
      </w:pPr>
    </w:p>
    <w:p>
      <w:pPr>
        <w:jc w:val="both"/>
        <w:ind w:firstLine="1191"/>
        <w:spacing w:after="0" w:line="260" w:lineRule="auto"/>
        <w:tabs>
          <w:tab w:leader="none" w:pos="171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98" w:lineRule="exact"/>
        <w:rPr>
          <w:rFonts w:ascii="Arial" w:cs="Arial" w:eastAsia="Arial" w:hAnsi="Arial"/>
          <w:sz w:val="18"/>
          <w:szCs w:val="18"/>
          <w:color w:val="auto"/>
        </w:rPr>
      </w:pPr>
    </w:p>
    <w:p>
      <w:pPr>
        <w:ind w:firstLine="1191"/>
        <w:spacing w:after="0" w:line="291" w:lineRule="auto"/>
        <w:tabs>
          <w:tab w:leader="none" w:pos="192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KPMG LLP, who has certified certain financial statements of the Company and its subsidiaries, is an independent registered public accounting firm as required by the Act and the rules and regulations of the Commission thereunder;</w:t>
      </w:r>
    </w:p>
    <w:p>
      <w:pPr>
        <w:spacing w:after="0" w:line="70" w:lineRule="exact"/>
        <w:rPr>
          <w:rFonts w:ascii="Arial" w:cs="Arial" w:eastAsia="Arial" w:hAnsi="Arial"/>
          <w:sz w:val="18"/>
          <w:szCs w:val="18"/>
          <w:color w:val="auto"/>
        </w:rPr>
      </w:pPr>
    </w:p>
    <w:p>
      <w:pPr>
        <w:jc w:val="both"/>
        <w:ind w:firstLine="1191"/>
        <w:spacing w:after="0" w:line="249" w:lineRule="auto"/>
        <w:tabs>
          <w:tab w:leader="none" w:pos="181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Securities Exchange Act of 1934, as amended (the "Exchange Act")) that (i) complies with the requirements of the Exchange Act applicable to the Company upon completion of the sale of the Firm Shares,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designed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except as disclosed in the Pricing Prospectus, the Company's internal control over financial reporting is effective and the Company is not aware of any material</w:t>
      </w:r>
    </w:p>
    <w:p>
      <w:pPr>
        <w:sectPr>
          <w:pgSz w:w="11900" w:h="16838" w:orient="portrait"/>
          <w:cols w:equalWidth="0" w:num="1">
            <w:col w:w="10640"/>
          </w:cols>
          <w:pgMar w:left="920" w:top="1307" w:right="339" w:bottom="1440" w:gutter="0" w:footer="0" w:header="0"/>
        </w:sectPr>
      </w:pPr>
    </w:p>
    <w:bookmarkStart w:id="247" w:name="page248"/>
    <w:bookmarkEnd w:id="247"/>
    <w:p>
      <w:pPr>
        <w:jc w:val="both"/>
        <w:spacing w:after="0" w:line="268" w:lineRule="auto"/>
        <w:rPr>
          <w:sz w:val="20"/>
          <w:szCs w:val="20"/>
          <w:color w:val="auto"/>
        </w:rPr>
      </w:pPr>
      <w:r>
        <w:rPr>
          <w:rFonts w:ascii="Arial" w:cs="Arial" w:eastAsia="Arial" w:hAnsi="Arial"/>
          <w:sz w:val="18"/>
          <w:szCs w:val="18"/>
          <w:color w:val="auto"/>
        </w:rPr>
        <w:t>weaknesses in its internal control over financial reporting (it being understood that this subsection shall not require the Company to comply with Section 404 of the Sarbanes-Oxley Act of 2002, as amended and the rules and regulations promulgated in connection therewith (the "Sarbanes-Oxley Act") as of an earlier date than it would otherwise be required to so comply under applicable law);</w:t>
      </w:r>
    </w:p>
    <w:p>
      <w:pPr>
        <w:spacing w:after="0" w:line="91" w:lineRule="exact"/>
        <w:rPr>
          <w:sz w:val="20"/>
          <w:szCs w:val="20"/>
          <w:color w:val="auto"/>
        </w:rPr>
      </w:pPr>
    </w:p>
    <w:p>
      <w:pPr>
        <w:jc w:val="both"/>
        <w:ind w:firstLine="1191"/>
        <w:spacing w:after="0" w:line="268" w:lineRule="auto"/>
        <w:tabs>
          <w:tab w:leader="none" w:pos="187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90" w:lineRule="exact"/>
        <w:rPr>
          <w:rFonts w:ascii="Arial" w:cs="Arial" w:eastAsia="Arial" w:hAnsi="Arial"/>
          <w:sz w:val="18"/>
          <w:szCs w:val="18"/>
          <w:color w:val="auto"/>
        </w:rPr>
      </w:pPr>
    </w:p>
    <w:p>
      <w:pPr>
        <w:jc w:val="both"/>
        <w:ind w:firstLine="1191"/>
        <w:spacing w:after="0" w:line="256" w:lineRule="auto"/>
        <w:tabs>
          <w:tab w:leader="none" w:pos="175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03" w:lineRule="exact"/>
        <w:rPr>
          <w:rFonts w:ascii="Arial" w:cs="Arial" w:eastAsia="Arial" w:hAnsi="Arial"/>
          <w:sz w:val="18"/>
          <w:szCs w:val="18"/>
          <w:color w:val="auto"/>
        </w:rPr>
      </w:pPr>
    </w:p>
    <w:p>
      <w:pPr>
        <w:ind w:left="1700" w:hanging="509"/>
        <w:spacing w:after="0"/>
        <w:tabs>
          <w:tab w:leader="none" w:pos="17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3" w:lineRule="exact"/>
        <w:rPr>
          <w:rFonts w:ascii="Arial" w:cs="Arial" w:eastAsia="Arial" w:hAnsi="Arial"/>
          <w:sz w:val="18"/>
          <w:szCs w:val="18"/>
          <w:color w:val="auto"/>
        </w:rPr>
      </w:pPr>
    </w:p>
    <w:p>
      <w:pPr>
        <w:jc w:val="both"/>
        <w:ind w:firstLine="1191"/>
        <w:spacing w:after="0" w:line="248" w:lineRule="auto"/>
        <w:tabs>
          <w:tab w:leader="none" w:pos="177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None of the Company or any of its subsidiaries (including any of their respective directors and officers nor, to the knowledge of the Company, any agent, employee, controlled affiliate or other person associated with or acting on their behalf) has directly or indirectly (i) made, offered, promised or authorized any unlawful contribution, gift, entertainment or other unlawful expense (or taken any act in furtherance thereof) to any person, including a Governmental Official (as defined herein); (ii) made, offered, promised or authorized any unlawful payment to any person, including a Governmental Official; (iii) requested or agreed to receive or accepted any unlawful contributions, gifts, services of value, advantage, entertainment or other unlawful expenses, contribution, bribe, rebate, gift, payoff, influence payment, kickback or other similar unlawful payment, or similar incentive; or (iv) violated or is in violation of any provision of the Foreign Corrupt Practices Act of 1977, the Bribery Act 2010 of the United Kingdom or any other applicable anti-bribery or anti-corruption law of any other jurisdiction where the Company, its subsidiaries or affiliates operate ("Anti-Corruption Laws"). There are no pending or, to the knowledge of the Company, threatened claims, charges, investigations, violations, settlements, civil or criminal enforcement actions, lawsuits, or other court actions against the Company, its subsidiaries, or affiliates with respect to any Anti-Corruption Laws. The Company, its subsidiaries and its affiliates have established reasonable internal controls and procedures designed to promote and achieve compliance by the Company, its subsidiaries and its affiliates (including any of their officers, directors, employees, agents or other person acting on their behalf) with the Anti-Corruption Laws.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For purposes of this agreement, (a) "Governmental Entity" means any United States federal, state or local, or other non-U.S. governmental, or supra-national or public international</w:t>
      </w:r>
    </w:p>
    <w:p>
      <w:pPr>
        <w:sectPr>
          <w:pgSz w:w="11900" w:h="16838" w:orient="portrait"/>
          <w:cols w:equalWidth="0" w:num="1">
            <w:col w:w="10640"/>
          </w:cols>
          <w:pgMar w:left="920" w:top="1307" w:right="339" w:bottom="1440" w:gutter="0" w:footer="0" w:header="0"/>
        </w:sectPr>
      </w:pPr>
    </w:p>
    <w:bookmarkStart w:id="248" w:name="page249"/>
    <w:bookmarkEnd w:id="248"/>
    <w:p>
      <w:pPr>
        <w:jc w:val="both"/>
        <w:spacing w:after="0" w:line="260" w:lineRule="auto"/>
        <w:rPr>
          <w:sz w:val="20"/>
          <w:szCs w:val="20"/>
          <w:color w:val="auto"/>
        </w:rPr>
      </w:pPr>
      <w:r>
        <w:rPr>
          <w:rFonts w:ascii="Arial" w:cs="Arial" w:eastAsia="Arial" w:hAnsi="Arial"/>
          <w:sz w:val="18"/>
          <w:szCs w:val="18"/>
          <w:color w:val="auto"/>
        </w:rPr>
        <w:t>organization (e.g., the World Bank, the Red Cross, etc.), or any regulatory or administrative authority, agency, legislative body or committee, division, instrumentality or commission, educational agency, political party, royal family, government-owned or controlled enterprise, organization, or body, or judicial or arbitral body thereof; and (b) "Governmental Official" means (a) an officer, agent or employee of a Governmental Entity or (b) a candidate for government or political office;</w:t>
      </w:r>
    </w:p>
    <w:p>
      <w:pPr>
        <w:spacing w:after="0" w:line="99" w:lineRule="exact"/>
        <w:rPr>
          <w:sz w:val="20"/>
          <w:szCs w:val="20"/>
          <w:color w:val="auto"/>
        </w:rPr>
      </w:pPr>
    </w:p>
    <w:p>
      <w:pPr>
        <w:jc w:val="both"/>
        <w:ind w:firstLine="1191"/>
        <w:spacing w:after="0" w:line="253" w:lineRule="auto"/>
        <w:tabs>
          <w:tab w:leader="none" w:pos="181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applicable anti-money laundering laws of the any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02" w:lineRule="exact"/>
        <w:rPr>
          <w:rFonts w:ascii="Arial" w:cs="Arial" w:eastAsia="Arial" w:hAnsi="Arial"/>
          <w:sz w:val="18"/>
          <w:szCs w:val="18"/>
          <w:color w:val="auto"/>
        </w:rPr>
      </w:pPr>
    </w:p>
    <w:p>
      <w:pPr>
        <w:jc w:val="both"/>
        <w:ind w:firstLine="1191"/>
        <w:spacing w:after="0" w:line="247" w:lineRule="auto"/>
        <w:tabs>
          <w:tab w:leader="none" w:pos="186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None of the Company, any of its subsidiaries, or any director or officer thereof, nor, to the knowledge of the Company, any agent, employee, controlled affiliate, or representative of the Company or any of its subsidiaries, is an individual or entity ("Person") that is, or is owned 50 percent or more by one or more Persons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nor is the Company or any of its subsidiaries, or any director, officer or employee thereof, nor is, to the knowledge of the Company, any agent, affiliate or representative of the Company or any of its subsidiaries, a Person that is, or is owned 50 percent or more by one or more Persons that are, located, organized, or resident in a country or territory that is the subject or target of Sanctions, currently Cuba, Iran, Syria, North Korea and the Crimea Region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neither the Company nor any of its subsidiaries has knowingly engaged in, is now knowingly engaged in, and will not knowingly engage in, any unlawful dealings or transactions with any person (including any person participating in the transaction, whether as underwriter, advisor, investor or otherwise), or in any country or territory, that at the time of the dealing or transaction is or was the subject or target of Sanctions;</w:t>
      </w:r>
    </w:p>
    <w:p>
      <w:pPr>
        <w:spacing w:after="0" w:line="121" w:lineRule="exact"/>
        <w:rPr>
          <w:rFonts w:ascii="Arial" w:cs="Arial" w:eastAsia="Arial" w:hAnsi="Arial"/>
          <w:sz w:val="18"/>
          <w:szCs w:val="18"/>
          <w:color w:val="auto"/>
        </w:rPr>
      </w:pPr>
    </w:p>
    <w:p>
      <w:pPr>
        <w:ind w:firstLine="1191"/>
        <w:spacing w:after="0" w:line="291" w:lineRule="auto"/>
        <w:tabs>
          <w:tab w:leader="none" w:pos="185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financial statements included in the Registration Statement, the Pricing Prospectus and the Prospectus, together with the related schedules and</w:t>
      </w:r>
    </w:p>
    <w:p>
      <w:pPr>
        <w:sectPr>
          <w:pgSz w:w="11900" w:h="16838" w:orient="portrait"/>
          <w:cols w:equalWidth="0" w:num="1">
            <w:col w:w="10640"/>
          </w:cols>
          <w:pgMar w:left="920" w:top="1307" w:right="339" w:bottom="1440" w:gutter="0" w:footer="0" w:header="0"/>
        </w:sectPr>
      </w:pPr>
    </w:p>
    <w:bookmarkStart w:id="249" w:name="page250"/>
    <w:bookmarkEnd w:id="249"/>
    <w:p>
      <w:pPr>
        <w:jc w:val="both"/>
        <w:spacing w:after="0" w:line="249" w:lineRule="auto"/>
        <w:rPr>
          <w:sz w:val="20"/>
          <w:szCs w:val="20"/>
          <w:color w:val="auto"/>
        </w:rPr>
      </w:pPr>
      <w:r>
        <w:rPr>
          <w:rFonts w:ascii="Arial" w:cs="Arial" w:eastAsia="Arial" w:hAnsi="Arial"/>
          <w:sz w:val="18"/>
          <w:szCs w:val="18"/>
          <w:color w:val="auto"/>
        </w:rPr>
        <w:t>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111" w:lineRule="exact"/>
        <w:rPr>
          <w:sz w:val="20"/>
          <w:szCs w:val="20"/>
          <w:color w:val="auto"/>
        </w:rPr>
      </w:pPr>
    </w:p>
    <w:p>
      <w:pPr>
        <w:jc w:val="both"/>
        <w:ind w:firstLine="1191"/>
        <w:spacing w:after="0" w:line="268" w:lineRule="auto"/>
        <w:tabs>
          <w:tab w:leader="none" w:pos="189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a registration statement relating to the Shares with the Commission through the date hereof, the Company has been and is an "emerging growth company" as defined in Section 2(a)(19) of the Act (an "Emerging Growth Company");</w:t>
      </w:r>
    </w:p>
    <w:p>
      <w:pPr>
        <w:spacing w:after="0" w:line="90" w:lineRule="exact"/>
        <w:rPr>
          <w:rFonts w:ascii="Arial" w:cs="Arial" w:eastAsia="Arial" w:hAnsi="Arial"/>
          <w:sz w:val="18"/>
          <w:szCs w:val="18"/>
          <w:color w:val="auto"/>
        </w:rPr>
      </w:pPr>
    </w:p>
    <w:p>
      <w:pPr>
        <w:jc w:val="both"/>
        <w:ind w:firstLine="1191"/>
        <w:spacing w:after="0" w:line="248" w:lineRule="auto"/>
        <w:tabs>
          <w:tab w:leader="none" w:pos="183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and its subsidiaries own, possess or can obtain on reasonable terms adequate rights to use all patents, patent applications, other rights in inventions, copyrights, know-how (including trade secrets and other unpatented and/or unpatentable proprietary or confidential information, systems or procedures), trademarks, service marks, trade names, domain names, or other intellectual property (collectively, "Intellectual Property") necessary to carry on the business now operated by them or as described in the Pricing Prospectus and the Prospectus to be operated by them (the "Company Intellectual Property"), and the conduct of such businesses do not and will not infringe, misappropriate or otherwise conflict in any material respect with any intellectual property rights of others. Other than as set forth in the Pricing Prospectus and the Prospectus, neither the Company nor any of its subsidiaries has received any written notice of any infringement or misappropriation of, or conflict with, any Intellectual Property rights of others, or any notice challenging the validity, scope, or enforceability of the Company Intellectual Property, except as would not individually or in the aggregate have a Material Adverse Effect on the current or future consolidated financial position, stockholders' equity or results of operations of the Company and its subsidiaries. Neither the Company nor any of its subsidiaries is subject to any judgment, order, writ, injunction or decree of any court or any federal, state, local, foreign or other governmental department, commission, board, bureau, agency or instrumentality, domestic or foreign, or any arbitrator, nor has the Company or any of its subsidiaries entered into or become a party to any agreement made in settlement of any pending or threatened litigation, that materially restricts or impairs its use of any Intellectual Property. To the Company's knowledge, there is no infringement by third parties of any Company Intellectual Property. The Company and its subsidiaries have taken all reasonable steps necessary to secure interests in the Company Intellectual Property</w:t>
      </w:r>
    </w:p>
    <w:p>
      <w:pPr>
        <w:sectPr>
          <w:pgSz w:w="11900" w:h="16838" w:orient="portrait"/>
          <w:cols w:equalWidth="0" w:num="1">
            <w:col w:w="10640"/>
          </w:cols>
          <w:pgMar w:left="920" w:top="1307" w:right="339" w:bottom="1440" w:gutter="0" w:footer="0" w:header="0"/>
        </w:sectPr>
      </w:pPr>
    </w:p>
    <w:bookmarkStart w:id="250" w:name="page251"/>
    <w:bookmarkEnd w:id="250"/>
    <w:p>
      <w:pPr>
        <w:jc w:val="both"/>
        <w:ind w:left="3"/>
        <w:spacing w:after="0" w:line="246" w:lineRule="auto"/>
        <w:rPr>
          <w:sz w:val="20"/>
          <w:szCs w:val="20"/>
          <w:color w:val="auto"/>
        </w:rPr>
      </w:pPr>
      <w:r>
        <w:rPr>
          <w:rFonts w:ascii="Arial" w:cs="Arial" w:eastAsia="Arial" w:hAnsi="Arial"/>
          <w:sz w:val="18"/>
          <w:szCs w:val="18"/>
          <w:color w:val="auto"/>
        </w:rPr>
        <w:t>from their employees, consultants, agents and contractors. There are no outstanding options, licenses or agreements of any kind relating to the Company Intellectual Property owned by the Company or any of its subsidiaries that are required to be described in the Registration Statement, the Pricing Prospectus and the Prospectus and are not described in all material respects. The Company and its subsidiaries are not a party to or bound by any options, licenses or agreements with respect to the Intellectual Property of any other person or entity that are required to be set forth in the Pricing Prospectus and the Prospectus and are not described in all material respects. Except as would not be reasonably expected to have a Material Adverse Effect, no government funding, facilities or resources of a university, college, other educational institution or research center or funding from third parties was used in the development of any Company Intellectual Property that is owned or purported to be owned by the Company or any of its subsidiaries, and no governmental agency or body, university, college, other educational institution or research center has any claim or right in or to any Company Intellectual Property that is owned or purported to be owned by the Company or any of its subsidiaries. Except as would not be reasonably expected to have a Material Adverse Effect, the Company and its subsidiaries have taken reasonable steps in accordance with standard industry practice to maintain the confidentiality of all material trade secrets and other confidential information owned, used or held for use by the Company or any of its subsidiaries that the Company in its reasonable business judgment wishes to maintain as trade secrets. Except as disclosed in the Pricing Prospectus or Prospectus, the Company and its subsidiaries have used all software and other materials distributed under a "free," "open source," or similar licensing model (including but not limited to the GNU General Public License, GNU Lesser General Public License and GNU Affero General Public License) ("Open Source Materials") in compliance with all license terms applicable to such Open Source Materials. None of the Company's proprietary software or other proprietary technology (such software and technology, "Company Proprietary Software") incorporates or uses Open Source Materials in a manner that requires or has required (i) the Company or any of its subsidiaries to permit reverse-engineering of any Company Proprietary Software of the Company or any of its subsidiaries, or (ii) any Company Proprietary Software of the Company or any of its subsidiaries to be (A) disclosed or distributed in source code form,</w:t>
      </w:r>
    </w:p>
    <w:p>
      <w:pPr>
        <w:spacing w:after="0" w:line="11" w:lineRule="exact"/>
        <w:rPr>
          <w:sz w:val="20"/>
          <w:szCs w:val="20"/>
          <w:color w:val="auto"/>
        </w:rPr>
      </w:pPr>
    </w:p>
    <w:p>
      <w:pPr>
        <w:ind w:left="303" w:hanging="303"/>
        <w:spacing w:after="0"/>
        <w:tabs>
          <w:tab w:leader="none" w:pos="30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licensed for the purpose of making derivative works, or (C) redistributable at no charge or minimal charge;</w:t>
      </w:r>
    </w:p>
    <w:p>
      <w:pPr>
        <w:spacing w:after="0" w:line="129" w:lineRule="exact"/>
        <w:rPr>
          <w:rFonts w:ascii="Arial" w:cs="Arial" w:eastAsia="Arial" w:hAnsi="Arial"/>
          <w:sz w:val="18"/>
          <w:szCs w:val="18"/>
          <w:color w:val="auto"/>
        </w:rPr>
      </w:pPr>
    </w:p>
    <w:p>
      <w:pPr>
        <w:jc w:val="both"/>
        <w:ind w:left="3" w:firstLine="1191"/>
        <w:spacing w:after="0" w:line="250" w:lineRule="auto"/>
        <w:tabs>
          <w:tab w:leader="none" w:pos="188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information technology systems, equipment, computers, networks, databases, and software used by the Company or any of its subsidiaries in their respective businesses (the "IT Assets") (i) operate and perform in all material respects in accordance with their documentation and functional specifications and otherwise as required by the Company's and its subsidiaries' respective businesses as currently conducted, (ii) have not materially malfunctioned or failed, and have been free of bugs, errors, and corruptants, except as would not be expected to have a Material Adverse Effect, and (iii) are free of any viruses, "back doors," "Trojan horses," "time bombs, "worms," “drop dead devices," malware, or other Software or hardware components designed to interrupt use of, disrupt, permit unauthorized access to, or disable, damage or erase, any Software material to the business of the Company or any of its subsidiaries, or any IT Assets. The Company and its subsidiaries have implemented and maintained, and used reasonable efforts to test the effectiveness of, backup and disaster recovery technology processes and facilities consistent with</w:t>
      </w:r>
    </w:p>
    <w:p>
      <w:pPr>
        <w:sectPr>
          <w:pgSz w:w="11900" w:h="16838" w:orient="portrait"/>
          <w:cols w:equalWidth="0" w:num="1">
            <w:col w:w="10643"/>
          </w:cols>
          <w:pgMar w:left="917" w:top="1307" w:right="339" w:bottom="1440" w:gutter="0" w:footer="0" w:header="0"/>
        </w:sectPr>
      </w:pPr>
    </w:p>
    <w:bookmarkStart w:id="251" w:name="page252"/>
    <w:bookmarkEnd w:id="251"/>
    <w:p>
      <w:pPr>
        <w:jc w:val="both"/>
        <w:spacing w:after="0" w:line="260" w:lineRule="auto"/>
        <w:rPr>
          <w:sz w:val="20"/>
          <w:szCs w:val="20"/>
          <w:color w:val="auto"/>
        </w:rPr>
      </w:pPr>
      <w:r>
        <w:rPr>
          <w:rFonts w:ascii="Arial" w:cs="Arial" w:eastAsia="Arial" w:hAnsi="Arial"/>
          <w:sz w:val="18"/>
          <w:szCs w:val="18"/>
          <w:color w:val="auto"/>
        </w:rPr>
        <w:t>industry standard practices, which measures, facilities, and testing are reasonable for the business of the Company and its subsidiaries. Except as has not resulted in or caused and could not reasonably be expected to result in or cause material liability to the Company or any of its subsidiaries, and there have been no security breaches or incidents impacting, unauthorized access to or use of, or compromises, outages or interruptions of, any such IT Assets;</w:t>
      </w:r>
    </w:p>
    <w:p>
      <w:pPr>
        <w:spacing w:after="0" w:line="99" w:lineRule="exact"/>
        <w:rPr>
          <w:sz w:val="20"/>
          <w:szCs w:val="20"/>
          <w:color w:val="auto"/>
        </w:rPr>
      </w:pPr>
    </w:p>
    <w:p>
      <w:pPr>
        <w:jc w:val="both"/>
        <w:ind w:firstLine="1191"/>
        <w:spacing w:after="0" w:line="248" w:lineRule="auto"/>
        <w:tabs>
          <w:tab w:leader="none" w:pos="199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and its subsidiaries (A) have operated their respective businesses in material compliance with all of their respective policies and notices relating to data privacy and security and all applicable laws, regulations, rules, orders, and directives, binding self-regulatory obligations and industry standards binding upon the Company (including, as applicable, the PCI Data Security Standard) and contractual obligations applicable to the receipt, collection, handling, sharing, transfer, retention, usage, disclosure and other processing of all user data, device data, employee data, and all other personal data ("Company Data") by or for the Company and its subsidiaries ("Data Protection Legal Obligations"), (B) have implemented, maintained, and complied in all material respects with, and are in material compliance with policies and procedures designed to ensure compliance with Data Protection Legal Obligations and the privacy, integrity, security and confidentiality of all Company Data received, collected, handled, shared, transferred, retained, used, disclosed and/or otherwise processed in connection with the Company's and its subsidiaries' businesses and operations, (C) are not party to any order, decree, or agreement by or with any court or arbitrator or governmental or regulatory authority that imposes any obligation or liability relating to any Data Protection Legal Obligation; and (D) have required and do require all third parties to which they provide, or that they permit to collect, maintain or otherwise process any Company Data ("Data Processors") to maintain the privacy and security of such Company Data and to comply with all applicable Data Protection Legal Obligations. Neither the Company nor any of its subsidiaries, nor, to the knowledge of the Company, any of their Data Processors has experienced any security incident or security breach involving any loss of, or unauthorized access to or acquisition, use, alteration, or disclosure of Company Data. Neither the Company nor any of its subsidiaries has received written (or, to the Company's knowledge, other) notice of any actual or potential liability under or relating to, or actual or potential violation of, any Data Protection Legal Obligations;</w:t>
      </w:r>
    </w:p>
    <w:p>
      <w:pPr>
        <w:spacing w:after="0" w:line="107" w:lineRule="exact"/>
        <w:rPr>
          <w:rFonts w:ascii="Arial" w:cs="Arial" w:eastAsia="Arial" w:hAnsi="Arial"/>
          <w:sz w:val="18"/>
          <w:szCs w:val="18"/>
          <w:color w:val="auto"/>
        </w:rPr>
      </w:pPr>
    </w:p>
    <w:p>
      <w:pPr>
        <w:jc w:val="both"/>
        <w:ind w:firstLine="1191"/>
        <w:spacing w:after="0" w:line="268" w:lineRule="auto"/>
        <w:tabs>
          <w:tab w:leader="none" w:pos="205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statistical, industry-related and market-related data included in the Pricing Prospectus and the Prospectus are based on or derived from sources that the Company believes, after reasonable inquiry, to be reliable and accurate in all material respects;</w:t>
      </w:r>
    </w:p>
    <w:p>
      <w:pPr>
        <w:spacing w:after="0" w:line="90" w:lineRule="exact"/>
        <w:rPr>
          <w:rFonts w:ascii="Arial" w:cs="Arial" w:eastAsia="Arial" w:hAnsi="Arial"/>
          <w:sz w:val="18"/>
          <w:szCs w:val="18"/>
          <w:color w:val="auto"/>
        </w:rPr>
      </w:pPr>
    </w:p>
    <w:p>
      <w:pPr>
        <w:jc w:val="both"/>
        <w:ind w:firstLine="1191"/>
        <w:spacing w:after="0" w:line="256" w:lineRule="auto"/>
        <w:tabs>
          <w:tab w:leader="none" w:pos="178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is insured by insurers of recognized financial responsibility against such losses and risks and in such amounts as are prudent and customary in the business in which it is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w:t>
      </w:r>
    </w:p>
    <w:p>
      <w:pPr>
        <w:spacing w:after="0" w:line="103" w:lineRule="exact"/>
        <w:rPr>
          <w:rFonts w:ascii="Arial" w:cs="Arial" w:eastAsia="Arial" w:hAnsi="Arial"/>
          <w:sz w:val="18"/>
          <w:szCs w:val="18"/>
          <w:color w:val="auto"/>
        </w:rPr>
      </w:pPr>
    </w:p>
    <w:p>
      <w:pPr>
        <w:ind w:firstLine="1191"/>
        <w:spacing w:after="0" w:line="291" w:lineRule="auto"/>
        <w:tabs>
          <w:tab w:leader="none" w:pos="18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and each of its subsidiaries have filed all material federal, state, local and foreign income and franchise tax returns required to be filed</w:t>
      </w:r>
    </w:p>
    <w:p>
      <w:pPr>
        <w:sectPr>
          <w:pgSz w:w="11900" w:h="16838" w:orient="portrait"/>
          <w:cols w:equalWidth="0" w:num="1">
            <w:col w:w="10640"/>
          </w:cols>
          <w:pgMar w:left="920" w:top="1307" w:right="339" w:bottom="1440" w:gutter="0" w:footer="0" w:header="0"/>
        </w:sectPr>
      </w:pPr>
    </w:p>
    <w:bookmarkStart w:id="252" w:name="page253"/>
    <w:bookmarkEnd w:id="252"/>
    <w:p>
      <w:pPr>
        <w:jc w:val="both"/>
        <w:spacing w:after="0" w:line="260" w:lineRule="auto"/>
        <w:rPr>
          <w:sz w:val="20"/>
          <w:szCs w:val="20"/>
          <w:color w:val="auto"/>
        </w:rPr>
      </w:pPr>
      <w:r>
        <w:rPr>
          <w:rFonts w:ascii="Arial" w:cs="Arial" w:eastAsia="Arial" w:hAnsi="Arial"/>
          <w:sz w:val="18"/>
          <w:szCs w:val="18"/>
          <w:color w:val="auto"/>
        </w:rPr>
        <w:t>through the date hereof, subject to permitted extensions, and have paid all taxes due thereon (except for cases in which the failure to file or pay would not, individually or in the aggregate, reasonably be expected to have a Material Adverse Effect). No material tax deficiency has been determined adversely to the Company or any of its subsidiaries and the Company does not have any knowledge of any material and adverse tax deficiencies;</w:t>
      </w:r>
    </w:p>
    <w:p>
      <w:pPr>
        <w:spacing w:after="0" w:line="99" w:lineRule="exact"/>
        <w:rPr>
          <w:sz w:val="20"/>
          <w:szCs w:val="20"/>
          <w:color w:val="auto"/>
        </w:rPr>
      </w:pPr>
    </w:p>
    <w:p>
      <w:pPr>
        <w:jc w:val="both"/>
        <w:ind w:firstLine="1191"/>
        <w:spacing w:after="0" w:line="260" w:lineRule="auto"/>
        <w:tabs>
          <w:tab w:leader="none" w:pos="189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has not sold or issued any shares of Stock during the six-month period preceding the date of the Prospectus, including any sales pursuant to Rule 144A or Regulation D of the Act, other than (i) shares issued pursuant to employee benefit plans, stock option plans or other employee compensation plans or pursuant to outstanding options, rights or warrants, or (ii) as disclosed in the Registration Statement, the Pricing Prospectus and the Prospectus;</w:t>
      </w:r>
    </w:p>
    <w:p>
      <w:pPr>
        <w:spacing w:after="0" w:line="98" w:lineRule="exact"/>
        <w:rPr>
          <w:rFonts w:ascii="Arial" w:cs="Arial" w:eastAsia="Arial" w:hAnsi="Arial"/>
          <w:sz w:val="18"/>
          <w:szCs w:val="18"/>
          <w:color w:val="auto"/>
        </w:rPr>
      </w:pPr>
    </w:p>
    <w:p>
      <w:pPr>
        <w:jc w:val="both"/>
        <w:ind w:firstLine="1191"/>
        <w:spacing w:after="0" w:line="248" w:lineRule="auto"/>
        <w:tabs>
          <w:tab w:leader="none" w:pos="204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Neither the Company nor any of its subsidiaries is in violation of any applicable statute, law, rule, regulation, ordinance, code, rule of common law or order of or with any governmental agency or body or any court, domestic or foreign, relating to the use, management, disposal or release of hazardous or toxic substances or wastes or relating to pollution or the protection of the environment or human health or relating to exposure to hazardous or toxic substances or wastes (collectively, "Environmental Laws"), (B) neither the Company nor any of its subsidiaries has received any written claim, written request for information or written notice of liability or investigation arising under, relating to or based upon any Environmental Laws, (C) neither the Company nor any of its subsidiaries is aware of any pending or threatened notice, claim, proceeding or investigation which might lead to liability under Environmental Laws, (D) the Company does not anticipate incurring material capital expenditures relating to compliance with Environmental Laws (including, without limitation, any capital or operating expenditures required for clean-up, investigation or closure of properties or compliance with Environmental Laws or any permit, license, approval, any related constraints on operating activities and any potential liabilities to third parties) and (E) neither the Company nor any of its subsidiaries has been named as a "potentially responsible party" under the Comprehensive Environmental Response, Compensation, and Liability Act of 1980, as amended, except where such non-compliance with Environmental Laws, or where any claim, request, notice, proceeding, investigation, failure to receive required permits, licenses or other approvals or failure to comply with the terms and conditions of such permits, licenses or approvals would not reason individually or in the aggregate reasonably be expected to have a Material Adverse Effect;</w:t>
      </w:r>
    </w:p>
    <w:p>
      <w:pPr>
        <w:spacing w:after="0" w:line="111" w:lineRule="exact"/>
        <w:rPr>
          <w:rFonts w:ascii="Arial" w:cs="Arial" w:eastAsia="Arial" w:hAnsi="Arial"/>
          <w:sz w:val="18"/>
          <w:szCs w:val="18"/>
          <w:color w:val="auto"/>
        </w:rPr>
      </w:pPr>
    </w:p>
    <w:p>
      <w:pPr>
        <w:jc w:val="both"/>
        <w:ind w:firstLine="1191"/>
        <w:spacing w:after="0" w:line="254" w:lineRule="auto"/>
        <w:tabs>
          <w:tab w:leader="none" w:pos="199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has not and, to its knowledge, no one acting on its behalf has, (i) taken and will not take, directly or indirectly, any action which is designed to or which has constituted or which would reasonably be expected to cause or result in stabilization or manipulation of the price of any security of the Company or any of its subsidiaries to facilitate the sale or resale of the Shares or result in a violation of Regulation M under the Exchange Act, (ii) sold, bid for, purchased, or paid anyone any compensation for soliciting purchases of, the Shares, or (iii) paid or agreed to pay to any person any compensation for soliciting another to purchase any other securities of the Company or any of its subsidiaries other than as contemplated in this Agreement;</w:t>
      </w:r>
    </w:p>
    <w:p>
      <w:pPr>
        <w:sectPr>
          <w:pgSz w:w="11900" w:h="16838" w:orient="portrait"/>
          <w:cols w:equalWidth="0" w:num="1">
            <w:col w:w="10640"/>
          </w:cols>
          <w:pgMar w:left="920" w:top="1307" w:right="339" w:bottom="1440" w:gutter="0" w:footer="0" w:header="0"/>
        </w:sectPr>
      </w:pPr>
    </w:p>
    <w:bookmarkStart w:id="253" w:name="page254"/>
    <w:bookmarkEnd w:id="253"/>
    <w:p>
      <w:pPr>
        <w:jc w:val="both"/>
        <w:ind w:left="3" w:firstLine="1191"/>
        <w:spacing w:after="0" w:line="253" w:lineRule="auto"/>
        <w:tabs>
          <w:tab w:leader="none" w:pos="198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Except as would not, either individually or in the aggregate, reasonably be expected to have a Material Adverse Effect, the Company and its subsidiaries possess all licenses, permits, certificates and other authorizations from, and have made all declarations and filings with, all governmental authorities, required or necessary to lease and to operate their respective properties and to carry on their respective businesses as currently conducted by them or as described in the Registration Statement, the Pricing Prospectus and the Prospectus to be conducted by them ("Permits"), and such Permits are in full force and effect, and neither the Company nor its subsidiaries has received any written notice of proceedings relating to the revocation or adverse modification of any such Permit;</w:t>
      </w:r>
    </w:p>
    <w:p>
      <w:pPr>
        <w:spacing w:after="0" w:line="102" w:lineRule="exact"/>
        <w:rPr>
          <w:rFonts w:ascii="Arial" w:cs="Arial" w:eastAsia="Arial" w:hAnsi="Arial"/>
          <w:sz w:val="18"/>
          <w:szCs w:val="18"/>
          <w:color w:val="auto"/>
        </w:rPr>
      </w:pPr>
    </w:p>
    <w:p>
      <w:pPr>
        <w:jc w:val="both"/>
        <w:ind w:left="3" w:firstLine="1191"/>
        <w:spacing w:after="0" w:line="248" w:lineRule="auto"/>
        <w:tabs>
          <w:tab w:leader="none" w:pos="208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Each Plan (as defined below) sponsored by the Company has been sponsored, maintained and contributed to in compliance with its terms and the requirements of any applicable statutes, orders, rules and regulations, including but not limited to the Employee Retirement Income Security Act of 1974, as amended ("ERISA") and the Internal Revenue Code of 1986, as amended (the "Code"); (B) to the Company's knowledge, no non-exempt prohibited transaction, within the meaning of Section 406 of ERISA or Section 4975 of the Code, has occurred with respect to any Plan; (C) for each Plan, no failure to satisfy the minimum funding standards (within the meaning of Section 412 of the Code or Section 302 of ERISA), whether or not waived, has occurred or, to the Company's knowledge, is reasonably expected to occur; (D) no "reportable event" (within the meaning of Section 4043(c) of ERISA, other than those events as to which notice is waived) has occurred or is reasonably expected to occur;</w:t>
      </w:r>
    </w:p>
    <w:p>
      <w:pPr>
        <w:spacing w:after="0" w:line="5" w:lineRule="exact"/>
        <w:rPr>
          <w:rFonts w:ascii="Arial" w:cs="Arial" w:eastAsia="Arial" w:hAnsi="Arial"/>
          <w:sz w:val="18"/>
          <w:szCs w:val="18"/>
          <w:color w:val="auto"/>
        </w:rPr>
      </w:pPr>
    </w:p>
    <w:p>
      <w:pPr>
        <w:jc w:val="both"/>
        <w:ind w:left="3" w:hanging="3"/>
        <w:spacing w:after="0" w:line="246" w:lineRule="auto"/>
        <w:tabs>
          <w:tab w:leader="none" w:pos="3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neither the Company nor any member of its "Controlled Group" (defined as any organization which is a member of a controlled group of corporations within the meaning of Section 414 of the Code) has incurred, nor is reasonably expected to incur, any liability under Title IV of ERISA (other than contributions to any Plan or any Multiemployer Plan (as defined below) or premiums to the Pension Benefit Guaranty Corporation ("PBGC"), in the ordinary course and without default) in respect of a Plan or a Multiemployer Plan; and (F) there is no pending audit or investigation by the U.S. Internal Revenue Service, the U.S. Department of Labor, the PBGC or any other governmental agency or any foreign regulatory agency with respect to any Plan, except in each case with respect to the events or conditions set forth in (A) through (F) hereof, as would not, individually or in the aggregate, reasonably be expected to have a Material Adverse Effect. Each Plan that is intended to be qualified under Section 401(a) of the Code has received a favorable determination or opinion letter from the U.S. Internal Revenue Service or has time remaining to do so and, to the knowledge of the Company, nothing has occurred, whether by action or by failure to act, which would reasonably be expected to cause the loss of such qualification. None of the following events has occurred or is reasonably likely to occur except in each case as would not, individually or in the aggregate, reasonably be expected to have a Material Adverse Effect: (x) a material increase in the aggregate amount of contributions required to be made to all Plans by the Company or its subsidiaries in the current fiscal year of the Company and its subsidiaries compared to the amount of such contributions made in the Company and its subsidiaries' most recently completed fiscal year; or (y) a material increase in the Company's and its subsidiaries' "accumulated post-retirement benefit obligations" (within the meaning of FASB Accounting Standards Codification Topic 715) compared to the amount of such obligations in the Company and its subsidiaries' most recently completed fiscal year. For purposes of this paragraph, (x) the term "Plan" means an employee benefit plan, within</w:t>
      </w:r>
    </w:p>
    <w:p>
      <w:pPr>
        <w:sectPr>
          <w:pgSz w:w="11900" w:h="16838" w:orient="portrait"/>
          <w:cols w:equalWidth="0" w:num="1">
            <w:col w:w="10643"/>
          </w:cols>
          <w:pgMar w:left="917" w:top="1307" w:right="339" w:bottom="1440" w:gutter="0" w:footer="0" w:header="0"/>
        </w:sectPr>
      </w:pPr>
    </w:p>
    <w:bookmarkStart w:id="254" w:name="page255"/>
    <w:bookmarkEnd w:id="254"/>
    <w:p>
      <w:pPr>
        <w:jc w:val="both"/>
        <w:spacing w:after="0" w:line="260" w:lineRule="auto"/>
        <w:rPr>
          <w:sz w:val="20"/>
          <w:szCs w:val="20"/>
          <w:color w:val="auto"/>
        </w:rPr>
      </w:pPr>
      <w:r>
        <w:rPr>
          <w:rFonts w:ascii="Arial" w:cs="Arial" w:eastAsia="Arial" w:hAnsi="Arial"/>
          <w:sz w:val="18"/>
          <w:szCs w:val="18"/>
          <w:color w:val="auto"/>
        </w:rPr>
        <w:t>the meaning of Section 3(3) of ERISA, subject to Title IV of ERISA, but excluding any Multiemployer Plan, for which the Company or any member of its "Controlled Group" (defined as any organization which is a member of a controlled group of corporations within the meaning of Section 414(b), (c), (m) or (o) of the Code) has any liability and (y) the term "Multiemployer Plan" means a multiemployer plan within the meaning of Section 4001(a)(3) of ERISA;</w:t>
      </w:r>
    </w:p>
    <w:p>
      <w:pPr>
        <w:spacing w:after="0" w:line="99" w:lineRule="exact"/>
        <w:rPr>
          <w:sz w:val="20"/>
          <w:szCs w:val="20"/>
          <w:color w:val="auto"/>
        </w:rPr>
      </w:pPr>
    </w:p>
    <w:p>
      <w:pPr>
        <w:jc w:val="both"/>
        <w:ind w:firstLine="1191"/>
        <w:spacing w:after="0" w:line="260" w:lineRule="auto"/>
        <w:tabs>
          <w:tab w:leader="none" w:pos="201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material labor dispute with or disturbance by the employees of the Company or any of its subsidiaries exists or, to the knowledge of the Company, is threatened and, to the Company's knowledge, there are no pending or threatened activities or proceedings by any labor union or similar entity to organize any employees of the Company or its subsidiaries, except, in each case, as would not be reasonably expected to have a Material Adverse Effect;</w:t>
      </w:r>
    </w:p>
    <w:p>
      <w:pPr>
        <w:spacing w:after="0" w:line="98" w:lineRule="exact"/>
        <w:rPr>
          <w:rFonts w:ascii="Arial" w:cs="Arial" w:eastAsia="Arial" w:hAnsi="Arial"/>
          <w:sz w:val="18"/>
          <w:szCs w:val="18"/>
          <w:color w:val="auto"/>
        </w:rPr>
      </w:pPr>
    </w:p>
    <w:p>
      <w:pPr>
        <w:jc w:val="both"/>
        <w:ind w:firstLine="1191"/>
        <w:spacing w:after="0" w:line="268" w:lineRule="auto"/>
        <w:tabs>
          <w:tab w:leader="none" w:pos="203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as described in the Pricing Prospectus and the Prospectus, there are no 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90" w:lineRule="exact"/>
        <w:rPr>
          <w:rFonts w:ascii="Arial" w:cs="Arial" w:eastAsia="Arial" w:hAnsi="Arial"/>
          <w:sz w:val="18"/>
          <w:szCs w:val="18"/>
          <w:color w:val="auto"/>
        </w:rPr>
      </w:pPr>
    </w:p>
    <w:p>
      <w:pPr>
        <w:ind w:firstLine="1191"/>
        <w:spacing w:after="0" w:line="291" w:lineRule="auto"/>
        <w:tabs>
          <w:tab w:leader="none" w:pos="202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There are no debt securities or preferred stock of, or guaranteed by, the Company that are rated by a "nationally recognized statistical rating organization," as such term is defined in Section 3(a)(62) of the Exchange Act;</w:t>
      </w:r>
    </w:p>
    <w:p>
      <w:pPr>
        <w:spacing w:after="0" w:line="70" w:lineRule="exact"/>
        <w:rPr>
          <w:sz w:val="20"/>
          <w:szCs w:val="20"/>
          <w:color w:val="auto"/>
        </w:rPr>
      </w:pPr>
    </w:p>
    <w:p>
      <w:pPr>
        <w:jc w:val="both"/>
        <w:ind w:firstLine="1195"/>
        <w:spacing w:after="0" w:line="256" w:lineRule="auto"/>
        <w:rPr>
          <w:sz w:val="20"/>
          <w:szCs w:val="20"/>
          <w:color w:val="auto"/>
        </w:rPr>
      </w:pPr>
      <w:r>
        <w:rPr>
          <w:rFonts w:ascii="Arial" w:cs="Arial" w:eastAsia="Arial" w:hAnsi="Arial"/>
          <w:sz w:val="18"/>
          <w:szCs w:val="18"/>
          <w:color w:val="auto"/>
        </w:rPr>
        <w:t>(xl) The Company has taken all necessary actions to ensure that, upon the effectiveness of the Registration Statement (or earlier, if required by applicable provisions), it will be in compliance with all provisions of the Sarbanes-Oxley Act that are then in effect and with which the Company is required to comply as of the effective date of the Registration Statement, and is actively taking steps to ensure that it will be in compliance with other provisions of the Sarbanes-Oxley Act that will become applicable to the Company after the effective date of the Registration Statement;</w:t>
      </w:r>
    </w:p>
    <w:p>
      <w:pPr>
        <w:spacing w:after="0" w:line="103" w:lineRule="exact"/>
        <w:rPr>
          <w:sz w:val="20"/>
          <w:szCs w:val="20"/>
          <w:color w:val="auto"/>
        </w:rPr>
      </w:pPr>
    </w:p>
    <w:p>
      <w:pPr>
        <w:jc w:val="both"/>
        <w:ind w:firstLine="1195"/>
        <w:spacing w:after="0" w:line="254" w:lineRule="auto"/>
        <w:rPr>
          <w:sz w:val="20"/>
          <w:szCs w:val="20"/>
          <w:color w:val="auto"/>
        </w:rPr>
      </w:pPr>
      <w:r>
        <w:rPr>
          <w:rFonts w:ascii="Arial" w:cs="Arial" w:eastAsia="Arial" w:hAnsi="Arial"/>
          <w:sz w:val="18"/>
          <w:szCs w:val="18"/>
          <w:color w:val="auto"/>
        </w:rPr>
        <w:t>(xli) The Registration Statement, the Pricing Disclosure Package and the Prospectus, any Preliminary Prospectus, any Issuer Free Writing Prospectuses and any Written Testing-the-Waters Communication comply in all material respects, and any further amendments or supplements thereto will comply in all material respects, with any applicable laws or regulations of foreign jurisdictions in which the Pricing Disclosure Package, the Prospectus, any Preliminary Prospectus, any Issuer Free Writing Prospectus and any Written Testing-the-Waters Communication, as amended or supplemented, if applicable, are distributed in connection with the Directed Share Program;</w:t>
      </w:r>
    </w:p>
    <w:p>
      <w:pPr>
        <w:spacing w:after="0" w:line="104" w:lineRule="exact"/>
        <w:rPr>
          <w:sz w:val="20"/>
          <w:szCs w:val="20"/>
          <w:color w:val="auto"/>
        </w:rPr>
      </w:pPr>
    </w:p>
    <w:p>
      <w:pPr>
        <w:jc w:val="both"/>
        <w:ind w:firstLine="1195"/>
        <w:spacing w:after="0" w:line="268" w:lineRule="auto"/>
        <w:rPr>
          <w:sz w:val="20"/>
          <w:szCs w:val="20"/>
          <w:color w:val="auto"/>
        </w:rPr>
      </w:pPr>
      <w:r>
        <w:rPr>
          <w:rFonts w:ascii="Arial" w:cs="Arial" w:eastAsia="Arial" w:hAnsi="Arial"/>
          <w:sz w:val="18"/>
          <w:szCs w:val="18"/>
          <w:color w:val="auto"/>
        </w:rPr>
        <w:t>(xlii) No authorization, approval, consent, license, order, registration or qualification of or with any government, governmental instrumentality or court, other than such as have been obtained, is necessary under the securities laws and regulations of foreign jurisdictions in which the Directed Shares are offered outside the United States;</w:t>
      </w:r>
    </w:p>
    <w:p>
      <w:pPr>
        <w:spacing w:after="0" w:line="91" w:lineRule="exact"/>
        <w:rPr>
          <w:sz w:val="20"/>
          <w:szCs w:val="20"/>
          <w:color w:val="auto"/>
        </w:rPr>
      </w:pPr>
    </w:p>
    <w:p>
      <w:pPr>
        <w:jc w:val="both"/>
        <w:ind w:firstLine="1195"/>
        <w:spacing w:after="0" w:line="268" w:lineRule="auto"/>
        <w:rPr>
          <w:sz w:val="20"/>
          <w:szCs w:val="20"/>
          <w:color w:val="auto"/>
        </w:rPr>
      </w:pPr>
      <w:r>
        <w:rPr>
          <w:rFonts w:ascii="Arial" w:cs="Arial" w:eastAsia="Arial" w:hAnsi="Arial"/>
          <w:sz w:val="18"/>
          <w:szCs w:val="18"/>
          <w:color w:val="auto"/>
        </w:rPr>
        <w:t>(xliii) The Company has specifically directed in writing the allocation of Shares to each Participant in the Directed Share Program, and neither the Directed Share Underwriter nor any other Underwriter has had any involvement or influence, directly or indirectly, in such allocation decision; and</w:t>
      </w:r>
    </w:p>
    <w:p>
      <w:pPr>
        <w:sectPr>
          <w:pgSz w:w="11900" w:h="16838" w:orient="portrait"/>
          <w:cols w:equalWidth="0" w:num="1">
            <w:col w:w="10640"/>
          </w:cols>
          <w:pgMar w:left="920" w:top="1307" w:right="339" w:bottom="1440" w:gutter="0" w:footer="0" w:header="0"/>
        </w:sectPr>
      </w:pPr>
    </w:p>
    <w:bookmarkStart w:id="255" w:name="page256"/>
    <w:bookmarkEnd w:id="255"/>
    <w:p>
      <w:pPr>
        <w:jc w:val="both"/>
        <w:ind w:left="600" w:firstLine="1195"/>
        <w:spacing w:after="0" w:line="256" w:lineRule="auto"/>
        <w:rPr>
          <w:sz w:val="20"/>
          <w:szCs w:val="20"/>
          <w:color w:val="auto"/>
        </w:rPr>
      </w:pPr>
      <w:r>
        <w:rPr>
          <w:rFonts w:ascii="Arial" w:cs="Arial" w:eastAsia="Arial" w:hAnsi="Arial"/>
          <w:sz w:val="18"/>
          <w:szCs w:val="18"/>
          <w:color w:val="auto"/>
        </w:rPr>
        <w:t>(xliv) The Company has not offered, or caused the Directed Share Underwriter or its affiliates to offer, Shares to any person pursuant to the Directed Share Program (i) for any consideration other than the cash payment of the initial public offering price per share set forth in Schedule II hereof or (ii) with the specific intent to unlawfully influence (x) a customer or supplier of the Company to alter the customer or supplier's terms, level or type of business with the Company or (y) a trade journalist or publication to write or publish favorable information about the Company or its products.</w:t>
      </w:r>
    </w:p>
    <w:p>
      <w:pPr>
        <w:spacing w:after="0" w:line="103" w:lineRule="exact"/>
        <w:rPr>
          <w:sz w:val="20"/>
          <w:szCs w:val="20"/>
          <w:color w:val="auto"/>
        </w:rPr>
      </w:pPr>
    </w:p>
    <w:p>
      <w:pPr>
        <w:jc w:val="both"/>
        <w:ind w:firstLine="597"/>
        <w:spacing w:after="0" w:line="248" w:lineRule="auto"/>
        <w:tabs>
          <w:tab w:leader="none" w:pos="11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the terms and conditions herein set forth, (a) the Company agrees to sell to each of the Underwriters, and each of the Underwriters agrees, severally and not jointly, to purchase from the Company, at a purchase price per share of $[_______], the number of Firm Shares (to be adjusted by you so as to eliminate fractional shares) determined by multiplying the aggregate number of Firm Shares to be sold by the Company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and (b) in the event and to the extent that the Underwriters shall exercise the election to purchase Optional Shares as provided below, the Company agrees to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hereby grants to the Underwriters the right to purchase at their election up to [_____] Optional Shares, at the</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shall be made in proportion to the maximum number of Optional Shares to be sold by the Company. Any such election to purchase Optional Shares may be exercised only by written notice from the Representatives to the Company, given within a period of 30 calendar days after the date of this Agreement and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12" w:lineRule="exact"/>
        <w:rPr>
          <w:sz w:val="20"/>
          <w:szCs w:val="20"/>
          <w:color w:val="auto"/>
        </w:rPr>
      </w:pPr>
    </w:p>
    <w:p>
      <w:pPr>
        <w:ind w:firstLine="597"/>
        <w:spacing w:after="0" w:line="291" w:lineRule="auto"/>
        <w:tabs>
          <w:tab w:leader="none" w:pos="11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Upon the authorization by the Representatives of the release of the Firm Shares, the several Underwriters propose to offer the Firm Shares for sale upon the terms and conditions set forth in the Prospectus.</w:t>
      </w:r>
    </w:p>
    <w:p>
      <w:pPr>
        <w:sectPr>
          <w:pgSz w:w="11900" w:h="16838" w:orient="portrait"/>
          <w:cols w:equalWidth="0" w:num="1">
            <w:col w:w="11240"/>
          </w:cols>
          <w:pgMar w:left="320" w:top="1307" w:right="339" w:bottom="1440" w:gutter="0" w:footer="0" w:header="0"/>
        </w:sectPr>
      </w:pPr>
    </w:p>
    <w:bookmarkStart w:id="256" w:name="page257"/>
    <w:bookmarkEnd w:id="256"/>
    <w:p>
      <w:pPr>
        <w:jc w:val="both"/>
        <w:ind w:left="-597" w:firstLine="597"/>
        <w:spacing w:after="0" w:line="249" w:lineRule="auto"/>
        <w:tabs>
          <w:tab w:leader="none" w:pos="58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The Shares to be purchased by each Underwriter hereunder, in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time and date of such delivery and payment shall be, with respect to the Firm Shares, 9:30 a.m., New York time, on [_______], 2021 or such other time and date as the Representatives and the Company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110" w:lineRule="exact"/>
        <w:rPr>
          <w:rFonts w:ascii="Arial" w:cs="Arial" w:eastAsia="Arial" w:hAnsi="Arial"/>
          <w:sz w:val="18"/>
          <w:szCs w:val="18"/>
          <w:color w:val="auto"/>
        </w:rPr>
      </w:pPr>
    </w:p>
    <w:p>
      <w:pPr>
        <w:jc w:val="both"/>
        <w:ind w:left="-597" w:firstLine="1194"/>
        <w:spacing w:after="0" w:line="251" w:lineRule="auto"/>
        <w:tabs>
          <w:tab w:leader="none" w:pos="108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8(j) hereof will be delivered at the offices of Wilson Sonsini Goodrich &amp; Rosati, P.C., 650 Page Mill Road, Palo Alto, California 94304 (the "Closing Location"), and the Shares will be delivered at the office of DTC or its designated custodian, all at such Time of Delivery. A meeting will be held at the Closing Location at [____]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321" w:lineRule="exact"/>
        <w:rPr>
          <w:rFonts w:ascii="Arial" w:cs="Arial" w:eastAsia="Arial" w:hAnsi="Arial"/>
          <w:sz w:val="18"/>
          <w:szCs w:val="18"/>
          <w:color w:val="auto"/>
        </w:rPr>
      </w:pPr>
    </w:p>
    <w:p>
      <w:pPr>
        <w:ind w:left="583" w:hanging="583"/>
        <w:spacing w:after="0"/>
        <w:tabs>
          <w:tab w:leader="none" w:pos="58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153" w:lineRule="exact"/>
        <w:rPr>
          <w:rFonts w:ascii="Arial" w:cs="Arial" w:eastAsia="Arial" w:hAnsi="Arial"/>
          <w:sz w:val="18"/>
          <w:szCs w:val="18"/>
          <w:color w:val="auto"/>
        </w:rPr>
      </w:pPr>
    </w:p>
    <w:p>
      <w:pPr>
        <w:jc w:val="both"/>
        <w:ind w:left="-597" w:firstLine="1194"/>
        <w:spacing w:after="0" w:line="249" w:lineRule="auto"/>
        <w:tabs>
          <w:tab w:leader="none" w:pos="10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To prepare the Prospectus in a form approved by the Representatives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of which the Representatives disapprove in writing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against the Company, or of any request by the Commission for the amending or supplementing of the Registration Statement or</w:t>
      </w:r>
    </w:p>
    <w:p>
      <w:pPr>
        <w:sectPr>
          <w:pgSz w:w="11900" w:h="16838" w:orient="portrait"/>
          <w:cols w:equalWidth="0" w:num="1">
            <w:col w:w="10643"/>
          </w:cols>
          <w:pgMar w:left="917" w:top="1307" w:right="339" w:bottom="1440" w:gutter="0" w:footer="0" w:header="0"/>
        </w:sectPr>
      </w:pPr>
    </w:p>
    <w:bookmarkStart w:id="257" w:name="page258"/>
    <w:bookmarkEnd w:id="257"/>
    <w:p>
      <w:pPr>
        <w:jc w:val="both"/>
        <w:spacing w:after="0" w:line="268" w:lineRule="auto"/>
        <w:rPr>
          <w:sz w:val="20"/>
          <w:szCs w:val="20"/>
          <w:color w:val="auto"/>
        </w:rPr>
      </w:pPr>
      <w:r>
        <w:rPr>
          <w:rFonts w:ascii="Arial" w:cs="Arial" w:eastAsia="Arial" w:hAnsi="Arial"/>
          <w:sz w:val="18"/>
          <w:szCs w:val="18"/>
          <w:color w:val="auto"/>
        </w:rPr>
        <w:t>the Prospectus or for additional information; and, in the event of the issuance of any stop order or of any order preventing or suspending the use of any Preliminary Prospectus or other prospectus relating to the Shares or suspending any such qualification, to promptly use its reasonable best efforts to obtain the withdrawal of such order;</w:t>
      </w:r>
    </w:p>
    <w:p>
      <w:pPr>
        <w:spacing w:after="0" w:line="91" w:lineRule="exact"/>
        <w:rPr>
          <w:sz w:val="20"/>
          <w:szCs w:val="20"/>
          <w:color w:val="auto"/>
        </w:rPr>
      </w:pPr>
    </w:p>
    <w:p>
      <w:pPr>
        <w:jc w:val="both"/>
        <w:ind w:firstLine="1194"/>
        <w:spacing w:after="0" w:line="254" w:lineRule="auto"/>
        <w:tabs>
          <w:tab w:leader="none" w:pos="162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the Representatives may reasonably request to qualify the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subject itself to taxation for doing business in any jurisdiction in which it is not otherwise subject to taxation, or file a general consent to service of process in any jurisdiction (where not otherwise required);</w:t>
      </w:r>
    </w:p>
    <w:p>
      <w:pPr>
        <w:spacing w:after="0" w:line="104" w:lineRule="exact"/>
        <w:rPr>
          <w:rFonts w:ascii="Arial" w:cs="Arial" w:eastAsia="Arial" w:hAnsi="Arial"/>
          <w:sz w:val="18"/>
          <w:szCs w:val="18"/>
          <w:color w:val="auto"/>
        </w:rPr>
      </w:pPr>
    </w:p>
    <w:p>
      <w:pPr>
        <w:jc w:val="both"/>
        <w:ind w:firstLine="1194"/>
        <w:spacing w:after="0" w:line="248" w:lineRule="auto"/>
        <w:tabs>
          <w:tab w:leader="none" w:pos="16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Prior to 10:00 a.m., New York City time, on the New York Business Day next succeeding the date of this Agreement (or such later time as may be agreed by the Company and the Representatives)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111" w:lineRule="exact"/>
        <w:rPr>
          <w:rFonts w:ascii="Arial" w:cs="Arial" w:eastAsia="Arial" w:hAnsi="Arial"/>
          <w:sz w:val="18"/>
          <w:szCs w:val="18"/>
          <w:color w:val="auto"/>
        </w:rPr>
      </w:pPr>
    </w:p>
    <w:p>
      <w:pPr>
        <w:jc w:val="both"/>
        <w:ind w:firstLine="1194"/>
        <w:spacing w:after="0" w:line="256" w:lineRule="auto"/>
        <w:tabs>
          <w:tab w:leader="none" w:pos="170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03" w:lineRule="exact"/>
        <w:rPr>
          <w:rFonts w:ascii="Arial" w:cs="Arial" w:eastAsia="Arial" w:hAnsi="Arial"/>
          <w:sz w:val="18"/>
          <w:szCs w:val="18"/>
          <w:color w:val="auto"/>
        </w:rPr>
      </w:pPr>
    </w:p>
    <w:p>
      <w:pPr>
        <w:ind w:firstLine="1194"/>
        <w:spacing w:after="0" w:line="291" w:lineRule="auto"/>
        <w:tabs>
          <w:tab w:leader="none" w:pos="1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During the period beginning from the date hereof and continuing to and including the date 180 days after the date of the Prospectus (the "Company Lock-Up</w:t>
      </w:r>
    </w:p>
    <w:p>
      <w:pPr>
        <w:sectPr>
          <w:pgSz w:w="11900" w:h="16838" w:orient="portrait"/>
          <w:cols w:equalWidth="0" w:num="1">
            <w:col w:w="11240"/>
          </w:cols>
          <w:pgMar w:left="320" w:top="1307" w:right="339" w:bottom="1440" w:gutter="0" w:footer="0" w:header="0"/>
        </w:sectPr>
      </w:pPr>
    </w:p>
    <w:bookmarkStart w:id="258" w:name="page259"/>
    <w:bookmarkEnd w:id="258"/>
    <w:p>
      <w:pPr>
        <w:jc w:val="both"/>
        <w:spacing w:after="0" w:line="246" w:lineRule="auto"/>
        <w:rPr>
          <w:sz w:val="20"/>
          <w:szCs w:val="20"/>
          <w:color w:val="auto"/>
        </w:rPr>
      </w:pPr>
      <w:r>
        <w:rPr>
          <w:rFonts w:ascii="Arial" w:cs="Arial" w:eastAsia="Arial" w:hAnsi="Arial"/>
          <w:sz w:val="18"/>
          <w:szCs w:val="18"/>
          <w:color w:val="auto"/>
        </w:rPr>
        <w:t>Period"), not to (A)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(B) enter into, or publicly disclose the intention to enter into, any swap or other agreement that transfers, in whole or in part, any of the economic consequences of ownership of the Stock or any such other securities, whether any such transaction described in clause (A) or (B) above is to be settled by delivery of Stock or such other securities, in cash or otherwise, without the prior written consent of at least the two of the Representatives (the "Requisite Release Agents"); provided, however, that the foregoing restrictions shall not apply to (i) Shares to be sold hereunder, (ii) the issuance by the Company of common stock upon the exercise of options or the settlement of restricted stock units either outstanding as of the date of this Agreement or issued after the date of this Agreement pursuant to the Company's equity plans described in the Pricing Prospectus and Prospectus, (iii) the issuance by the Company of shares of common stock or securities convertible into, exchangeable for or that represent that right to receive shares of common stock, in each case pursuant to the Company's equity plans described in the Pricing Prospectus and Prospectus, (iv) the issuance by the Company of shares of common stock pursuant to the exercise of outstanding warrants described in the Pricing Prospectus and Prospectus, (v) the issuance by the Company of shares of Class A common stock upon the conversion of shares of Class B common stock, (vi) the issuance by the Company of shares of Class A common stock or securities convertible into, exchangeable for or that represent the right to receive shares of Class A common stock in connection with (x) the acquisition by the Company or any of its subsidiaries of the securities, businesses, technology, property or other assets of another person or entity or pursuant to an employee benefit plan assumed by the Company in connection with such acquisition, and the issuance of any such securities pursuant to any such agreement, or (y) the Company's joint ventures, commercial relationships and other strategic relationships, or (vii) the filing of any registration statement on Form S-8 relating to the securities granted or to be granted pursuant to (A) the Company's equity plans that are described in the Pricing Prospectus and Prospectus or (B) any assumed employee benefit plan contemplated by clause (vi); provided, that the aggregate number of shares of Stock that the Company may sell or issue or agree to sell or issue pursuant to clause (vi) shall not exceed 10% of the total number of shares of common stock of the Company outstanding immediately following the issuance of the Shares contemplated by this Agreement; and provided further, that in the case of clauses (ii), (iii) and (iv), the Company shall cause each recipient of such securities to execute and deliver to the Representatives, on or prior to the issuance of such securities, a lock-up letter in substantially the form attached as Annex II hereto, provided that the Company shall enter stop transfer instructions with the Company's transfer agent and registrar on such securities, which the Company agrees it will not waive or amend without the prior written consent of the Requisite Release Agents.</w:t>
      </w:r>
    </w:p>
    <w:p>
      <w:pPr>
        <w:spacing w:after="0" w:line="344" w:lineRule="exact"/>
        <w:rPr>
          <w:sz w:val="20"/>
          <w:szCs w:val="20"/>
          <w:color w:val="auto"/>
        </w:rPr>
      </w:pPr>
    </w:p>
    <w:p>
      <w:pPr>
        <w:jc w:val="both"/>
        <w:ind w:left="600" w:firstLine="1191"/>
        <w:spacing w:after="0" w:line="260" w:lineRule="auto"/>
        <w:tabs>
          <w:tab w:leader="none" w:pos="227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 Requisite Release Agents, in their sole discretion, agree to release or waive the restrictions in lock-up letters pursuant to Section 8(h) hereof, in each case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Annex I hereto through a</w:t>
      </w:r>
    </w:p>
    <w:p>
      <w:pPr>
        <w:sectPr>
          <w:pgSz w:w="11900" w:h="16838" w:orient="portrait"/>
          <w:cols w:equalWidth="0" w:num="1">
            <w:col w:w="11240"/>
          </w:cols>
          <w:pgMar w:left="320" w:top="1307" w:right="339" w:bottom="1440" w:gutter="0" w:footer="0" w:header="0"/>
        </w:sectPr>
      </w:pPr>
    </w:p>
    <w:bookmarkStart w:id="259" w:name="page260"/>
    <w:bookmarkEnd w:id="259"/>
    <w:p>
      <w:pPr>
        <w:ind w:left="600"/>
        <w:spacing w:after="0"/>
        <w:rPr>
          <w:sz w:val="20"/>
          <w:szCs w:val="20"/>
          <w:color w:val="auto"/>
        </w:rPr>
      </w:pPr>
      <w:r>
        <w:rPr>
          <w:rFonts w:ascii="Arial" w:cs="Arial" w:eastAsia="Arial" w:hAnsi="Arial"/>
          <w:sz w:val="18"/>
          <w:szCs w:val="18"/>
          <w:color w:val="auto"/>
        </w:rPr>
        <w:t>major news service at least two business days before the effective date of the release or waiver;</w:t>
      </w:r>
    </w:p>
    <w:p>
      <w:pPr>
        <w:spacing w:after="0" w:line="154" w:lineRule="exact"/>
        <w:rPr>
          <w:sz w:val="20"/>
          <w:szCs w:val="20"/>
          <w:color w:val="auto"/>
        </w:rPr>
      </w:pPr>
    </w:p>
    <w:p>
      <w:pPr>
        <w:jc w:val="both"/>
        <w:ind w:firstLine="1194"/>
        <w:spacing w:after="0" w:line="251" w:lineRule="auto"/>
        <w:tabs>
          <w:tab w:leader="none" w:pos="158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5(f) to the extent that they are available on EDGAR or the provision of which would require disclosure by the Company under Regulation FD;</w:t>
      </w:r>
    </w:p>
    <w:p>
      <w:pPr>
        <w:spacing w:after="0" w:line="109" w:lineRule="exact"/>
        <w:rPr>
          <w:rFonts w:ascii="Arial" w:cs="Arial" w:eastAsia="Arial" w:hAnsi="Arial"/>
          <w:sz w:val="18"/>
          <w:szCs w:val="18"/>
          <w:color w:val="auto"/>
        </w:rPr>
      </w:pPr>
    </w:p>
    <w:p>
      <w:pPr>
        <w:jc w:val="both"/>
        <w:ind w:firstLine="1194"/>
        <w:spacing w:after="0" w:line="251" w:lineRule="auto"/>
        <w:tabs>
          <w:tab w:leader="none" w:pos="16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During a period of three years from the effective date of the Registration Statement and only so long as the Company is subject to the 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5(g) to the extent that they are available on EDGAR;</w:t>
      </w:r>
    </w:p>
    <w:p>
      <w:pPr>
        <w:spacing w:after="0" w:line="109" w:lineRule="exact"/>
        <w:rPr>
          <w:rFonts w:ascii="Arial" w:cs="Arial" w:eastAsia="Arial" w:hAnsi="Arial"/>
          <w:sz w:val="18"/>
          <w:szCs w:val="18"/>
          <w:color w:val="auto"/>
        </w:rPr>
      </w:pPr>
    </w:p>
    <w:p>
      <w:pPr>
        <w:ind w:firstLine="1194"/>
        <w:spacing w:after="0" w:line="291" w:lineRule="auto"/>
        <w:tabs>
          <w:tab w:leader="none" w:pos="163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70" w:lineRule="exact"/>
        <w:rPr>
          <w:rFonts w:ascii="Arial" w:cs="Arial" w:eastAsia="Arial" w:hAnsi="Arial"/>
          <w:sz w:val="18"/>
          <w:szCs w:val="18"/>
          <w:color w:val="auto"/>
        </w:rPr>
      </w:pPr>
    </w:p>
    <w:p>
      <w:pPr>
        <w:ind w:left="1560" w:hanging="366"/>
        <w:spacing w:after="0"/>
        <w:tabs>
          <w:tab w:leader="none" w:pos="15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use its reasonable best efforts to list for trading, subject to official notice of issuance, the Shares on the Exchange;</w:t>
      </w:r>
    </w:p>
    <w:p>
      <w:pPr>
        <w:spacing w:after="0" w:line="153" w:lineRule="exact"/>
        <w:rPr>
          <w:rFonts w:ascii="Arial" w:cs="Arial" w:eastAsia="Arial" w:hAnsi="Arial"/>
          <w:sz w:val="18"/>
          <w:szCs w:val="18"/>
          <w:color w:val="auto"/>
        </w:rPr>
      </w:pPr>
    </w:p>
    <w:p>
      <w:pPr>
        <w:ind w:left="1600" w:hanging="406"/>
        <w:spacing w:after="0"/>
        <w:tabs>
          <w:tab w:leader="none" w:pos="16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w:t>
      </w:r>
    </w:p>
    <w:p>
      <w:pPr>
        <w:spacing w:after="0" w:line="2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Act;</w:t>
      </w:r>
    </w:p>
    <w:p>
      <w:pPr>
        <w:spacing w:after="0" w:line="129" w:lineRule="exact"/>
        <w:rPr>
          <w:rFonts w:ascii="Arial" w:cs="Arial" w:eastAsia="Arial" w:hAnsi="Arial"/>
          <w:sz w:val="18"/>
          <w:szCs w:val="18"/>
          <w:color w:val="auto"/>
        </w:rPr>
      </w:pPr>
    </w:p>
    <w:p>
      <w:pPr>
        <w:jc w:val="both"/>
        <w:ind w:firstLine="1194"/>
        <w:spacing w:after="0" w:line="260" w:lineRule="auto"/>
        <w:tabs>
          <w:tab w:leader="none" w:pos="164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98" w:lineRule="exact"/>
        <w:rPr>
          <w:rFonts w:ascii="Arial" w:cs="Arial" w:eastAsia="Arial" w:hAnsi="Arial"/>
          <w:sz w:val="18"/>
          <w:szCs w:val="18"/>
          <w:color w:val="auto"/>
        </w:rPr>
      </w:pPr>
    </w:p>
    <w:p>
      <w:pPr>
        <w:ind w:firstLine="1194"/>
        <w:spacing w:after="0" w:line="291" w:lineRule="auto"/>
        <w:tabs>
          <w:tab w:leader="none" w:pos="157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promptly notify the Representatives if the Company ceases to be an Emerging Growth Company at any time prior to the later of (i) completion of the distribution of the Shares within the meaning of the Act and (ii) the last Time of Delivery; and</w:t>
      </w:r>
    </w:p>
    <w:p>
      <w:pPr>
        <w:sectPr>
          <w:pgSz w:w="11900" w:h="16838" w:orient="portrait"/>
          <w:cols w:equalWidth="0" w:num="1">
            <w:col w:w="11240"/>
          </w:cols>
          <w:pgMar w:left="320" w:top="1307" w:right="339" w:bottom="1440" w:gutter="0" w:footer="0" w:header="0"/>
        </w:sectPr>
      </w:pPr>
    </w:p>
    <w:bookmarkStart w:id="260" w:name="page261"/>
    <w:bookmarkEnd w:id="260"/>
    <w:p>
      <w:pPr>
        <w:ind w:firstLine="1194"/>
        <w:spacing w:after="0" w:line="291" w:lineRule="auto"/>
        <w:tabs>
          <w:tab w:leader="none" w:pos="169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laws, rules and regulations in each jurisdiction in which the Directed Shares are offered in connection with the Directed Share Program.</w:t>
      </w:r>
    </w:p>
    <w:p>
      <w:pPr>
        <w:spacing w:after="0" w:line="70" w:lineRule="exact"/>
        <w:rPr>
          <w:rFonts w:ascii="Arial" w:cs="Arial" w:eastAsia="Arial" w:hAnsi="Arial"/>
          <w:sz w:val="18"/>
          <w:szCs w:val="18"/>
          <w:color w:val="auto"/>
        </w:rPr>
      </w:pPr>
    </w:p>
    <w:p>
      <w:pPr>
        <w:jc w:val="both"/>
        <w:ind w:firstLine="597"/>
        <w:spacing w:after="0" w:line="256" w:lineRule="auto"/>
        <w:tabs>
          <w:tab w:leader="none" w:pos="11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103" w:lineRule="exact"/>
        <w:rPr>
          <w:rFonts w:ascii="Arial" w:cs="Arial" w:eastAsia="Arial" w:hAnsi="Arial"/>
          <w:sz w:val="18"/>
          <w:szCs w:val="18"/>
          <w:color w:val="auto"/>
        </w:rPr>
      </w:pPr>
    </w:p>
    <w:p>
      <w:pPr>
        <w:jc w:val="both"/>
        <w:ind w:firstLine="1194"/>
        <w:spacing w:after="0" w:line="260" w:lineRule="auto"/>
        <w:tabs>
          <w:tab w:leader="none" w:pos="164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98" w:lineRule="exact"/>
        <w:rPr>
          <w:rFonts w:ascii="Arial" w:cs="Arial" w:eastAsia="Arial" w:hAnsi="Arial"/>
          <w:sz w:val="18"/>
          <w:szCs w:val="18"/>
          <w:color w:val="auto"/>
        </w:rPr>
      </w:pPr>
    </w:p>
    <w:p>
      <w:pPr>
        <w:jc w:val="both"/>
        <w:ind w:firstLine="1194"/>
        <w:spacing w:after="0" w:line="251" w:lineRule="auto"/>
        <w:tabs>
          <w:tab w:leader="none" w:pos="161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or Written Testing-the-Waters Communication made in reliance upon and in conformity with Underwriter Information;</w:t>
      </w:r>
    </w:p>
    <w:p>
      <w:pPr>
        <w:spacing w:after="0" w:line="104" w:lineRule="exact"/>
        <w:rPr>
          <w:rFonts w:ascii="Arial" w:cs="Arial" w:eastAsia="Arial" w:hAnsi="Arial"/>
          <w:sz w:val="18"/>
          <w:szCs w:val="18"/>
          <w:color w:val="auto"/>
        </w:rPr>
      </w:pPr>
    </w:p>
    <w:p>
      <w:pPr>
        <w:jc w:val="both"/>
        <w:ind w:firstLine="1194"/>
        <w:spacing w:after="0" w:line="253" w:lineRule="auto"/>
        <w:tabs>
          <w:tab w:leader="none" w:pos="16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 other than those distributed with the prior consent of the Representatives that are listed on Schedule II(c) hereto; and the Company reconfirms that the Underwriters have been authorized to act on its behalf in engaging in Testing-the-Waters Communications;</w:t>
      </w:r>
    </w:p>
    <w:p>
      <w:pPr>
        <w:spacing w:after="0" w:line="102" w:lineRule="exact"/>
        <w:rPr>
          <w:rFonts w:ascii="Arial" w:cs="Arial" w:eastAsia="Arial" w:hAnsi="Arial"/>
          <w:sz w:val="18"/>
          <w:szCs w:val="18"/>
          <w:color w:val="auto"/>
        </w:rPr>
      </w:pPr>
    </w:p>
    <w:p>
      <w:pPr>
        <w:jc w:val="both"/>
        <w:ind w:firstLine="1194"/>
        <w:spacing w:after="0" w:line="268" w:lineRule="auto"/>
        <w:tabs>
          <w:tab w:leader="none" w:pos="173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90" w:lineRule="exact"/>
        <w:rPr>
          <w:rFonts w:ascii="Arial" w:cs="Arial" w:eastAsia="Arial" w:hAnsi="Arial"/>
          <w:sz w:val="18"/>
          <w:szCs w:val="18"/>
          <w:color w:val="auto"/>
        </w:rPr>
      </w:pPr>
    </w:p>
    <w:p>
      <w:pPr>
        <w:ind w:left="1180" w:hanging="583"/>
        <w:spacing w:after="0"/>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covenants and agrees with the several Underwriters that (a) the Company will pay or cause to be paid the</w:t>
      </w:r>
    </w:p>
    <w:p>
      <w:pPr>
        <w:spacing w:after="0" w:line="2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following: (i) the fees, disbursements and expenses of</w:t>
      </w:r>
    </w:p>
    <w:p>
      <w:pPr>
        <w:sectPr>
          <w:pgSz w:w="11900" w:h="16838" w:orient="portrait"/>
          <w:cols w:equalWidth="0" w:num="1">
            <w:col w:w="11240"/>
          </w:cols>
          <w:pgMar w:left="320" w:top="1307" w:right="339" w:bottom="1440" w:gutter="0" w:footer="0" w:header="0"/>
        </w:sectPr>
      </w:pPr>
    </w:p>
    <w:bookmarkStart w:id="261" w:name="page262"/>
    <w:bookmarkEnd w:id="261"/>
    <w:p>
      <w:pPr>
        <w:jc w:val="both"/>
        <w:spacing w:after="0" w:line="247" w:lineRule="auto"/>
        <w:rPr>
          <w:sz w:val="20"/>
          <w:szCs w:val="20"/>
          <w:color w:val="auto"/>
        </w:rPr>
      </w:pPr>
      <w:r>
        <w:rPr>
          <w:rFonts w:ascii="Arial" w:cs="Arial" w:eastAsia="Arial" w:hAnsi="Arial"/>
          <w:sz w:val="18"/>
          <w:szCs w:val="18"/>
          <w:color w:val="auto"/>
        </w:rPr>
        <w:t>the Company's counsel and accountants incurred in connection with the registration of the Shares under the Act and all other expenses incurred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if any, closing documents (including any compilations thereof) and any other documents in connection with the offering, purchase, sale and delivery of the Shares; (iii) all expenses incurred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which fees shall not exceed $5,000; (iv) all fees and expenses in connection with listing the Shares on the Exchange; (v) the filing fees incident to, and the reasonable and documented fees and disbursements of counsel for the Underwriters in connection with, any required review by the Financial Industry Regulatory Authority ("FINRA") of the terms of the sale of the Shares, which fees shall not exceed $15,000; and (b) the Company will pay or cause to be paid: (i) the cost of preparing stock certificates; if applicable (ii) the cost and charges of any transfer agent or registrar, (iii) the costs and expenses of the Company relating to investor presentations on any "road show" undertaken in connection with the marketing of the Shares, including without limitation, expenses associated with the production of road show slides, graphics and videos, fees and expenses of any consultants engaged in connection with the road show presentations, travel and lodging expenses of the representatives and officers of the Company, and the cost of aircraft and other transportation chartered in connection with the road show; and (iv) all other costs and expenses incident to the performance of its obligations hereunder which are not otherwise specifically provided for in this Section. In addition, the Company shall pay or cause to be paid all fees and disbursements of counsel for the Underwriters in connection with the Directed Share Program and stamp duties, similar taxes or duties or other taxes, if any, incurred by the Underwriters in connection with the Directed Share Program. It is understood, however, that, except as provided in this Section, and Sections 9 and 12 hereof, the Underwriters will pay all of their own costs and expenses, including their own lodging, travel and meal expenses (including meal expenses for potential investors) in connection with any roadshow, the fees of their counsel, stock transfer taxes on resale of any of the Shares by them, and any advertising expenses connected with any offers they may make.</w:t>
      </w:r>
    </w:p>
    <w:p>
      <w:pPr>
        <w:spacing w:after="0" w:line="115" w:lineRule="exact"/>
        <w:rPr>
          <w:sz w:val="20"/>
          <w:szCs w:val="20"/>
          <w:color w:val="auto"/>
        </w:rPr>
      </w:pPr>
    </w:p>
    <w:p>
      <w:pPr>
        <w:jc w:val="both"/>
        <w:ind w:firstLine="597"/>
        <w:spacing w:after="0" w:line="260" w:lineRule="auto"/>
        <w:tabs>
          <w:tab w:leader="none" w:pos="118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98" w:lineRule="exact"/>
        <w:rPr>
          <w:rFonts w:ascii="Arial" w:cs="Arial" w:eastAsia="Arial" w:hAnsi="Arial"/>
          <w:sz w:val="18"/>
          <w:szCs w:val="18"/>
          <w:color w:val="auto"/>
        </w:rPr>
      </w:pPr>
    </w:p>
    <w:p>
      <w:pPr>
        <w:jc w:val="both"/>
        <w:ind w:firstLine="1194"/>
        <w:spacing w:after="0" w:line="256" w:lineRule="auto"/>
        <w:tabs>
          <w:tab w:leader="none" w:pos="163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w:t>
      </w:r>
    </w:p>
    <w:p>
      <w:pPr>
        <w:sectPr>
          <w:pgSz w:w="11900" w:h="16838" w:orient="portrait"/>
          <w:cols w:equalWidth="0" w:num="1">
            <w:col w:w="11240"/>
          </w:cols>
          <w:pgMar w:left="320" w:top="1307" w:right="339" w:bottom="1440" w:gutter="0" w:footer="0" w:header="0"/>
        </w:sectPr>
      </w:pPr>
    </w:p>
    <w:bookmarkStart w:id="262" w:name="page263"/>
    <w:bookmarkEnd w:id="262"/>
    <w:p>
      <w:pPr>
        <w:jc w:val="both"/>
        <w:spacing w:after="0" w:line="256" w:lineRule="auto"/>
        <w:rPr>
          <w:sz w:val="20"/>
          <w:szCs w:val="20"/>
          <w:color w:val="auto"/>
        </w:rPr>
      </w:pPr>
      <w:r>
        <w:rPr>
          <w:rFonts w:ascii="Arial" w:cs="Arial" w:eastAsia="Arial" w:hAnsi="Arial"/>
          <w:sz w:val="18"/>
          <w:szCs w:val="18"/>
          <w:color w:val="auto"/>
        </w:rPr>
        <w:t>Agreement; no stop order suspending the effectiveness of the Registration Statement or any part thereof shall have been issued and no proceeding for that purpose or pursuant to Section 8A under the Act shall have been initiated or threatened by the Commission no stop order suspending or preventing the use of the Pricing Prospectus, the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103" w:lineRule="exact"/>
        <w:rPr>
          <w:sz w:val="20"/>
          <w:szCs w:val="20"/>
          <w:color w:val="auto"/>
        </w:rPr>
      </w:pPr>
    </w:p>
    <w:p>
      <w:pPr>
        <w:jc w:val="both"/>
        <w:ind w:firstLine="1194"/>
        <w:spacing w:after="0" w:line="268" w:lineRule="auto"/>
        <w:tabs>
          <w:tab w:leader="none" w:pos="16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Wilson Sonsini Goodrich &amp; Rosati, P.C., counsel for the Underwriters, shall have furnished to the Representatives their written opinion and negative assurance letter, dated such Time of Delivery, in form and substance satisfactory to the Representatives, and such counsel shall have received such papers and information as they may reasonably request to enable them to pass upon such matters;</w:t>
      </w:r>
    </w:p>
    <w:p>
      <w:pPr>
        <w:spacing w:after="0" w:line="90" w:lineRule="exact"/>
        <w:rPr>
          <w:rFonts w:ascii="Arial" w:cs="Arial" w:eastAsia="Arial" w:hAnsi="Arial"/>
          <w:sz w:val="18"/>
          <w:szCs w:val="18"/>
          <w:color w:val="auto"/>
        </w:rPr>
      </w:pPr>
    </w:p>
    <w:p>
      <w:pPr>
        <w:ind w:firstLine="1194"/>
        <w:spacing w:after="0" w:line="291" w:lineRule="auto"/>
        <w:tabs>
          <w:tab w:leader="none" w:pos="1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Goodwin Procter LLP, counsel for the Company, shall have furnished to the Representatives their written opinion and negative assurance letter, dated such Time of Delivery, in form and substance satisfactory to you;</w:t>
      </w:r>
    </w:p>
    <w:p>
      <w:pPr>
        <w:spacing w:after="0" w:line="70" w:lineRule="exact"/>
        <w:rPr>
          <w:rFonts w:ascii="Arial" w:cs="Arial" w:eastAsia="Arial" w:hAnsi="Arial"/>
          <w:sz w:val="18"/>
          <w:szCs w:val="18"/>
          <w:color w:val="auto"/>
        </w:rPr>
      </w:pPr>
    </w:p>
    <w:p>
      <w:pPr>
        <w:jc w:val="both"/>
        <w:ind w:firstLine="1194"/>
        <w:spacing w:after="0" w:line="260" w:lineRule="auto"/>
        <w:tabs>
          <w:tab w:leader="none" w:pos="163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the date of the Prospectus and concurrently with the execution of this Agreement, at 9:30 a.m., New York City time, on the effective date of any post-effective amendment to the Registration Statement filed subsequent to the date of this Agreement and also at each Time of Delivery, KPMG LLP shall have furnished to the Representatives a letter or letters, dated the respective dates of delivery thereof, in form and substance satisfactory to the Representatives;</w:t>
      </w:r>
    </w:p>
    <w:p>
      <w:pPr>
        <w:spacing w:after="0" w:line="98" w:lineRule="exact"/>
        <w:rPr>
          <w:rFonts w:ascii="Arial" w:cs="Arial" w:eastAsia="Arial" w:hAnsi="Arial"/>
          <w:sz w:val="18"/>
          <w:szCs w:val="18"/>
          <w:color w:val="auto"/>
        </w:rPr>
      </w:pPr>
    </w:p>
    <w:p>
      <w:pPr>
        <w:jc w:val="both"/>
        <w:ind w:firstLine="1194"/>
        <w:spacing w:after="0" w:line="248" w:lineRule="auto"/>
        <w:tabs>
          <w:tab w:leader="none" w:pos="171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(A) the grant, exercise, settlement or vesting of stock options or the award of stock options, restricted stock units or restricted stock or other awards pursuant to the Company's equity plans described in the Pricing Prospectus and Prospectus, (B) the repurchase of shares of capital stock upon termination of a holder's employment or service with the Company pursuant to agreements providing for an option to repurchase or a right of first refusal on behalf of the Company, or (C) the issuance, if any, of capital stock upon exercise or conversion of Company securities as described in the Pricing Prospectus and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ectPr>
          <w:pgSz w:w="11900" w:h="16838" w:orient="portrait"/>
          <w:cols w:equalWidth="0" w:num="1">
            <w:col w:w="11240"/>
          </w:cols>
          <w:pgMar w:left="320" w:top="1307" w:right="339" w:bottom="1440" w:gutter="0" w:footer="0" w:header="0"/>
        </w:sectPr>
      </w:pPr>
    </w:p>
    <w:bookmarkStart w:id="263" w:name="page264"/>
    <w:bookmarkEnd w:id="263"/>
    <w:p>
      <w:pPr>
        <w:jc w:val="both"/>
        <w:ind w:firstLine="1194"/>
        <w:spacing w:after="0" w:line="251" w:lineRule="auto"/>
        <w:tabs>
          <w:tab w:leader="none" w:pos="158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or the New York Stock Exchange; (iii) a general moratorium on commercial banking activities declared by either Federal or New York or California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04" w:lineRule="exact"/>
        <w:rPr>
          <w:rFonts w:ascii="Arial" w:cs="Arial" w:eastAsia="Arial" w:hAnsi="Arial"/>
          <w:sz w:val="18"/>
          <w:szCs w:val="18"/>
          <w:color w:val="auto"/>
        </w:rPr>
      </w:pPr>
    </w:p>
    <w:p>
      <w:pPr>
        <w:ind w:left="1620" w:hanging="426"/>
        <w:spacing w:after="0"/>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subject to official notice of issuance, on the</w:t>
      </w:r>
    </w:p>
    <w:p>
      <w:pPr>
        <w:spacing w:after="0" w:line="2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Exchange;</w:t>
      </w:r>
    </w:p>
    <w:p>
      <w:pPr>
        <w:spacing w:after="0" w:line="129" w:lineRule="exact"/>
        <w:rPr>
          <w:rFonts w:ascii="Arial" w:cs="Arial" w:eastAsia="Arial" w:hAnsi="Arial"/>
          <w:sz w:val="18"/>
          <w:szCs w:val="18"/>
          <w:color w:val="auto"/>
        </w:rPr>
      </w:pPr>
    </w:p>
    <w:p>
      <w:pPr>
        <w:jc w:val="both"/>
        <w:ind w:firstLine="1194"/>
        <w:spacing w:after="0" w:line="268" w:lineRule="auto"/>
        <w:tabs>
          <w:tab w:leader="none" w:pos="167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agreement from (i) each member of the Company's board of directors, (ii) each executive officer of the Company and (iii) substantially all of the other holders of the Company's securities, substantially to the effect set forth in Annex II hereto;</w:t>
      </w:r>
    </w:p>
    <w:p>
      <w:pPr>
        <w:spacing w:after="0" w:line="90" w:lineRule="exact"/>
        <w:rPr>
          <w:rFonts w:ascii="Arial" w:cs="Arial" w:eastAsia="Arial" w:hAnsi="Arial"/>
          <w:sz w:val="18"/>
          <w:szCs w:val="18"/>
          <w:color w:val="auto"/>
        </w:rPr>
      </w:pPr>
    </w:p>
    <w:p>
      <w:pPr>
        <w:ind w:firstLine="1194"/>
        <w:spacing w:after="0" w:line="291" w:lineRule="auto"/>
        <w:tabs>
          <w:tab w:leader="none" w:pos="174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w:t>
      </w:r>
    </w:p>
    <w:p>
      <w:pPr>
        <w:spacing w:after="0" w:line="70" w:lineRule="exact"/>
        <w:rPr>
          <w:rFonts w:ascii="Arial" w:cs="Arial" w:eastAsia="Arial" w:hAnsi="Arial"/>
          <w:sz w:val="18"/>
          <w:szCs w:val="18"/>
          <w:color w:val="auto"/>
        </w:rPr>
      </w:pPr>
    </w:p>
    <w:p>
      <w:pPr>
        <w:jc w:val="both"/>
        <w:ind w:firstLine="1194"/>
        <w:spacing w:after="0" w:line="254" w:lineRule="auto"/>
        <w:tabs>
          <w:tab w:leader="none" w:pos="170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their respective obligations hereunder to be performed at or prior to such Time of Delivery, and as to such other matters as the Representatives may reasonably request, and the Company shall have furnished or caused to be furnished certificates as to the matters set forth in subsections (a) and (f) of this Section 8; and</w:t>
      </w:r>
    </w:p>
    <w:p>
      <w:pPr>
        <w:spacing w:after="0" w:line="104" w:lineRule="exact"/>
        <w:rPr>
          <w:rFonts w:ascii="Arial" w:cs="Arial" w:eastAsia="Arial" w:hAnsi="Arial"/>
          <w:sz w:val="18"/>
          <w:szCs w:val="18"/>
          <w:color w:val="auto"/>
        </w:rPr>
      </w:pPr>
    </w:p>
    <w:p>
      <w:pPr>
        <w:jc w:val="both"/>
        <w:ind w:firstLine="1194"/>
        <w:spacing w:after="0" w:line="268" w:lineRule="auto"/>
        <w:tabs>
          <w:tab w:leader="none" w:pos="161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chief financial officer of the Company shall have furnished to the Representatives a certificate as to the accuracy of certain financial and other information included in the Registration Statement, the Pricing Prospectus and the Prospectus, dated as of such Time of Delivery, in form and substance satisfactory to the Representatives.</w:t>
      </w:r>
    </w:p>
    <w:p>
      <w:pPr>
        <w:spacing w:after="0" w:line="90" w:lineRule="exact"/>
        <w:rPr>
          <w:rFonts w:ascii="Arial" w:cs="Arial" w:eastAsia="Arial" w:hAnsi="Arial"/>
          <w:sz w:val="18"/>
          <w:szCs w:val="18"/>
          <w:color w:val="auto"/>
        </w:rPr>
      </w:pPr>
    </w:p>
    <w:p>
      <w:pPr>
        <w:jc w:val="both"/>
        <w:ind w:firstLine="597"/>
        <w:spacing w:after="0" w:line="251" w:lineRule="auto"/>
        <w:tabs>
          <w:tab w:leader="none" w:pos="11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w:t>
      </w:r>
    </w:p>
    <w:p>
      <w:pPr>
        <w:sectPr>
          <w:pgSz w:w="11900" w:h="16838" w:orient="portrait"/>
          <w:cols w:equalWidth="0" w:num="1">
            <w:col w:w="11240"/>
          </w:cols>
          <w:pgMar w:left="320" w:top="1307" w:right="339" w:bottom="1440" w:gutter="0" w:footer="0" w:header="0"/>
        </w:sectPr>
      </w:pPr>
    </w:p>
    <w:bookmarkStart w:id="264" w:name="page265"/>
    <w:bookmarkEnd w:id="264"/>
    <w:p>
      <w:pPr>
        <w:jc w:val="both"/>
        <w:spacing w:after="0" w:line="254" w:lineRule="auto"/>
        <w:rPr>
          <w:sz w:val="20"/>
          <w:szCs w:val="20"/>
          <w:color w:val="auto"/>
        </w:rPr>
      </w:pPr>
      <w:r>
        <w:rPr>
          <w:rFonts w:ascii="Arial" w:cs="Arial" w:eastAsia="Arial" w:hAnsi="Arial"/>
          <w:sz w:val="18"/>
          <w:szCs w:val="18"/>
          <w:color w:val="auto"/>
        </w:rPr>
        <w:t>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 show" as defined under Rule 433(h) of the Act or any Testing-the-Waters Communication, in reliance upon and in conformity with the Underwriter Information.</w:t>
      </w:r>
    </w:p>
    <w:p>
      <w:pPr>
        <w:spacing w:after="0" w:line="104" w:lineRule="exact"/>
        <w:rPr>
          <w:sz w:val="20"/>
          <w:szCs w:val="20"/>
          <w:color w:val="auto"/>
        </w:rPr>
      </w:pPr>
    </w:p>
    <w:p>
      <w:pPr>
        <w:jc w:val="both"/>
        <w:ind w:firstLine="1194"/>
        <w:spacing w:after="0" w:line="248" w:lineRule="auto"/>
        <w:tabs>
          <w:tab w:leader="none" w:pos="165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ninth paragraph under the caption "Underwriting".</w:t>
      </w:r>
    </w:p>
    <w:p>
      <w:pPr>
        <w:spacing w:after="0" w:line="111" w:lineRule="exact"/>
        <w:rPr>
          <w:rFonts w:ascii="Arial" w:cs="Arial" w:eastAsia="Arial" w:hAnsi="Arial"/>
          <w:sz w:val="18"/>
          <w:szCs w:val="18"/>
          <w:color w:val="auto"/>
        </w:rPr>
      </w:pPr>
    </w:p>
    <w:p>
      <w:pPr>
        <w:jc w:val="both"/>
        <w:ind w:firstLine="1194"/>
        <w:spacing w:after="0" w:line="250" w:lineRule="auto"/>
        <w:tabs>
          <w:tab w:leader="none" w:pos="183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subsection (a) or (b)of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w:t>
      </w:r>
    </w:p>
    <w:p>
      <w:pPr>
        <w:sectPr>
          <w:pgSz w:w="11900" w:h="16838" w:orient="portrait"/>
          <w:cols w:equalWidth="0" w:num="1">
            <w:col w:w="11240"/>
          </w:cols>
          <w:pgMar w:left="320" w:top="1307" w:right="339" w:bottom="1440" w:gutter="0" w:footer="0" w:header="0"/>
        </w:sectPr>
      </w:pPr>
    </w:p>
    <w:bookmarkStart w:id="265" w:name="page266"/>
    <w:bookmarkEnd w:id="265"/>
    <w:p>
      <w:pPr>
        <w:jc w:val="both"/>
        <w:spacing w:after="0" w:line="251" w:lineRule="auto"/>
        <w:rPr>
          <w:sz w:val="20"/>
          <w:szCs w:val="20"/>
          <w:color w:val="auto"/>
        </w:rPr>
      </w:pPr>
      <w:r>
        <w:rPr>
          <w:rFonts w:ascii="Arial" w:cs="Arial" w:eastAsia="Arial" w:hAnsi="Arial"/>
          <w:sz w:val="18"/>
          <w:szCs w:val="18"/>
          <w:color w:val="auto"/>
        </w:rPr>
        <w:t>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05" w:lineRule="exact"/>
        <w:rPr>
          <w:sz w:val="20"/>
          <w:szCs w:val="20"/>
          <w:color w:val="auto"/>
        </w:rPr>
      </w:pPr>
    </w:p>
    <w:p>
      <w:pPr>
        <w:jc w:val="both"/>
        <w:ind w:firstLine="1194"/>
        <w:spacing w:after="0" w:line="247" w:lineRule="auto"/>
        <w:tabs>
          <w:tab w:leader="none" w:pos="162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w:t>
      </w:r>
    </w:p>
    <w:p>
      <w:pPr>
        <w:sectPr>
          <w:pgSz w:w="11900" w:h="16838" w:orient="portrait"/>
          <w:cols w:equalWidth="0" w:num="1">
            <w:col w:w="11240"/>
          </w:cols>
          <w:pgMar w:left="320" w:top="1307" w:right="339" w:bottom="1440" w:gutter="0" w:footer="0" w:header="0"/>
        </w:sectPr>
      </w:pPr>
    </w:p>
    <w:bookmarkStart w:id="266" w:name="page267"/>
    <w:bookmarkEnd w:id="266"/>
    <w:p>
      <w:pPr>
        <w:jc w:val="both"/>
        <w:spacing w:after="0" w:line="268" w:lineRule="auto"/>
        <w:rPr>
          <w:sz w:val="20"/>
          <w:szCs w:val="20"/>
          <w:color w:val="auto"/>
        </w:rPr>
      </w:pPr>
      <w:r>
        <w:rPr>
          <w:rFonts w:ascii="Arial" w:cs="Arial" w:eastAsia="Arial" w:hAnsi="Arial"/>
          <w:sz w:val="18"/>
          <w:szCs w:val="18"/>
          <w:color w:val="auto"/>
        </w:rPr>
        <w:t>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91" w:lineRule="exact"/>
        <w:rPr>
          <w:sz w:val="20"/>
          <w:szCs w:val="20"/>
          <w:color w:val="auto"/>
        </w:rPr>
      </w:pPr>
    </w:p>
    <w:p>
      <w:pPr>
        <w:jc w:val="both"/>
        <w:ind w:firstLine="1194"/>
        <w:spacing w:after="0" w:line="253" w:lineRule="auto"/>
        <w:tabs>
          <w:tab w:leader="none" w:pos="172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w:t>
      </w:r>
    </w:p>
    <w:p>
      <w:pPr>
        <w:spacing w:after="0" w:line="154" w:lineRule="exact"/>
        <w:rPr>
          <w:sz w:val="20"/>
          <w:szCs w:val="20"/>
          <w:color w:val="auto"/>
        </w:rPr>
      </w:pPr>
    </w:p>
    <w:p>
      <w:pPr>
        <w:jc w:val="both"/>
        <w:ind w:left="600" w:firstLine="1191"/>
        <w:spacing w:after="0" w:line="248" w:lineRule="auto"/>
        <w:tabs>
          <w:tab w:leader="none" w:pos="226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Company will indemnify and hold harmless the Directed Share Underwriter against any losses, claims, damages and liabilities to which the Directed Share Underwriter may become subject, under the Act or otherwise, insofar as such losses, claims damages or liabilities (or actions in respect thereof) (x) arise out of or are based upon an untrue statement or alleged untrue statement of a material fact contained in any material prepared by or with the consent of the Company for distribution to Participants in connection with the Directed Share Program or arise out of or are based upon the omission or alleged omission to state therein a material fact required to be stated therein or necessary to make the statements therein not misleading, (y) arise out of or are based upon the failure of any Participant to pay for and accept delivery of Directed Shares that the Participant agreed to purchase, or (z) are related to, arise out of or are in connection with the Directed Share Program, and will reimburse the Directed Share Underwriter for any legal or other expenses reasonably incurred by the Directed Share Underwriter in connection with investigating or defending any such action or claim as such expenses are incurred; provided, however, that with respect to clauses</w:t>
      </w:r>
    </w:p>
    <w:p>
      <w:pPr>
        <w:ind w:left="600" w:hanging="3"/>
        <w:spacing w:after="0" w:line="263" w:lineRule="auto"/>
        <w:tabs>
          <w:tab w:leader="none" w:pos="87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and (z) above, the Company shall not be liable in any such case to the extent that any such loss, claim, damage or liability is finally judicially determined to have resulted from the bad faith or gross negligence of the Directed Share Underwriter.</w:t>
      </w:r>
    </w:p>
    <w:p>
      <w:pPr>
        <w:spacing w:after="0" w:line="94" w:lineRule="exact"/>
        <w:rPr>
          <w:rFonts w:ascii="Arial" w:cs="Arial" w:eastAsia="Arial" w:hAnsi="Arial"/>
          <w:sz w:val="18"/>
          <w:szCs w:val="18"/>
          <w:color w:val="auto"/>
        </w:rPr>
      </w:pPr>
    </w:p>
    <w:p>
      <w:pPr>
        <w:jc w:val="both"/>
        <w:ind w:left="600" w:firstLine="1191"/>
        <w:spacing w:after="0" w:line="251" w:lineRule="auto"/>
        <w:tabs>
          <w:tab w:leader="none" w:pos="229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Promptly after receipt by the Directed Share Underwriter of notice of the commencement of any action, the Directed Share Underwriter shall, if a claim in respect thereof is to be made against the Company, notify the Company in writing of the commencement thereof; provided that the failure to notify the Company shall not relieve the Company from any liability that it may have under the preceding paragraph of this Section 9(f) except to the extent that it has been materially prejudiced (through the forfeiture of substantive rights or defenses) by such failure; and provided further that the failure to notify the Company shall not relieve it from any liability that it may have to the Directed Share Underwriter otherwise than under the preceding paragraph of this Section 9(f). In case any such action shall be brought against the Directed Share Underwriter and it shall notify the Company of the commencement thereof, the Company shall be entitled to participate therein and, to the extent that it shall wish, to assume the defense thereof, with counsel reasonably satisfactory to the Directed Share Underwriter</w:t>
      </w:r>
    </w:p>
    <w:p>
      <w:pPr>
        <w:sectPr>
          <w:pgSz w:w="11900" w:h="16838" w:orient="portrait"/>
          <w:cols w:equalWidth="0" w:num="1">
            <w:col w:w="11240"/>
          </w:cols>
          <w:pgMar w:left="320" w:top="1307" w:right="339" w:bottom="1440" w:gutter="0" w:footer="0" w:header="0"/>
        </w:sectPr>
      </w:pPr>
    </w:p>
    <w:bookmarkStart w:id="267" w:name="page268"/>
    <w:bookmarkEnd w:id="267"/>
    <w:p>
      <w:pPr>
        <w:jc w:val="both"/>
        <w:spacing w:after="0" w:line="250" w:lineRule="auto"/>
        <w:rPr>
          <w:sz w:val="20"/>
          <w:szCs w:val="20"/>
          <w:color w:val="auto"/>
        </w:rPr>
      </w:pPr>
      <w:r>
        <w:rPr>
          <w:rFonts w:ascii="Arial" w:cs="Arial" w:eastAsia="Arial" w:hAnsi="Arial"/>
          <w:sz w:val="18"/>
          <w:szCs w:val="18"/>
          <w:color w:val="auto"/>
        </w:rPr>
        <w:t>(who shall not, except with the consent of the Directed Share Underwriter, be counsel to the Company), and, after notice from the Company to the Directed Share Underwriter of its election so to assume the defense thereof, the Company shall not be liable to the Directed Share Underwriter under this subsection for any legal expenses of other counsel or any other expenses, in each case subsequently incurred by the Directed Share Underwriter, in connection with the defense thereof other than reasonable costs of investigation. The Company shall not, without the written consent of the Directed Share Underwriter, effect the settlement or compromise of, or consent to the entry of any judgment with respect to, any pending or threatened action or claim in respect of which indemnification or contribution may be sought hereunder (whether or not the Directed Share Underwriter is an actual or potential party to such action or claim) unless such settlement, compromise or judgment (x) includes an unconditional release of the Directed Share Underwriter from all liability arising out of such action or claim and (y) does not include a statement as to or an admission of fault, culpability or a failure to act, by or on behalf of the Directed Share Underwriter.</w:t>
      </w:r>
    </w:p>
    <w:p>
      <w:pPr>
        <w:spacing w:after="0" w:line="109" w:lineRule="exact"/>
        <w:rPr>
          <w:sz w:val="20"/>
          <w:szCs w:val="20"/>
          <w:color w:val="auto"/>
        </w:rPr>
      </w:pPr>
    </w:p>
    <w:p>
      <w:pPr>
        <w:jc w:val="both"/>
        <w:ind w:firstLine="1191"/>
        <w:spacing w:after="0" w:line="247" w:lineRule="auto"/>
        <w:tabs>
          <w:tab w:leader="none" w:pos="176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indemnification provided for in this Section 9(f) is unavailable to or insufficient to hold harmless the Directed Share Underwriter under Section 9(f)(i) above in respect of any losses, claims, damages or liabilities (or actions in respect thereof) referred to therein, then the Company shall contribute to the amount paid or payable by the Directed Share Underwriter as a result of such losses, claims, damages or liabilities (or actions in respect thereof) in such proportion as is appropriate to reflect the relative benefits received by the Company on the one hand and the Directed Share Underwriter on the other from the offering of the Directed Shares. If, however, the allocation provided by the immediately preceding sentence is not permitted by applicable law, then the Company shall contribute to such amount paid or payable by the Directed Share Underwriter in such proportion as is appropriate to reflect not only such relative benefits but also the relative fault of the Company on the one hand and the Directed Share Underwriter on the other in connection with any statements or omissions which resulted in such losses, claims, damages or liabilities (or actions in respect thereof), as well as any other relevant equitable considerations. The relative benefits received by the Company on the one hand and the Directed Share Underwriter on the other shall be deemed to be in the same proportion as the total net proceeds from the offering of the Directed Shares (before deducting expenses) received by the Company bear to the total underwriting discounts and commissions received by the Directed Share Underwriter for the Directed Shares. If the loss, claim, damage or liability arises out of or is based upon an untrue statement or alleged untrue statement of a material fact or arises out of or is based upon the omission or alleged omission to state therein a material fact required to be stated therein or necessary to make the statements therein not misleading, the relative fault shall be determined by reference to, among other things, whether the untrue or alleged untrue statement of a material fact or the omission or alleged omission to state a material fact relates to information supplied by the Company on the one hand or the Directed Share Underwriter on the other and the parties' relative intent, knowledge, access to information and opportunity to correct or prevent such statement or omission. The Company and the Directed Share Underwriter agree that it would not be just and equitable if contribution pursuant to this Section 9(f)(iii) were determined by pro rata allocation or by any other method of allocation which does not take account of the equitable considerations referred to above in this Section 9(f)(iii). The amount paid or payable by the Directed Share Underwriter as a result of the losses, claims, damages</w:t>
      </w:r>
    </w:p>
    <w:p>
      <w:pPr>
        <w:sectPr>
          <w:pgSz w:w="11900" w:h="16838" w:orient="portrait"/>
          <w:cols w:equalWidth="0" w:num="1">
            <w:col w:w="10640"/>
          </w:cols>
          <w:pgMar w:left="920" w:top="1307" w:right="339" w:bottom="1440" w:gutter="0" w:footer="0" w:header="0"/>
        </w:sectPr>
      </w:pPr>
    </w:p>
    <w:bookmarkStart w:id="268" w:name="page269"/>
    <w:bookmarkEnd w:id="268"/>
    <w:p>
      <w:pPr>
        <w:jc w:val="both"/>
        <w:ind w:left="3"/>
        <w:spacing w:after="0" w:line="251" w:lineRule="auto"/>
        <w:rPr>
          <w:sz w:val="20"/>
          <w:szCs w:val="20"/>
          <w:color w:val="auto"/>
        </w:rPr>
      </w:pPr>
      <w:r>
        <w:rPr>
          <w:rFonts w:ascii="Arial" w:cs="Arial" w:eastAsia="Arial" w:hAnsi="Arial"/>
          <w:sz w:val="18"/>
          <w:szCs w:val="18"/>
          <w:color w:val="auto"/>
        </w:rPr>
        <w:t>or liabilities (or actions in respect thereof) referred to above in this Section 9(f)(iii) shall be deemed to include any legal or other expenses reasonably incurred by the Directed Share Underwriter in connection with investigating or defending any such action or claim. Notwithstanding the provisions of this Section 9(f)(iii), the Directed Share Underwriter shall not be required to contribute any amount in excess of the amount by which the total price at which the Directed Shares sold by it and distributed to the Participants exceeds the amount of any damages which the Directed Share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110" w:lineRule="exact"/>
        <w:rPr>
          <w:sz w:val="20"/>
          <w:szCs w:val="20"/>
          <w:color w:val="auto"/>
        </w:rPr>
      </w:pPr>
    </w:p>
    <w:p>
      <w:pPr>
        <w:jc w:val="both"/>
        <w:ind w:left="3" w:firstLine="1191"/>
        <w:spacing w:after="0" w:line="260" w:lineRule="auto"/>
        <w:tabs>
          <w:tab w:leader="none" w:pos="1691"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9(f) shall be in addition to any liability which the Company may otherwise have and shall extend, upon the same terms and conditions, to each employee, officer and director of the Directed Share Underwriter and each person, if any, who controls the Directed Share Underwriter within the meaning of the Act and each broker-dealer or other affiliate of the Directed Share Underwriter.</w:t>
      </w:r>
    </w:p>
    <w:p>
      <w:pPr>
        <w:spacing w:after="0" w:line="98" w:lineRule="exact"/>
        <w:rPr>
          <w:rFonts w:ascii="Arial" w:cs="Arial" w:eastAsia="Arial" w:hAnsi="Arial"/>
          <w:sz w:val="18"/>
          <w:szCs w:val="18"/>
          <w:color w:val="auto"/>
        </w:rPr>
      </w:pPr>
    </w:p>
    <w:p>
      <w:pPr>
        <w:jc w:val="both"/>
        <w:ind w:left="-597" w:firstLine="597"/>
        <w:spacing w:after="0" w:line="249" w:lineRule="auto"/>
        <w:tabs>
          <w:tab w:leader="none" w:pos="59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Shares that it has agreed to purchase hereunder at a Time of Delivery, the Representatives may in their discretion arrange for the Representatives or another party or other parties to purchase such Shares on the terms contained herein, which party shall be reasonably acceptable to the Company. If within thirty-six hours after such default by any Underwriter the Representatives do not arrange for the purchase of such Shares, then the 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 Representatives have so arranged for the purchase of such Shares, or the Company notifies the Representatives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07" w:lineRule="exact"/>
        <w:rPr>
          <w:rFonts w:ascii="Arial" w:cs="Arial" w:eastAsia="Arial" w:hAnsi="Arial"/>
          <w:sz w:val="18"/>
          <w:szCs w:val="18"/>
          <w:color w:val="auto"/>
        </w:rPr>
      </w:pPr>
    </w:p>
    <w:p>
      <w:pPr>
        <w:jc w:val="both"/>
        <w:ind w:left="-597" w:firstLine="1194"/>
        <w:spacing w:after="0" w:line="251" w:lineRule="auto"/>
        <w:tabs>
          <w:tab w:leader="none" w:pos="103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Representatives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ectPr>
          <w:pgSz w:w="11900" w:h="16838" w:orient="portrait"/>
          <w:cols w:equalWidth="0" w:num="1">
            <w:col w:w="10643"/>
          </w:cols>
          <w:pgMar w:left="917" w:top="1307" w:right="339" w:bottom="1440" w:gutter="0" w:footer="0" w:header="0"/>
        </w:sectPr>
      </w:pPr>
    </w:p>
    <w:bookmarkStart w:id="269" w:name="page270"/>
    <w:bookmarkEnd w:id="269"/>
    <w:p>
      <w:pPr>
        <w:jc w:val="both"/>
        <w:ind w:firstLine="1194"/>
        <w:spacing w:after="0" w:line="251" w:lineRule="auto"/>
        <w:tabs>
          <w:tab w:leader="none" w:pos="1625"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Representatives and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04" w:lineRule="exact"/>
        <w:rPr>
          <w:rFonts w:ascii="Arial" w:cs="Arial" w:eastAsia="Arial" w:hAnsi="Arial"/>
          <w:sz w:val="18"/>
          <w:szCs w:val="18"/>
          <w:color w:val="auto"/>
        </w:rPr>
      </w:pPr>
    </w:p>
    <w:p>
      <w:pPr>
        <w:jc w:val="both"/>
        <w:ind w:firstLine="597"/>
        <w:spacing w:after="0" w:line="256" w:lineRule="auto"/>
        <w:tabs>
          <w:tab w:leader="none" w:pos="117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03" w:lineRule="exact"/>
        <w:rPr>
          <w:rFonts w:ascii="Arial" w:cs="Arial" w:eastAsia="Arial" w:hAnsi="Arial"/>
          <w:sz w:val="18"/>
          <w:szCs w:val="18"/>
          <w:color w:val="auto"/>
        </w:rPr>
      </w:pPr>
    </w:p>
    <w:p>
      <w:pPr>
        <w:jc w:val="both"/>
        <w:ind w:firstLine="597"/>
        <w:spacing w:after="0" w:line="259" w:lineRule="auto"/>
        <w:tabs>
          <w:tab w:leader="none" w:pos="118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10 hereof, the Company shall not then be under any liability to any Underwriter except as provided in Sections 7 and 9 hereof; but, if for any other reason (other than those set forth in clauses (i), (iii), (iv) or</w:t>
      </w:r>
    </w:p>
    <w:p>
      <w:pPr>
        <w:jc w:val="both"/>
        <w:spacing w:after="0" w:line="249" w:lineRule="auto"/>
        <w:tabs>
          <w:tab w:leader="none" w:pos="2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of Section 8(f)), any Shares are not delivered by or on behalf of the Company as provided herein, or the Underwriters decline to purchase the Shares for any reason permitted under this Agreement, the Company will reimburse the Underwriters through the Representatives for all reasonably incurred and documented out-of-pocket expenses approved in writing by the Representatives,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320" w:lineRule="exact"/>
        <w:rPr>
          <w:rFonts w:ascii="Arial" w:cs="Arial" w:eastAsia="Arial" w:hAnsi="Arial"/>
          <w:sz w:val="18"/>
          <w:szCs w:val="18"/>
          <w:color w:val="auto"/>
        </w:rPr>
      </w:pPr>
    </w:p>
    <w:p>
      <w:pPr>
        <w:jc w:val="both"/>
        <w:ind w:firstLine="597"/>
        <w:spacing w:after="0" w:line="268" w:lineRule="auto"/>
        <w:tabs>
          <w:tab w:leader="none" w:pos="1187"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In all dealings hereunder, the Representatives shall act on behalf of each of the Underwriters, and the parties hereto shall be entitled to act and rely upon any statement, request, notice or agreement on behalf of any Underwriter made or given by you jointly as the Representatives.</w:t>
      </w:r>
    </w:p>
    <w:p>
      <w:pPr>
        <w:spacing w:after="0" w:line="91"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99"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telex or facsimile transmission to Goldman Sachs &amp; Co. LLC</w:t>
      </w:r>
      <w:r>
        <w:rPr>
          <w:rFonts w:ascii="Arial" w:cs="Arial" w:eastAsia="Arial" w:hAnsi="Arial"/>
          <w:sz w:val="18"/>
          <w:szCs w:val="18"/>
          <w:b w:val="1"/>
          <w:bCs w:val="1"/>
          <w:color w:val="auto"/>
        </w:rPr>
        <w:t>,</w:t>
      </w:r>
      <w:r>
        <w:rPr>
          <w:rFonts w:ascii="Arial" w:cs="Arial" w:eastAsia="Arial" w:hAnsi="Arial"/>
          <w:sz w:val="18"/>
          <w:szCs w:val="18"/>
          <w:color w:val="auto"/>
        </w:rPr>
        <w:t xml:space="preserve"> 200 West Street, New York, New York 10282, Attention: Registration Department; Morgan Stanley &amp; Co. LLC, 1585 Broadway, New York, New York 10036, Attention: Equity Syndicate Desk, with a copy to the Legal Department; and Barclays Capital Inc., 745 Seventh Avenue, New York, New York 10019, Attention: Syndicate Registration; if to</w:t>
      </w:r>
    </w:p>
    <w:p>
      <w:pPr>
        <w:sectPr>
          <w:pgSz w:w="11900" w:h="16838" w:orient="portrait"/>
          <w:cols w:equalWidth="0" w:num="1">
            <w:col w:w="11240"/>
          </w:cols>
          <w:pgMar w:left="320" w:top="1307" w:right="339" w:bottom="1440" w:gutter="0" w:footer="0" w:header="0"/>
        </w:sectPr>
      </w:pPr>
    </w:p>
    <w:bookmarkStart w:id="270" w:name="page271"/>
    <w:bookmarkEnd w:id="270"/>
    <w:p>
      <w:pPr>
        <w:jc w:val="both"/>
        <w:spacing w:after="0" w:line="250" w:lineRule="auto"/>
        <w:rPr>
          <w:sz w:val="20"/>
          <w:szCs w:val="20"/>
          <w:color w:val="auto"/>
        </w:rPr>
      </w:pPr>
      <w:r>
        <w:rPr>
          <w:rFonts w:ascii="Arial" w:cs="Arial" w:eastAsia="Arial" w:hAnsi="Arial"/>
          <w:sz w:val="18"/>
          <w:szCs w:val="18"/>
          <w:color w:val="auto"/>
        </w:rPr>
        <w:t>the Company shall be delivered or sent by mail, telex or facsimile transmission to the address of the Company set forth on the cover of the Registration Statement, Attention: Secretary; and if to any stockholder that has delivered a lock-up letter described in Section 8(h) hereof shall be delivered or sent by mail to his or her respective address provided in writing to the Company; provided, however, that any notice to an Underwriter pursuant to Section 9(c) hereof shall be delivered or sent by mail or facsimile transmission to such Underwriter at its address set forth in its Underwriters' Questionnaire, which address will be supplied to the Company by you on request; provided further that notices under subsection 5(e) shall be in writing, and if to the Underwriters shall be delivered or sent by mail or facsimile transmission to you as the Representatives at Goldman Sachs &amp; Co. LLC, 200 West Street, New York, New York 10282, Attention: Control Room; Morgan Stanley &amp; Co. LLC, 1585 Broadway, New York, New York 10036, Attention: Equity Syndicate Desk, with a copy to the Legal Department; and Barclays Capital Inc., 745 Seventh Avenue, New York, New York 10019, Attention: Syndicate Registration. Any such statements, requests, notices or agreements shall take effect upon receipt thereof.</w:t>
      </w:r>
    </w:p>
    <w:p>
      <w:pPr>
        <w:spacing w:after="0" w:line="109" w:lineRule="exact"/>
        <w:rPr>
          <w:sz w:val="20"/>
          <w:szCs w:val="20"/>
          <w:color w:val="auto"/>
        </w:rPr>
      </w:pPr>
    </w:p>
    <w:p>
      <w:pPr>
        <w:jc w:val="both"/>
        <w:ind w:firstLine="597"/>
        <w:spacing w:after="0" w:line="256" w:lineRule="auto"/>
        <w:tabs>
          <w:tab w:leader="none" w:pos="118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Underwriters and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03" w:lineRule="exact"/>
        <w:rPr>
          <w:rFonts w:ascii="Arial" w:cs="Arial" w:eastAsia="Arial" w:hAnsi="Arial"/>
          <w:sz w:val="18"/>
          <w:szCs w:val="18"/>
          <w:color w:val="auto"/>
        </w:rPr>
      </w:pPr>
    </w:p>
    <w:p>
      <w:pPr>
        <w:ind w:firstLine="597"/>
        <w:spacing w:after="0" w:line="291" w:lineRule="auto"/>
        <w:tabs>
          <w:tab w:leader="none" w:pos="118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70" w:lineRule="exact"/>
        <w:rPr>
          <w:rFonts w:ascii="Arial" w:cs="Arial" w:eastAsia="Arial" w:hAnsi="Arial"/>
          <w:sz w:val="18"/>
          <w:szCs w:val="18"/>
          <w:color w:val="auto"/>
        </w:rPr>
      </w:pPr>
    </w:p>
    <w:p>
      <w:pPr>
        <w:jc w:val="both"/>
        <w:ind w:firstLine="298"/>
        <w:spacing w:after="0" w:line="254" w:lineRule="auto"/>
        <w:tabs>
          <w:tab w:leader="none" w:pos="59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w:t>
      </w:r>
    </w:p>
    <w:p>
      <w:pPr>
        <w:spacing w:after="0" w:line="1" w:lineRule="exact"/>
        <w:rPr>
          <w:rFonts w:ascii="Arial" w:cs="Arial" w:eastAsia="Arial" w:hAnsi="Arial"/>
          <w:sz w:val="18"/>
          <w:szCs w:val="18"/>
          <w:color w:val="auto"/>
        </w:rPr>
      </w:pPr>
    </w:p>
    <w:p>
      <w:pPr>
        <w:jc w:val="both"/>
        <w:spacing w:after="0" w:line="247" w:lineRule="auto"/>
        <w:tabs>
          <w:tab w:leader="none" w:pos="3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13" w:lineRule="exact"/>
        <w:rPr>
          <w:rFonts w:ascii="Arial" w:cs="Arial" w:eastAsia="Arial" w:hAnsi="Arial"/>
          <w:sz w:val="18"/>
          <w:szCs w:val="18"/>
          <w:color w:val="auto"/>
        </w:rPr>
      </w:pPr>
    </w:p>
    <w:p>
      <w:pPr>
        <w:ind w:firstLine="298"/>
        <w:spacing w:after="0" w:line="291" w:lineRule="auto"/>
        <w:tabs>
          <w:tab w:leader="none" w:pos="59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ectPr>
          <w:pgSz w:w="11900" w:h="16838" w:orient="portrait"/>
          <w:cols w:equalWidth="0" w:num="1">
            <w:col w:w="11240"/>
          </w:cols>
          <w:pgMar w:left="320" w:top="1307" w:right="339" w:bottom="1440" w:gutter="0" w:footer="0" w:header="0"/>
        </w:sectPr>
      </w:pPr>
    </w:p>
    <w:bookmarkStart w:id="271" w:name="page272"/>
    <w:bookmarkEnd w:id="271"/>
    <w:p>
      <w:pPr>
        <w:jc w:val="both"/>
        <w:ind w:firstLine="298"/>
        <w:spacing w:after="0" w:line="254" w:lineRule="auto"/>
        <w:tabs>
          <w:tab w:leader="none" w:pos="58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04" w:lineRule="exact"/>
        <w:rPr>
          <w:rFonts w:ascii="Arial" w:cs="Arial" w:eastAsia="Arial" w:hAnsi="Arial"/>
          <w:sz w:val="18"/>
          <w:szCs w:val="18"/>
          <w:color w:val="auto"/>
        </w:rPr>
      </w:pPr>
    </w:p>
    <w:p>
      <w:pPr>
        <w:ind w:firstLine="298"/>
        <w:spacing w:after="0" w:line="291" w:lineRule="auto"/>
        <w:tabs>
          <w:tab w:leader="none" w:pos="58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70" w:lineRule="exact"/>
        <w:rPr>
          <w:rFonts w:ascii="Arial" w:cs="Arial" w:eastAsia="Arial" w:hAnsi="Arial"/>
          <w:sz w:val="18"/>
          <w:szCs w:val="18"/>
          <w:color w:val="auto"/>
        </w:rPr>
      </w:pPr>
    </w:p>
    <w:p>
      <w:pPr>
        <w:jc w:val="both"/>
        <w:ind w:firstLine="298"/>
        <w:spacing w:after="0" w:line="256" w:lineRule="auto"/>
        <w:tabs>
          <w:tab w:leader="none" w:pos="58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103" w:lineRule="exact"/>
        <w:rPr>
          <w:rFonts w:ascii="Arial" w:cs="Arial" w:eastAsia="Arial" w:hAnsi="Arial"/>
          <w:sz w:val="18"/>
          <w:szCs w:val="18"/>
          <w:color w:val="auto"/>
        </w:rPr>
      </w:pPr>
    </w:p>
    <w:p>
      <w:pPr>
        <w:jc w:val="both"/>
        <w:ind w:firstLine="298"/>
        <w:spacing w:after="0" w:line="254" w:lineRule="auto"/>
        <w:tabs>
          <w:tab w:leader="none" w:pos="58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04" w:lineRule="exact"/>
        <w:rPr>
          <w:rFonts w:ascii="Arial" w:cs="Arial" w:eastAsia="Arial" w:hAnsi="Arial"/>
          <w:sz w:val="18"/>
          <w:szCs w:val="18"/>
          <w:color w:val="auto"/>
        </w:rPr>
      </w:pPr>
    </w:p>
    <w:p>
      <w:pPr>
        <w:ind w:left="580" w:hanging="282"/>
        <w:spacing w:after="0"/>
        <w:tabs>
          <w:tab w:leader="none" w:pos="5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153" w:lineRule="exact"/>
        <w:rPr>
          <w:rFonts w:ascii="Arial" w:cs="Arial" w:eastAsia="Arial" w:hAnsi="Arial"/>
          <w:sz w:val="18"/>
          <w:szCs w:val="18"/>
          <w:color w:val="auto"/>
        </w:rPr>
      </w:pPr>
    </w:p>
    <w:p>
      <w:pPr>
        <w:jc w:val="both"/>
        <w:ind w:firstLine="1194"/>
        <w:spacing w:after="0" w:line="260" w:lineRule="auto"/>
        <w:tabs>
          <w:tab w:leader="none" w:pos="172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98" w:lineRule="exact"/>
        <w:rPr>
          <w:rFonts w:ascii="Arial" w:cs="Arial" w:eastAsia="Arial" w:hAnsi="Arial"/>
          <w:sz w:val="18"/>
          <w:szCs w:val="18"/>
          <w:color w:val="auto"/>
        </w:rPr>
      </w:pPr>
    </w:p>
    <w:p>
      <w:pPr>
        <w:jc w:val="both"/>
        <w:ind w:firstLine="1194"/>
        <w:spacing w:after="0" w:line="260" w:lineRule="auto"/>
        <w:tabs>
          <w:tab w:leader="none" w:pos="162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98" w:lineRule="exact"/>
        <w:rPr>
          <w:rFonts w:ascii="Arial" w:cs="Arial" w:eastAsia="Arial" w:hAnsi="Arial"/>
          <w:sz w:val="18"/>
          <w:szCs w:val="18"/>
          <w:color w:val="auto"/>
        </w:rPr>
      </w:pPr>
    </w:p>
    <w:p>
      <w:pPr>
        <w:ind w:left="1600" w:hanging="406"/>
        <w:spacing w:after="0"/>
        <w:tabs>
          <w:tab w:leader="none" w:pos="16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"BHC Act Affiliate" has the meaning assigned to the term "affiliate" in, and shall be interpreted in accordance with, 12 U.S.C.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1841(k).</w:t>
      </w:r>
    </w:p>
    <w:p>
      <w:pPr>
        <w:sectPr>
          <w:pgSz w:w="11900" w:h="16838" w:orient="portrait"/>
          <w:cols w:equalWidth="0" w:num="1">
            <w:col w:w="11240"/>
          </w:cols>
          <w:pgMar w:left="320" w:top="1307" w:right="339" w:bottom="1440" w:gutter="0" w:footer="0" w:header="0"/>
        </w:sectPr>
      </w:pPr>
    </w:p>
    <w:bookmarkStart w:id="272" w:name="page273"/>
    <w:bookmarkEnd w:id="272"/>
    <w:p>
      <w:pPr>
        <w:ind w:left="1200"/>
        <w:spacing w:after="0"/>
        <w:rPr>
          <w:sz w:val="20"/>
          <w:szCs w:val="20"/>
          <w:color w:val="auto"/>
        </w:rPr>
      </w:pPr>
      <w:r>
        <w:rPr>
          <w:rFonts w:ascii="Arial" w:cs="Arial" w:eastAsia="Arial" w:hAnsi="Arial"/>
          <w:sz w:val="18"/>
          <w:szCs w:val="18"/>
          <w:color w:val="auto"/>
        </w:rPr>
        <w:t>"Covered Entity" means any of the following:</w:t>
      </w:r>
    </w:p>
    <w:p>
      <w:pPr>
        <w:spacing w:after="0" w:line="154" w:lineRule="exact"/>
        <w:rPr>
          <w:sz w:val="20"/>
          <w:szCs w:val="20"/>
          <w:color w:val="auto"/>
        </w:rPr>
      </w:pPr>
    </w:p>
    <w:p>
      <w:pPr>
        <w:ind w:left="2160" w:hanging="369"/>
        <w:spacing w:after="0"/>
        <w:tabs>
          <w:tab w:leader="none" w:pos="2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53" w:lineRule="exact"/>
        <w:rPr>
          <w:rFonts w:ascii="Arial" w:cs="Arial" w:eastAsia="Arial" w:hAnsi="Arial"/>
          <w:sz w:val="18"/>
          <w:szCs w:val="18"/>
          <w:color w:val="auto"/>
        </w:rPr>
      </w:pPr>
    </w:p>
    <w:p>
      <w:pPr>
        <w:ind w:left="2200" w:hanging="409"/>
        <w:spacing w:after="0"/>
        <w:tabs>
          <w:tab w:leader="none" w:pos="2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53" w:lineRule="exact"/>
        <w:rPr>
          <w:rFonts w:ascii="Arial" w:cs="Arial" w:eastAsia="Arial" w:hAnsi="Arial"/>
          <w:sz w:val="18"/>
          <w:szCs w:val="18"/>
          <w:color w:val="auto"/>
        </w:rPr>
      </w:pPr>
    </w:p>
    <w:p>
      <w:pPr>
        <w:ind w:left="2240" w:hanging="449"/>
        <w:spacing w:after="0"/>
        <w:tabs>
          <w:tab w:leader="none" w:pos="22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54" w:lineRule="exact"/>
        <w:rPr>
          <w:sz w:val="20"/>
          <w:szCs w:val="20"/>
          <w:color w:val="auto"/>
        </w:rPr>
      </w:pPr>
    </w:p>
    <w:p>
      <w:pPr>
        <w:jc w:val="both"/>
        <w:ind w:firstLine="1195"/>
        <w:spacing w:after="0" w:line="291"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70" w:lineRule="exact"/>
        <w:rPr>
          <w:sz w:val="20"/>
          <w:szCs w:val="20"/>
          <w:color w:val="auto"/>
        </w:rPr>
      </w:pPr>
    </w:p>
    <w:p>
      <w:pPr>
        <w:jc w:val="both"/>
        <w:ind w:firstLine="1195"/>
        <w:spacing w:after="0" w:line="291"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70"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8"/>
          <w:szCs w:val="18"/>
          <w:color w:val="auto"/>
        </w:rPr>
        <w:t>If the foregoing is in accordance with the Representatives understanding, please sign and return to us counterparts hereof, and upon the acceptance hereof by the Representatives, on behalf of each of the Underwriters, this letter and such acceptance hereof shall constitute a binding agreement among each of the Underwriters and the Company. It is understood that the Representatives' acceptance of this letter on behalf of each of the Underwriters is pursuant to the authority set forth in a form of Agreement among Underwriters, the form of which shall be submitted to the Company for examination, upon request, but without warranty on the Representatives' part as to the authority of the signers thereof.</w:t>
      </w:r>
    </w:p>
    <w:p>
      <w:pPr>
        <w:spacing w:after="0" w:line="108"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20" w:top="1307" w:right="339" w:bottom="1440" w:gutter="0" w:footer="0" w:header="0"/>
        </w:sectPr>
      </w:pPr>
    </w:p>
    <w:bookmarkStart w:id="273" w:name="page274"/>
    <w:bookmarkEnd w:id="273"/>
    <w:p>
      <w:pPr>
        <w:ind w:left="5620"/>
        <w:spacing w:after="0"/>
        <w:rPr>
          <w:sz w:val="20"/>
          <w:szCs w:val="20"/>
          <w:color w:val="auto"/>
        </w:rPr>
      </w:pPr>
      <w:r>
        <w:rPr>
          <w:rFonts w:ascii="Arial" w:cs="Arial" w:eastAsia="Arial" w:hAnsi="Arial"/>
          <w:sz w:val="17"/>
          <w:szCs w:val="17"/>
          <w:color w:val="auto"/>
        </w:rPr>
        <w:t>Very truly yours,</w:t>
      </w: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ThredUp Inc.</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36195</wp:posOffset>
            </wp:positionV>
            <wp:extent cx="279717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7175" cy="7620"/>
                    </a:xfrm>
                    <a:prstGeom prst="rect">
                      <a:avLst/>
                    </a:prstGeom>
                    <a:noFill/>
                  </pic:spPr>
                </pic:pic>
              </a:graphicData>
            </a:graphic>
          </wp:anchor>
        </w:drawing>
      </w:r>
    </w:p>
    <w:p>
      <w:pPr>
        <w:spacing w:after="0" w:line="4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5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36195</wp:posOffset>
            </wp:positionV>
            <wp:extent cx="27895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89555" cy="7620"/>
                    </a:xfrm>
                    <a:prstGeom prst="rect">
                      <a:avLst/>
                    </a:prstGeom>
                    <a:noFill/>
                  </pic:spPr>
                </pic:pic>
              </a:graphicData>
            </a:graphic>
          </wp:anchor>
        </w:drawing>
      </w:r>
    </w:p>
    <w:p>
      <w:pPr>
        <w:spacing w:after="0" w:line="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31115</wp:posOffset>
            </wp:positionV>
            <wp:extent cx="278955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89555" cy="7620"/>
                    </a:xfrm>
                    <a:prstGeom prst="rect">
                      <a:avLst/>
                    </a:prstGeom>
                    <a:noFill/>
                  </pic:spPr>
                </pic:pic>
              </a:graphicData>
            </a:graphic>
          </wp:anchor>
        </w:drawing>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Barclays Capital Inc.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36195</wp:posOffset>
            </wp:positionV>
            <wp:extent cx="27895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89555" cy="7620"/>
                    </a:xfrm>
                    <a:prstGeom prst="rect">
                      <a:avLst/>
                    </a:prstGeom>
                    <a:noFill/>
                  </pic:spPr>
                </pic:pic>
              </a:graphicData>
            </a:graphic>
          </wp:anchor>
        </w:drawing>
      </w:r>
    </w:p>
    <w:p>
      <w:pPr>
        <w:spacing w:after="0" w:line="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ectPr>
          <w:pgSz w:w="11900" w:h="16838" w:orient="portrait"/>
          <w:cols w:equalWidth="0" w:num="1">
            <w:col w:w="10119"/>
          </w:cols>
          <w:pgMar w:left="340" w:top="1357" w:right="1440"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59"/>
        </w:trPr>
        <w:tc>
          <w:tcPr>
            <w:tcW w:w="4120" w:type="dxa"/>
            <w:vAlign w:val="bottom"/>
          </w:tcPr>
          <w:p>
            <w:pPr>
              <w:spacing w:after="0"/>
              <w:rPr>
                <w:sz w:val="22"/>
                <w:szCs w:val="22"/>
                <w:color w:val="auto"/>
              </w:rPr>
            </w:pPr>
          </w:p>
        </w:tc>
        <w:tc>
          <w:tcPr>
            <w:tcW w:w="4240" w:type="dxa"/>
            <w:vAlign w:val="bottom"/>
            <w:gridSpan w:val="4"/>
          </w:tcPr>
          <w:p>
            <w:pPr>
              <w:ind w:left="960"/>
              <w:spacing w:after="0"/>
              <w:rPr>
                <w:sz w:val="20"/>
                <w:szCs w:val="20"/>
                <w:color w:val="auto"/>
              </w:rPr>
            </w:pPr>
            <w:r>
              <w:rPr>
                <w:rFonts w:ascii="Arial" w:cs="Arial" w:eastAsia="Arial" w:hAnsi="Arial"/>
                <w:sz w:val="18"/>
                <w:szCs w:val="18"/>
                <w:b w:val="1"/>
                <w:bCs w:val="1"/>
                <w:color w:val="auto"/>
              </w:rPr>
              <w:t>SCHEDULE I</w:t>
            </w:r>
          </w:p>
        </w:tc>
        <w:tc>
          <w:tcPr>
            <w:tcW w:w="2880" w:type="dxa"/>
            <w:vAlign w:val="bottom"/>
          </w:tcPr>
          <w:p>
            <w:pPr>
              <w:spacing w:after="0"/>
              <w:rPr>
                <w:sz w:val="22"/>
                <w:szCs w:val="22"/>
                <w:color w:val="auto"/>
              </w:rPr>
            </w:pPr>
          </w:p>
        </w:tc>
      </w:tr>
      <w:tr>
        <w:trPr>
          <w:trHeight w:val="214"/>
        </w:trPr>
        <w:tc>
          <w:tcPr>
            <w:tcW w:w="4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r>
      <w:tr>
        <w:trPr>
          <w:trHeight w:val="212"/>
        </w:trPr>
        <w:tc>
          <w:tcPr>
            <w:tcW w:w="4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rPr>
              <w:t>Optional</w:t>
            </w:r>
          </w:p>
        </w:tc>
      </w:tr>
      <w:tr>
        <w:trPr>
          <w:trHeight w:val="212"/>
        </w:trPr>
        <w:tc>
          <w:tcPr>
            <w:tcW w:w="4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rPr>
              <w:t>Shares to be</w:t>
            </w:r>
          </w:p>
        </w:tc>
      </w:tr>
      <w:tr>
        <w:trPr>
          <w:trHeight w:val="212"/>
        </w:trPr>
        <w:tc>
          <w:tcPr>
            <w:tcW w:w="4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Total Number of</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rPr>
              <w:t>Purchased if</w:t>
            </w:r>
          </w:p>
        </w:tc>
      </w:tr>
      <w:tr>
        <w:trPr>
          <w:trHeight w:val="212"/>
        </w:trPr>
        <w:tc>
          <w:tcPr>
            <w:tcW w:w="4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Firm Shares</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rPr>
              <w:t>Maximum Option</w:t>
            </w:r>
          </w:p>
        </w:tc>
      </w:tr>
      <w:tr>
        <w:trPr>
          <w:trHeight w:val="262"/>
        </w:trPr>
        <w:tc>
          <w:tcPr>
            <w:tcW w:w="412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Underwriter</w:t>
            </w:r>
          </w:p>
        </w:tc>
        <w:tc>
          <w:tcPr>
            <w:tcW w:w="11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to be Purchased</w:t>
            </w:r>
          </w:p>
        </w:tc>
        <w:tc>
          <w:tcPr>
            <w:tcW w:w="80" w:type="dxa"/>
            <w:vAlign w:val="bottom"/>
          </w:tcPr>
          <w:p>
            <w:pPr>
              <w:spacing w:after="0"/>
              <w:rPr>
                <w:sz w:val="22"/>
                <w:szCs w:val="22"/>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Exercised</w:t>
            </w:r>
          </w:p>
        </w:tc>
      </w:tr>
    </w:tbl>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Morgan Stanley &amp; Co. LLC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Barclays Capital Inc.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Blair &amp; Company, L.L.C.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Wells Fargo Securities, LLC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KeyBanc Capital Markets Inc.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Needham &amp; Company, LLC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Piper Sandler &amp; Co.</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Telsey Advisory Group LLC</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36195</wp:posOffset>
            </wp:positionV>
            <wp:extent cx="372173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721735" cy="7620"/>
                    </a:xfrm>
                    <a:prstGeom prst="rect">
                      <a:avLst/>
                    </a:prstGeom>
                    <a:noFill/>
                  </pic:spPr>
                </pic:pic>
              </a:graphicData>
            </a:graphic>
          </wp:anchor>
        </w:drawing>
      </w:r>
    </w:p>
    <w:p>
      <w:pPr>
        <w:sectPr>
          <w:pgSz w:w="11900" w:h="16838" w:orient="portrait"/>
          <w:cols w:equalWidth="0" w:num="1">
            <w:col w:w="11240"/>
          </w:cols>
          <w:pgMar w:left="320" w:top="1355" w:right="339" w:bottom="1440" w:gutter="0" w:footer="0" w:header="0"/>
        </w:sectPr>
      </w:pPr>
    </w:p>
    <w:bookmarkStart w:id="275" w:name="page276"/>
    <w:bookmarkEnd w:id="275"/>
    <w:p>
      <w:pPr>
        <w:ind w:left="5040"/>
        <w:spacing w:after="0"/>
        <w:rPr>
          <w:sz w:val="20"/>
          <w:szCs w:val="20"/>
          <w:color w:val="auto"/>
        </w:rPr>
      </w:pPr>
      <w:r>
        <w:rPr>
          <w:rFonts w:ascii="Arial" w:cs="Arial" w:eastAsia="Arial" w:hAnsi="Arial"/>
          <w:sz w:val="18"/>
          <w:szCs w:val="18"/>
          <w:b w:val="1"/>
          <w:bCs w:val="1"/>
          <w:color w:val="auto"/>
        </w:rPr>
        <w:t>SCHEDULE II</w:t>
      </w:r>
    </w:p>
    <w:p>
      <w:pPr>
        <w:spacing w:after="0" w:line="156" w:lineRule="exact"/>
        <w:rPr>
          <w:sz w:val="20"/>
          <w:szCs w:val="20"/>
          <w:color w:val="auto"/>
        </w:rPr>
      </w:pPr>
    </w:p>
    <w:p>
      <w:pPr>
        <w:ind w:left="1200" w:right="3219" w:hanging="1200"/>
        <w:spacing w:after="0" w:line="418" w:lineRule="auto"/>
        <w:tabs>
          <w:tab w:leader="none" w:pos="43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Roadshow dated [ __]]</w:t>
      </w:r>
    </w:p>
    <w:p>
      <w:pPr>
        <w:ind w:left="1200" w:right="2339" w:hanging="1200"/>
        <w:spacing w:after="0" w:line="418" w:lineRule="auto"/>
        <w:tabs>
          <w:tab w:leader="none" w:pos="43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Pricing Disclosure Package The initial public offering price per share for the Shares is $[____]</w:t>
      </w:r>
    </w:p>
    <w:p>
      <w:pPr>
        <w:ind w:left="1200" w:right="3859"/>
        <w:spacing w:after="0" w:line="418" w:lineRule="auto"/>
        <w:rPr>
          <w:rFonts w:ascii="Arial" w:cs="Arial" w:eastAsia="Arial" w:hAnsi="Arial"/>
          <w:sz w:val="18"/>
          <w:szCs w:val="18"/>
          <w:color w:val="auto"/>
        </w:rPr>
      </w:pPr>
      <w:r>
        <w:rPr>
          <w:rFonts w:ascii="Arial" w:cs="Arial" w:eastAsia="Arial" w:hAnsi="Arial"/>
          <w:sz w:val="18"/>
          <w:szCs w:val="18"/>
          <w:color w:val="auto"/>
        </w:rPr>
        <w:t>The number of Shares purchased by the Underwriters is [____] The settlement date is [____]</w:t>
      </w:r>
    </w:p>
    <w:p>
      <w:pPr>
        <w:ind w:left="1200"/>
        <w:spacing w:after="0"/>
        <w:rPr>
          <w:rFonts w:ascii="Arial" w:cs="Arial" w:eastAsia="Arial" w:hAnsi="Arial"/>
          <w:sz w:val="18"/>
          <w:szCs w:val="18"/>
          <w:color w:val="auto"/>
        </w:rPr>
      </w:pPr>
      <w:r>
        <w:rPr>
          <w:rFonts w:ascii="Arial" w:cs="Arial" w:eastAsia="Arial" w:hAnsi="Arial"/>
          <w:sz w:val="18"/>
          <w:szCs w:val="18"/>
          <w:color w:val="auto"/>
        </w:rPr>
        <w:t>The underwriting discount is $[____]</w:t>
      </w:r>
    </w:p>
    <w:p>
      <w:pPr>
        <w:spacing w:after="0" w:line="153" w:lineRule="exact"/>
        <w:rPr>
          <w:rFonts w:ascii="Arial" w:cs="Arial" w:eastAsia="Arial" w:hAnsi="Arial"/>
          <w:sz w:val="18"/>
          <w:szCs w:val="18"/>
          <w:color w:val="auto"/>
        </w:rPr>
      </w:pPr>
    </w:p>
    <w:p>
      <w:pPr>
        <w:ind w:left="420" w:hanging="420"/>
        <w:spacing w:after="0"/>
        <w:tabs>
          <w:tab w:leader="none" w:pos="4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Written Testing-the-Waters Communications</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[______]</w:t>
      </w:r>
    </w:p>
    <w:p>
      <w:pPr>
        <w:sectPr>
          <w:pgSz w:w="11900" w:h="16838" w:orient="portrait"/>
          <w:cols w:equalWidth="0" w:num="1">
            <w:col w:w="10140"/>
          </w:cols>
          <w:pgMar w:left="320" w:top="1305" w:right="1440"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ANNEX 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ThredUp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ThredUp Inc. (the "Company") announced today that [________] and [_______], the representatives in the recent public sale of shares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Class A common stock, are [waiving] [releasing] a lock-up restriction with respect to [______] shares of the Company's</w:t>
      </w:r>
    </w:p>
    <w:p>
      <w:pPr>
        <w:spacing w:after="0" w:line="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Class A common stock held by [certain officers or directors] [an officer or director] of the Company. The [waiver] [release] will take effect on , 20 , and the shares may be sold on or after such date.</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240"/>
          </w:cols>
          <w:pgMar w:left="320" w:top="1305" w:right="3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color w:val="auto"/>
        </w:rPr>
        <w:t>ANNEX II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10282-2198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ThredUp Inc. – Lock-Up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4"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8"/>
          <w:szCs w:val="18"/>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ThredUp Inc., a Delaware corporation (the “Company”), providing for a public offering (the “Public Offering”) of shares (the “Shares”) of the common stock of the Company, par value $0.0001 per share (the “Common Stock”) pursuant to a Registration Statement on Form S-1 to be filed with the Securities and Exchange Commission (the “SEC”). As used herein, the term “Common Stock” means all shares of common stock of the Company, including all series or classes of common stock, if more than one.</w:t>
      </w:r>
    </w:p>
    <w:p>
      <w:pPr>
        <w:spacing w:after="0" w:line="104"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(the “Public Offering Date”) set forth on the final prospectus used to sell the Shares (the “Prospectus”)(the “Lock-Up Period”), the undersigned shall not, and shall not cause or direct any of its affiliates to, (i) offer, sell, contract to sell, pledge, grant any option to purchase, lend or otherwise dispose of any shares of Common Stock of the Company, or any options or warrants to purchase any shares of Common Stock of the Company, or any securities convertible into, exchangeable for or that represent the right to receive shares of Common Stock of the Company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w:t>
      </w:r>
    </w:p>
    <w:p>
      <w:pPr>
        <w:sectPr>
          <w:pgSz w:w="11900" w:h="16838" w:orient="portrait"/>
          <w:cols w:equalWidth="0" w:num="1">
            <w:col w:w="11240"/>
          </w:cols>
          <w:pgMar w:left="320" w:top="1305" w:right="339" w:bottom="1440" w:gutter="0" w:footer="0" w:header="0"/>
        </w:sectPr>
      </w:pPr>
    </w:p>
    <w:bookmarkStart w:id="278" w:name="page279"/>
    <w:bookmarkEnd w:id="278"/>
    <w:p>
      <w:pPr>
        <w:jc w:val="both"/>
        <w:spacing w:after="0" w:line="249" w:lineRule="auto"/>
        <w:rPr>
          <w:sz w:val="20"/>
          <w:szCs w:val="20"/>
          <w:color w:val="auto"/>
        </w:rPr>
      </w:pPr>
      <w:r>
        <w:rPr>
          <w:rFonts w:ascii="Arial" w:cs="Arial" w:eastAsia="Arial" w:hAnsi="Arial"/>
          <w:sz w:val="18"/>
          <w:szCs w:val="18"/>
          <w:color w:val="auto"/>
        </w:rPr>
        <w:t>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of Common Stock of the Company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For the avoidance of doubt, the undersigned agrees that the foregoing provisions shall be equally applicable to any issuer-directed or other Shares the undersigned may purchase in the Public Offering.</w:t>
      </w:r>
    </w:p>
    <w:p>
      <w:pPr>
        <w:spacing w:after="0" w:line="114"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8"/>
          <w:szCs w:val="18"/>
          <w:color w:val="auto"/>
        </w:rPr>
        <w:t>If the undersigned is not a natural person, the undersigned represents and warrants that no single natural person, entity or “group” (within the meaning of Section 13(d)(3) of the Securities Exchange Act of 1934, as amended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03" w:lineRule="exact"/>
        <w:rPr>
          <w:sz w:val="20"/>
          <w:szCs w:val="20"/>
          <w:color w:val="auto"/>
        </w:rPr>
      </w:pPr>
    </w:p>
    <w:p>
      <w:pPr>
        <w:jc w:val="both"/>
        <w:ind w:firstLine="597"/>
        <w:spacing w:after="0" w:line="251" w:lineRule="auto"/>
        <w:rPr>
          <w:sz w:val="20"/>
          <w:szCs w:val="20"/>
          <w:color w:val="auto"/>
        </w:rPr>
      </w:pPr>
      <w:r>
        <w:rPr>
          <w:rFonts w:ascii="Arial" w:cs="Arial" w:eastAsia="Arial" w:hAnsi="Arial"/>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or will agree, in the Underwriting Agreement, if required by FINRA rules,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Notwithstanding the foregoing, the undersigned may:</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transfer the undersigned’s shares of Common Stock or Derivative Instruments of the Company:</w:t>
      </w:r>
    </w:p>
    <w:p>
      <w:pPr>
        <w:spacing w:after="0" w:line="153" w:lineRule="exact"/>
        <w:rPr>
          <w:sz w:val="20"/>
          <w:szCs w:val="20"/>
          <w:color w:val="auto"/>
        </w:rPr>
      </w:pPr>
    </w:p>
    <w:p>
      <w:pPr>
        <w:ind w:left="600" w:hanging="373"/>
        <w:spacing w:after="0" w:line="268" w:lineRule="auto"/>
        <w:rPr>
          <w:sz w:val="20"/>
          <w:szCs w:val="20"/>
          <w:color w:val="auto"/>
        </w:rPr>
      </w:pPr>
      <w:r>
        <w:rPr>
          <w:rFonts w:ascii="Arial" w:cs="Arial" w:eastAsia="Arial" w:hAnsi="Arial"/>
          <w:sz w:val="18"/>
          <w:szCs w:val="18"/>
          <w:color w:val="auto"/>
        </w:rPr>
        <w:t xml:space="preserve">i 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donee or donees thereof agree to be bound in writing by the restrictions set forth herein,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filing under Section 16(a) of the Exchange Act, reporting such transfer of the undersigned’s shares of Common Stock, shall be required or shall be voluntarily made during the Lock-</w:t>
      </w:r>
    </w:p>
    <w:p>
      <w:pPr>
        <w:sectPr>
          <w:pgSz w:w="11900" w:h="16838" w:orient="portrait"/>
          <w:cols w:equalWidth="0" w:num="1">
            <w:col w:w="11240"/>
          </w:cols>
          <w:pgMar w:left="320" w:top="1307" w:right="339" w:bottom="1440" w:gutter="0" w:footer="0" w:header="0"/>
        </w:sectPr>
      </w:pPr>
    </w:p>
    <w:bookmarkStart w:id="279" w:name="page280"/>
    <w:bookmarkEnd w:id="279"/>
    <w:p>
      <w:pPr>
        <w:ind w:left="376"/>
        <w:spacing w:after="0"/>
        <w:rPr>
          <w:sz w:val="20"/>
          <w:szCs w:val="20"/>
          <w:color w:val="auto"/>
        </w:rPr>
      </w:pPr>
      <w:r>
        <w:rPr>
          <w:rFonts w:ascii="Arial" w:cs="Arial" w:eastAsia="Arial" w:hAnsi="Arial"/>
          <w:sz w:val="18"/>
          <w:szCs w:val="18"/>
          <w:color w:val="auto"/>
        </w:rPr>
        <w:t>Up Period (other than any required Form 5 filing after the end of the calendar year in which such transaction occurs);</w:t>
      </w:r>
    </w:p>
    <w:p>
      <w:pPr>
        <w:spacing w:after="0" w:line="154" w:lineRule="exact"/>
        <w:rPr>
          <w:sz w:val="20"/>
          <w:szCs w:val="20"/>
          <w:color w:val="auto"/>
        </w:rPr>
      </w:pPr>
    </w:p>
    <w:p>
      <w:pPr>
        <w:ind w:left="376" w:hanging="376"/>
        <w:spacing w:after="0" w:line="253" w:lineRule="auto"/>
        <w:tabs>
          <w:tab w:leader="none" w:pos="28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to any trust for the direct or indirect benefit of the undersigned or the immediate family (as defined below) of the undersigned, or if the undersigned is a trust, to a grantor, trustee or beneficiary of the trust (including such beneficiary’s estate) of the undersigned,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trustee of the trust or such grantor or beneficiary agrees to be bound in writing by the restrictions set forth herein,</w:t>
      </w:r>
      <w:r>
        <w:rPr>
          <w:rFonts w:ascii="Arial" w:cs="Arial" w:eastAsia="Arial" w:hAnsi="Arial"/>
          <w:sz w:val="18"/>
          <w:szCs w:val="18"/>
          <w:i w:val="1"/>
          <w:iCs w:val="1"/>
          <w:color w:val="auto"/>
        </w:rPr>
        <w:t xml:space="preserve"> provided further </w:t>
      </w:r>
      <w:r>
        <w:rPr>
          <w:rFonts w:ascii="Arial" w:cs="Arial" w:eastAsia="Arial" w:hAnsi="Arial"/>
          <w:sz w:val="18"/>
          <w:szCs w:val="18"/>
          <w:color w:val="auto"/>
        </w:rPr>
        <w:t>that any such transfer shall not involve a disposition for value and</w:t>
      </w:r>
      <w:r>
        <w:rPr>
          <w:rFonts w:ascii="Arial" w:cs="Arial" w:eastAsia="Arial" w:hAnsi="Arial"/>
          <w:sz w:val="18"/>
          <w:szCs w:val="18"/>
          <w:i w:val="1"/>
          <w:iCs w:val="1"/>
          <w:color w:val="auto"/>
        </w:rPr>
        <w:t xml:space="preserve"> provided further </w:t>
      </w:r>
      <w:r>
        <w:rPr>
          <w:rFonts w:ascii="Arial" w:cs="Arial" w:eastAsia="Arial" w:hAnsi="Arial"/>
          <w:sz w:val="18"/>
          <w:szCs w:val="18"/>
          <w:color w:val="auto"/>
        </w:rPr>
        <w:t>that no filing under Section 16(a)</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reporting such transfer of the undersigned’s shares of Common Stock, shall be required or shall be voluntarily made during the Lock-Up Period (other than any required Form 5 filing after the end of the calendar year in which such transaction occurs);</w:t>
      </w:r>
    </w:p>
    <w:p>
      <w:pPr>
        <w:spacing w:after="0" w:line="102" w:lineRule="exact"/>
        <w:rPr>
          <w:rFonts w:ascii="Arial" w:cs="Arial" w:eastAsia="Arial" w:hAnsi="Arial"/>
          <w:sz w:val="18"/>
          <w:szCs w:val="18"/>
          <w:color w:val="auto"/>
        </w:rPr>
      </w:pPr>
    </w:p>
    <w:p>
      <w:pPr>
        <w:jc w:val="both"/>
        <w:ind w:left="376" w:hanging="376"/>
        <w:spacing w:after="0" w:line="249" w:lineRule="auto"/>
        <w:tabs>
          <w:tab w:leader="none" w:pos="38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if the undersigned is a partnership, limited liability company, corporation, trust or other business entity, (A) to another corporation, partnership, limited liability company, trust or other business entity that is an affiliate (within the meaning set forth in Rule 405 as promulgated by the SEC under the Securities Act of 1933, as amended (the “Securities Act”), and including the subsidiaries of the undersigned) of the undersigned, (B)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(C) as part of a distribution, transfer or disposition by the undersigned to its stockholders, limited partners, general partners, limited liability company members or other equityholders or to the estate of any such stockholders, limited partners, general partners, limited liability company members or equityholders;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transferee or distributee agrees to be bound in writing by the restrictions set forth herein;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such transfer shall not involve a disposition for value;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no filing under Section 16(a) of the Exchange Act, reporting such transfer of the undersigned’s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shall be required or shall be voluntarily made during the Lock-Up Period;</w:t>
      </w:r>
    </w:p>
    <w:p>
      <w:pPr>
        <w:spacing w:after="0" w:line="110" w:lineRule="exact"/>
        <w:rPr>
          <w:rFonts w:ascii="Arial" w:cs="Arial" w:eastAsia="Arial" w:hAnsi="Arial"/>
          <w:sz w:val="18"/>
          <w:szCs w:val="18"/>
          <w:color w:val="auto"/>
        </w:rPr>
      </w:pPr>
    </w:p>
    <w:p>
      <w:pPr>
        <w:jc w:val="both"/>
        <w:ind w:left="376" w:hanging="376"/>
        <w:spacing w:after="0" w:line="256" w:lineRule="auto"/>
        <w:tabs>
          <w:tab w:leader="none" w:pos="35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upon death or by will, testamentary document or intestate succession,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transferee agrees to be bound in writing by the restrictions set forth herein,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such transfer shall not involve a disposition for value,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required, any filing made under Section 16(a) of the Exchange Act to report such transfer shall clearly indicate in the footnotes thereto that such transfer was made upon death or by will, testamentary document or intestate succession and does not involve a disposition for value;</w:t>
      </w:r>
    </w:p>
    <w:p>
      <w:pPr>
        <w:spacing w:after="0" w:line="103" w:lineRule="exact"/>
        <w:rPr>
          <w:sz w:val="20"/>
          <w:szCs w:val="20"/>
          <w:color w:val="auto"/>
        </w:rPr>
      </w:pPr>
    </w:p>
    <w:p>
      <w:pPr>
        <w:jc w:val="both"/>
        <w:ind w:left="376" w:hanging="376"/>
        <w:spacing w:after="0" w:line="256" w:lineRule="auto"/>
        <w:tabs>
          <w:tab w:leader="none" w:pos="37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by operation of law, such as pursuant to a qualified domestic order or in connection with a divorce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transferee agrees to be bound in writing by the restrictions set forth herein, and provided further that, if required, any filings under Section 16(a) of the Exchange Act, or any other public filing or disclosure of such transfer by or on behalf of the undersigned, shall clearly indicate in the footnotes thereto that such transfer was by operation of law pursuant to a qualified domestic order or in connection with a divorce settlement;</w:t>
      </w:r>
    </w:p>
    <w:p>
      <w:pPr>
        <w:sectPr>
          <w:pgSz w:w="11900" w:h="16838" w:orient="portrait"/>
          <w:cols w:equalWidth="0" w:num="1">
            <w:col w:w="11016"/>
          </w:cols>
          <w:pgMar w:left="544" w:top="1307" w:right="339" w:bottom="1440" w:gutter="0" w:footer="0" w:header="0"/>
        </w:sectPr>
      </w:pPr>
    </w:p>
    <w:bookmarkStart w:id="280" w:name="page281"/>
    <w:bookmarkEnd w:id="280"/>
    <w:p>
      <w:pPr>
        <w:jc w:val="both"/>
        <w:ind w:left="376" w:hanging="376"/>
        <w:spacing w:after="0" w:line="260" w:lineRule="auto"/>
        <w:tabs>
          <w:tab w:leader="none" w:pos="44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in connection with a sale of the undersigned’s shares of Common Stock acquired in open market transactions after the Public Offering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shall be a condition to the transfer that no filing under Section 16(a) of the Exchange Act, reporting such transfer of the undersigned’s shares of Common Stock, shall be required or shall be voluntarily made during the Lock-Up Period;</w:t>
      </w:r>
    </w:p>
    <w:p>
      <w:pPr>
        <w:spacing w:after="0" w:line="98" w:lineRule="exact"/>
        <w:rPr>
          <w:rFonts w:ascii="Arial" w:cs="Arial" w:eastAsia="Arial" w:hAnsi="Arial"/>
          <w:sz w:val="18"/>
          <w:szCs w:val="18"/>
          <w:color w:val="auto"/>
        </w:rPr>
      </w:pPr>
    </w:p>
    <w:p>
      <w:pPr>
        <w:jc w:val="both"/>
        <w:ind w:left="376" w:hanging="376"/>
        <w:spacing w:after="0" w:line="251" w:lineRule="auto"/>
        <w:tabs>
          <w:tab w:leader="none" w:pos="42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to the Company in connection with the “net” or “cashless” exercise or settlement of warrants, stock options to purchase shares of Common Stock, restricted stock units, or other equity awards granted pursuant to an employee benefit plan disclosed in the Prospectus (and any transfer to the Company necessary to generate such amount of cash needed for the payment of taxes, including estimated taxes, due as a result of such vesting or exercise by means of a “net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“net” or “cashless” exercise or settlement is effected solely by the surrender of outstanding options, warrants, restricted stock units or other equity awards (or the Common Stock issuable upon the vesting or exercise thereof) and (B) any such shares of Common Stock received upon such vesting or exercise shall be subject to the terms of this Lock-Up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filing under Section 16(a) of the Exchange Act that occurs after the Public Offering, or any other public filing or disclosure of such transfer by or on behalf of the undersigned, shall clearly indicate in the footnotes thereto the nature and conditions of such transfer;</w:t>
      </w:r>
    </w:p>
    <w:p>
      <w:pPr>
        <w:spacing w:after="0" w:line="104" w:lineRule="exact"/>
        <w:rPr>
          <w:rFonts w:ascii="Arial" w:cs="Arial" w:eastAsia="Arial" w:hAnsi="Arial"/>
          <w:sz w:val="18"/>
          <w:szCs w:val="18"/>
          <w:color w:val="auto"/>
        </w:rPr>
      </w:pPr>
    </w:p>
    <w:p>
      <w:pPr>
        <w:jc w:val="both"/>
        <w:ind w:left="376" w:hanging="376"/>
        <w:spacing w:after="0" w:line="254" w:lineRule="auto"/>
        <w:tabs>
          <w:tab w:leader="none" w:pos="5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to the Company, in connection with the repurchase of shares of Common Stock issued pursuant to an employee benefit plan disclosed in the Prospectus or pursuant to the agreements pursuant to which such shares were issued as disclosed in the Prospectus, in each case, upon termination of the undersigned’s relationship with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filings under Section 16(a) of the Exchange Act, or any other public filing or disclosure of such transfer by or on behalf of the undersigned, shall clearly indicate in the footnotes thereto that such transfer was to the Company in connection with the repurchase of shares of Common Stock;</w:t>
      </w:r>
    </w:p>
    <w:p>
      <w:pPr>
        <w:spacing w:after="0" w:line="104" w:lineRule="exact"/>
        <w:rPr>
          <w:rFonts w:ascii="Arial" w:cs="Arial" w:eastAsia="Arial" w:hAnsi="Arial"/>
          <w:sz w:val="18"/>
          <w:szCs w:val="18"/>
          <w:color w:val="auto"/>
        </w:rPr>
      </w:pPr>
    </w:p>
    <w:p>
      <w:pPr>
        <w:jc w:val="both"/>
        <w:ind w:left="376" w:hanging="376"/>
        <w:spacing w:after="0" w:line="253" w:lineRule="auto"/>
        <w:tabs>
          <w:tab w:leader="none" w:pos="39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the Company’s capital stock and, and the result of which is that any “person” (as defined in Section 13(d)(3) of the Exchange Act), or group of persons, becomes the beneficial owner (as defined in Rules 13d-3 and 13d-5 of the Exchange Act) of at least 50% of total voting power of the voting stock of the Company or the surviving entity (a “Change of Control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Change of Control Transaction is not completed, the undersigned’s shares shall remain subject to the provisions of this Lock-Up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so long as the undersigned’s shares are not transferred, sold or tendered, such shares shall remain subject to this Lock-Up Agreement;</w:t>
      </w:r>
    </w:p>
    <w:p>
      <w:pPr>
        <w:spacing w:after="0" w:line="103" w:lineRule="exact"/>
        <w:rPr>
          <w:sz w:val="20"/>
          <w:szCs w:val="20"/>
          <w:color w:val="auto"/>
        </w:rPr>
      </w:pPr>
    </w:p>
    <w:p>
      <w:pPr>
        <w:jc w:val="both"/>
        <w:ind w:left="376" w:hanging="376"/>
        <w:spacing w:after="0" w:line="256" w:lineRule="auto"/>
        <w:tabs>
          <w:tab w:leader="none" w:pos="36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for shares of Common Stock in connection with the conversion of the outstanding preferred stock of the Company into shares of Common Stock of the Company, or in connection with any reclassification or conversion of the Company’s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shares of Common Stock received upon such conversion will continue to be subject to the restrictions on transfer set forth in this Lock-Up Agreement; and </w:t>
      </w:r>
      <w:r>
        <w:rPr>
          <w:rFonts w:ascii="Arial" w:cs="Arial" w:eastAsia="Arial" w:hAnsi="Arial"/>
          <w:sz w:val="18"/>
          <w:szCs w:val="18"/>
          <w:i w:val="1"/>
          <w:iCs w:val="1"/>
          <w:color w:val="auto"/>
        </w:rPr>
        <w:t>provided further that</w:t>
      </w:r>
      <w:r>
        <w:rPr>
          <w:rFonts w:ascii="Arial" w:cs="Arial" w:eastAsia="Arial" w:hAnsi="Arial"/>
          <w:sz w:val="18"/>
          <w:szCs w:val="18"/>
          <w:color w:val="auto"/>
        </w:rPr>
        <w:t>, if required, any public report or filing under Section 16 of the Exchange Act will clearly indicate in the footnotes thereto that such</w:t>
      </w:r>
    </w:p>
    <w:p>
      <w:pPr>
        <w:sectPr>
          <w:pgSz w:w="11900" w:h="16838" w:orient="portrait"/>
          <w:cols w:equalWidth="0" w:num="1">
            <w:col w:w="11016"/>
          </w:cols>
          <w:pgMar w:left="544" w:top="1307" w:right="339" w:bottom="1440" w:gutter="0" w:footer="0" w:header="0"/>
        </w:sectPr>
      </w:pPr>
    </w:p>
    <w:bookmarkStart w:id="281" w:name="page282"/>
    <w:bookmarkEnd w:id="281"/>
    <w:p>
      <w:pPr>
        <w:ind w:left="600"/>
        <w:spacing w:after="0"/>
        <w:rPr>
          <w:sz w:val="20"/>
          <w:szCs w:val="20"/>
          <w:color w:val="auto"/>
        </w:rPr>
      </w:pPr>
      <w:r>
        <w:rPr>
          <w:rFonts w:ascii="Arial" w:cs="Arial" w:eastAsia="Arial" w:hAnsi="Arial"/>
          <w:sz w:val="18"/>
          <w:szCs w:val="18"/>
          <w:color w:val="auto"/>
        </w:rPr>
        <w:t>conversion was solely to the Company pursuant to the circumstances described in this clause; or</w:t>
      </w:r>
    </w:p>
    <w:p>
      <w:pPr>
        <w:spacing w:after="0" w:line="154" w:lineRule="exact"/>
        <w:rPr>
          <w:sz w:val="20"/>
          <w:szCs w:val="20"/>
          <w:color w:val="auto"/>
        </w:rPr>
      </w:pPr>
    </w:p>
    <w:p>
      <w:pPr>
        <w:ind w:left="560" w:hanging="336"/>
        <w:spacing w:after="0"/>
        <w:tabs>
          <w:tab w:leader="none" w:pos="5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with the prior written consent of at least two of the Representatives on behalf of the Underwriters; or</w:t>
      </w:r>
    </w:p>
    <w:p>
      <w:pPr>
        <w:spacing w:after="0" w:line="153" w:lineRule="exact"/>
        <w:rPr>
          <w:rFonts w:ascii="Arial" w:cs="Arial" w:eastAsia="Arial" w:hAnsi="Arial"/>
          <w:sz w:val="18"/>
          <w:szCs w:val="18"/>
          <w:color w:val="auto"/>
        </w:rPr>
      </w:pPr>
    </w:p>
    <w:p>
      <w:pPr>
        <w:jc w:val="both"/>
        <w:ind w:firstLine="597"/>
        <w:spacing w:after="0" w:line="268" w:lineRule="auto"/>
        <w:tabs>
          <w:tab w:leader="none" w:pos="87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enter into a written plan meeting the requirements of Rule 10b5-1 under the Exchange Act relating to the transfer, sale or other disposition of securities of the undersigned, if then permitted by the Company, provided that the securities subject to the plan may not be sold during the Lock-Up Period (except to the extent otherwise allowed pursuant to clause (a) above).</w:t>
      </w:r>
    </w:p>
    <w:p>
      <w:pPr>
        <w:spacing w:after="0" w:line="91"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8"/>
          <w:szCs w:val="18"/>
          <w:color w:val="auto"/>
        </w:rPr>
        <w:t>For purposes of this Lock-Up Agreement, “immediate family” shall mean any relationship by blood, marriage, domestic partnership or adoption, not more remote than first cousin. The undersigned now has, and, except as contemplated by clauses (a) and (b) above, for the duration of this Lock-Up Agreement will have, good and marketable title to the undersigned’s shares of Common Stock of the Company, free and clear of all liens, encumbrances, and claims whatsoever. The undersigned also agrees and consents to the entry of stop transfer instructions with the Company’s transfer agent and registrar against the transfer of the undersigned’s shares of Common Stock of the Company except in compliance with the foregoing restrictions.</w:t>
      </w:r>
    </w:p>
    <w:p>
      <w:pPr>
        <w:spacing w:after="0" w:line="104"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8"/>
          <w:szCs w:val="18"/>
          <w:color w:val="auto"/>
        </w:rPr>
        <w:t>In addition, and notwithstanding the provisions of the second paragraph of this Lock-up Agreement, if the undersigned is (i) a current employee of the Company or its subsidiaries, (ii) a current contractor or consultant of the Company or its subsidiaries, (iii) a former employee of the Company or its subsidiaries, and (iv) a former contractor or consultant of the Company or its subsidiaries, but excluding in all such cases any director, key employee (as set forth in the Prospectus) or “officer” of the Company (as defined in Rule 16a-1(f) under the Exchange Act) (each such included person, an “Employee Stockholder”), subject to compliance with applicable securities laws including without limitation Rule 144 promulgated under the Securities Act and the Company’s insider trading policy, the undersigned may sell in the public market beginning at the commencement of the first Trading Day after the Company publicly announces its earnings (which for this purpose shall not include “flash” numbers or preliminary, partial earnings) for the first completed quarterly period following the most recent period for which financial statements are included in the Prospectus, a number of shares of Common Stock not in excess of 20% of the Common Stock and Derivative Instruments owned by the undersigned on March 15, 2021, including exercisable stock options as of March 15, 2021 and shares and equity awards that are held by any trust solely for the direct or indirect benefit of the Employee Stockholder or of an immediate family member of the Employee Stockholder, plus any stock options that vest between March 15, 2021 and May 10, 2021, and excluding any unvested warrants, convertible securities, stock options, or other equity awards issued by the Company as of March 15, 2021.</w:t>
      </w:r>
    </w:p>
    <w:p>
      <w:pPr>
        <w:spacing w:after="0" w:line="330"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8"/>
          <w:szCs w:val="18"/>
          <w:color w:val="auto"/>
        </w:rPr>
        <w:t xml:space="preserve">In addition, and notwithstanding the provisions of the second paragraph of this Lock-Up Agreement, if (i) at least 120 days have elapsed since the Public Offering Date and (ii) the Lock-Up Period is scheduled to end during a Blackout Period (as defined below) or within five (5) Trading Days prior to a Blackout Period, the Lock-Up Period shall end ten (10) Trading Days prior to the commencement of the Blackout Period (the “Blackout-Related Release”), </w:t>
      </w:r>
      <w:r>
        <w:rPr>
          <w:rFonts w:ascii="Times New Roman" w:cs="Times New Roman" w:eastAsia="Times New Roman" w:hAnsi="Times New Roman"/>
          <w:sz w:val="18"/>
          <w:szCs w:val="18"/>
          <w:i w:val="1"/>
          <w:iCs w:val="1"/>
          <w:color w:val="auto"/>
        </w:rPr>
        <w:t>provided</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that</w:t>
      </w:r>
      <w:r>
        <w:rPr>
          <w:rFonts w:ascii="Arial" w:cs="Arial" w:eastAsia="Arial" w:hAnsi="Arial"/>
          <w:sz w:val="18"/>
          <w:szCs w:val="18"/>
          <w:color w:val="auto"/>
        </w:rPr>
        <w:t xml:space="preserve"> (i) in the event that ten (10) Trading Days prior to the commencement of the Blackout Period is earlier than 120 days after the Public Offering Date, the Lock-Up Period shall end on the 120</w:t>
      </w:r>
      <w:r>
        <w:rPr>
          <w:rFonts w:ascii="Arial" w:cs="Arial" w:eastAsia="Arial" w:hAnsi="Arial"/>
          <w:sz w:val="11"/>
          <w:szCs w:val="11"/>
          <w:color w:val="auto"/>
        </w:rPr>
        <w:t>th</w:t>
      </w:r>
      <w:r>
        <w:rPr>
          <w:rFonts w:ascii="Arial" w:cs="Arial" w:eastAsia="Arial" w:hAnsi="Arial"/>
          <w:sz w:val="18"/>
          <w:szCs w:val="18"/>
          <w:color w:val="auto"/>
        </w:rPr>
        <w:t xml:space="preserve"> day after the Public Offering Date but only if such 120</w:t>
      </w:r>
      <w:r>
        <w:rPr>
          <w:rFonts w:ascii="Arial" w:cs="Arial" w:eastAsia="Arial" w:hAnsi="Arial"/>
          <w:sz w:val="11"/>
          <w:szCs w:val="11"/>
          <w:color w:val="auto"/>
        </w:rPr>
        <w:t>th</w:t>
      </w:r>
      <w:r>
        <w:rPr>
          <w:rFonts w:ascii="Arial" w:cs="Arial" w:eastAsia="Arial" w:hAnsi="Arial"/>
          <w:sz w:val="18"/>
          <w:szCs w:val="18"/>
          <w:color w:val="auto"/>
        </w:rPr>
        <w:t xml:space="preserve"> day is at least five (5) Trading Days prior to the commencement of the Blackout Period (and, if not, then the provisions of the second</w:t>
      </w:r>
    </w:p>
    <w:p>
      <w:pPr>
        <w:sectPr>
          <w:pgSz w:w="11900" w:h="16838" w:orient="portrait"/>
          <w:cols w:equalWidth="0" w:num="1">
            <w:col w:w="11240"/>
          </w:cols>
          <w:pgMar w:left="320" w:top="1307" w:right="339" w:bottom="1440" w:gutter="0" w:footer="0" w:header="0"/>
        </w:sectPr>
      </w:pPr>
    </w:p>
    <w:bookmarkStart w:id="282" w:name="page283"/>
    <w:bookmarkEnd w:id="282"/>
    <w:p>
      <w:pPr>
        <w:jc w:val="both"/>
        <w:spacing w:after="0" w:line="250" w:lineRule="auto"/>
        <w:rPr>
          <w:sz w:val="20"/>
          <w:szCs w:val="20"/>
          <w:color w:val="auto"/>
        </w:rPr>
      </w:pPr>
      <w:r>
        <w:rPr>
          <w:rFonts w:ascii="Arial" w:cs="Arial" w:eastAsia="Arial" w:hAnsi="Arial"/>
          <w:sz w:val="18"/>
          <w:szCs w:val="18"/>
          <w:color w:val="auto"/>
        </w:rPr>
        <w:t>paragraph of this Lock-Up Agreement shall remain in place); (ii) promptly upon the Company’s determination of the date of the Blackout-Related Release and in any event at least five (5) Trading Days in advance of the Blackout-Related Release, the Company shall notify the Representatives of the date of the impending Blackout-Related Release, and shall announce the date of the Blackout-Related Release through a major news service, or on a Form 8-K, at least two (2) Trading Days in advance of the Blackout-Related Release; and (iii) the Blackout-Related Release shall not occur unless the Company shall have filed or furnished its earnings results on a Form 8-K for the quarterly period during which the Public Offering occurred. For purposes of this letter agreement, a “Trading Day” is a day on which the New York Stock Exchange and the Nasdaq Stock Market are open for the buying and selling of securities. For purposes of this Lock-Up Agreement, “Blackout Period” shall mean a broadly applicable period during which trading in the Company’s securities would not be permitted under the Company’s insider trading policy. For the avoidance of doubt, notwithstanding anything to the contrary contained herein, in no event shall the Lock-Up Period end earlier than 120 days or later than 180 days after the Public Offering Date.</w:t>
      </w:r>
    </w:p>
    <w:p>
      <w:pPr>
        <w:spacing w:after="0" w:line="109" w:lineRule="exact"/>
        <w:rPr>
          <w:sz w:val="20"/>
          <w:szCs w:val="20"/>
          <w:color w:val="auto"/>
        </w:rPr>
      </w:pPr>
    </w:p>
    <w:p>
      <w:pPr>
        <w:jc w:val="both"/>
        <w:ind w:firstLine="597"/>
        <w:spacing w:after="0" w:line="247" w:lineRule="auto"/>
        <w:rPr>
          <w:sz w:val="20"/>
          <w:szCs w:val="20"/>
          <w:color w:val="auto"/>
        </w:rPr>
      </w:pPr>
      <w:r>
        <w:rPr>
          <w:rFonts w:ascii="Arial" w:cs="Arial" w:eastAsia="Arial" w:hAnsi="Arial"/>
          <w:sz w:val="18"/>
          <w:szCs w:val="18"/>
          <w:color w:val="auto"/>
        </w:rPr>
        <w:t>If the undersigned is a party to the Investors’ Rights Agreement, then if the Representatives waive or terminate any of the foregoing restrictions in connection with, or otherwise consent to (whether pursuant to clause (a)(xi) above or otherwise), a transfer of Common Stock or Derivative Instruments of the Company (or other securities exchangeable or convertible into capital stock of the Company) by any security holder of the Company (a “Triggering Release” and such security holder, the “Triggering Release Party”), the provisions of this letter agreement shall be automatically and concurrently waived or terminated, or the Representatives will automatically and concurrently be deemed to have otherwise consented to the transfer of, as applicable, to the same extent and on the same terms with respect to the same pro-rata percentage of securities of the undersigned as the percentage of Common Stock or Derivative Instruments being released in the Triggering Release represent with respect to the securities held by the applicable Triggering Release Party. In the event of a Triggering Release, the Company shall use commercially reasonable efforts to notify the undersigned within five (5) business days of the occurrence of such Triggering Release, which notification obligation may be satisfied by the issuance of a press release through a major news service announcing such Triggering Release; provided that the failure by the Company to give such notice shall not give rise to any claim or liability against the Company or the Representatives except, in respect of the Company, in the case of bad faith on the part of the Company. Notwithstanding the foregoing, no waiver or termination or other consent will constitute a Triggering Release, if (a) the aggregate number of shares of Common Stock or Derivative Instruments affected by such releases to such security holders (whether in one or multiple releases) is less than or equal to 1.0% of the fully-diluted capitalization of the Company as measured immediately prior to the consummation of the Public Offering (b) due to circumstances of emergency and hardship as determined by the Representatives in their reasonable discretion or</w:t>
      </w:r>
    </w:p>
    <w:p>
      <w:pPr>
        <w:jc w:val="both"/>
        <w:spacing w:after="0" w:line="249" w:lineRule="auto"/>
        <w:tabs>
          <w:tab w:leader="none" w:pos="27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such waiver or termination or other consent, in full or in part, is in connection with any underwritten public offering, whether or not such offering or sale is wholly or partially a secondary offering of the Common Stock during the Lock-Up Period (a “Follow-on Offering”); provided that the undersigned, to the extent the undersigned has a contractual right to demand or require the registration of the undersigned’s Common Stock or otherwise “piggyback” on a registration statement filed by the Company for the offer and sale of its Common Stock, is offered the opportunity to participate on a pro rata basis in such Follow-on Offering consistent with the terms of Section 2 of the Tenth Amended and Restated Investors’ Rights Agreement, as may be</w:t>
      </w:r>
    </w:p>
    <w:p>
      <w:pPr>
        <w:sectPr>
          <w:pgSz w:w="11900" w:h="16838" w:orient="portrait"/>
          <w:cols w:equalWidth="0" w:num="1">
            <w:col w:w="11240"/>
          </w:cols>
          <w:pgMar w:left="320" w:top="1307" w:right="3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t>amended, between the Company and the holders party thereto (the “Investors’ Rights Agreement”).</w:t>
      </w:r>
    </w:p>
    <w:p>
      <w:pPr>
        <w:spacing w:after="0" w:line="154"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8"/>
          <w:szCs w:val="18"/>
          <w:color w:val="auto"/>
        </w:rPr>
        <w:t>In the event that any of the Representatives withdraws from or declines to participate in the Public Offering, all references to the Representatives contained in this letter shall be deemed to refer to the Representatives or Representative that continue to participate in the Public Offering (the “Continuing Representatives”), and, in such event, any written consent, waiver or notice given or delivered in connection with this Lock-Up Agreement by at least one of the Continuing Representatives shall be deemed to be sufficient and effective for all purposes under this Lock-Up Agreement.</w:t>
      </w:r>
    </w:p>
    <w:p>
      <w:pPr>
        <w:spacing w:after="0" w:line="103"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w:t>
      </w:r>
    </w:p>
    <w:p>
      <w:pPr>
        <w:spacing w:after="0" w:line="99"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w:t>
      </w:r>
    </w:p>
    <w:p>
      <w:pPr>
        <w:spacing w:after="0" w:line="103" w:lineRule="exact"/>
        <w:rPr>
          <w:sz w:val="20"/>
          <w:szCs w:val="20"/>
          <w:color w:val="auto"/>
        </w:rPr>
      </w:pPr>
    </w:p>
    <w:p>
      <w:pPr>
        <w:jc w:val="both"/>
        <w:ind w:firstLine="597"/>
        <w:spacing w:after="0" w:line="251" w:lineRule="auto"/>
        <w:rPr>
          <w:sz w:val="20"/>
          <w:szCs w:val="20"/>
          <w:color w:val="auto"/>
        </w:rPr>
      </w:pPr>
      <w:r>
        <w:rPr>
          <w:rFonts w:ascii="Arial" w:cs="Arial" w:eastAsia="Arial" w:hAnsi="Arial"/>
          <w:sz w:val="18"/>
          <w:szCs w:val="18"/>
          <w:color w:val="auto"/>
        </w:rPr>
        <w:t xml:space="preserve">Notwithstanding anything to the contrary contained herein, this Lock-Up Agreement shall immediately terminate and the undersigned shall be released from all obligations under this Lock-Up Agreement if (i) the Company notifies the Representatives, in writing, prior to the execution of the Underwriting Agreement, that it has determined not to proceed with the Public Offering, (ii) the Company files an application with the SEC to withdraw the registration statement related to the Public Offering, (iii) the Underwriting Agreement is executed but is then terminated (other than the provisions thereof which survive termination) prior to payment for and delivery of the Shares to be sold thereunder, or (iv) the Public Offering shall not have been completed by June 30, 2021, in the event the Underwriting Agreement has not been executed by such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may, by written notice to the undersigned prior to such date, extend such date for a period of up to an additional 60 days if the Company is actively pursuing the Public Offering.</w:t>
      </w:r>
    </w:p>
    <w:p>
      <w:pPr>
        <w:spacing w:after="0" w:line="110"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8"/>
          <w:szCs w:val="18"/>
          <w:color w:val="auto"/>
        </w:rPr>
        <w:t>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ectPr>
          <w:pgSz w:w="11900" w:h="16838" w:orient="portrait"/>
          <w:cols w:equalWidth="0" w:num="1">
            <w:col w:w="11240"/>
          </w:cols>
          <w:pgMar w:left="320" w:top="1307" w:right="339" w:bottom="1440" w:gutter="0" w:footer="0" w:header="0"/>
        </w:sectPr>
      </w:pPr>
    </w:p>
    <w:bookmarkStart w:id="284" w:name="page285"/>
    <w:bookmarkEnd w:id="284"/>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353695</wp:posOffset>
            </wp:positionV>
            <wp:extent cx="408495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84955" cy="76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rized(plea</w:t>
      </w:r>
      <w:r>
        <w:rPr>
          <w:rFonts w:ascii="Arial" w:cs="Arial" w:eastAsia="Arial" w:hAnsi="Arial"/>
          <w:sz w:val="18"/>
          <w:szCs w:val="18"/>
          <w:b w:val="1"/>
          <w:bCs w:val="1"/>
          <w:i w:val="1"/>
          <w:iCs w:val="1"/>
          <w:color w:val="auto"/>
        </w:rPr>
        <w:t>s</w:t>
      </w:r>
      <w:r>
        <w:rPr>
          <w:rFonts w:ascii="Arial" w:cs="Arial" w:eastAsia="Arial" w:hAnsi="Arial"/>
          <w:sz w:val="18"/>
          <w:szCs w:val="18"/>
          <w:i w:val="1"/>
          <w:iCs w:val="1"/>
          <w:color w:val="auto"/>
        </w:rPr>
        <w:t>ignature)eprintcomplete name of entity)</w:t>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36195</wp:posOffset>
            </wp:positionV>
            <wp:extent cx="408495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84955" cy="7620"/>
                    </a:xfrm>
                    <a:prstGeom prst="rect">
                      <a:avLst/>
                    </a:prstGeom>
                    <a:noFill/>
                  </pic:spPr>
                </pic:pic>
              </a:graphicData>
            </a:graphic>
          </wp:anchor>
        </w:drawing>
      </w:r>
    </w:p>
    <w:p>
      <w:pPr>
        <w:spacing w:after="0" w:line="51"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i w:val="1"/>
          <w:iCs w:val="1"/>
          <w:color w:val="auto"/>
        </w:rPr>
        <w:t>rint full name)</w:t>
      </w:r>
      <w:r>
        <w:rPr>
          <w:sz w:val="20"/>
          <w:szCs w:val="20"/>
          <w:color w:val="auto"/>
        </w:rPr>
        <w:tab/>
      </w:r>
      <w:r>
        <w:rPr>
          <w:rFonts w:ascii="Arial" w:cs="Arial" w:eastAsia="Arial" w:hAnsi="Arial"/>
          <w:sz w:val="18"/>
          <w:szCs w:val="18"/>
          <w:i w:val="1"/>
          <w:iCs w:val="1"/>
          <w:color w:val="auto"/>
        </w:rPr>
        <w:t>(duly authorized signature)</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2820670</wp:posOffset>
            </wp:positionH>
            <wp:positionV relativeFrom="paragraph">
              <wp:posOffset>36195</wp:posOffset>
            </wp:positionV>
            <wp:extent cx="172275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22755" cy="7620"/>
                    </a:xfrm>
                    <a:prstGeom prst="rect">
                      <a:avLst/>
                    </a:prstGeom>
                    <a:noFill/>
                  </pic:spPr>
                </pic:pic>
              </a:graphicData>
            </a:graphic>
          </wp:anchor>
        </w:drawing>
      </w:r>
    </w:p>
    <w:p>
      <w:pPr>
        <w:spacing w:after="0" w:line="51"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(please print full name)</w:t>
      </w:r>
    </w:p>
    <w:p>
      <w:pPr>
        <w:spacing w:after="0" w:line="2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2820670</wp:posOffset>
            </wp:positionH>
            <wp:positionV relativeFrom="paragraph">
              <wp:posOffset>36195</wp:posOffset>
            </wp:positionV>
            <wp:extent cx="17227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22755" cy="7620"/>
                    </a:xfrm>
                    <a:prstGeom prst="rect">
                      <a:avLst/>
                    </a:prstGeom>
                    <a:noFill/>
                  </pic:spPr>
                </pic:pic>
              </a:graphicData>
            </a:graphic>
          </wp:anchor>
        </w:drawing>
      </w:r>
    </w:p>
    <w:p>
      <w:pPr>
        <w:spacing w:after="0" w:line="51"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(please print full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Signature Page to Lock-Up Agreement</w:t>
      </w:r>
    </w:p>
    <w:p>
      <w:pPr>
        <w:sectPr>
          <w:pgSz w:w="11900" w:h="16838" w:orient="portrait"/>
          <w:cols w:equalWidth="0" w:num="1">
            <w:col w:w="10239"/>
          </w:cols>
          <w:pgMar w:left="220" w:top="1440" w:right="1440"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EIGHTH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(Pursuant to Sections 242 and 245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General Corporation Law of the State of Delaware)</w:t>
      </w:r>
    </w:p>
    <w:p>
      <w:pPr>
        <w:spacing w:after="0" w:line="134" w:lineRule="exact"/>
        <w:rPr>
          <w:sz w:val="20"/>
          <w:szCs w:val="20"/>
          <w:color w:val="auto"/>
        </w:rPr>
      </w:pPr>
    </w:p>
    <w:p>
      <w:pPr>
        <w:ind w:firstLine="597"/>
        <w:spacing w:after="0" w:line="277" w:lineRule="auto"/>
        <w:rPr>
          <w:sz w:val="20"/>
          <w:szCs w:val="20"/>
          <w:color w:val="auto"/>
        </w:rPr>
      </w:pPr>
      <w:r>
        <w:rPr>
          <w:rFonts w:ascii="Times New Roman" w:cs="Times New Roman" w:eastAsia="Times New Roman" w:hAnsi="Times New Roman"/>
          <w:sz w:val="20"/>
          <w:szCs w:val="20"/>
          <w:color w:val="auto"/>
        </w:rPr>
        <w:t>ThredUp Inc., a corporation organized and existing under and by virtue of the provisions of the General Corporation Law of the State of Delaware (the “</w:t>
      </w:r>
      <w:r>
        <w:rPr>
          <w:rFonts w:ascii="Times New Roman" w:cs="Times New Roman" w:eastAsia="Times New Roman" w:hAnsi="Times New Roman"/>
          <w:sz w:val="20"/>
          <w:szCs w:val="20"/>
          <w:b w:val="1"/>
          <w:bCs w:val="1"/>
          <w:color w:val="auto"/>
        </w:rPr>
        <w:t>General Corporation Law</w:t>
      </w:r>
      <w:r>
        <w:rPr>
          <w:rFonts w:ascii="Times New Roman" w:cs="Times New Roman" w:eastAsia="Times New Roman" w:hAnsi="Times New Roman"/>
          <w:sz w:val="20"/>
          <w:szCs w:val="20"/>
          <w:color w:val="auto"/>
        </w:rPr>
        <w:t>”), does hereby certify as follows:</w:t>
      </w:r>
    </w:p>
    <w:p>
      <w:pPr>
        <w:spacing w:after="0" w:line="91" w:lineRule="exact"/>
        <w:rPr>
          <w:sz w:val="20"/>
          <w:szCs w:val="20"/>
          <w:color w:val="auto"/>
        </w:rPr>
      </w:pPr>
    </w:p>
    <w:p>
      <w:pPr>
        <w:jc w:val="both"/>
        <w:ind w:firstLine="597"/>
        <w:spacing w:after="0" w:line="250" w:lineRule="auto"/>
        <w:tabs>
          <w:tab w:leader="none" w:pos="1195"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That the name of this corporation is ThredUp Inc., and that this corporation was originally incorporated pursuant to the General Corporation Law on January 7, 2009. An Amended and Restated Certificate of Incorporation was filed with the Secretary of State of the State of Delaware on February 11, 2010; a Second Amended and Restated Certificate of Incorporation was filed with the Secretary of State of the State of Delaware on June 25, 2010; a Third Amended and Restated Certificate of Incorporation was filed with the Secretary of State of the State of Delaware on March 28, 2011; a Fourth Amended and Restated Certificate of Incorporation was filed with the Secretary of State of the State of Delaware on September 10, 2012; a Fifth Amended and Restated Certificate of Incorporation was filed with the Secretary of State of the State of Delaware on July 11, 2014; a Sixth Amended and Restated Certificate of Incorporation was filed with the Secretary of State of the State of Delaware on August 27, 2015; and a Seventh Amended and Restated Certificate of Incorporation was filed with the Secretary of State of the State of Delaware on January 8, 2018.</w:t>
      </w:r>
    </w:p>
    <w:p>
      <w:pPr>
        <w:spacing w:after="0" w:line="117" w:lineRule="exact"/>
        <w:rPr>
          <w:rFonts w:ascii="Times New Roman" w:cs="Times New Roman" w:eastAsia="Times New Roman" w:hAnsi="Times New Roman"/>
          <w:sz w:val="20"/>
          <w:szCs w:val="20"/>
          <w:b w:val="1"/>
          <w:bCs w:val="1"/>
          <w:color w:val="auto"/>
        </w:rPr>
      </w:pPr>
    </w:p>
    <w:p>
      <w:pPr>
        <w:jc w:val="both"/>
        <w:ind w:firstLine="597"/>
        <w:spacing w:after="0" w:line="264" w:lineRule="auto"/>
        <w:tabs>
          <w:tab w:leader="none" w:pos="1195"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Eighth Amended and Restated Certificate of Incorporation (the “</w:t>
      </w:r>
      <w:r>
        <w:rPr>
          <w:rFonts w:ascii="Times New Roman" w:cs="Times New Roman" w:eastAsia="Times New Roman" w:hAnsi="Times New Roman"/>
          <w:sz w:val="20"/>
          <w:szCs w:val="20"/>
          <w:b w:val="1"/>
          <w:bCs w:val="1"/>
          <w:color w:val="auto"/>
        </w:rPr>
        <w:t>Restated Certificate</w:t>
      </w:r>
      <w:r>
        <w:rPr>
          <w:rFonts w:ascii="Times New Roman" w:cs="Times New Roman" w:eastAsia="Times New Roman" w:hAnsi="Times New Roman"/>
          <w:sz w:val="20"/>
          <w:szCs w:val="20"/>
          <w:color w:val="auto"/>
        </w:rPr>
        <w:t>”) was duly adopted in accordance with Sections 242 and 245 of the General Corporation Law of the State of Delaware, and restates, integrates and further amends the provisions of the Corporation’s Seventh Amended and Restated Certificate of Incorporation.</w:t>
      </w:r>
    </w:p>
    <w:p>
      <w:pPr>
        <w:spacing w:after="0" w:line="103" w:lineRule="exact"/>
        <w:rPr>
          <w:rFonts w:ascii="Times New Roman" w:cs="Times New Roman" w:eastAsia="Times New Roman" w:hAnsi="Times New Roman"/>
          <w:sz w:val="20"/>
          <w:szCs w:val="20"/>
          <w:b w:val="1"/>
          <w:bCs w:val="1"/>
          <w:color w:val="auto"/>
        </w:rPr>
      </w:pPr>
    </w:p>
    <w:p>
      <w:pPr>
        <w:ind w:left="1200" w:hanging="603"/>
        <w:spacing w:after="0"/>
        <w:tabs>
          <w:tab w:leader="none" w:pos="1200"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Restated Certificate reads in its entirety as follows:</w:t>
      </w:r>
    </w:p>
    <w:p>
      <w:pPr>
        <w:spacing w:after="0" w:line="151" w:lineRule="exact"/>
        <w:rPr>
          <w:rFonts w:ascii="Times New Roman" w:cs="Times New Roman" w:eastAsia="Times New Roman" w:hAnsi="Times New Roman"/>
          <w:sz w:val="20"/>
          <w:szCs w:val="20"/>
          <w:b w:val="1"/>
          <w:bCs w:val="1"/>
          <w:color w:val="auto"/>
        </w:rPr>
      </w:pPr>
    </w:p>
    <w:p>
      <w:pPr>
        <w:ind w:left="12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FIRST: </w:t>
      </w:r>
      <w:r>
        <w:rPr>
          <w:rFonts w:ascii="Times New Roman" w:cs="Times New Roman" w:eastAsia="Times New Roman" w:hAnsi="Times New Roman"/>
          <w:sz w:val="20"/>
          <w:szCs w:val="20"/>
          <w:color w:val="auto"/>
        </w:rPr>
        <w:t>The name of this corporation is ThredUp Inc.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1195"/>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SECOND: </w:t>
      </w:r>
      <w:r>
        <w:rPr>
          <w:rFonts w:ascii="Times New Roman" w:cs="Times New Roman" w:eastAsia="Times New Roman" w:hAnsi="Times New Roman"/>
          <w:sz w:val="20"/>
          <w:szCs w:val="20"/>
          <w:color w:val="auto"/>
        </w:rPr>
        <w:t>The address of the registered office of the Corporation in the State of Delaware is 1209 Orange Street, in the City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Wilmington, County of New Castle, 19801. The name of its registered agent at such address is The Corporation Trust Company.</w:t>
      </w:r>
    </w:p>
    <w:p>
      <w:pPr>
        <w:spacing w:after="0" w:line="84" w:lineRule="exact"/>
        <w:rPr>
          <w:sz w:val="20"/>
          <w:szCs w:val="20"/>
          <w:color w:val="auto"/>
        </w:rPr>
      </w:pPr>
    </w:p>
    <w:p>
      <w:pPr>
        <w:jc w:val="both"/>
        <w:ind w:firstLine="1195"/>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THIRD: </w:t>
      </w:r>
      <w:r>
        <w:rPr>
          <w:rFonts w:ascii="Times New Roman" w:cs="Times New Roman" w:eastAsia="Times New Roman" w:hAnsi="Times New Roman"/>
          <w:sz w:val="20"/>
          <w:szCs w:val="20"/>
          <w:color w:val="auto"/>
        </w:rPr>
        <w:t>The nature of the business or purposes to be conducted or promoted is to engage in any lawful act or activity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corporations may be organized under the General Corporation Law.</w:t>
      </w:r>
    </w:p>
    <w:p>
      <w:pPr>
        <w:spacing w:after="0" w:line="84" w:lineRule="exact"/>
        <w:rPr>
          <w:sz w:val="20"/>
          <w:szCs w:val="20"/>
          <w:color w:val="auto"/>
        </w:rPr>
      </w:pPr>
    </w:p>
    <w:p>
      <w:pPr>
        <w:jc w:val="both"/>
        <w:ind w:firstLine="1195"/>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FOURTH: </w:t>
      </w:r>
      <w:r>
        <w:rPr>
          <w:rFonts w:ascii="Times New Roman" w:cs="Times New Roman" w:eastAsia="Times New Roman" w:hAnsi="Times New Roman"/>
          <w:sz w:val="20"/>
          <w:szCs w:val="20"/>
          <w:color w:val="auto"/>
        </w:rPr>
        <w:t>The total number of shares of all classes of stock which the Corporation shall have authority to issue is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100,000,000 shares of Common Stock, $0.0001 par value per share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and (ii) 68,076,033 shares of Preferred Stock, $0.0001 par value per share (“</w:t>
      </w:r>
      <w:r>
        <w:rPr>
          <w:rFonts w:ascii="Times New Roman" w:cs="Times New Roman" w:eastAsia="Times New Roman" w:hAnsi="Times New Roman"/>
          <w:sz w:val="20"/>
          <w:szCs w:val="20"/>
          <w:b w:val="1"/>
          <w:bCs w:val="1"/>
          <w:color w:val="auto"/>
        </w:rPr>
        <w:t>Preferred Stock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9" w:right="339" w:bottom="1440" w:gutter="0" w:footer="0" w:header="0"/>
        </w:sectPr>
      </w:pPr>
    </w:p>
    <w:bookmarkStart w:id="286" w:name="page287"/>
    <w:bookmarkEnd w:id="286"/>
    <w:p>
      <w:pPr>
        <w:ind w:firstLine="597"/>
        <w:spacing w:after="0" w:line="277" w:lineRule="auto"/>
        <w:rPr>
          <w:sz w:val="20"/>
          <w:szCs w:val="20"/>
          <w:color w:val="auto"/>
        </w:rPr>
      </w:pPr>
      <w:r>
        <w:rPr>
          <w:rFonts w:ascii="Times New Roman" w:cs="Times New Roman" w:eastAsia="Times New Roman" w:hAnsi="Times New Roman"/>
          <w:sz w:val="20"/>
          <w:szCs w:val="20"/>
          <w:color w:val="auto"/>
        </w:rPr>
        <w:t>The following is a statement of the designations and the powers, privileges and rights, and the qualifications, limitations or restrictions thereof in respect of each class of capital stock of the Corporation.</w:t>
      </w:r>
    </w:p>
    <w:p>
      <w:pPr>
        <w:spacing w:after="0" w:line="91" w:lineRule="exact"/>
        <w:rPr>
          <w:sz w:val="20"/>
          <w:szCs w:val="20"/>
          <w:color w:val="auto"/>
        </w:rPr>
      </w:pPr>
    </w:p>
    <w:p>
      <w:pPr>
        <w:ind w:left="600" w:hanging="451"/>
        <w:spacing w:after="0"/>
        <w:tabs>
          <w:tab w:leader="none" w:pos="6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STOCK</w:t>
      </w:r>
    </w:p>
    <w:p>
      <w:pPr>
        <w:spacing w:after="0" w:line="155" w:lineRule="exact"/>
        <w:rPr>
          <w:rFonts w:ascii="Times New Roman" w:cs="Times New Roman" w:eastAsia="Times New Roman" w:hAnsi="Times New Roman"/>
          <w:sz w:val="20"/>
          <w:szCs w:val="20"/>
          <w:color w:val="auto"/>
        </w:rPr>
      </w:pPr>
    </w:p>
    <w:p>
      <w:pPr>
        <w:ind w:firstLine="597"/>
        <w:spacing w:after="0" w:line="277" w:lineRule="auto"/>
        <w:tabs>
          <w:tab w:leader="none" w:pos="1195"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voting, dividend and liquidation rights of the holders of the Common Stock are subject to and qualified by the rights, powers and preferences of the holders of the Preferred Stock set forth herein.</w:t>
      </w:r>
    </w:p>
    <w:p>
      <w:pPr>
        <w:spacing w:after="0" w:line="91" w:lineRule="exact"/>
        <w:rPr>
          <w:rFonts w:ascii="Times New Roman" w:cs="Times New Roman" w:eastAsia="Times New Roman" w:hAnsi="Times New Roman"/>
          <w:sz w:val="20"/>
          <w:szCs w:val="20"/>
          <w:color w:val="auto"/>
        </w:rPr>
      </w:pPr>
    </w:p>
    <w:p>
      <w:pPr>
        <w:jc w:val="both"/>
        <w:ind w:firstLine="597"/>
        <w:spacing w:after="0" w:line="252" w:lineRule="auto"/>
        <w:tabs>
          <w:tab w:leader="none" w:pos="1195"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 The holders of the Common Stock are entitled to one vote for each share of Common Stock held at all meetings of stockholders (and written actions in lieu of meetings).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Restated Certificate)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19" w:lineRule="exact"/>
        <w:rPr>
          <w:rFonts w:ascii="Times New Roman" w:cs="Times New Roman" w:eastAsia="Times New Roman" w:hAnsi="Times New Roman"/>
          <w:sz w:val="20"/>
          <w:szCs w:val="20"/>
          <w:color w:val="auto"/>
        </w:rPr>
      </w:pPr>
    </w:p>
    <w:p>
      <w:pPr>
        <w:ind w:left="600" w:hanging="451"/>
        <w:spacing w:after="0"/>
        <w:tabs>
          <w:tab w:leader="none" w:pos="6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PREFERRED STOCK</w:t>
      </w:r>
    </w:p>
    <w:p>
      <w:pPr>
        <w:spacing w:after="0" w:line="15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Unless otherwise indicated, references to “Sections” or “Subsections” in this Part B of this Article Fourth refer to sections and subsections of Part B of this Article Fourth.</w:t>
      </w:r>
    </w:p>
    <w:p>
      <w:pPr>
        <w:spacing w:after="0" w:line="87" w:lineRule="exact"/>
        <w:rPr>
          <w:sz w:val="20"/>
          <w:szCs w:val="20"/>
          <w:color w:val="auto"/>
        </w:rPr>
      </w:pPr>
    </w:p>
    <w:p>
      <w:pPr>
        <w:jc w:val="both"/>
        <w:ind w:firstLine="597"/>
        <w:spacing w:after="0" w:line="251" w:lineRule="auto"/>
        <w:tabs>
          <w:tab w:leader="none" w:pos="1195"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w:t>
      </w:r>
      <w:r>
        <w:rPr>
          <w:rFonts w:ascii="Times New Roman" w:cs="Times New Roman" w:eastAsia="Times New Roman" w:hAnsi="Times New Roman"/>
          <w:sz w:val="20"/>
          <w:szCs w:val="20"/>
          <w:color w:val="auto"/>
        </w:rPr>
        <w:t>. 1,051,540 shares of the authorized Preferred Stock of the Corporation are hereby designated “</w:t>
      </w:r>
      <w:r>
        <w:rPr>
          <w:rFonts w:ascii="Times New Roman" w:cs="Times New Roman" w:eastAsia="Times New Roman" w:hAnsi="Times New Roman"/>
          <w:sz w:val="20"/>
          <w:szCs w:val="20"/>
          <w:b w:val="1"/>
          <w:bCs w:val="1"/>
          <w:color w:val="auto"/>
        </w:rPr>
        <w:t>Series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Preferred Stock</w:t>
      </w:r>
      <w:r>
        <w:rPr>
          <w:rFonts w:ascii="Times New Roman" w:cs="Times New Roman" w:eastAsia="Times New Roman" w:hAnsi="Times New Roman"/>
          <w:sz w:val="20"/>
          <w:szCs w:val="20"/>
          <w:color w:val="auto"/>
        </w:rPr>
        <w:t>.” 5,475,700 shares of the authorized Preferred Stock of the Corporation are hereby designated “</w:t>
      </w:r>
      <w:r>
        <w:rPr>
          <w:rFonts w:ascii="Times New Roman" w:cs="Times New Roman" w:eastAsia="Times New Roman" w:hAnsi="Times New Roman"/>
          <w:sz w:val="20"/>
          <w:szCs w:val="20"/>
          <w:b w:val="1"/>
          <w:bCs w:val="1"/>
          <w:color w:val="auto"/>
        </w:rPr>
        <w:t>Series A-1 Preferred Stock</w:t>
      </w:r>
      <w:r>
        <w:rPr>
          <w:rFonts w:ascii="Times New Roman" w:cs="Times New Roman" w:eastAsia="Times New Roman" w:hAnsi="Times New Roman"/>
          <w:sz w:val="20"/>
          <w:szCs w:val="20"/>
          <w:color w:val="auto"/>
        </w:rPr>
        <w:t>.” 7,511,886 shares of the authorized Preferred Stock of the Corporation are hereby designated “</w:t>
      </w:r>
      <w:r>
        <w:rPr>
          <w:rFonts w:ascii="Times New Roman" w:cs="Times New Roman" w:eastAsia="Times New Roman" w:hAnsi="Times New Roman"/>
          <w:sz w:val="20"/>
          <w:szCs w:val="20"/>
          <w:b w:val="1"/>
          <w:bCs w:val="1"/>
          <w:color w:val="auto"/>
        </w:rPr>
        <w:t>Series B Preferred Stock</w:t>
      </w:r>
      <w:r>
        <w:rPr>
          <w:rFonts w:ascii="Times New Roman" w:cs="Times New Roman" w:eastAsia="Times New Roman" w:hAnsi="Times New Roman"/>
          <w:sz w:val="20"/>
          <w:szCs w:val="20"/>
          <w:color w:val="auto"/>
        </w:rPr>
        <w:t>.” 9,725,945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the authorized Preferred Stock of the Corporation are hereby designated “</w:t>
      </w:r>
      <w:r>
        <w:rPr>
          <w:rFonts w:ascii="Times New Roman" w:cs="Times New Roman" w:eastAsia="Times New Roman" w:hAnsi="Times New Roman"/>
          <w:sz w:val="20"/>
          <w:szCs w:val="20"/>
          <w:b w:val="1"/>
          <w:bCs w:val="1"/>
          <w:color w:val="auto"/>
        </w:rPr>
        <w:t>Series C Preferred Stock</w:t>
      </w:r>
      <w:r>
        <w:rPr>
          <w:rFonts w:ascii="Times New Roman" w:cs="Times New Roman" w:eastAsia="Times New Roman" w:hAnsi="Times New Roman"/>
          <w:sz w:val="20"/>
          <w:szCs w:val="20"/>
          <w:color w:val="auto"/>
        </w:rPr>
        <w:t>.” 11,072,579 shares of the authorized Preferred Stock of the Corporation are hereby designated “</w:t>
      </w:r>
      <w:r>
        <w:rPr>
          <w:rFonts w:ascii="Times New Roman" w:cs="Times New Roman" w:eastAsia="Times New Roman" w:hAnsi="Times New Roman"/>
          <w:sz w:val="20"/>
          <w:szCs w:val="20"/>
          <w:b w:val="1"/>
          <w:bCs w:val="1"/>
          <w:color w:val="auto"/>
        </w:rPr>
        <w:t>Series D Preferred Stock</w:t>
      </w:r>
      <w:r>
        <w:rPr>
          <w:rFonts w:ascii="Times New Roman" w:cs="Times New Roman" w:eastAsia="Times New Roman" w:hAnsi="Times New Roman"/>
          <w:sz w:val="20"/>
          <w:szCs w:val="20"/>
          <w:color w:val="auto"/>
        </w:rPr>
        <w:t>.” 12,943,216 shares of the authorized Preferred Stock of the Corporation are hereby designated “</w:t>
      </w:r>
      <w:r>
        <w:rPr>
          <w:rFonts w:ascii="Times New Roman" w:cs="Times New Roman" w:eastAsia="Times New Roman" w:hAnsi="Times New Roman"/>
          <w:sz w:val="20"/>
          <w:szCs w:val="20"/>
          <w:b w:val="1"/>
          <w:bCs w:val="1"/>
          <w:color w:val="auto"/>
        </w:rPr>
        <w:t>Series E Preferred Stock</w:t>
      </w:r>
      <w:r>
        <w:rPr>
          <w:rFonts w:ascii="Times New Roman" w:cs="Times New Roman" w:eastAsia="Times New Roman" w:hAnsi="Times New Roman"/>
          <w:sz w:val="20"/>
          <w:szCs w:val="20"/>
          <w:color w:val="auto"/>
        </w:rPr>
        <w:t>.” 5,768,518 shares of the authorized and unissued Preferred Stock of the Corporation are hereby designated “</w:t>
      </w:r>
      <w:r>
        <w:rPr>
          <w:rFonts w:ascii="Times New Roman" w:cs="Times New Roman" w:eastAsia="Times New Roman" w:hAnsi="Times New Roman"/>
          <w:sz w:val="20"/>
          <w:szCs w:val="20"/>
          <w:b w:val="1"/>
          <w:bCs w:val="1"/>
          <w:color w:val="auto"/>
        </w:rPr>
        <w:t>Series E-1 Preferred Stock</w:t>
      </w:r>
      <w:r>
        <w:rPr>
          <w:rFonts w:ascii="Times New Roman" w:cs="Times New Roman" w:eastAsia="Times New Roman" w:hAnsi="Times New Roman"/>
          <w:sz w:val="20"/>
          <w:szCs w:val="20"/>
          <w:color w:val="auto"/>
        </w:rPr>
        <w:t>.” 14,526,649 shares of the authorized and unissued Preferred Stock of the Corporation are hereby designated “</w:t>
      </w:r>
      <w:r>
        <w:rPr>
          <w:rFonts w:ascii="Times New Roman" w:cs="Times New Roman" w:eastAsia="Times New Roman" w:hAnsi="Times New Roman"/>
          <w:sz w:val="20"/>
          <w:szCs w:val="20"/>
          <w:b w:val="1"/>
          <w:bCs w:val="1"/>
          <w:color w:val="auto"/>
        </w:rPr>
        <w:t>Series F Preferred Stock</w:t>
      </w:r>
      <w:r>
        <w:rPr>
          <w:rFonts w:ascii="Times New Roman" w:cs="Times New Roman" w:eastAsia="Times New Roman" w:hAnsi="Times New Roman"/>
          <w:sz w:val="20"/>
          <w:szCs w:val="20"/>
          <w:color w:val="auto"/>
        </w:rPr>
        <w:t>.”</w:t>
      </w:r>
    </w:p>
    <w:p>
      <w:pPr>
        <w:spacing w:after="0" w:line="120" w:lineRule="exact"/>
        <w:rPr>
          <w:rFonts w:ascii="Times New Roman" w:cs="Times New Roman" w:eastAsia="Times New Roman" w:hAnsi="Times New Roman"/>
          <w:sz w:val="20"/>
          <w:szCs w:val="20"/>
          <w:color w:val="auto"/>
        </w:rPr>
      </w:pPr>
    </w:p>
    <w:p>
      <w:pPr>
        <w:ind w:left="1200" w:hanging="603"/>
        <w:spacing w:after="0"/>
        <w:tabs>
          <w:tab w:leader="none" w:pos="12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1195"/>
        <w:spacing w:after="0" w:line="252" w:lineRule="auto"/>
        <w:rPr>
          <w:sz w:val="20"/>
          <w:szCs w:val="20"/>
          <w:color w:val="auto"/>
        </w:rPr>
      </w:pPr>
      <w:r>
        <w:rPr>
          <w:rFonts w:ascii="Times New Roman" w:cs="Times New Roman" w:eastAsia="Times New Roman" w:hAnsi="Times New Roman"/>
          <w:sz w:val="20"/>
          <w:szCs w:val="20"/>
          <w:color w:val="auto"/>
        </w:rPr>
        <w:t>2.1. Holders of Preferred Stock, in preference to the holders of Common Stock, shall be entitled to receive, only when, as and if declared by the Corporation’s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xml:space="preserve">”), but only out of funds that are legally available therefor, cash dividends at the rate of 8% of the applicable Original Issue Price (as defined in </w:t>
      </w:r>
      <w:r>
        <w:rPr>
          <w:rFonts w:ascii="Times New Roman" w:cs="Times New Roman" w:eastAsia="Times New Roman" w:hAnsi="Times New Roman"/>
          <w:sz w:val="20"/>
          <w:szCs w:val="20"/>
          <w:u w:val="single" w:color="auto"/>
          <w:color w:val="auto"/>
        </w:rPr>
        <w:t>Subsection 3.1</w:t>
      </w:r>
      <w:r>
        <w:rPr>
          <w:rFonts w:ascii="Times New Roman" w:cs="Times New Roman" w:eastAsia="Times New Roman" w:hAnsi="Times New Roman"/>
          <w:sz w:val="20"/>
          <w:szCs w:val="20"/>
          <w:color w:val="auto"/>
        </w:rPr>
        <w:t>) (subject to appropriate adjustment in the event of any stock dividend, stock split, combination, reclassification, or other similar event affecting the Preferred Stock (each a “</w:t>
      </w:r>
      <w:r>
        <w:rPr>
          <w:rFonts w:ascii="Times New Roman" w:cs="Times New Roman" w:eastAsia="Times New Roman" w:hAnsi="Times New Roman"/>
          <w:sz w:val="20"/>
          <w:szCs w:val="20"/>
          <w:b w:val="1"/>
          <w:bCs w:val="1"/>
          <w:color w:val="auto"/>
        </w:rPr>
        <w:t>Recapitalization Event</w:t>
      </w:r>
      <w:r>
        <w:rPr>
          <w:rFonts w:ascii="Times New Roman" w:cs="Times New Roman" w:eastAsia="Times New Roman" w:hAnsi="Times New Roman"/>
          <w:sz w:val="20"/>
          <w:szCs w:val="20"/>
          <w:color w:val="auto"/>
        </w:rPr>
        <w:t>”)) per annum on each outstanding share of Preferred Stock. Such dividends shall be non-cumulative (the “</w:t>
      </w:r>
      <w:r>
        <w:rPr>
          <w:rFonts w:ascii="Times New Roman" w:cs="Times New Roman" w:eastAsia="Times New Roman" w:hAnsi="Times New Roman"/>
          <w:sz w:val="20"/>
          <w:szCs w:val="20"/>
          <w:b w:val="1"/>
          <w:bCs w:val="1"/>
          <w:color w:val="auto"/>
        </w:rPr>
        <w:t>Non-Cumulative Dividend</w:t>
      </w:r>
      <w:r>
        <w:rPr>
          <w:rFonts w:ascii="Times New Roman" w:cs="Times New Roman" w:eastAsia="Times New Roman" w:hAnsi="Times New Roman"/>
          <w:sz w:val="20"/>
          <w:szCs w:val="20"/>
          <w:color w:val="auto"/>
        </w:rPr>
        <w:t>”). The holders of the 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22" w:right="339" w:bottom="1440" w:gutter="0" w:footer="0" w:header="0"/>
        </w:sectPr>
      </w:pPr>
    </w:p>
    <w:bookmarkStart w:id="287" w:name="page288"/>
    <w:bookmarkEnd w:id="287"/>
    <w:p>
      <w:pPr>
        <w:jc w:val="both"/>
        <w:spacing w:after="0" w:line="262" w:lineRule="auto"/>
        <w:rPr>
          <w:sz w:val="20"/>
          <w:szCs w:val="20"/>
          <w:color w:val="auto"/>
        </w:rPr>
      </w:pPr>
      <w:r>
        <w:rPr>
          <w:rFonts w:ascii="Times New Roman" w:cs="Times New Roman" w:eastAsia="Times New Roman" w:hAnsi="Times New Roman"/>
          <w:sz w:val="20"/>
          <w:szCs w:val="20"/>
          <w:color w:val="auto"/>
        </w:rPr>
        <w:t xml:space="preserve">can waive any dividend preference that such holders shall be entitled to receive under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upon the affirmative vote or written consent of the holders of at least a majority of the shares of Preferred Stock then outstanding (voting together as a single class and not as separate series, and on an as-converted basis).</w:t>
      </w:r>
    </w:p>
    <w:p>
      <w:pPr>
        <w:spacing w:after="0" w:line="105" w:lineRule="exact"/>
        <w:rPr>
          <w:sz w:val="20"/>
          <w:szCs w:val="20"/>
          <w:color w:val="auto"/>
        </w:rPr>
      </w:pPr>
    </w:p>
    <w:p>
      <w:pPr>
        <w:jc w:val="both"/>
        <w:ind w:firstLine="1195"/>
        <w:spacing w:after="0" w:line="256" w:lineRule="auto"/>
        <w:rPr>
          <w:sz w:val="20"/>
          <w:szCs w:val="20"/>
          <w:color w:val="auto"/>
        </w:rPr>
      </w:pPr>
      <w:r>
        <w:rPr>
          <w:rFonts w:ascii="Times New Roman" w:cs="Times New Roman" w:eastAsia="Times New Roman" w:hAnsi="Times New Roman"/>
          <w:sz w:val="20"/>
          <w:szCs w:val="20"/>
          <w:color w:val="auto"/>
        </w:rPr>
        <w:t xml:space="preserve">2.2. So long as any shares of Preferred Stock are outstanding, the Corporation shall not pay or declare any dividend, whether in cash or property, or make any other distribution on the Common Stock, or purchase, redeem or otherwise acquire for value any shares of Common Stock until all dividends required to be paid pursuant to </w:t>
      </w:r>
      <w:r>
        <w:rPr>
          <w:rFonts w:ascii="Times New Roman" w:cs="Times New Roman" w:eastAsia="Times New Roman" w:hAnsi="Times New Roman"/>
          <w:sz w:val="20"/>
          <w:szCs w:val="20"/>
          <w:u w:val="single" w:color="auto"/>
          <w:color w:val="auto"/>
        </w:rPr>
        <w:t>Subsection 2.1</w:t>
      </w:r>
      <w:r>
        <w:rPr>
          <w:rFonts w:ascii="Times New Roman" w:cs="Times New Roman" w:eastAsia="Times New Roman" w:hAnsi="Times New Roman"/>
          <w:sz w:val="20"/>
          <w:szCs w:val="20"/>
          <w:color w:val="auto"/>
        </w:rPr>
        <w:t xml:space="preserve"> on the Preferred Stock shall have been paid or declared and set apart, except for:</w:t>
      </w:r>
    </w:p>
    <w:p>
      <w:pPr>
        <w:spacing w:after="0" w:line="114" w:lineRule="exact"/>
        <w:rPr>
          <w:sz w:val="20"/>
          <w:szCs w:val="20"/>
          <w:color w:val="auto"/>
        </w:rPr>
      </w:pPr>
    </w:p>
    <w:p>
      <w:pPr>
        <w:ind w:firstLine="2389"/>
        <w:spacing w:after="0" w:line="277" w:lineRule="auto"/>
        <w:tabs>
          <w:tab w:leader="none" w:pos="2983"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of Common Stock by the Corporation pursuant to agreements which permit the Corporation to repurchase such shares at cost (or the lesser of cost or fair market value) upon termination of services to the Company;</w:t>
      </w:r>
    </w:p>
    <w:p>
      <w:pPr>
        <w:spacing w:after="0" w:line="91" w:lineRule="exact"/>
        <w:rPr>
          <w:rFonts w:ascii="Times New Roman" w:cs="Times New Roman" w:eastAsia="Times New Roman" w:hAnsi="Times New Roman"/>
          <w:sz w:val="20"/>
          <w:szCs w:val="20"/>
          <w:color w:val="auto"/>
        </w:rPr>
      </w:pPr>
    </w:p>
    <w:p>
      <w:pPr>
        <w:ind w:firstLine="2389"/>
        <w:spacing w:after="0" w:line="277" w:lineRule="auto"/>
        <w:tabs>
          <w:tab w:leader="none" w:pos="2982"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of Common Stock in exercise of the Corporation’s right of first refusal to repurchase such shares, which acquisitions are approved by the Board; or</w:t>
      </w:r>
    </w:p>
    <w:p>
      <w:pPr>
        <w:spacing w:after="0" w:line="91" w:lineRule="exact"/>
        <w:rPr>
          <w:rFonts w:ascii="Times New Roman" w:cs="Times New Roman" w:eastAsia="Times New Roman" w:hAnsi="Times New Roman"/>
          <w:sz w:val="20"/>
          <w:szCs w:val="20"/>
          <w:color w:val="auto"/>
        </w:rPr>
      </w:pPr>
    </w:p>
    <w:p>
      <w:pPr>
        <w:ind w:left="2980" w:hanging="591"/>
        <w:spacing w:after="0"/>
        <w:tabs>
          <w:tab w:leader="none" w:pos="298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distributions to holders of Common Stock in accordance with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1195"/>
        <w:spacing w:after="0" w:line="262" w:lineRule="auto"/>
        <w:rPr>
          <w:sz w:val="20"/>
          <w:szCs w:val="20"/>
          <w:color w:val="auto"/>
        </w:rPr>
      </w:pPr>
      <w:r>
        <w:rPr>
          <w:rFonts w:ascii="Times New Roman" w:cs="Times New Roman" w:eastAsia="Times New Roman" w:hAnsi="Times New Roman"/>
          <w:sz w:val="20"/>
          <w:szCs w:val="20"/>
          <w:color w:val="auto"/>
        </w:rPr>
        <w:t>2.3 In the event dividends are paid on any share of Common Stock, the Corporation shall pay an additional dividend on all outstanding shares of Preferred Stock in a per share amount equal (on an as-converted to Common Stock basis) to the amount paid or set aside for each share of Common Stock.</w:t>
      </w:r>
    </w:p>
    <w:p>
      <w:pPr>
        <w:spacing w:after="0" w:line="105" w:lineRule="exact"/>
        <w:rPr>
          <w:sz w:val="20"/>
          <w:szCs w:val="20"/>
          <w:color w:val="auto"/>
        </w:rPr>
      </w:pPr>
    </w:p>
    <w:p>
      <w:pPr>
        <w:jc w:val="both"/>
        <w:ind w:firstLine="1195"/>
        <w:spacing w:after="0" w:line="277" w:lineRule="auto"/>
        <w:rPr>
          <w:sz w:val="20"/>
          <w:szCs w:val="20"/>
          <w:color w:val="auto"/>
        </w:rPr>
      </w:pPr>
      <w:r>
        <w:rPr>
          <w:rFonts w:ascii="Times New Roman" w:cs="Times New Roman" w:eastAsia="Times New Roman" w:hAnsi="Times New Roman"/>
          <w:sz w:val="20"/>
          <w:szCs w:val="20"/>
          <w:color w:val="auto"/>
        </w:rPr>
        <w:t xml:space="preserve">2.4 The provisions of </w:t>
      </w:r>
      <w:r>
        <w:rPr>
          <w:rFonts w:ascii="Times New Roman" w:cs="Times New Roman" w:eastAsia="Times New Roman" w:hAnsi="Times New Roman"/>
          <w:sz w:val="20"/>
          <w:szCs w:val="20"/>
          <w:u w:val="single" w:color="auto"/>
          <w:color w:val="auto"/>
        </w:rPr>
        <w:t>Subsections 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 xml:space="preserve"> shall not apply to a dividend payable solely in Common Stock covered by </w:t>
      </w:r>
      <w:r>
        <w:rPr>
          <w:rFonts w:ascii="Times New Roman" w:cs="Times New Roman" w:eastAsia="Times New Roman" w:hAnsi="Times New Roman"/>
          <w:sz w:val="20"/>
          <w:szCs w:val="20"/>
          <w:u w:val="single" w:color="auto"/>
          <w:color w:val="auto"/>
        </w:rPr>
        <w:t>Subsection 5.6</w:t>
      </w:r>
      <w:r>
        <w:rPr>
          <w:rFonts w:ascii="Times New Roman" w:cs="Times New Roman" w:eastAsia="Times New Roman" w:hAnsi="Times New Roman"/>
          <w:sz w:val="20"/>
          <w:szCs w:val="20"/>
          <w:color w:val="auto"/>
        </w:rPr>
        <w:t>.</w:t>
      </w:r>
    </w:p>
    <w:p>
      <w:pPr>
        <w:spacing w:after="0" w:line="91" w:lineRule="exact"/>
        <w:rPr>
          <w:sz w:val="20"/>
          <w:szCs w:val="20"/>
          <w:color w:val="auto"/>
        </w:rPr>
      </w:pPr>
    </w:p>
    <w:p>
      <w:pPr>
        <w:ind w:left="1200" w:hanging="603"/>
        <w:spacing w:after="0"/>
        <w:tabs>
          <w:tab w:leader="none" w:pos="12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Liquidation, Dissolution or Winding Up; Certain Mergers, Consolidations and Asset Sales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1195"/>
        <w:spacing w:after="0" w:line="264"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Preferential Payments to Holders of Preferred Stock</w:t>
      </w:r>
      <w:r>
        <w:rPr>
          <w:rFonts w:ascii="Times New Roman" w:cs="Times New Roman" w:eastAsia="Times New Roman" w:hAnsi="Times New Roman"/>
          <w:sz w:val="19"/>
          <w:szCs w:val="19"/>
          <w:color w:val="auto"/>
        </w:rPr>
        <w:t xml:space="preserve">. In the event of any voluntary or involuntary liquidation, dissolution or winding up of the Corporation or Deemed Liquidation Event (as defined in </w:t>
      </w:r>
      <w:r>
        <w:rPr>
          <w:rFonts w:ascii="Times New Roman" w:cs="Times New Roman" w:eastAsia="Times New Roman" w:hAnsi="Times New Roman"/>
          <w:sz w:val="19"/>
          <w:szCs w:val="19"/>
          <w:u w:val="single" w:color="auto"/>
          <w:color w:val="auto"/>
        </w:rPr>
        <w:t>Subsection 3.3</w:t>
      </w:r>
      <w:r>
        <w:rPr>
          <w:rFonts w:ascii="Times New Roman" w:cs="Times New Roman" w:eastAsia="Times New Roman" w:hAnsi="Times New Roman"/>
          <w:sz w:val="19"/>
          <w:szCs w:val="19"/>
          <w:color w:val="auto"/>
        </w:rPr>
        <w:t>), the holders of shares of Preferred Stock then outstanding shall be entitled to be paid out of the assets of the Corporation available for distribution to its stockholders before any payment shall be made to the holders of shares of Common Stock by reason of their ownership thereof, an amount per share equal to the greater of (x) the applicable Original Issue Price for such series of Preferred Stock, plus any dividends declared but unpaid thereon, or (y) such amount per share as would have been payable had all shares of Preferred Stock that would, if so converted, receive a greater per share “liquidation, dissolution or winding up or Deemed Liquidation Event” payment been converted into Common Stock immediately prior to such liquidation, dissolution or winding up or Deemed Liquidation Event (the amount payable pursuant to this sentence is hereinafter referred to as the “</w:t>
      </w:r>
      <w:r>
        <w:rPr>
          <w:rFonts w:ascii="Times New Roman" w:cs="Times New Roman" w:eastAsia="Times New Roman" w:hAnsi="Times New Roman"/>
          <w:sz w:val="19"/>
          <w:szCs w:val="19"/>
          <w:b w:val="1"/>
          <w:bCs w:val="1"/>
          <w:color w:val="auto"/>
        </w:rPr>
        <w:t>Liquidation Amoun</w:t>
      </w:r>
      <w:r>
        <w:rPr>
          <w:rFonts w:ascii="Times New Roman" w:cs="Times New Roman" w:eastAsia="Times New Roman" w:hAnsi="Times New Roman"/>
          <w:sz w:val="19"/>
          <w:szCs w:val="19"/>
          <w:color w:val="auto"/>
        </w:rPr>
        <w:t>t”). Upon any such liquidation, dissolution or winding up of the Corporation or Deemed Liquidation Event, the assets of the Corporation available for distribution to its stockholders shall be insufficient to pay the holders of shares of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21" w:right="339" w:bottom="1440" w:gutter="0" w:footer="0" w:header="0"/>
        </w:sectPr>
      </w:pPr>
    </w:p>
    <w:bookmarkStart w:id="288" w:name="page289"/>
    <w:bookmarkEnd w:id="28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Stock the full amount to which they shall be entitled under this </w:t>
      </w:r>
      <w:r>
        <w:rPr>
          <w:rFonts w:ascii="Times New Roman" w:cs="Times New Roman" w:eastAsia="Times New Roman" w:hAnsi="Times New Roman"/>
          <w:sz w:val="20"/>
          <w:szCs w:val="20"/>
          <w:u w:val="single" w:color="auto"/>
          <w:color w:val="auto"/>
        </w:rPr>
        <w:t>Subsection 3.1</w:t>
      </w:r>
      <w:r>
        <w:rPr>
          <w:rFonts w:ascii="Times New Roman" w:cs="Times New Roman" w:eastAsia="Times New Roman" w:hAnsi="Times New Roman"/>
          <w:sz w:val="20"/>
          <w:szCs w:val="20"/>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under subclause (x) of the definition of Liquidation Amount were paid in full. The “</w:t>
      </w:r>
      <w:r>
        <w:rPr>
          <w:rFonts w:ascii="Times New Roman" w:cs="Times New Roman" w:eastAsia="Times New Roman" w:hAnsi="Times New Roman"/>
          <w:sz w:val="20"/>
          <w:szCs w:val="20"/>
          <w:b w:val="1"/>
          <w:bCs w:val="1"/>
          <w:color w:val="auto"/>
        </w:rPr>
        <w:t>Original Issue Price</w:t>
      </w:r>
      <w:r>
        <w:rPr>
          <w:rFonts w:ascii="Times New Roman" w:cs="Times New Roman" w:eastAsia="Times New Roman" w:hAnsi="Times New Roman"/>
          <w:sz w:val="20"/>
          <w:szCs w:val="20"/>
          <w:color w:val="auto"/>
        </w:rPr>
        <w:t>” shall mean (i) in the case of the Series A Preferred Stock, $0.233 per share (subject to appropriate adjustment in the event of any Recapitalization Event); (ii) in the case of the Series A-1 Preferred Stock, $0.269 per share (subject to appropriate adjustment in the event of any Recapitalization Event); (iii) in the case of the Series B Preferred Stock, $0.9252 per share (subject to appropriate adjustment in the event of any Recapitalization Event); (iv) in the case of the Series C Preferred Stock, $1.4945 per share (subject to appropriate adjustment in the event of any Recapitalization Event); (v) in the case of the Series D Preferred Stock, $2.2633 per share (subject to appropriate adjustment in the event of any Recapitalization Event); (vi) in the case of the Series E Preferred Stock and Series E-1 Preferred Stock, $6.2581 per share, and (vii) in the case of the Series F Preferred Stock, $6.8839 (subject to appropriate adjustment in the event of any Recapitalization Event).</w:t>
      </w:r>
    </w:p>
    <w:p>
      <w:pPr>
        <w:spacing w:after="0" w:line="125" w:lineRule="exact"/>
        <w:rPr>
          <w:sz w:val="20"/>
          <w:szCs w:val="20"/>
          <w:color w:val="auto"/>
        </w:rPr>
      </w:pPr>
    </w:p>
    <w:p>
      <w:pPr>
        <w:jc w:val="both"/>
        <w:ind w:firstLine="1195"/>
        <w:spacing w:after="0" w:line="25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Payments to Holders of Common Stock</w:t>
      </w:r>
      <w:r>
        <w:rPr>
          <w:rFonts w:ascii="Times New Roman" w:cs="Times New Roman" w:eastAsia="Times New Roman" w:hAnsi="Times New Roman"/>
          <w:sz w:val="20"/>
          <w:szCs w:val="20"/>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as provided in </w:t>
      </w:r>
      <w:r>
        <w:rPr>
          <w:rFonts w:ascii="Times New Roman" w:cs="Times New Roman" w:eastAsia="Times New Roman" w:hAnsi="Times New Roman"/>
          <w:sz w:val="20"/>
          <w:szCs w:val="20"/>
          <w:u w:val="single" w:color="auto"/>
          <w:color w:val="auto"/>
        </w:rPr>
        <w:t>Subsection 3.1</w:t>
      </w:r>
      <w:r>
        <w:rPr>
          <w:rFonts w:ascii="Times New Roman" w:cs="Times New Roman" w:eastAsia="Times New Roman" w:hAnsi="Times New Roman"/>
          <w:sz w:val="20"/>
          <w:szCs w:val="20"/>
          <w:color w:val="auto"/>
        </w:rPr>
        <w:t>, the remaining assets of the Corporation available for distribution to its stockholders shall be distributed among the holders of shares of Common Stock, pro rata based on the number of shares held by each such holder.</w:t>
      </w:r>
    </w:p>
    <w:p>
      <w:pPr>
        <w:spacing w:after="0" w:line="354"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Deemed Liquidation Events</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both"/>
        <w:ind w:firstLine="1792"/>
        <w:spacing w:after="0" w:line="251" w:lineRule="auto"/>
        <w:rPr>
          <w:sz w:val="20"/>
          <w:szCs w:val="20"/>
          <w:color w:val="auto"/>
        </w:rPr>
      </w:pPr>
      <w:r>
        <w:rPr>
          <w:rFonts w:ascii="Times New Roman" w:cs="Times New Roman" w:eastAsia="Times New Roman" w:hAnsi="Times New Roman"/>
          <w:sz w:val="20"/>
          <w:szCs w:val="20"/>
          <w:color w:val="auto"/>
        </w:rPr>
        <w:t xml:space="preserve">3.3.1 </w:t>
      </w:r>
      <w:r>
        <w:rPr>
          <w:rFonts w:ascii="Times New Roman" w:cs="Times New Roman" w:eastAsia="Times New Roman" w:hAnsi="Times New Roman"/>
          <w:sz w:val="20"/>
          <w:szCs w:val="20"/>
          <w:u w:val="single" w:color="auto"/>
          <w:color w:val="auto"/>
        </w:rPr>
        <w:t>Definition</w:t>
      </w:r>
      <w:r>
        <w:rPr>
          <w:rFonts w:ascii="Times New Roman" w:cs="Times New Roman" w:eastAsia="Times New Roman" w:hAnsi="Times New Roman"/>
          <w:sz w:val="20"/>
          <w:szCs w:val="20"/>
          <w:color w:val="auto"/>
        </w:rPr>
        <w:t>. Each of the following events shall be considered a “</w:t>
      </w:r>
      <w:r>
        <w:rPr>
          <w:rFonts w:ascii="Times New Roman" w:cs="Times New Roman" w:eastAsia="Times New Roman" w:hAnsi="Times New Roman"/>
          <w:sz w:val="20"/>
          <w:szCs w:val="20"/>
          <w:b w:val="1"/>
          <w:bCs w:val="1"/>
          <w:color w:val="auto"/>
        </w:rPr>
        <w:t>Deemed Liquidation Event</w:t>
      </w:r>
      <w:r>
        <w:rPr>
          <w:rFonts w:ascii="Times New Roman" w:cs="Times New Roman" w:eastAsia="Times New Roman" w:hAnsi="Times New Roman"/>
          <w:sz w:val="20"/>
          <w:szCs w:val="20"/>
          <w:color w:val="auto"/>
        </w:rPr>
        <w:t xml:space="preserve">” unless the holders of outstanding shares of Preferred Stock representing (i) not less than the Preferred Stock Approval Amount (as defined in </w:t>
      </w:r>
      <w:r>
        <w:rPr>
          <w:rFonts w:ascii="Times New Roman" w:cs="Times New Roman" w:eastAsia="Times New Roman" w:hAnsi="Times New Roman"/>
          <w:sz w:val="20"/>
          <w:szCs w:val="20"/>
          <w:u w:val="single" w:color="auto"/>
          <w:color w:val="auto"/>
        </w:rPr>
        <w:t>Subsection 4.3</w:t>
      </w:r>
      <w:r>
        <w:rPr>
          <w:rFonts w:ascii="Times New Roman" w:cs="Times New Roman" w:eastAsia="Times New Roman" w:hAnsi="Times New Roman"/>
          <w:sz w:val="20"/>
          <w:szCs w:val="20"/>
          <w:color w:val="auto"/>
        </w:rPr>
        <w:t>) (voting together as a single class and not as separate series and on an as-converted to Common Stock basis), (ii) at least 60% of the outstanding shares of Series D Preferred Stock (voting as a separate series) elect otherwise by written notice sent to the Corporation prior to the effective date of any such event, (iii) a majority of the outstanding shares of Series E Preferred Stock and Series E-1 Preferred Stock (voting together as if a single series) elect otherwise by written notice sent to the Corporation prior to the effective date of any such event, and (iv) a majority of the outstanding shares of Series F Preferred Stock (voting as a separate series) elect otherwise by written notice sent to the Corporation prior to the effective date of any such event:</w:t>
      </w:r>
    </w:p>
    <w:p>
      <w:pPr>
        <w:spacing w:after="0" w:line="121" w:lineRule="exact"/>
        <w:rPr>
          <w:sz w:val="20"/>
          <w:szCs w:val="20"/>
          <w:color w:val="auto"/>
        </w:rPr>
      </w:pPr>
    </w:p>
    <w:p>
      <w:pPr>
        <w:ind w:left="2980" w:hanging="591"/>
        <w:spacing w:after="0"/>
        <w:tabs>
          <w:tab w:leader="none" w:pos="298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consolidation or other transaction in which</w:t>
      </w:r>
    </w:p>
    <w:p>
      <w:pPr>
        <w:spacing w:after="0" w:line="155" w:lineRule="exact"/>
        <w:rPr>
          <w:rFonts w:ascii="Times New Roman" w:cs="Times New Roman" w:eastAsia="Times New Roman" w:hAnsi="Times New Roman"/>
          <w:sz w:val="20"/>
          <w:szCs w:val="20"/>
          <w:color w:val="auto"/>
        </w:rPr>
      </w:pPr>
    </w:p>
    <w:p>
      <w:pPr>
        <w:ind w:left="3720" w:hanging="585"/>
        <w:spacing w:after="0"/>
        <w:tabs>
          <w:tab w:leader="none" w:pos="372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a constituent party or</w:t>
      </w:r>
    </w:p>
    <w:p>
      <w:pPr>
        <w:spacing w:after="0" w:line="155" w:lineRule="exact"/>
        <w:rPr>
          <w:rFonts w:ascii="Times New Roman" w:cs="Times New Roman" w:eastAsia="Times New Roman" w:hAnsi="Times New Roman"/>
          <w:sz w:val="20"/>
          <w:szCs w:val="20"/>
          <w:color w:val="auto"/>
        </w:rPr>
      </w:pPr>
    </w:p>
    <w:p>
      <w:pPr>
        <w:ind w:left="3740" w:hanging="605"/>
        <w:spacing w:after="0" w:line="277" w:lineRule="auto"/>
        <w:tabs>
          <w:tab w:leader="none" w:pos="3734"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subsidiary of the Corporation is a constituent party and the Corporation issues shares of its capital stock pursuant to such merger or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21" w:right="339" w:bottom="1440" w:gutter="0" w:footer="0" w:header="0"/>
        </w:sectPr>
      </w:pPr>
    </w:p>
    <w:bookmarkStart w:id="289" w:name="page290"/>
    <w:bookmarkEnd w:id="289"/>
    <w:p>
      <w:pPr>
        <w:jc w:val="both"/>
        <w:spacing w:after="0" w:line="250" w:lineRule="auto"/>
        <w:rPr>
          <w:sz w:val="20"/>
          <w:szCs w:val="20"/>
          <w:color w:val="auto"/>
        </w:rPr>
      </w:pPr>
      <w:r>
        <w:rPr>
          <w:rFonts w:ascii="Times New Roman" w:cs="Times New Roman" w:eastAsia="Times New Roman" w:hAnsi="Times New Roman"/>
          <w:sz w:val="20"/>
          <w:szCs w:val="20"/>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for the purpose of this </w:t>
      </w:r>
      <w:r>
        <w:rPr>
          <w:rFonts w:ascii="Times New Roman" w:cs="Times New Roman" w:eastAsia="Times New Roman" w:hAnsi="Times New Roman"/>
          <w:sz w:val="20"/>
          <w:szCs w:val="20"/>
          <w:u w:val="single" w:color="auto"/>
          <w:color w:val="auto"/>
        </w:rPr>
        <w:t>Subsection 3.3.1</w:t>
      </w:r>
      <w:r>
        <w:rPr>
          <w:rFonts w:ascii="Times New Roman" w:cs="Times New Roman" w:eastAsia="Times New Roman" w:hAnsi="Times New Roman"/>
          <w:sz w:val="20"/>
          <w:szCs w:val="20"/>
          <w:color w:val="auto"/>
        </w:rPr>
        <w:t xml:space="preserve">, all shares of Common Stock issuable upon exercise of Options (as defined in </w:t>
      </w:r>
      <w:r>
        <w:rPr>
          <w:rFonts w:ascii="Times New Roman" w:cs="Times New Roman" w:eastAsia="Times New Roman" w:hAnsi="Times New Roman"/>
          <w:sz w:val="20"/>
          <w:szCs w:val="20"/>
          <w:u w:val="single" w:color="auto"/>
          <w:color w:val="auto"/>
        </w:rPr>
        <w:t>Subsection 5.4.1</w:t>
      </w:r>
      <w:r>
        <w:rPr>
          <w:rFonts w:ascii="Times New Roman" w:cs="Times New Roman" w:eastAsia="Times New Roman" w:hAnsi="Times New Roman"/>
          <w:sz w:val="20"/>
          <w:szCs w:val="20"/>
          <w:color w:val="auto"/>
        </w:rPr>
        <w:t xml:space="preserve">) outstanding immediately prior to such merger or consolidation or upon conversion of Convertible Securities (as defined in </w:t>
      </w:r>
      <w:r>
        <w:rPr>
          <w:rFonts w:ascii="Times New Roman" w:cs="Times New Roman" w:eastAsia="Times New Roman" w:hAnsi="Times New Roman"/>
          <w:sz w:val="20"/>
          <w:szCs w:val="20"/>
          <w:u w:val="single" w:color="auto"/>
          <w:color w:val="auto"/>
        </w:rPr>
        <w:t>Subsection 5.4.1</w:t>
      </w:r>
      <w:r>
        <w:rPr>
          <w:rFonts w:ascii="Times New Roman" w:cs="Times New Roman" w:eastAsia="Times New Roman" w:hAnsi="Times New Roman"/>
          <w:sz w:val="20"/>
          <w:szCs w:val="20"/>
          <w:color w:val="auto"/>
        </w:rPr>
        <w:t>) outstanding immediately prior to such merger or consolidation shall be deemed to be outstanding immediately prior to such merger or consolidation and, if applicable, converted or exchanged in such merger or consolidation on the same terms as the actual outstanding shares of Common Stock are converted or exchanged); or</w:t>
      </w:r>
    </w:p>
    <w:p>
      <w:pPr>
        <w:spacing w:after="0" w:line="118" w:lineRule="exact"/>
        <w:rPr>
          <w:sz w:val="20"/>
          <w:szCs w:val="20"/>
          <w:color w:val="auto"/>
        </w:rPr>
      </w:pPr>
    </w:p>
    <w:p>
      <w:pPr>
        <w:jc w:val="both"/>
        <w:ind w:firstLine="2389"/>
        <w:spacing w:after="0" w:line="254" w:lineRule="auto"/>
        <w:tabs>
          <w:tab w:leader="none" w:pos="2982"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14" w:lineRule="exact"/>
        <w:rPr>
          <w:sz w:val="20"/>
          <w:szCs w:val="20"/>
          <w:color w:val="auto"/>
        </w:rPr>
      </w:pPr>
    </w:p>
    <w:p>
      <w:pPr>
        <w:ind w:left="1800"/>
        <w:spacing w:after="0"/>
        <w:tabs>
          <w:tab w:leader="none" w:pos="236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19"/>
          <w:szCs w:val="19"/>
          <w:u w:val="single" w:color="auto"/>
          <w:color w:val="auto"/>
        </w:rPr>
        <w:t>Effecting a Deemed Liquidation Event</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2389"/>
        <w:spacing w:after="0" w:line="256" w:lineRule="auto"/>
        <w:tabs>
          <w:tab w:leader="none" w:pos="2983"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Corporation shall not have the power to effect a Deemed Liquidation Event referred to in </w:t>
      </w:r>
      <w:r>
        <w:rPr>
          <w:rFonts w:ascii="Times New Roman" w:cs="Times New Roman" w:eastAsia="Times New Roman" w:hAnsi="Times New Roman"/>
          <w:sz w:val="20"/>
          <w:szCs w:val="20"/>
          <w:u w:val="single" w:color="auto"/>
          <w:color w:val="auto"/>
        </w:rPr>
        <w:t>Subsection 3.3.1(a)(i)</w:t>
      </w:r>
      <w:r>
        <w:rPr>
          <w:rFonts w:ascii="Times New Roman" w:cs="Times New Roman" w:eastAsia="Times New Roman" w:hAnsi="Times New Roman"/>
          <w:sz w:val="20"/>
          <w:szCs w:val="20"/>
          <w:color w:val="auto"/>
        </w:rPr>
        <w:t xml:space="preserve"> unless the agreement or plan of merger or consolidation for such transaction (the “</w:t>
      </w:r>
      <w:r>
        <w:rPr>
          <w:rFonts w:ascii="Times New Roman" w:cs="Times New Roman" w:eastAsia="Times New Roman" w:hAnsi="Times New Roman"/>
          <w:sz w:val="20"/>
          <w:szCs w:val="20"/>
          <w:b w:val="1"/>
          <w:bCs w:val="1"/>
          <w:color w:val="auto"/>
        </w:rPr>
        <w:t>Merger Agreement</w:t>
      </w:r>
      <w:r>
        <w:rPr>
          <w:rFonts w:ascii="Times New Roman" w:cs="Times New Roman" w:eastAsia="Times New Roman" w:hAnsi="Times New Roman"/>
          <w:sz w:val="20"/>
          <w:szCs w:val="20"/>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20"/>
          <w:szCs w:val="20"/>
          <w:u w:val="single" w:color="auto"/>
          <w:color w:val="auto"/>
        </w:rPr>
        <w:t>Subsections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w:t>
      </w:r>
    </w:p>
    <w:p>
      <w:pPr>
        <w:spacing w:after="0" w:line="113" w:lineRule="exact"/>
        <w:rPr>
          <w:rFonts w:ascii="Times New Roman" w:cs="Times New Roman" w:eastAsia="Times New Roman" w:hAnsi="Times New Roman"/>
          <w:sz w:val="20"/>
          <w:szCs w:val="20"/>
          <w:color w:val="auto"/>
        </w:rPr>
      </w:pPr>
    </w:p>
    <w:p>
      <w:pPr>
        <w:jc w:val="both"/>
        <w:ind w:firstLine="2389"/>
        <w:spacing w:after="0" w:line="250" w:lineRule="auto"/>
        <w:tabs>
          <w:tab w:leader="none" w:pos="2982"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Deemed Liquidation Event referred to in </w:t>
      </w:r>
      <w:r>
        <w:rPr>
          <w:rFonts w:ascii="Times New Roman" w:cs="Times New Roman" w:eastAsia="Times New Roman" w:hAnsi="Times New Roman"/>
          <w:sz w:val="20"/>
          <w:szCs w:val="20"/>
          <w:u w:val="single" w:color="auto"/>
          <w:color w:val="auto"/>
        </w:rPr>
        <w:t>Subsection 3.3.1(a)(ii)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3.3.1(b)</w:t>
      </w:r>
      <w:r>
        <w:rPr>
          <w:rFonts w:ascii="Times New Roman" w:cs="Times New Roman" w:eastAsia="Times New Roman" w:hAnsi="Times New Roman"/>
          <w:sz w:val="20"/>
          <w:szCs w:val="20"/>
          <w:color w:val="auto"/>
        </w:rPr>
        <w:t xml:space="preserve">,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to require the redemption of such shares of Preferred Stock, and (ii) if the holders of outstanding shares of Preferred Stock representing not less than the Preferred Stock Approval Amount (voting together as single class and not as separate series and on an as-converted to Common Stock basis) so request in a written instrument (the “</w:t>
      </w:r>
      <w:r>
        <w:rPr>
          <w:rFonts w:ascii="Times New Roman" w:cs="Times New Roman" w:eastAsia="Times New Roman" w:hAnsi="Times New Roman"/>
          <w:sz w:val="20"/>
          <w:szCs w:val="20"/>
          <w:b w:val="1"/>
          <w:bCs w:val="1"/>
          <w:color w:val="auto"/>
        </w:rPr>
        <w:t>Redemption Request</w:t>
      </w:r>
      <w:r>
        <w:rPr>
          <w:rFonts w:ascii="Times New Roman" w:cs="Times New Roman" w:eastAsia="Times New Roman" w:hAnsi="Times New Roman"/>
          <w:sz w:val="20"/>
          <w:szCs w:val="20"/>
          <w:color w:val="auto"/>
        </w:rPr>
        <w: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together with any other assets of the Corporation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1" w:right="339" w:bottom="1440" w:gutter="0" w:footer="0" w:header="0"/>
        </w:sectPr>
      </w:pPr>
    </w:p>
    <w:bookmarkStart w:id="290" w:name="page291"/>
    <w:bookmarkEnd w:id="290"/>
    <w:p>
      <w:pPr>
        <w:jc w:val="both"/>
        <w:spacing w:after="0" w:line="257" w:lineRule="auto"/>
        <w:rPr>
          <w:sz w:val="20"/>
          <w:szCs w:val="20"/>
          <w:color w:val="auto"/>
        </w:rPr>
      </w:pPr>
      <w:r>
        <w:rPr>
          <w:rFonts w:ascii="Times New Roman" w:cs="Times New Roman" w:eastAsia="Times New Roman" w:hAnsi="Times New Roman"/>
          <w:sz w:val="19"/>
          <w:szCs w:val="19"/>
          <w:color w:val="auto"/>
        </w:rPr>
        <w:t>distribution to its stockholders (the “</w:t>
      </w:r>
      <w:r>
        <w:rPr>
          <w:rFonts w:ascii="Times New Roman" w:cs="Times New Roman" w:eastAsia="Times New Roman" w:hAnsi="Times New Roman"/>
          <w:sz w:val="19"/>
          <w:szCs w:val="19"/>
          <w:b w:val="1"/>
          <w:bCs w:val="1"/>
          <w:color w:val="auto"/>
        </w:rPr>
        <w:t>Available Proceeds</w:t>
      </w:r>
      <w:r>
        <w:rPr>
          <w:rFonts w:ascii="Times New Roman" w:cs="Times New Roman" w:eastAsia="Times New Roman" w:hAnsi="Times New Roman"/>
          <w:sz w:val="19"/>
          <w:szCs w:val="19"/>
          <w:color w:val="auto"/>
        </w:rPr>
        <w:t>”) on the 150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after such Deemed Liquidation Event, to redeem all outstanding shares of Preferred Stock at a price per share equal to the applicable Liquidation Amount. On receipt of the Redemption Request, the Corporation shall apply all of its assets to such redemption, and to no other corporate purpose, except to the extent prohibited by Delaware law governing distributions to stockholders.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that it may redeem consistent with Delaware law governing distributions to stockholders, based on the respective amounts which would otherwise be payable in respect of the shares to be redeemed if the Available Proceeds were sufficient to redeem all such shares, and shall redeem the remaining shares to have been redeemed as soon as practicable after the Corporation has funds available therefor. Prior to the distribution or redemption provided for in this </w:t>
      </w:r>
      <w:r>
        <w:rPr>
          <w:rFonts w:ascii="Times New Roman" w:cs="Times New Roman" w:eastAsia="Times New Roman" w:hAnsi="Times New Roman"/>
          <w:sz w:val="19"/>
          <w:szCs w:val="19"/>
          <w:u w:val="single" w:color="auto"/>
          <w:color w:val="auto"/>
        </w:rPr>
        <w:t>Subsection 3.3.2</w:t>
      </w:r>
      <w:r>
        <w:rPr>
          <w:rFonts w:ascii="Times New Roman" w:cs="Times New Roman" w:eastAsia="Times New Roman" w:hAnsi="Times New Roman"/>
          <w:sz w:val="19"/>
          <w:szCs w:val="19"/>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20" w:lineRule="exact"/>
        <w:rPr>
          <w:sz w:val="20"/>
          <w:szCs w:val="20"/>
          <w:color w:val="auto"/>
        </w:rPr>
      </w:pPr>
    </w:p>
    <w:p>
      <w:pPr>
        <w:jc w:val="both"/>
        <w:ind w:firstLine="1792"/>
        <w:spacing w:after="0" w:line="256" w:lineRule="auto"/>
        <w:rPr>
          <w:sz w:val="20"/>
          <w:szCs w:val="20"/>
          <w:color w:val="auto"/>
        </w:rPr>
      </w:pPr>
      <w:r>
        <w:rPr>
          <w:rFonts w:ascii="Times New Roman" w:cs="Times New Roman" w:eastAsia="Times New Roman" w:hAnsi="Times New Roman"/>
          <w:sz w:val="20"/>
          <w:szCs w:val="20"/>
          <w:color w:val="auto"/>
        </w:rPr>
        <w:t xml:space="preserve">3.3.3 </w:t>
      </w:r>
      <w:r>
        <w:rPr>
          <w:rFonts w:ascii="Times New Roman" w:cs="Times New Roman" w:eastAsia="Times New Roman" w:hAnsi="Times New Roman"/>
          <w:sz w:val="20"/>
          <w:szCs w:val="20"/>
          <w:u w:val="single" w:color="auto"/>
          <w:color w:val="auto"/>
        </w:rPr>
        <w:t>Amount Deemed Paid or Distributed</w:t>
      </w:r>
      <w:r>
        <w:rPr>
          <w:rFonts w:ascii="Times New Roman" w:cs="Times New Roman" w:eastAsia="Times New Roman" w:hAnsi="Times New Roman"/>
          <w:sz w:val="20"/>
          <w:szCs w:val="20"/>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114"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Effect of Non-compliance</w:t>
      </w:r>
      <w:r>
        <w:rPr>
          <w:rFonts w:ascii="Times New Roman" w:cs="Times New Roman" w:eastAsia="Times New Roman" w:hAnsi="Times New Roman"/>
          <w:sz w:val="20"/>
          <w:szCs w:val="20"/>
          <w:color w:val="auto"/>
        </w:rPr>
        <w:t xml:space="preserve">. In the event the requirements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are not materially complied with, this Corporation shall forthwith either (A) cause the closing of such Deemed Liquidation Event to be postponed until such time as the requirements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have been complied with or (B) cancel such transaction, in which event the rights, preferences and privileges of the holders of the Preferred Stock shall revert to and be the same as such rights, preferences and privileges existing immediately prior to the date of the first notice referred to in </w:t>
      </w:r>
      <w:r>
        <w:rPr>
          <w:rFonts w:ascii="Times New Roman" w:cs="Times New Roman" w:eastAsia="Times New Roman" w:hAnsi="Times New Roman"/>
          <w:sz w:val="20"/>
          <w:szCs w:val="20"/>
          <w:u w:val="single" w:color="auto"/>
          <w:color w:val="auto"/>
        </w:rPr>
        <w:t>Subsection 3.5</w:t>
      </w:r>
      <w:r>
        <w:rPr>
          <w:rFonts w:ascii="Times New Roman" w:cs="Times New Roman" w:eastAsia="Times New Roman" w:hAnsi="Times New Roman"/>
          <w:sz w:val="20"/>
          <w:szCs w:val="20"/>
          <w:color w:val="auto"/>
        </w:rPr>
        <w:t>.</w:t>
      </w:r>
    </w:p>
    <w:p>
      <w:pPr>
        <w:spacing w:after="0" w:line="114"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Notice of Deemed Liquidation Event</w:t>
      </w:r>
      <w:r>
        <w:rPr>
          <w:rFonts w:ascii="Times New Roman" w:cs="Times New Roman" w:eastAsia="Times New Roman" w:hAnsi="Times New Roman"/>
          <w:sz w:val="20"/>
          <w:szCs w:val="20"/>
          <w:color w:val="auto"/>
        </w:rPr>
        <w:t xml:space="preserve">. This Corporation shall give each holder of record of Preferred Stock written notice of such impending Deemed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General Corporation Law such periods may be shortened or waived upon the written consent of the holders of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17" w:right="339" w:bottom="1440" w:gutter="0" w:footer="0" w:header="0"/>
        </w:sectPr>
      </w:pPr>
    </w:p>
    <w:bookmarkStart w:id="291" w:name="page292"/>
    <w:bookmarkEnd w:id="291"/>
    <w:p>
      <w:pPr>
        <w:jc w:val="both"/>
        <w:spacing w:after="0" w:line="277" w:lineRule="auto"/>
        <w:rPr>
          <w:sz w:val="20"/>
          <w:szCs w:val="20"/>
          <w:color w:val="auto"/>
        </w:rPr>
      </w:pPr>
      <w:r>
        <w:rPr>
          <w:rFonts w:ascii="Times New Roman" w:cs="Times New Roman" w:eastAsia="Times New Roman" w:hAnsi="Times New Roman"/>
          <w:sz w:val="20"/>
          <w:szCs w:val="20"/>
          <w:color w:val="auto"/>
        </w:rPr>
        <w:t>Preferred Stock representing not less than the Preferred Stock Approval Amount (voting together as a single class and not as separate series, and on an as-converted basis).</w:t>
      </w:r>
    </w:p>
    <w:p>
      <w:pPr>
        <w:spacing w:after="0" w:line="91" w:lineRule="exact"/>
        <w:rPr>
          <w:sz w:val="20"/>
          <w:szCs w:val="20"/>
          <w:color w:val="auto"/>
        </w:rPr>
      </w:pPr>
    </w:p>
    <w:p>
      <w:pPr>
        <w:jc w:val="both"/>
        <w:ind w:firstLine="1195"/>
        <w:spacing w:after="0" w:line="249"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Allocation of Escrow</w:t>
      </w:r>
      <w:r>
        <w:rPr>
          <w:rFonts w:ascii="Times New Roman" w:cs="Times New Roman" w:eastAsia="Times New Roman" w:hAnsi="Times New Roman"/>
          <w:sz w:val="20"/>
          <w:szCs w:val="20"/>
          <w:color w:val="auto"/>
        </w:rPr>
        <w:t xml:space="preserve">. In the event of a Deemed Liquidation Event pursuant to </w:t>
      </w:r>
      <w:r>
        <w:rPr>
          <w:rFonts w:ascii="Times New Roman" w:cs="Times New Roman" w:eastAsia="Times New Roman" w:hAnsi="Times New Roman"/>
          <w:sz w:val="20"/>
          <w:szCs w:val="20"/>
          <w:u w:val="single" w:color="auto"/>
          <w:color w:val="auto"/>
        </w:rPr>
        <w:t>Subsection 3.3</w:t>
      </w:r>
      <w:r>
        <w:rPr>
          <w:rFonts w:ascii="Times New Roman" w:cs="Times New Roman" w:eastAsia="Times New Roman" w:hAnsi="Times New Roman"/>
          <w:sz w:val="20"/>
          <w:szCs w:val="20"/>
          <w:color w:val="auto"/>
        </w:rPr>
        <w:t>, if any portion of the consideration payable to the stockholders of the Corporation is placed into escrow, retained as holdback and/or is payable to the stockholders of the Corporation subject to contingencies (“</w:t>
      </w:r>
      <w:r>
        <w:rPr>
          <w:rFonts w:ascii="Times New Roman" w:cs="Times New Roman" w:eastAsia="Times New Roman" w:hAnsi="Times New Roman"/>
          <w:sz w:val="20"/>
          <w:szCs w:val="20"/>
          <w:b w:val="1"/>
          <w:bCs w:val="1"/>
          <w:color w:val="auto"/>
        </w:rPr>
        <w:t>Additional Consideration</w:t>
      </w:r>
      <w:r>
        <w:rPr>
          <w:rFonts w:ascii="Times New Roman" w:cs="Times New Roman" w:eastAsia="Times New Roman" w:hAnsi="Times New Roman"/>
          <w:sz w:val="20"/>
          <w:szCs w:val="20"/>
          <w:color w:val="auto"/>
        </w:rPr>
        <w:t>”), the Merger Agreement shall provide that (a) the portion of such consideration that is not placed in escrow, not retained as holdback and not subject to any contingencies (the “</w:t>
      </w:r>
      <w:r>
        <w:rPr>
          <w:rFonts w:ascii="Times New Roman" w:cs="Times New Roman" w:eastAsia="Times New Roman" w:hAnsi="Times New Roman"/>
          <w:sz w:val="20"/>
          <w:szCs w:val="20"/>
          <w:b w:val="1"/>
          <w:bCs w:val="1"/>
          <w:color w:val="auto"/>
        </w:rPr>
        <w:t>Initial Consideration</w:t>
      </w:r>
      <w:r>
        <w:rPr>
          <w:rFonts w:ascii="Times New Roman" w:cs="Times New Roman" w:eastAsia="Times New Roman" w:hAnsi="Times New Roman"/>
          <w:sz w:val="20"/>
          <w:szCs w:val="20"/>
          <w:color w:val="auto"/>
        </w:rPr>
        <w:t xml:space="preserve">”) shall be allocated among the holders of capital stock of the Corporation in accordance with </w:t>
      </w:r>
      <w:r>
        <w:rPr>
          <w:rFonts w:ascii="Times New Roman" w:cs="Times New Roman" w:eastAsia="Times New Roman" w:hAnsi="Times New Roman"/>
          <w:sz w:val="20"/>
          <w:szCs w:val="20"/>
          <w:u w:val="single" w:color="auto"/>
          <w:color w:val="auto"/>
        </w:rPr>
        <w:t>Subsections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as if the Initial Consideration were the only consideration payable in connection with such Deemed Liquidation Event and (b) any additional consideration which becomes payable to the stockholders of the Corporation upon release from escrow, holdback or satisfaction of contingencies shall be allocated among the holders of capital stock of the Corporation in accordance with </w:t>
      </w:r>
      <w:r>
        <w:rPr>
          <w:rFonts w:ascii="Times New Roman" w:cs="Times New Roman" w:eastAsia="Times New Roman" w:hAnsi="Times New Roman"/>
          <w:sz w:val="20"/>
          <w:szCs w:val="20"/>
          <w:u w:val="single" w:color="auto"/>
          <w:color w:val="auto"/>
        </w:rPr>
        <w:t>Subsections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20"/>
          <w:szCs w:val="20"/>
          <w:u w:val="single" w:color="auto"/>
          <w:color w:val="auto"/>
        </w:rPr>
        <w:t>Subsection 3.6</w:t>
      </w:r>
      <w:r>
        <w:rPr>
          <w:rFonts w:ascii="Times New Roman" w:cs="Times New Roman" w:eastAsia="Times New Roman" w:hAnsi="Times New Roman"/>
          <w:sz w:val="20"/>
          <w:szCs w:val="20"/>
          <w:color w:val="auto"/>
        </w:rPr>
        <w:t>, consideration placed into escrow or retained as holdback to be available for satisfaction of indemnification or similar obligations in connection with such Deemed Liquidation Event shall be deemed to be Additional Consideration.</w:t>
      </w:r>
    </w:p>
    <w:p>
      <w:pPr>
        <w:spacing w:after="0" w:line="125" w:lineRule="exact"/>
        <w:rPr>
          <w:sz w:val="20"/>
          <w:szCs w:val="20"/>
          <w:color w:val="auto"/>
        </w:rPr>
      </w:pPr>
    </w:p>
    <w:p>
      <w:pPr>
        <w:ind w:left="1200" w:hanging="603"/>
        <w:spacing w:after="0"/>
        <w:tabs>
          <w:tab w:leader="none" w:pos="12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1195"/>
        <w:spacing w:after="0" w:line="252"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Restated Certificate, holders of Preferred Stock shall vote together with the holders of Common Stock as a single class on an as-converted basis.</w:t>
      </w:r>
    </w:p>
    <w:p>
      <w:pPr>
        <w:spacing w:after="0" w:line="119" w:lineRule="exact"/>
        <w:rPr>
          <w:sz w:val="20"/>
          <w:szCs w:val="20"/>
          <w:color w:val="auto"/>
        </w:rPr>
      </w:pPr>
    </w:p>
    <w:p>
      <w:pPr>
        <w:jc w:val="both"/>
        <w:ind w:firstLine="1195"/>
        <w:spacing w:after="0" w:line="24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Election of Directors</w:t>
      </w:r>
      <w:r>
        <w:rPr>
          <w:rFonts w:ascii="Times New Roman" w:cs="Times New Roman" w:eastAsia="Times New Roman" w:hAnsi="Times New Roman"/>
          <w:sz w:val="20"/>
          <w:szCs w:val="20"/>
          <w:color w:val="auto"/>
        </w:rPr>
        <w:t>. So long as at least 1,000,000 shares of Series A-1 Preferred Stock (subject to appropriate adjustment in the event of a Recapitalization Event) are outstanding, the holders of record of the shares of Series A-1 Preferred Stock, exclusively and as a separate class, shall be entitled to elect one director of the Corporation. So long as at least 1,500,000 shares of Series B Preferred Stock (subject to appropriate adjustment in the event of a Recapitalization Event) are outstanding, the holders of record of the shares of Series B Preferred Stock, exclusively and as a separate class, shall be entitled to elect one director of the Corporation. So long as at least 1,500,000 shares of Series C Preferred Stock (subject to appropriate adjustment in the event of a Recapitalization Event) are outstanding, the holders of record of the shares of Series C Preferred Stock, exclusively and as a separate class, shall be entitled to elect one director of the Corporation. So long as at least 2,750,000 shares of Series D Preferred Stock (subject to appropriate adjustment in the event of a Recapitalization Event) are outstanding, the holders of record of the shares of Series D Preferred Stock, exclusively and as a separate class, shall be entitled to elect one director of the Corporation. So long as at least 3,235,804 shares of Series E Preferred Stock (subject to appropriate adjustment in the event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21" w:right="339" w:bottom="1440" w:gutter="0" w:footer="0" w:header="0"/>
        </w:sectPr>
      </w:pPr>
    </w:p>
    <w:bookmarkStart w:id="292" w:name="page293"/>
    <w:bookmarkEnd w:id="292"/>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Recapitalization Event) are outstanding, the holders of record of the shares of Series E Preferred Stock, exclusively and as a separate class, shall be entitled to elect one director of the Corporation. The holders of record of the shares of Common Stock, exclusively and as a separate class, shall be entitled to elect two directors of the Corporation.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9"/>
          <w:szCs w:val="19"/>
          <w:u w:val="single" w:color="auto"/>
          <w:color w:val="auto"/>
        </w:rPr>
        <w:t>Subsection 4.2</w:t>
      </w:r>
      <w:r>
        <w:rPr>
          <w:rFonts w:ascii="Times New Roman" w:cs="Times New Roman" w:eastAsia="Times New Roman" w:hAnsi="Times New Roman"/>
          <w:sz w:val="19"/>
          <w:szCs w:val="19"/>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9"/>
          <w:szCs w:val="19"/>
          <w:u w:val="single" w:color="auto"/>
          <w:color w:val="auto"/>
        </w:rPr>
        <w:t>Subsection 4.2</w:t>
      </w:r>
      <w:r>
        <w:rPr>
          <w:rFonts w:ascii="Times New Roman" w:cs="Times New Roman" w:eastAsia="Times New Roman" w:hAnsi="Times New Roman"/>
          <w:sz w:val="19"/>
          <w:szCs w:val="19"/>
          <w:color w:val="auto"/>
        </w:rPr>
        <w:t>.</w:t>
      </w:r>
    </w:p>
    <w:p>
      <w:pPr>
        <w:spacing w:after="0" w:line="106"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Protective Provisions</w:t>
      </w:r>
    </w:p>
    <w:p>
      <w:pPr>
        <w:spacing w:after="0" w:line="156" w:lineRule="exact"/>
        <w:rPr>
          <w:sz w:val="20"/>
          <w:szCs w:val="20"/>
          <w:color w:val="auto"/>
        </w:rPr>
      </w:pPr>
    </w:p>
    <w:p>
      <w:pPr>
        <w:jc w:val="both"/>
        <w:ind w:firstLine="1792"/>
        <w:spacing w:after="0" w:line="252" w:lineRule="auto"/>
        <w:rPr>
          <w:sz w:val="20"/>
          <w:szCs w:val="20"/>
          <w:color w:val="auto"/>
        </w:rPr>
      </w:pPr>
      <w:r>
        <w:rPr>
          <w:rFonts w:ascii="Times New Roman" w:cs="Times New Roman" w:eastAsia="Times New Roman" w:hAnsi="Times New Roman"/>
          <w:sz w:val="20"/>
          <w:szCs w:val="20"/>
          <w:color w:val="auto"/>
        </w:rPr>
        <w:t xml:space="preserve">4.3.1 </w:t>
      </w:r>
      <w:r>
        <w:rPr>
          <w:rFonts w:ascii="Times New Roman" w:cs="Times New Roman" w:eastAsia="Times New Roman" w:hAnsi="Times New Roman"/>
          <w:sz w:val="20"/>
          <w:szCs w:val="20"/>
          <w:u w:val="single" w:color="auto"/>
          <w:color w:val="auto"/>
        </w:rPr>
        <w:t>Preferred Stock Protective Provisions</w:t>
      </w:r>
      <w:r>
        <w:rPr>
          <w:rFonts w:ascii="Times New Roman" w:cs="Times New Roman" w:eastAsia="Times New Roman" w:hAnsi="Times New Roman"/>
          <w:sz w:val="20"/>
          <w:szCs w:val="20"/>
          <w:color w:val="auto"/>
        </w:rPr>
        <w:t>. So long as at least 25% of the originally issued shares of Preferred Stock (subject to appropriate adjustment in the event of a Recapitalization Event) are outstanding, the Corporation shall not, either directly or indirectly by amendment, merger, consolidation or otherwise, do any of the following without (in addition to any other vote required by law or the Restated Certificate) the written consent or affirmative vote of the holders of outstanding shares of Preferred Stock representing not less than the Preferred Stock Approval Amount, voting together as a single class and not as separate series and on an as-converted to Common Stock basis:</w:t>
      </w:r>
    </w:p>
    <w:p>
      <w:pPr>
        <w:spacing w:after="0" w:line="119" w:lineRule="exact"/>
        <w:rPr>
          <w:sz w:val="20"/>
          <w:szCs w:val="20"/>
          <w:color w:val="auto"/>
        </w:rPr>
      </w:pPr>
    </w:p>
    <w:p>
      <w:pPr>
        <w:jc w:val="both"/>
        <w:ind w:firstLine="2389"/>
        <w:spacing w:after="0" w:line="262" w:lineRule="auto"/>
        <w:tabs>
          <w:tab w:leader="none" w:pos="298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alter or repeal any provision of the Restated Certificate or Bylaws of the Corporation in a manner that adversely affects the powers, preferences or rights of the Preferred Stock (it being understood that mere issuance of senior or pari passu securities shall not trigger this provision);</w:t>
      </w:r>
    </w:p>
    <w:p>
      <w:pPr>
        <w:spacing w:after="0" w:line="105" w:lineRule="exact"/>
        <w:rPr>
          <w:rFonts w:ascii="Times New Roman" w:cs="Times New Roman" w:eastAsia="Times New Roman" w:hAnsi="Times New Roman"/>
          <w:sz w:val="20"/>
          <w:szCs w:val="20"/>
          <w:color w:val="auto"/>
        </w:rPr>
      </w:pPr>
    </w:p>
    <w:p>
      <w:pPr>
        <w:ind w:left="2980" w:hanging="591"/>
        <w:spacing w:after="0"/>
        <w:tabs>
          <w:tab w:leader="none" w:pos="298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or decrease (other than by conversion) the authorized number of shares of Common Stock or</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Preferred Stock;</w:t>
      </w:r>
    </w:p>
    <w:p>
      <w:pPr>
        <w:spacing w:after="0" w:line="133" w:lineRule="exact"/>
        <w:rPr>
          <w:rFonts w:ascii="Times New Roman" w:cs="Times New Roman" w:eastAsia="Times New Roman" w:hAnsi="Times New Roman"/>
          <w:sz w:val="20"/>
          <w:szCs w:val="20"/>
          <w:color w:val="auto"/>
        </w:rPr>
      </w:pPr>
    </w:p>
    <w:p>
      <w:pPr>
        <w:jc w:val="both"/>
        <w:ind w:firstLine="2389"/>
        <w:spacing w:after="0" w:line="252" w:lineRule="auto"/>
        <w:tabs>
          <w:tab w:leader="none" w:pos="298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authorize the creation of, or issue or obligate itself to issue shares of, any equity security (including any other security convertible into or exercisable for any such equity security) having a preference over, or being on a parity with, any series of Preferred Stock including with respect to the distribution of assets on the liquidation, dissolution or winding up of the Corporation or a Deemed Liquidation Event, the payment of dividends and rights of redemption, other than the issuance of any authorized but unissued shares of Series F Preferred Stock designated in this Restated Certificate (including any security convertible into or exercisable for such shares of Preferred Stock);</w:t>
      </w:r>
    </w:p>
    <w:p>
      <w:pPr>
        <w:spacing w:after="0" w:line="119" w:lineRule="exact"/>
        <w:rPr>
          <w:rFonts w:ascii="Times New Roman" w:cs="Times New Roman" w:eastAsia="Times New Roman" w:hAnsi="Times New Roman"/>
          <w:sz w:val="20"/>
          <w:szCs w:val="20"/>
          <w:color w:val="auto"/>
        </w:rPr>
      </w:pPr>
    </w:p>
    <w:p>
      <w:pPr>
        <w:jc w:val="both"/>
        <w:ind w:firstLine="2389"/>
        <w:spacing w:after="0" w:line="262" w:lineRule="auto"/>
        <w:tabs>
          <w:tab w:leader="none" w:pos="2982"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or redeem (or permit any subsidiary to purchase or redeem) or pay or declare any dividend or make any distribution on, any shares of capital stock of the Corporation other than (i) dividends or other distributions payable on the Common Stock solely in the form of additional shares of Common Stock covered by </w:t>
      </w:r>
      <w:r>
        <w:rPr>
          <w:rFonts w:ascii="Times New Roman" w:cs="Times New Roman" w:eastAsia="Times New Roman" w:hAnsi="Times New Roman"/>
          <w:sz w:val="20"/>
          <w:szCs w:val="20"/>
          <w:u w:val="single" w:color="auto"/>
          <w:color w:val="auto"/>
        </w:rPr>
        <w:t>Subsection 5.6</w:t>
      </w:r>
      <w:r>
        <w:rPr>
          <w:rFonts w:ascii="Times New Roman" w:cs="Times New Roman" w:eastAsia="Times New Roman" w:hAnsi="Times New Roman"/>
          <w:sz w:val="20"/>
          <w:szCs w:val="20"/>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22" w:right="339" w:bottom="1440" w:gutter="0" w:footer="0" w:header="0"/>
        </w:sectPr>
      </w:pPr>
    </w:p>
    <w:bookmarkStart w:id="293" w:name="page294"/>
    <w:bookmarkEnd w:id="293"/>
    <w:p>
      <w:pPr>
        <w:jc w:val="both"/>
        <w:spacing w:after="0" w:line="262" w:lineRule="auto"/>
        <w:tabs>
          <w:tab w:leader="none" w:pos="29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05" w:lineRule="exact"/>
        <w:rPr>
          <w:rFonts w:ascii="Times New Roman" w:cs="Times New Roman" w:eastAsia="Times New Roman" w:hAnsi="Times New Roman"/>
          <w:sz w:val="20"/>
          <w:szCs w:val="20"/>
          <w:color w:val="auto"/>
        </w:rPr>
      </w:pPr>
    </w:p>
    <w:p>
      <w:pPr>
        <w:ind w:firstLine="2389"/>
        <w:spacing w:after="0" w:line="277" w:lineRule="auto"/>
        <w:tabs>
          <w:tab w:leader="none" w:pos="2984"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liquidate, dissolve or wind-up the business and affairs of the Corporation, effect any Deemed Liquidation Event, or consent to any of the foregoing; or</w:t>
      </w:r>
    </w:p>
    <w:p>
      <w:pPr>
        <w:spacing w:after="0" w:line="91" w:lineRule="exact"/>
        <w:rPr>
          <w:rFonts w:ascii="Times New Roman" w:cs="Times New Roman" w:eastAsia="Times New Roman" w:hAnsi="Times New Roman"/>
          <w:sz w:val="20"/>
          <w:szCs w:val="20"/>
          <w:color w:val="auto"/>
        </w:rPr>
      </w:pPr>
    </w:p>
    <w:p>
      <w:pPr>
        <w:jc w:val="both"/>
        <w:ind w:firstLine="2389"/>
        <w:spacing w:after="0" w:line="254" w:lineRule="auto"/>
        <w:tabs>
          <w:tab w:leader="none" w:pos="2987"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14" w:lineRule="exact"/>
        <w:rPr>
          <w:rFonts w:ascii="Times New Roman" w:cs="Times New Roman" w:eastAsia="Times New Roman" w:hAnsi="Times New Roman"/>
          <w:sz w:val="20"/>
          <w:szCs w:val="20"/>
          <w:color w:val="auto"/>
        </w:rPr>
      </w:pPr>
    </w:p>
    <w:p>
      <w:pPr>
        <w:ind w:left="2980" w:hanging="591"/>
        <w:spacing w:after="0"/>
        <w:tabs>
          <w:tab w:leader="none" w:pos="298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or decrease the authorized number of directors constituting the Board of Directors.</w:t>
      </w:r>
    </w:p>
    <w:p>
      <w:pPr>
        <w:spacing w:after="0" w:line="152"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For purposes of this Restated Certificate, the “</w:t>
      </w:r>
      <w:r>
        <w:rPr>
          <w:rFonts w:ascii="Times New Roman" w:cs="Times New Roman" w:eastAsia="Times New Roman" w:hAnsi="Times New Roman"/>
          <w:sz w:val="20"/>
          <w:szCs w:val="20"/>
          <w:b w:val="1"/>
          <w:bCs w:val="1"/>
          <w:color w:val="auto"/>
        </w:rPr>
        <w:t>Preferred Stock Approval Amount</w:t>
      </w:r>
      <w:r>
        <w:rPr>
          <w:rFonts w:ascii="Times New Roman" w:cs="Times New Roman" w:eastAsia="Times New Roman" w:hAnsi="Times New Roman"/>
          <w:sz w:val="20"/>
          <w:szCs w:val="20"/>
          <w:color w:val="auto"/>
        </w:rPr>
        <w:t>” shall mean a majority of the outstanding shares of Preferred Stock, voting together as a single class and not as separate series and on an as-converted to Common Stock basis.</w:t>
      </w:r>
    </w:p>
    <w:p>
      <w:pPr>
        <w:spacing w:after="0" w:line="88" w:lineRule="exact"/>
        <w:rPr>
          <w:sz w:val="20"/>
          <w:szCs w:val="20"/>
          <w:color w:val="auto"/>
        </w:rPr>
      </w:pPr>
    </w:p>
    <w:p>
      <w:pPr>
        <w:jc w:val="both"/>
        <w:ind w:firstLine="1792"/>
        <w:spacing w:after="0" w:line="251" w:lineRule="auto"/>
        <w:rPr>
          <w:sz w:val="20"/>
          <w:szCs w:val="20"/>
          <w:color w:val="auto"/>
        </w:rPr>
      </w:pPr>
      <w:r>
        <w:rPr>
          <w:rFonts w:ascii="Times New Roman" w:cs="Times New Roman" w:eastAsia="Times New Roman" w:hAnsi="Times New Roman"/>
          <w:sz w:val="20"/>
          <w:szCs w:val="20"/>
          <w:color w:val="auto"/>
        </w:rPr>
        <w:t xml:space="preserve">4.3.2 </w:t>
      </w:r>
      <w:r>
        <w:rPr>
          <w:rFonts w:ascii="Times New Roman" w:cs="Times New Roman" w:eastAsia="Times New Roman" w:hAnsi="Times New Roman"/>
          <w:sz w:val="20"/>
          <w:szCs w:val="20"/>
          <w:u w:val="single" w:color="auto"/>
          <w:color w:val="auto"/>
        </w:rPr>
        <w:t>Series D Preferred Stock Protective Provision</w:t>
      </w:r>
      <w:r>
        <w:rPr>
          <w:rFonts w:ascii="Times New Roman" w:cs="Times New Roman" w:eastAsia="Times New Roman" w:hAnsi="Times New Roman"/>
          <w:sz w:val="20"/>
          <w:szCs w:val="20"/>
          <w:color w:val="auto"/>
        </w:rPr>
        <w:t>. So long as at least 2,750,000 shares of Series D Preferred Stock (subject to appropriate adjustment in the event of a Recapitalization Event) are outstanding, the Corporation shall not, either directly or indirectly by amendment, merger, consolidation or otherwise, amend, alter or repeal any provision of the Restated Certificate or Bylaws of the Corporation in a manner that adversely affects the powers, preferences or rights of the Series D Preferred Stock in a different and disproportionate manner than any other series of Preferred Stock without (in addition to any other vote required by law or the Restated Certificate) the written consent or affirmative vote of the holders of at least 60% of the outstanding shares of Series D Preferred Stock voting as a separate series (it being understood that mere issuance of senior or pari passu securities shall not trigger this provision).</w:t>
      </w:r>
    </w:p>
    <w:p>
      <w:pPr>
        <w:spacing w:after="0" w:line="121" w:lineRule="exact"/>
        <w:rPr>
          <w:sz w:val="20"/>
          <w:szCs w:val="20"/>
          <w:color w:val="auto"/>
        </w:rPr>
      </w:pPr>
    </w:p>
    <w:p>
      <w:pPr>
        <w:jc w:val="both"/>
        <w:ind w:firstLine="1792"/>
        <w:spacing w:after="0" w:line="250" w:lineRule="auto"/>
        <w:rPr>
          <w:sz w:val="20"/>
          <w:szCs w:val="20"/>
          <w:color w:val="auto"/>
        </w:rPr>
      </w:pPr>
      <w:r>
        <w:rPr>
          <w:rFonts w:ascii="Times New Roman" w:cs="Times New Roman" w:eastAsia="Times New Roman" w:hAnsi="Times New Roman"/>
          <w:sz w:val="20"/>
          <w:szCs w:val="20"/>
          <w:color w:val="auto"/>
        </w:rPr>
        <w:t xml:space="preserve">4.3.3 </w:t>
      </w:r>
      <w:r>
        <w:rPr>
          <w:rFonts w:ascii="Times New Roman" w:cs="Times New Roman" w:eastAsia="Times New Roman" w:hAnsi="Times New Roman"/>
          <w:sz w:val="20"/>
          <w:szCs w:val="20"/>
          <w:u w:val="single" w:color="auto"/>
          <w:color w:val="auto"/>
        </w:rPr>
        <w:t>Series E Preferred Stock and Series E-1 Preferred Stock Protective Provision</w:t>
      </w:r>
      <w:r>
        <w:rPr>
          <w:rFonts w:ascii="Times New Roman" w:cs="Times New Roman" w:eastAsia="Times New Roman" w:hAnsi="Times New Roman"/>
          <w:sz w:val="20"/>
          <w:szCs w:val="20"/>
          <w:color w:val="auto"/>
        </w:rPr>
        <w:t>. So long as at least 4,833,732 shares of Series E Preferred Stock and Series E-1 Preferred Stock, collectively (subject to appropriate adjustment in the event of a Recapitalization Event), are outstanding, the Corporation shall not (i) either directly or indirectly by amendment, merger, consolidation or otherwise, amend, alter or repeal any provision of the Restated Certificate or Bylaws of the Corporation in a manner that adversely affects the powers, preferences or rights of the Series E Preferred Stock or Series E-1 Preferred Stock in a different and disproportionate manner than any other series of Preferred Stock (it being understood that mere issuance of senior or pari passu securities shall not trigger this provision), (ii) increase or decrease the authorized number of shares of Series E Preferred Stock or Series E-1 Preferred Stock, or (iii) purchase or redeem, or pay or declare any dividend or distribution on any capital stock of the Company (other than stock repurchased from former employees or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21" w:right="339" w:bottom="1440" w:gutter="0" w:footer="0" w:header="0"/>
        </w:sectPr>
      </w:pPr>
    </w:p>
    <w:bookmarkStart w:id="294" w:name="page295"/>
    <w:bookmarkEnd w:id="294"/>
    <w:p>
      <w:pPr>
        <w:jc w:val="both"/>
        <w:spacing w:after="0" w:line="256" w:lineRule="auto"/>
        <w:rPr>
          <w:sz w:val="20"/>
          <w:szCs w:val="20"/>
          <w:color w:val="auto"/>
        </w:rPr>
      </w:pPr>
      <w:r>
        <w:rPr>
          <w:rFonts w:ascii="Times New Roman" w:cs="Times New Roman" w:eastAsia="Times New Roman" w:hAnsi="Times New Roman"/>
          <w:sz w:val="20"/>
          <w:szCs w:val="20"/>
          <w:color w:val="auto"/>
        </w:rPr>
        <w:t>in connection with the cessation of their employment or service at the lower of the original purchase price or the then-current fair market value thereof or pursuant to the Corporation’s right of first refusal), without (in addition to any other vote required by law or the Restated Certificate) the written consent or affirmative vote of the holders of at least a majority of the outstanding shares of Series E Preferred Stock and Series E-1 Preferred Stock, voting together as if a single series.</w:t>
      </w:r>
    </w:p>
    <w:p>
      <w:pPr>
        <w:spacing w:after="0" w:line="114" w:lineRule="exact"/>
        <w:rPr>
          <w:sz w:val="20"/>
          <w:szCs w:val="20"/>
          <w:color w:val="auto"/>
        </w:rPr>
      </w:pPr>
    </w:p>
    <w:p>
      <w:pPr>
        <w:jc w:val="both"/>
        <w:ind w:firstLine="1792"/>
        <w:spacing w:after="0" w:line="249" w:lineRule="auto"/>
        <w:rPr>
          <w:sz w:val="20"/>
          <w:szCs w:val="20"/>
          <w:color w:val="auto"/>
        </w:rPr>
      </w:pPr>
      <w:r>
        <w:rPr>
          <w:rFonts w:ascii="Times New Roman" w:cs="Times New Roman" w:eastAsia="Times New Roman" w:hAnsi="Times New Roman"/>
          <w:sz w:val="20"/>
          <w:szCs w:val="20"/>
          <w:color w:val="auto"/>
        </w:rPr>
        <w:t xml:space="preserve">4.3.4 </w:t>
      </w:r>
      <w:r>
        <w:rPr>
          <w:rFonts w:ascii="Times New Roman" w:cs="Times New Roman" w:eastAsia="Times New Roman" w:hAnsi="Times New Roman"/>
          <w:sz w:val="20"/>
          <w:szCs w:val="20"/>
          <w:u w:val="single" w:color="auto"/>
          <w:color w:val="auto"/>
        </w:rPr>
        <w:t>Series F Preferred Stock Protective Provision</w:t>
      </w:r>
      <w:r>
        <w:rPr>
          <w:rFonts w:ascii="Times New Roman" w:cs="Times New Roman" w:eastAsia="Times New Roman" w:hAnsi="Times New Roman"/>
          <w:sz w:val="20"/>
          <w:szCs w:val="20"/>
          <w:color w:val="auto"/>
        </w:rPr>
        <w:t>. So long as at least 3,631,662 shares of Series F Preferred Stock (subject to appropriate adjustment in the event of a Recapitalization Event) are outstanding, the Corporation shall not (i) either directly or indirectly by amendment, merger, consolidation or otherwise, amend, alter or repeal any provision of the Restated Certificate or Bylaws of the Corporation in a manner that adversely affects the powers, preferences or rights of the Series F Preferred Stock in a different and disproportionate manner than any other series of Preferred Stock (it being understood that mere issuance of senior or pari passu securities shall not trigger this provision), (ii) increase or decrease the authorized number of shares of Series F Preferred Stock, or (iii) purchase or redeem, or pay or declare any dividend or distribution on any capital stock of the Company (other than stock repurchased from former employees or service providers in connection with the cessation of their employment or service at the lower of the original purchase price or the then-current fair market value thereof or pursuant to the Corporation’s right of first refusal), without (in addition to any other vote required by law or the Restated Certificate) the written consent or affirmative vote of the holders of at least a majority of the outstanding shares of Series F Preferred Stock, voting as a separate series.</w:t>
      </w:r>
    </w:p>
    <w:p>
      <w:pPr>
        <w:spacing w:after="0" w:line="121" w:lineRule="exact"/>
        <w:rPr>
          <w:sz w:val="20"/>
          <w:szCs w:val="20"/>
          <w:color w:val="auto"/>
        </w:rPr>
      </w:pPr>
    </w:p>
    <w:p>
      <w:pPr>
        <w:ind w:left="1200" w:hanging="603"/>
        <w:spacing w:after="0"/>
        <w:tabs>
          <w:tab w:leader="none" w:pos="120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Conversion</w:t>
      </w:r>
      <w:r>
        <w:rPr>
          <w:rFonts w:ascii="Times New Roman" w:cs="Times New Roman" w:eastAsia="Times New Roman" w:hAnsi="Times New Roman"/>
          <w:sz w:val="20"/>
          <w:szCs w:val="20"/>
          <w:color w:val="auto"/>
        </w:rPr>
        <w:t>. The holders of Preferred Stock shall have conversion rights as follows (the “</w:t>
      </w:r>
      <w:r>
        <w:rPr>
          <w:rFonts w:ascii="Times New Roman" w:cs="Times New Roman" w:eastAsia="Times New Roman" w:hAnsi="Times New Roman"/>
          <w:sz w:val="20"/>
          <w:szCs w:val="20"/>
          <w:b w:val="1"/>
          <w:bCs w:val="1"/>
          <w:color w:val="auto"/>
        </w:rPr>
        <w:t>Conversion Rights</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Right to Convert</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1792"/>
        <w:spacing w:after="0" w:line="250"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Conversion Ratio</w:t>
      </w:r>
      <w:r>
        <w:rPr>
          <w:rFonts w:ascii="Times New Roman" w:cs="Times New Roman" w:eastAsia="Times New Roman" w:hAnsi="Times New Roman"/>
          <w:sz w:val="20"/>
          <w:szCs w:val="20"/>
          <w:color w:val="auto"/>
        </w:rPr>
        <w:t xml:space="preserve">.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for such series of Preferred Stock by the applicable Conversion Price (as defined below) in effect at the time of conversion. The </w:t>
      </w:r>
      <w:r>
        <w:rPr>
          <w:rFonts w:ascii="Times New Roman" w:cs="Times New Roman" w:eastAsia="Times New Roman" w:hAnsi="Times New Roman"/>
          <w:sz w:val="20"/>
          <w:szCs w:val="20"/>
          <w:b w:val="1"/>
          <w:bCs w:val="1"/>
          <w:color w:val="auto"/>
        </w:rPr>
        <w:t>“Series A Conversion Price”</w:t>
      </w:r>
      <w:r>
        <w:rPr>
          <w:rFonts w:ascii="Times New Roman" w:cs="Times New Roman" w:eastAsia="Times New Roman" w:hAnsi="Times New Roman"/>
          <w:sz w:val="20"/>
          <w:szCs w:val="20"/>
          <w:color w:val="auto"/>
        </w:rPr>
        <w:t xml:space="preserve"> shall initially be equal to $0.233. The </w:t>
      </w:r>
      <w:r>
        <w:rPr>
          <w:rFonts w:ascii="Times New Roman" w:cs="Times New Roman" w:eastAsia="Times New Roman" w:hAnsi="Times New Roman"/>
          <w:sz w:val="20"/>
          <w:szCs w:val="20"/>
          <w:b w:val="1"/>
          <w:bCs w:val="1"/>
          <w:color w:val="auto"/>
        </w:rPr>
        <w:t>“Series A-1 Conversion Price”</w:t>
      </w:r>
      <w:r>
        <w:rPr>
          <w:rFonts w:ascii="Times New Roman" w:cs="Times New Roman" w:eastAsia="Times New Roman" w:hAnsi="Times New Roman"/>
          <w:sz w:val="20"/>
          <w:szCs w:val="20"/>
          <w:color w:val="auto"/>
        </w:rPr>
        <w:t xml:space="preserve"> shall initially be equal to $0.269. The </w:t>
      </w:r>
      <w:r>
        <w:rPr>
          <w:rFonts w:ascii="Times New Roman" w:cs="Times New Roman" w:eastAsia="Times New Roman" w:hAnsi="Times New Roman"/>
          <w:sz w:val="20"/>
          <w:szCs w:val="20"/>
          <w:b w:val="1"/>
          <w:bCs w:val="1"/>
          <w:color w:val="auto"/>
        </w:rPr>
        <w:t>“Series B Conversion Price”</w:t>
      </w:r>
      <w:r>
        <w:rPr>
          <w:rFonts w:ascii="Times New Roman" w:cs="Times New Roman" w:eastAsia="Times New Roman" w:hAnsi="Times New Roman"/>
          <w:sz w:val="20"/>
          <w:szCs w:val="20"/>
          <w:color w:val="auto"/>
        </w:rPr>
        <w:t xml:space="preserve"> shall initially be equal to $0.9252. The </w:t>
      </w:r>
      <w:r>
        <w:rPr>
          <w:rFonts w:ascii="Times New Roman" w:cs="Times New Roman" w:eastAsia="Times New Roman" w:hAnsi="Times New Roman"/>
          <w:sz w:val="20"/>
          <w:szCs w:val="20"/>
          <w:b w:val="1"/>
          <w:bCs w:val="1"/>
          <w:color w:val="auto"/>
        </w:rPr>
        <w:t>“Series C Conversion Price”</w:t>
      </w:r>
      <w:r>
        <w:rPr>
          <w:rFonts w:ascii="Times New Roman" w:cs="Times New Roman" w:eastAsia="Times New Roman" w:hAnsi="Times New Roman"/>
          <w:sz w:val="20"/>
          <w:szCs w:val="20"/>
          <w:color w:val="auto"/>
        </w:rPr>
        <w:t xml:space="preserve"> shall initially be equal to $1.4945. The </w:t>
      </w:r>
      <w:r>
        <w:rPr>
          <w:rFonts w:ascii="Times New Roman" w:cs="Times New Roman" w:eastAsia="Times New Roman" w:hAnsi="Times New Roman"/>
          <w:sz w:val="20"/>
          <w:szCs w:val="20"/>
          <w:b w:val="1"/>
          <w:bCs w:val="1"/>
          <w:color w:val="auto"/>
        </w:rPr>
        <w:t>“Series D Conversion Price”</w:t>
      </w:r>
      <w:r>
        <w:rPr>
          <w:rFonts w:ascii="Times New Roman" w:cs="Times New Roman" w:eastAsia="Times New Roman" w:hAnsi="Times New Roman"/>
          <w:sz w:val="20"/>
          <w:szCs w:val="20"/>
          <w:color w:val="auto"/>
        </w:rPr>
        <w:t xml:space="preserve"> shall initially be equal to $2.2633. The </w:t>
      </w:r>
      <w:r>
        <w:rPr>
          <w:rFonts w:ascii="Times New Roman" w:cs="Times New Roman" w:eastAsia="Times New Roman" w:hAnsi="Times New Roman"/>
          <w:sz w:val="20"/>
          <w:szCs w:val="20"/>
          <w:b w:val="1"/>
          <w:bCs w:val="1"/>
          <w:color w:val="auto"/>
        </w:rPr>
        <w:t>“Series E Conversion Price”</w:t>
      </w:r>
      <w:r>
        <w:rPr>
          <w:rFonts w:ascii="Times New Roman" w:cs="Times New Roman" w:eastAsia="Times New Roman" w:hAnsi="Times New Roman"/>
          <w:sz w:val="20"/>
          <w:szCs w:val="20"/>
          <w:color w:val="auto"/>
        </w:rPr>
        <w:t xml:space="preserve"> and the </w:t>
      </w:r>
      <w:r>
        <w:rPr>
          <w:rFonts w:ascii="Times New Roman" w:cs="Times New Roman" w:eastAsia="Times New Roman" w:hAnsi="Times New Roman"/>
          <w:sz w:val="20"/>
          <w:szCs w:val="20"/>
          <w:b w:val="1"/>
          <w:bCs w:val="1"/>
          <w:color w:val="auto"/>
        </w:rPr>
        <w:t>“Series E-1 Conversion Price”</w:t>
      </w:r>
      <w:r>
        <w:rPr>
          <w:rFonts w:ascii="Times New Roman" w:cs="Times New Roman" w:eastAsia="Times New Roman" w:hAnsi="Times New Roman"/>
          <w:sz w:val="20"/>
          <w:szCs w:val="20"/>
          <w:color w:val="auto"/>
        </w:rPr>
        <w:t xml:space="preserve"> shall initially be equal to $6.2581. The </w:t>
      </w:r>
      <w:r>
        <w:rPr>
          <w:rFonts w:ascii="Times New Roman" w:cs="Times New Roman" w:eastAsia="Times New Roman" w:hAnsi="Times New Roman"/>
          <w:sz w:val="20"/>
          <w:szCs w:val="20"/>
          <w:b w:val="1"/>
          <w:bCs w:val="1"/>
          <w:color w:val="auto"/>
        </w:rPr>
        <w:t>“Series 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Conversion Price” </w:t>
      </w:r>
      <w:r>
        <w:rPr>
          <w:rFonts w:ascii="Times New Roman" w:cs="Times New Roman" w:eastAsia="Times New Roman" w:hAnsi="Times New Roman"/>
          <w:sz w:val="20"/>
          <w:szCs w:val="20"/>
          <w:color w:val="auto"/>
        </w:rPr>
        <w:t>shall initially be equal to $6.8839. The initial Conversion Price for each series of Preferred Stock and the rate at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Preferred Stock may be converted into shares of Common Stock, shall be subject to adjustment as provided below.</w:t>
      </w:r>
    </w:p>
    <w:p>
      <w:pPr>
        <w:spacing w:after="0" w:line="121" w:lineRule="exact"/>
        <w:rPr>
          <w:sz w:val="20"/>
          <w:szCs w:val="20"/>
          <w:color w:val="auto"/>
        </w:rPr>
      </w:pPr>
    </w:p>
    <w:p>
      <w:pPr>
        <w:jc w:val="both"/>
        <w:ind w:firstLine="1195"/>
        <w:spacing w:after="0" w:line="26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No fractional shares of Common Stock shall be issued upon conversion of the Preferred Stock. In lieu of any fractional shares to which the holder would otherwise be entitled, the Corporation shall pay cash equal to such fraction multiplied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21" w:right="339" w:bottom="1440" w:gutter="0" w:footer="0" w:header="0"/>
        </w:sectPr>
      </w:pPr>
    </w:p>
    <w:bookmarkStart w:id="295" w:name="page296"/>
    <w:bookmarkEnd w:id="295"/>
    <w:p>
      <w:pPr>
        <w:jc w:val="both"/>
        <w:spacing w:after="0" w:line="262" w:lineRule="auto"/>
        <w:rPr>
          <w:sz w:val="20"/>
          <w:szCs w:val="20"/>
          <w:color w:val="auto"/>
        </w:rPr>
      </w:pPr>
      <w:r>
        <w:rPr>
          <w:rFonts w:ascii="Times New Roman" w:cs="Times New Roman" w:eastAsia="Times New Roman" w:hAnsi="Times New Roman"/>
          <w:sz w:val="20"/>
          <w:szCs w:val="20"/>
          <w:color w:val="auto"/>
        </w:rPr>
        <w:t>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conversion(s).</w:t>
      </w:r>
    </w:p>
    <w:p>
      <w:pPr>
        <w:spacing w:after="0" w:line="105"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Mechanics of Conversion</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1792"/>
        <w:spacing w:after="0" w:line="261" w:lineRule="auto"/>
        <w:rPr>
          <w:sz w:val="20"/>
          <w:szCs w:val="20"/>
          <w:color w:val="auto"/>
        </w:rPr>
      </w:pPr>
      <w:r>
        <w:rPr>
          <w:rFonts w:ascii="Times New Roman" w:cs="Times New Roman" w:eastAsia="Times New Roman" w:hAnsi="Times New Roman"/>
          <w:sz w:val="19"/>
          <w:szCs w:val="19"/>
          <w:color w:val="auto"/>
        </w:rPr>
        <w:t xml:space="preserve">5.3.1 </w:t>
      </w:r>
      <w:r>
        <w:rPr>
          <w:rFonts w:ascii="Times New Roman" w:cs="Times New Roman" w:eastAsia="Times New Roman" w:hAnsi="Times New Roman"/>
          <w:sz w:val="19"/>
          <w:szCs w:val="19"/>
          <w:u w:val="single" w:color="auto"/>
          <w:color w:val="auto"/>
        </w:rPr>
        <w:t>Notice of Conversion</w:t>
      </w:r>
      <w:r>
        <w:rPr>
          <w:rFonts w:ascii="Times New Roman" w:cs="Times New Roman" w:eastAsia="Times New Roman" w:hAnsi="Times New Roman"/>
          <w:sz w:val="19"/>
          <w:szCs w:val="19"/>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Times New Roman" w:cs="Times New Roman" w:eastAsia="Times New Roman" w:hAnsi="Times New Roman"/>
          <w:sz w:val="19"/>
          <w:szCs w:val="19"/>
          <w:b w:val="1"/>
          <w:bCs w:val="1"/>
          <w:color w:val="auto"/>
        </w:rPr>
        <w:t>Conversion Time</w:t>
      </w:r>
      <w:r>
        <w:rPr>
          <w:rFonts w:ascii="Times New Roman" w:cs="Times New Roman" w:eastAsia="Times New Roman" w:hAnsi="Times New Roman"/>
          <w:sz w:val="19"/>
          <w:szCs w:val="19"/>
          <w:color w:val="auto"/>
        </w:rPr>
        <w:t>”), and the shares of Common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w:t>
      </w:r>
    </w:p>
    <w:p>
      <w:pPr>
        <w:spacing w:after="0" w:line="2" w:lineRule="exact"/>
        <w:rPr>
          <w:sz w:val="20"/>
          <w:szCs w:val="20"/>
          <w:color w:val="auto"/>
        </w:rPr>
      </w:pPr>
    </w:p>
    <w:p>
      <w:pPr>
        <w:spacing w:after="0" w:line="254" w:lineRule="auto"/>
        <w:tabs>
          <w:tab w:leader="none" w:pos="298"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 in cash such amount as provided in </w:t>
      </w:r>
      <w:r>
        <w:rPr>
          <w:rFonts w:ascii="Times New Roman" w:cs="Times New Roman" w:eastAsia="Times New Roman" w:hAnsi="Times New Roman"/>
          <w:sz w:val="20"/>
          <w:szCs w:val="20"/>
          <w:u w:val="single" w:color="auto"/>
          <w:color w:val="auto"/>
        </w:rPr>
        <w:t>Subsection 5.2</w:t>
      </w:r>
      <w:r>
        <w:rPr>
          <w:rFonts w:ascii="Times New Roman" w:cs="Times New Roman" w:eastAsia="Times New Roman" w:hAnsi="Times New Roman"/>
          <w:sz w:val="20"/>
          <w:szCs w:val="20"/>
          <w:color w:val="auto"/>
        </w:rPr>
        <w:t xml:space="preserve"> in lieu of any fraction of a share of Common Stock otherwise issuable upon such conversion and (iii) pay all declared but unpaid dividends on the shares of Preferred Stock converted.</w:t>
      </w:r>
    </w:p>
    <w:p>
      <w:pPr>
        <w:spacing w:after="0" w:line="113" w:lineRule="exact"/>
        <w:rPr>
          <w:sz w:val="20"/>
          <w:szCs w:val="20"/>
          <w:color w:val="auto"/>
        </w:rPr>
      </w:pPr>
    </w:p>
    <w:p>
      <w:pPr>
        <w:jc w:val="both"/>
        <w:ind w:firstLine="1792"/>
        <w:spacing w:after="0" w:line="251" w:lineRule="auto"/>
        <w:rPr>
          <w:sz w:val="20"/>
          <w:szCs w:val="20"/>
          <w:color w:val="auto"/>
        </w:rPr>
      </w:pPr>
      <w:r>
        <w:rPr>
          <w:rFonts w:ascii="Times New Roman" w:cs="Times New Roman" w:eastAsia="Times New Roman" w:hAnsi="Times New Roman"/>
          <w:sz w:val="20"/>
          <w:szCs w:val="20"/>
          <w:color w:val="auto"/>
        </w:rPr>
        <w:t xml:space="preserve">5.3.2 </w:t>
      </w:r>
      <w:r>
        <w:rPr>
          <w:rFonts w:ascii="Times New Roman" w:cs="Times New Roman" w:eastAsia="Times New Roman" w:hAnsi="Times New Roman"/>
          <w:sz w:val="20"/>
          <w:szCs w:val="20"/>
          <w:u w:val="single" w:color="auto"/>
          <w:color w:val="auto"/>
        </w:rPr>
        <w:t>Reservation of Shares</w:t>
      </w:r>
      <w:r>
        <w:rPr>
          <w:rFonts w:ascii="Times New Roman" w:cs="Times New Roman" w:eastAsia="Times New Roman" w:hAnsi="Times New Roman"/>
          <w:sz w:val="20"/>
          <w:szCs w:val="20"/>
          <w:color w:val="auto"/>
        </w:rPr>
        <w:t>. The Corporation shall at all times when any Preferred Stock shall be outstanding, reserve and keep available out of its authorized but unissued capital stock, for the purpose of effecting the conversion of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Preferred Stock, the Corporation shall take such corporate action as may be necessary to increase its authorized but unissued shares of Common Stock to such number of shares as shall be sufficient for such purposes, including, without limitation, engaging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21" w:right="339" w:bottom="1440" w:gutter="0" w:footer="0" w:header="0"/>
        </w:sectPr>
      </w:pPr>
    </w:p>
    <w:bookmarkStart w:id="296" w:name="page297"/>
    <w:bookmarkEnd w:id="296"/>
    <w:p>
      <w:pPr>
        <w:jc w:val="both"/>
        <w:spacing w:after="0" w:line="254" w:lineRule="auto"/>
        <w:rPr>
          <w:sz w:val="20"/>
          <w:szCs w:val="20"/>
          <w:color w:val="auto"/>
        </w:rPr>
      </w:pPr>
      <w:r>
        <w:rPr>
          <w:rFonts w:ascii="Times New Roman" w:cs="Times New Roman" w:eastAsia="Times New Roman" w:hAnsi="Times New Roman"/>
          <w:sz w:val="20"/>
          <w:szCs w:val="20"/>
          <w:color w:val="auto"/>
        </w:rPr>
        <w:t>in best efforts to obtain the requisite stockholder approval of any necessary amendment to the Restated Certificate. Before taking any action which would cause an adjustment reducing the applicable Conversion Price of a particular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14" w:lineRule="exact"/>
        <w:rPr>
          <w:sz w:val="20"/>
          <w:szCs w:val="20"/>
          <w:color w:val="auto"/>
        </w:rPr>
      </w:pPr>
    </w:p>
    <w:p>
      <w:pPr>
        <w:jc w:val="both"/>
        <w:ind w:firstLine="1792"/>
        <w:spacing w:after="0" w:line="251" w:lineRule="auto"/>
        <w:rPr>
          <w:sz w:val="20"/>
          <w:szCs w:val="20"/>
          <w:color w:val="auto"/>
        </w:rPr>
      </w:pPr>
      <w:r>
        <w:rPr>
          <w:rFonts w:ascii="Times New Roman" w:cs="Times New Roman" w:eastAsia="Times New Roman" w:hAnsi="Times New Roman"/>
          <w:sz w:val="20"/>
          <w:szCs w:val="20"/>
          <w:color w:val="auto"/>
        </w:rPr>
        <w:t xml:space="preserve">5.3.3 </w:t>
      </w:r>
      <w:r>
        <w:rPr>
          <w:rFonts w:ascii="Times New Roman" w:cs="Times New Roman" w:eastAsia="Times New Roman" w:hAnsi="Times New Roman"/>
          <w:sz w:val="20"/>
          <w:szCs w:val="20"/>
          <w:u w:val="single" w:color="auto"/>
          <w:color w:val="auto"/>
        </w:rPr>
        <w:t>Effect of Conversion</w:t>
      </w:r>
      <w:r>
        <w:rPr>
          <w:rFonts w:ascii="Times New Roman" w:cs="Times New Roman" w:eastAsia="Times New Roman" w:hAnsi="Times New Roman"/>
          <w:sz w:val="20"/>
          <w:szCs w:val="20"/>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Times New Roman" w:cs="Times New Roman" w:eastAsia="Times New Roman" w:hAnsi="Times New Roman"/>
          <w:sz w:val="20"/>
          <w:szCs w:val="20"/>
          <w:u w:val="single" w:color="auto"/>
          <w:color w:val="auto"/>
        </w:rPr>
        <w:t>Subsection 5.2</w:t>
      </w:r>
      <w:r>
        <w:rPr>
          <w:rFonts w:ascii="Times New Roman" w:cs="Times New Roman" w:eastAsia="Times New Roman" w:hAnsi="Times New Roman"/>
          <w:sz w:val="20"/>
          <w:szCs w:val="20"/>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21" w:lineRule="exact"/>
        <w:rPr>
          <w:sz w:val="20"/>
          <w:szCs w:val="20"/>
          <w:color w:val="auto"/>
        </w:rPr>
      </w:pPr>
    </w:p>
    <w:p>
      <w:pPr>
        <w:jc w:val="both"/>
        <w:ind w:firstLine="1792"/>
        <w:spacing w:after="0" w:line="277" w:lineRule="auto"/>
        <w:rPr>
          <w:sz w:val="20"/>
          <w:szCs w:val="20"/>
          <w:color w:val="auto"/>
        </w:rPr>
      </w:pPr>
      <w:r>
        <w:rPr>
          <w:rFonts w:ascii="Times New Roman" w:cs="Times New Roman" w:eastAsia="Times New Roman" w:hAnsi="Times New Roman"/>
          <w:sz w:val="20"/>
          <w:szCs w:val="20"/>
          <w:color w:val="auto"/>
        </w:rPr>
        <w:t xml:space="preserve">5.3.4 </w:t>
      </w:r>
      <w:r>
        <w:rPr>
          <w:rFonts w:ascii="Times New Roman" w:cs="Times New Roman" w:eastAsia="Times New Roman" w:hAnsi="Times New Roman"/>
          <w:sz w:val="20"/>
          <w:szCs w:val="20"/>
          <w:u w:val="single" w:color="auto"/>
          <w:color w:val="auto"/>
        </w:rPr>
        <w:t>No Further Adjustment</w:t>
      </w:r>
      <w:r>
        <w:rPr>
          <w:rFonts w:ascii="Times New Roman" w:cs="Times New Roman" w:eastAsia="Times New Roman" w:hAnsi="Times New Roman"/>
          <w:sz w:val="20"/>
          <w:szCs w:val="20"/>
          <w:color w:val="auto"/>
        </w:rPr>
        <w:t>. Upon any such conversion, no adjustment to the Conversion Price shall be made for any declared but unpaid dividends on the Preferred Stock surrendered for conversion or on the Common Stock delivered upon conversion.</w:t>
      </w:r>
    </w:p>
    <w:p>
      <w:pPr>
        <w:spacing w:after="0" w:line="91" w:lineRule="exact"/>
        <w:rPr>
          <w:sz w:val="20"/>
          <w:szCs w:val="20"/>
          <w:color w:val="auto"/>
        </w:rPr>
      </w:pPr>
    </w:p>
    <w:p>
      <w:pPr>
        <w:jc w:val="both"/>
        <w:ind w:firstLine="1792"/>
        <w:spacing w:after="0" w:line="252" w:lineRule="auto"/>
        <w:rPr>
          <w:sz w:val="20"/>
          <w:szCs w:val="20"/>
          <w:color w:val="auto"/>
        </w:rPr>
      </w:pPr>
      <w:r>
        <w:rPr>
          <w:rFonts w:ascii="Times New Roman" w:cs="Times New Roman" w:eastAsia="Times New Roman" w:hAnsi="Times New Roman"/>
          <w:sz w:val="20"/>
          <w:szCs w:val="20"/>
          <w:color w:val="auto"/>
        </w:rPr>
        <w:t xml:space="preserve">5.3.5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19"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Adjustments to Conversion Price for Diluting Issues</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1800"/>
        <w:spacing w:after="0"/>
        <w:tabs>
          <w:tab w:leader="none" w:pos="2360" w:val="left"/>
        </w:tabs>
        <w:rPr>
          <w:sz w:val="20"/>
          <w:szCs w:val="20"/>
          <w:color w:val="auto"/>
        </w:rPr>
      </w:pPr>
      <w:r>
        <w:rPr>
          <w:rFonts w:ascii="Times New Roman" w:cs="Times New Roman" w:eastAsia="Times New Roman" w:hAnsi="Times New Roman"/>
          <w:sz w:val="20"/>
          <w:szCs w:val="20"/>
          <w:color w:val="auto"/>
        </w:rPr>
        <w:t>5.4.1</w:t>
      </w:r>
      <w:r>
        <w:rPr>
          <w:sz w:val="20"/>
          <w:szCs w:val="20"/>
          <w:color w:val="auto"/>
        </w:rPr>
        <w:tab/>
      </w:r>
      <w:r>
        <w:rPr>
          <w:rFonts w:ascii="Times New Roman" w:cs="Times New Roman" w:eastAsia="Times New Roman" w:hAnsi="Times New Roman"/>
          <w:sz w:val="19"/>
          <w:szCs w:val="19"/>
          <w:u w:val="single" w:color="auto"/>
          <w:color w:val="auto"/>
        </w:rPr>
        <w:t>Special Definitions</w:t>
      </w:r>
      <w:r>
        <w:rPr>
          <w:rFonts w:ascii="Times New Roman" w:cs="Times New Roman" w:eastAsia="Times New Roman" w:hAnsi="Times New Roman"/>
          <w:sz w:val="19"/>
          <w:szCs w:val="19"/>
          <w:color w:val="auto"/>
        </w:rPr>
        <w:t>. For purposes of this Article Fourth, the following definitions shall apply:</w:t>
      </w:r>
    </w:p>
    <w:p>
      <w:pPr>
        <w:spacing w:after="0" w:line="152" w:lineRule="exact"/>
        <w:rPr>
          <w:sz w:val="20"/>
          <w:szCs w:val="20"/>
          <w:color w:val="auto"/>
        </w:rPr>
      </w:pPr>
    </w:p>
    <w:p>
      <w:pPr>
        <w:ind w:firstLine="2389"/>
        <w:spacing w:after="0" w:line="281" w:lineRule="auto"/>
        <w:tabs>
          <w:tab w:leader="none" w:pos="2983"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shall mean rights, options or warrants to subscribe for, purchase or otherwise acquire Common Stock or Convertible Securities.</w:t>
      </w:r>
    </w:p>
    <w:p>
      <w:pPr>
        <w:spacing w:after="0" w:line="83" w:lineRule="exact"/>
        <w:rPr>
          <w:rFonts w:ascii="Times New Roman" w:cs="Times New Roman" w:eastAsia="Times New Roman" w:hAnsi="Times New Roman"/>
          <w:sz w:val="20"/>
          <w:szCs w:val="20"/>
          <w:color w:val="auto"/>
        </w:rPr>
      </w:pPr>
    </w:p>
    <w:p>
      <w:pPr>
        <w:ind w:firstLine="2389"/>
        <w:spacing w:after="0" w:line="281" w:lineRule="auto"/>
        <w:tabs>
          <w:tab w:leader="none" w:pos="298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Convertible Securities</w:t>
      </w:r>
      <w:r>
        <w:rPr>
          <w:rFonts w:ascii="Times New Roman" w:cs="Times New Roman" w:eastAsia="Times New Roman" w:hAnsi="Times New Roman"/>
          <w:sz w:val="20"/>
          <w:szCs w:val="20"/>
          <w:color w:val="auto"/>
        </w:rPr>
        <w:t>” shall mean any evidences of indebtedness, shares or other securities directly or indirectly convertible into or exchangeable for Common Stock, but excluding Options.</w:t>
      </w:r>
    </w:p>
    <w:p>
      <w:pPr>
        <w:spacing w:after="0" w:line="83" w:lineRule="exact"/>
        <w:rPr>
          <w:rFonts w:ascii="Times New Roman" w:cs="Times New Roman" w:eastAsia="Times New Roman" w:hAnsi="Times New Roman"/>
          <w:sz w:val="20"/>
          <w:szCs w:val="20"/>
          <w:color w:val="auto"/>
        </w:rPr>
      </w:pPr>
    </w:p>
    <w:p>
      <w:pPr>
        <w:ind w:firstLine="2389"/>
        <w:spacing w:after="0" w:line="281" w:lineRule="auto"/>
        <w:tabs>
          <w:tab w:leader="none" w:pos="2983"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Filing Date</w:t>
      </w:r>
      <w:r>
        <w:rPr>
          <w:rFonts w:ascii="Times New Roman" w:cs="Times New Roman" w:eastAsia="Times New Roman" w:hAnsi="Times New Roman"/>
          <w:sz w:val="20"/>
          <w:szCs w:val="20"/>
          <w:color w:val="auto"/>
        </w:rPr>
        <w:t>” shall mean the effective date of the filing of this Restated Certificate with the office of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21" w:right="339" w:bottom="1440" w:gutter="0" w:footer="0" w:header="0"/>
        </w:sectPr>
      </w:pPr>
    </w:p>
    <w:bookmarkStart w:id="297" w:name="page298"/>
    <w:bookmarkEnd w:id="297"/>
    <w:p>
      <w:pPr>
        <w:jc w:val="both"/>
        <w:ind w:firstLine="2389"/>
        <w:spacing w:after="0" w:line="273" w:lineRule="auto"/>
        <w:tabs>
          <w:tab w:leader="none" w:pos="2983" w:val="left"/>
        </w:tabs>
        <w:numPr>
          <w:ilvl w:val="2"/>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Shares of Common Stock</w:t>
      </w:r>
      <w:r>
        <w:rPr>
          <w:rFonts w:ascii="Times New Roman" w:cs="Times New Roman" w:eastAsia="Times New Roman" w:hAnsi="Times New Roman"/>
          <w:sz w:val="19"/>
          <w:szCs w:val="19"/>
          <w:color w:val="auto"/>
        </w:rPr>
        <w:t xml:space="preserve">” shall mean all shares of Common Stock issued (or, pursuant to </w:t>
      </w:r>
      <w:r>
        <w:rPr>
          <w:rFonts w:ascii="Times New Roman" w:cs="Times New Roman" w:eastAsia="Times New Roman" w:hAnsi="Times New Roman"/>
          <w:sz w:val="19"/>
          <w:szCs w:val="19"/>
          <w:u w:val="single" w:color="auto"/>
          <w:color w:val="auto"/>
        </w:rPr>
        <w:t>Subsection 5.4.3</w:t>
      </w:r>
      <w:r>
        <w:rPr>
          <w:rFonts w:ascii="Times New Roman" w:cs="Times New Roman" w:eastAsia="Times New Roman" w:hAnsi="Times New Roman"/>
          <w:sz w:val="19"/>
          <w:szCs w:val="19"/>
          <w:color w:val="auto"/>
        </w:rPr>
        <w:t>, deemed to be issued) by the Corporation after the Filing Date, other than (1) the following shares of Common Stock and</w:t>
      </w:r>
    </w:p>
    <w:p>
      <w:pPr>
        <w:spacing w:after="0" w:line="1" w:lineRule="exact"/>
        <w:rPr>
          <w:rFonts w:ascii="Times New Roman" w:cs="Times New Roman" w:eastAsia="Times New Roman" w:hAnsi="Times New Roman"/>
          <w:sz w:val="19"/>
          <w:szCs w:val="19"/>
          <w:color w:val="auto"/>
        </w:rPr>
      </w:pPr>
    </w:p>
    <w:p>
      <w:pPr>
        <w:spacing w:after="0" w:line="254" w:lineRule="auto"/>
        <w:tabs>
          <w:tab w:leader="none" w:pos="292"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deemed issued pursuant to the following Options and Convertible Securities (clauses (1) and (2), collectively, “</w:t>
      </w:r>
      <w:r>
        <w:rPr>
          <w:rFonts w:ascii="Times New Roman" w:cs="Times New Roman" w:eastAsia="Times New Roman" w:hAnsi="Times New Roman"/>
          <w:sz w:val="20"/>
          <w:szCs w:val="20"/>
          <w:b w:val="1"/>
          <w:bCs w:val="1"/>
          <w:color w:val="auto"/>
        </w:rPr>
        <w:t>Exempted Securities</w:t>
      </w:r>
      <w:r>
        <w:rPr>
          <w:rFonts w:ascii="Times New Roman" w:cs="Times New Roman" w:eastAsia="Times New Roman" w:hAnsi="Times New Roman"/>
          <w:sz w:val="20"/>
          <w:szCs w:val="20"/>
          <w:color w:val="auto"/>
        </w:rPr>
        <w:t>”):</w:t>
      </w:r>
    </w:p>
    <w:p>
      <w:pPr>
        <w:spacing w:after="0" w:line="113" w:lineRule="exact"/>
        <w:rPr>
          <w:rFonts w:ascii="Times New Roman" w:cs="Times New Roman" w:eastAsia="Times New Roman" w:hAnsi="Times New Roman"/>
          <w:sz w:val="20"/>
          <w:szCs w:val="20"/>
          <w:color w:val="auto"/>
        </w:rPr>
      </w:pPr>
    </w:p>
    <w:p>
      <w:pPr>
        <w:ind w:left="2380" w:hanging="589"/>
        <w:spacing w:after="0" w:line="277" w:lineRule="auto"/>
        <w:tabs>
          <w:tab w:leader="none" w:pos="2369"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regards to the Preferred Stock, shares of Common Stock, Options or Convertible Securities issued as a dividend or distribution on the Preferred Stock;</w:t>
      </w:r>
    </w:p>
    <w:p>
      <w:pPr>
        <w:spacing w:after="0" w:line="91" w:lineRule="exact"/>
        <w:rPr>
          <w:rFonts w:ascii="Times New Roman" w:cs="Times New Roman" w:eastAsia="Times New Roman" w:hAnsi="Times New Roman"/>
          <w:sz w:val="20"/>
          <w:szCs w:val="20"/>
          <w:color w:val="auto"/>
        </w:rPr>
      </w:pPr>
    </w:p>
    <w:p>
      <w:pPr>
        <w:ind w:left="2380" w:hanging="589"/>
        <w:spacing w:after="0" w:line="277" w:lineRule="auto"/>
        <w:tabs>
          <w:tab w:leader="none" w:pos="2375"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20"/>
          <w:szCs w:val="20"/>
          <w:u w:val="single" w:color="auto"/>
          <w:color w:val="auto"/>
        </w:rPr>
        <w:t>Subsection 5.5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5.8;</w:t>
      </w:r>
    </w:p>
    <w:p>
      <w:pPr>
        <w:spacing w:after="0" w:line="91" w:lineRule="exact"/>
        <w:rPr>
          <w:rFonts w:ascii="Times New Roman" w:cs="Times New Roman" w:eastAsia="Times New Roman" w:hAnsi="Times New Roman"/>
          <w:sz w:val="20"/>
          <w:szCs w:val="20"/>
          <w:color w:val="auto"/>
        </w:rPr>
      </w:pPr>
    </w:p>
    <w:p>
      <w:pPr>
        <w:jc w:val="both"/>
        <w:ind w:left="2380" w:hanging="589"/>
        <w:spacing w:after="0" w:line="256" w:lineRule="auto"/>
        <w:tabs>
          <w:tab w:leader="none" w:pos="2380"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issued or deemed issued to officers, directors or employees of, or consultants to, the Corporation or its subsidiaries pursuant to any stock purchase or option plan or other employee or director stock incentive or compensation program or any other plan or arrangement approved by the Board whether issued before or after the Filing Date;</w:t>
      </w:r>
    </w:p>
    <w:p>
      <w:pPr>
        <w:spacing w:after="0" w:line="113" w:lineRule="exact"/>
        <w:rPr>
          <w:rFonts w:ascii="Times New Roman" w:cs="Times New Roman" w:eastAsia="Times New Roman" w:hAnsi="Times New Roman"/>
          <w:sz w:val="20"/>
          <w:szCs w:val="20"/>
          <w:color w:val="auto"/>
        </w:rPr>
      </w:pPr>
    </w:p>
    <w:p>
      <w:pPr>
        <w:jc w:val="both"/>
        <w:ind w:left="2380" w:hanging="589"/>
        <w:spacing w:after="0" w:line="256" w:lineRule="auto"/>
        <w:tabs>
          <w:tab w:leader="none" w:pos="2369"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or Convertible Securities actually issued upon the exercise of Options outstanding as of the Filing Date or shares of Common Stock actually issued upon the conversion or exchange of Convertible Securities outstanding as of the Filing Date in each case provided such issuance is pursuant to the terms of such Option or Convertible Security;</w:t>
      </w:r>
    </w:p>
    <w:p>
      <w:pPr>
        <w:spacing w:after="0" w:line="113" w:lineRule="exact"/>
        <w:rPr>
          <w:rFonts w:ascii="Times New Roman" w:cs="Times New Roman" w:eastAsia="Times New Roman" w:hAnsi="Times New Roman"/>
          <w:sz w:val="20"/>
          <w:szCs w:val="20"/>
          <w:color w:val="auto"/>
        </w:rPr>
      </w:pPr>
    </w:p>
    <w:p>
      <w:pPr>
        <w:jc w:val="both"/>
        <w:ind w:left="2380" w:hanging="589"/>
        <w:spacing w:after="0" w:line="262" w:lineRule="auto"/>
        <w:tabs>
          <w:tab w:leader="none" w:pos="2376"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Options or Convertible Securities issued pursuant to any equipment leasing financing or bank credit arrangement, which arrangement is approved by the Board and is primarily for non-equity financing purposes;</w:t>
      </w:r>
    </w:p>
    <w:p>
      <w:pPr>
        <w:spacing w:after="0" w:line="105" w:lineRule="exact"/>
        <w:rPr>
          <w:rFonts w:ascii="Times New Roman" w:cs="Times New Roman" w:eastAsia="Times New Roman" w:hAnsi="Times New Roman"/>
          <w:sz w:val="20"/>
          <w:szCs w:val="20"/>
          <w:color w:val="auto"/>
        </w:rPr>
      </w:pPr>
    </w:p>
    <w:p>
      <w:pPr>
        <w:jc w:val="both"/>
        <w:ind w:left="2380" w:hanging="589"/>
        <w:spacing w:after="0" w:line="262" w:lineRule="auto"/>
        <w:tabs>
          <w:tab w:leader="none" w:pos="2369"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shares of Common Stock, Options or Convertible Securities issued pursuant to a bona fide acquisition of another corporation (whether by merger, consolidation, sale of assets, sale or exchange of stock or otherwise)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transaction is approved by the Board;</w:t>
      </w:r>
    </w:p>
    <w:p>
      <w:pPr>
        <w:spacing w:after="0" w:line="105" w:lineRule="exact"/>
        <w:rPr>
          <w:rFonts w:ascii="Times New Roman" w:cs="Times New Roman" w:eastAsia="Times New Roman" w:hAnsi="Times New Roman"/>
          <w:sz w:val="20"/>
          <w:szCs w:val="20"/>
          <w:color w:val="auto"/>
        </w:rPr>
      </w:pPr>
    </w:p>
    <w:p>
      <w:pPr>
        <w:jc w:val="both"/>
        <w:ind w:left="2380" w:hanging="589"/>
        <w:spacing w:after="0" w:line="262" w:lineRule="auto"/>
        <w:tabs>
          <w:tab w:leader="none" w:pos="2375"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issued or deemed issued pursuant to an effective registration statement filed with the Securities and Exchange Commission pursuant to the Securities Act of 1933, as amended in an aggregate and per share amount sufficient to constitute a QPO (as defined below); or</w:t>
      </w:r>
    </w:p>
    <w:p>
      <w:pPr>
        <w:spacing w:after="0" w:line="105" w:lineRule="exact"/>
        <w:rPr>
          <w:rFonts w:ascii="Times New Roman" w:cs="Times New Roman" w:eastAsia="Times New Roman" w:hAnsi="Times New Roman"/>
          <w:sz w:val="20"/>
          <w:szCs w:val="20"/>
          <w:color w:val="auto"/>
        </w:rPr>
      </w:pPr>
    </w:p>
    <w:p>
      <w:pPr>
        <w:ind w:left="2380" w:hanging="589"/>
        <w:spacing w:after="0" w:line="277" w:lineRule="auto"/>
        <w:tabs>
          <w:tab w:leader="none" w:pos="2380"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Common Stock, Options or Convertible Securities issued in connection with a strategic partnership or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17" w:right="339" w:bottom="1440" w:gutter="0" w:footer="0" w:header="0"/>
        </w:sectPr>
      </w:pPr>
    </w:p>
    <w:bookmarkStart w:id="298" w:name="page299"/>
    <w:bookmarkEnd w:id="298"/>
    <w:p>
      <w:pPr>
        <w:jc w:val="both"/>
        <w:ind w:left="2380"/>
        <w:spacing w:after="0" w:line="256" w:lineRule="auto"/>
        <w:rPr>
          <w:sz w:val="20"/>
          <w:szCs w:val="20"/>
          <w:color w:val="auto"/>
        </w:rPr>
      </w:pPr>
      <w:r>
        <w:rPr>
          <w:rFonts w:ascii="Times New Roman" w:cs="Times New Roman" w:eastAsia="Times New Roman" w:hAnsi="Times New Roman"/>
          <w:sz w:val="20"/>
          <w:szCs w:val="20"/>
          <w:color w:val="auto"/>
        </w:rPr>
        <w:t xml:space="preserve">involving the Corporation and other entities not primarily for financing purposes, including (A) manufacturing, marketing or distribution arrangements and (B) technology transfer or development arrangements,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transaction and the issuance of shares of Common Stock, Options or Convertible Securities in connection therewith are approved by the Board.</w:t>
      </w:r>
    </w:p>
    <w:p>
      <w:pPr>
        <w:spacing w:after="0" w:line="114" w:lineRule="exact"/>
        <w:rPr>
          <w:sz w:val="20"/>
          <w:szCs w:val="20"/>
          <w:color w:val="auto"/>
        </w:rPr>
      </w:pPr>
    </w:p>
    <w:p>
      <w:pPr>
        <w:jc w:val="both"/>
        <w:ind w:firstLine="1792"/>
        <w:spacing w:after="0" w:line="248" w:lineRule="auto"/>
        <w:rPr>
          <w:sz w:val="20"/>
          <w:szCs w:val="20"/>
          <w:color w:val="auto"/>
        </w:rPr>
      </w:pPr>
      <w:r>
        <w:rPr>
          <w:rFonts w:ascii="Times New Roman" w:cs="Times New Roman" w:eastAsia="Times New Roman" w:hAnsi="Times New Roman"/>
          <w:sz w:val="20"/>
          <w:szCs w:val="20"/>
          <w:color w:val="auto"/>
        </w:rPr>
        <w:t xml:space="preserve">5.4.2 </w:t>
      </w:r>
      <w:r>
        <w:rPr>
          <w:rFonts w:ascii="Times New Roman" w:cs="Times New Roman" w:eastAsia="Times New Roman" w:hAnsi="Times New Roman"/>
          <w:sz w:val="20"/>
          <w:szCs w:val="20"/>
          <w:u w:val="single" w:color="auto"/>
          <w:color w:val="auto"/>
        </w:rPr>
        <w:t>No Adjustment of Conversion Prices</w:t>
      </w:r>
      <w:r>
        <w:rPr>
          <w:rFonts w:ascii="Times New Roman" w:cs="Times New Roman" w:eastAsia="Times New Roman" w:hAnsi="Times New Roman"/>
          <w:sz w:val="20"/>
          <w:szCs w:val="20"/>
          <w:color w:val="auto"/>
        </w:rPr>
        <w:t>. No adjustment in the Conversion Price shall be made as the result of the issuance or deemed issuance of Additional Shares of Common Stock if the Corporation receives written notice from the holders of outstanding shares of Preferred Stock representing not less than the Preferred Stock Approval Amount (voting together as a single class and not as separate series and on an as-converted to Common Stock basis) agreeing that no such adjustment shall be made as the result of the issuance or deemed issuance of such Additional Shares of Common Stock (the “</w:t>
      </w:r>
      <w:r>
        <w:rPr>
          <w:rFonts w:ascii="Times New Roman" w:cs="Times New Roman" w:eastAsia="Times New Roman" w:hAnsi="Times New Roman"/>
          <w:sz w:val="20"/>
          <w:szCs w:val="20"/>
          <w:b w:val="1"/>
          <w:bCs w:val="1"/>
          <w:color w:val="auto"/>
        </w:rPr>
        <w:t>Anti-Dilution Waiver</w:t>
      </w:r>
      <w:r>
        <w:rPr>
          <w:rFonts w:ascii="Times New Roman" w:cs="Times New Roman" w:eastAsia="Times New Roman" w:hAnsi="Times New Roman"/>
          <w:sz w:val="20"/>
          <w:szCs w:val="20"/>
          <w:color w:val="auto"/>
        </w:rPr>
        <w:t>”). Notwithstanding the foregoing, (i) for the issuance or deemed issuance of Additional Shares of Common Stock at a purchase price below the Series D Conversion Price, any Anti-Dilution Waiver must also receive the affirmative vote or written consent (the “</w:t>
      </w:r>
      <w:r>
        <w:rPr>
          <w:rFonts w:ascii="Times New Roman" w:cs="Times New Roman" w:eastAsia="Times New Roman" w:hAnsi="Times New Roman"/>
          <w:sz w:val="20"/>
          <w:szCs w:val="20"/>
          <w:b w:val="1"/>
          <w:bCs w:val="1"/>
          <w:color w:val="auto"/>
        </w:rPr>
        <w:t>Special Series D Preferred Stock Vote</w:t>
      </w:r>
      <w:r>
        <w:rPr>
          <w:rFonts w:ascii="Times New Roman" w:cs="Times New Roman" w:eastAsia="Times New Roman" w:hAnsi="Times New Roman"/>
          <w:sz w:val="20"/>
          <w:szCs w:val="20"/>
          <w:color w:val="auto"/>
        </w:rPr>
        <w:t>”) of the holders of outstanding shares of Series D Preferred Stock representing not less than a majority of the Series D Preferred Stock then outstanding, (ii) for the issuance or deemed issuance of Additional Shares of Common Stock at a purchase price below the Series E-1 Conversion Price, any Anti-Dilution Waiver must also receive the affirmative vote or written consent (the “</w:t>
      </w:r>
      <w:r>
        <w:rPr>
          <w:rFonts w:ascii="Times New Roman" w:cs="Times New Roman" w:eastAsia="Times New Roman" w:hAnsi="Times New Roman"/>
          <w:sz w:val="20"/>
          <w:szCs w:val="20"/>
          <w:b w:val="1"/>
          <w:bCs w:val="1"/>
          <w:color w:val="auto"/>
        </w:rPr>
        <w:t>Special Series E/E-1 Preferred Stock Vote</w:t>
      </w:r>
      <w:r>
        <w:rPr>
          <w:rFonts w:ascii="Times New Roman" w:cs="Times New Roman" w:eastAsia="Times New Roman" w:hAnsi="Times New Roman"/>
          <w:sz w:val="20"/>
          <w:szCs w:val="20"/>
          <w:color w:val="auto"/>
        </w:rPr>
        <w:t>”) of the holders of outstanding shares of Series E Preferred Stock and Series E-1 Preferred Stock (voting together as if a single series) representing not less than a majority of the Series E Preferred Stock and Series E-1 Preferred Stock then outstanding, and (iii) for the issuance or deemed issuance of Additional Shares of Common Stock at a purchase price below the Series F Conversion Price, any Anti-Dilution Waiver must also receive the affirmative vote or written consent (the “</w:t>
      </w:r>
      <w:r>
        <w:rPr>
          <w:rFonts w:ascii="Times New Roman" w:cs="Times New Roman" w:eastAsia="Times New Roman" w:hAnsi="Times New Roman"/>
          <w:sz w:val="20"/>
          <w:szCs w:val="20"/>
          <w:b w:val="1"/>
          <w:bCs w:val="1"/>
          <w:color w:val="auto"/>
        </w:rPr>
        <w:t>Special Series F Preferred Stock Vote</w:t>
      </w:r>
      <w:r>
        <w:rPr>
          <w:rFonts w:ascii="Times New Roman" w:cs="Times New Roman" w:eastAsia="Times New Roman" w:hAnsi="Times New Roman"/>
          <w:sz w:val="20"/>
          <w:szCs w:val="20"/>
          <w:color w:val="auto"/>
        </w:rPr>
        <w:t>”) of the holders of outstanding shares of Series F Preferred Stock representing not less than a majority of the Series F Preferred Stock then outstanding. Any amendment to this provision affecting the Special Series D Preferred Stock Vote requires the approval of the affirmative vote of the holders of outstanding shares of Series D Preferred Stock representing not less than a majority of the Series D Preferred Stock then outstanding, any amendment to this provision affecting the Special Series E/E-1 Preferred Stock Vote requires the approval of the affirmative vote of the holders of outstanding shares of Series E Preferred Stock and Series E-1 Preferred Stock (voting together as if a single series) representing not less than a majority of the Series E Preferred Stock and Series E-1 Preferred Stock then outstanding, and any amendment to this provision affecting the Special Series F Preferred Stock Vote requires the approval of the affirmative vote of the holders of outstanding shares of Series F Preferred Stock representing not less than a majority of the Series F Preferred Stock then outstanding..</w:t>
      </w:r>
    </w:p>
    <w:p>
      <w:pPr>
        <w:spacing w:after="0" w:line="123" w:lineRule="exact"/>
        <w:rPr>
          <w:sz w:val="20"/>
          <w:szCs w:val="20"/>
          <w:color w:val="auto"/>
        </w:rPr>
      </w:pPr>
    </w:p>
    <w:p>
      <w:pPr>
        <w:ind w:left="1800"/>
        <w:spacing w:after="0"/>
        <w:tabs>
          <w:tab w:leader="none" w:pos="2360" w:val="left"/>
        </w:tabs>
        <w:rPr>
          <w:sz w:val="20"/>
          <w:szCs w:val="20"/>
          <w:color w:val="auto"/>
        </w:rPr>
      </w:pPr>
      <w:r>
        <w:rPr>
          <w:rFonts w:ascii="Times New Roman" w:cs="Times New Roman" w:eastAsia="Times New Roman" w:hAnsi="Times New Roman"/>
          <w:sz w:val="20"/>
          <w:szCs w:val="20"/>
          <w:color w:val="auto"/>
        </w:rPr>
        <w:t>5.4.3</w:t>
      </w:r>
      <w:r>
        <w:rPr>
          <w:sz w:val="20"/>
          <w:szCs w:val="20"/>
          <w:color w:val="auto"/>
        </w:rPr>
        <w:tab/>
      </w:r>
      <w:r>
        <w:rPr>
          <w:rFonts w:ascii="Times New Roman" w:cs="Times New Roman" w:eastAsia="Times New Roman" w:hAnsi="Times New Roman"/>
          <w:sz w:val="19"/>
          <w:szCs w:val="19"/>
          <w:u w:val="single" w:color="auto"/>
          <w:color w:val="auto"/>
        </w:rPr>
        <w:t>Deemed Issue of Additional Shares of Common Stock</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2389"/>
        <w:spacing w:after="0" w:line="262" w:lineRule="auto"/>
        <w:tabs>
          <w:tab w:leader="none" w:pos="2983"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Corporation, at any time or from time to time after the Filing Date, shall issue any Options or Convertible Securities (excluding Options or Convertible Securities which are themselves Exempted Securities) or shall fix a record date for the determination of holders of any class of securities entitled to receive any such Options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21" w:right="339" w:bottom="1440" w:gutter="0" w:footer="0" w:header="0"/>
        </w:sectPr>
      </w:pPr>
    </w:p>
    <w:bookmarkStart w:id="299" w:name="page300"/>
    <w:bookmarkEnd w:id="299"/>
    <w:p>
      <w:pPr>
        <w:jc w:val="both"/>
        <w:spacing w:after="0" w:line="254" w:lineRule="auto"/>
        <w:rPr>
          <w:sz w:val="20"/>
          <w:szCs w:val="20"/>
          <w:color w:val="auto"/>
        </w:rPr>
      </w:pPr>
      <w:r>
        <w:rPr>
          <w:rFonts w:ascii="Times New Roman" w:cs="Times New Roman" w:eastAsia="Times New Roman" w:hAnsi="Times New Roman"/>
          <w:sz w:val="20"/>
          <w:szCs w:val="20"/>
          <w:color w:val="auto"/>
        </w:rPr>
        <w:t>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14" w:lineRule="exact"/>
        <w:rPr>
          <w:sz w:val="20"/>
          <w:szCs w:val="20"/>
          <w:color w:val="auto"/>
        </w:rPr>
      </w:pPr>
    </w:p>
    <w:p>
      <w:pPr>
        <w:jc w:val="both"/>
        <w:ind w:firstLine="2389"/>
        <w:spacing w:after="0" w:line="248" w:lineRule="auto"/>
        <w:tabs>
          <w:tab w:leader="none" w:pos="2982"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terms of any Option or Convertible Security, the issuance of which resulted in an adjustment to the Conversion Price of a particular series of Preferred Stock pursuant to the terms of </w:t>
      </w:r>
      <w:r>
        <w:rPr>
          <w:rFonts w:ascii="Times New Roman" w:cs="Times New Roman" w:eastAsia="Times New Roman" w:hAnsi="Times New Roman"/>
          <w:sz w:val="20"/>
          <w:szCs w:val="20"/>
          <w:u w:val="single" w:color="auto"/>
          <w:color w:val="auto"/>
        </w:rPr>
        <w:t>Subsection 5.4.4</w:t>
      </w:r>
      <w:r>
        <w:rPr>
          <w:rFonts w:ascii="Times New Roman" w:cs="Times New Roman" w:eastAsia="Times New Roman" w:hAnsi="Times New Roman"/>
          <w:sz w:val="20"/>
          <w:szCs w:val="20"/>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resulting from an event for which an adjustment is also made to the applicable Conversion Prices hereunder)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20"/>
          <w:szCs w:val="20"/>
          <w:u w:val="single" w:color="auto"/>
          <w:color w:val="auto"/>
        </w:rPr>
        <w:t>Subsection 5.4.3(b)</w:t>
      </w:r>
      <w:r>
        <w:rPr>
          <w:rFonts w:ascii="Times New Roman" w:cs="Times New Roman" w:eastAsia="Times New Roman" w:hAnsi="Times New Roman"/>
          <w:sz w:val="20"/>
          <w:szCs w:val="20"/>
          <w:color w:val="auto"/>
        </w:rPr>
        <w:t xml:space="preserve"> shall have the effect of increasing the applicable Conversion Price to an amount which exceeds the lower of (i) the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31" w:lineRule="exact"/>
        <w:rPr>
          <w:rFonts w:ascii="Times New Roman" w:cs="Times New Roman" w:eastAsia="Times New Roman" w:hAnsi="Times New Roman"/>
          <w:sz w:val="20"/>
          <w:szCs w:val="20"/>
          <w:color w:val="auto"/>
        </w:rPr>
      </w:pPr>
    </w:p>
    <w:p>
      <w:pPr>
        <w:jc w:val="both"/>
        <w:ind w:firstLine="2389"/>
        <w:spacing w:after="0" w:line="250" w:lineRule="auto"/>
        <w:tabs>
          <w:tab w:leader="none" w:pos="298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terms of any Option or Convertible Security (excluding Options or Convertible Securities which are themselves Exempted Securities), the issuance of which did not result in an adjustment to a Conversion Price pursuant to the terms of </w:t>
      </w:r>
      <w:r>
        <w:rPr>
          <w:rFonts w:ascii="Times New Roman" w:cs="Times New Roman" w:eastAsia="Times New Roman" w:hAnsi="Times New Roman"/>
          <w:sz w:val="20"/>
          <w:szCs w:val="20"/>
          <w:u w:val="single" w:color="auto"/>
          <w:color w:val="auto"/>
        </w:rPr>
        <w:t>Subsection 5.4.4</w:t>
      </w:r>
      <w:r>
        <w:rPr>
          <w:rFonts w:ascii="Times New Roman" w:cs="Times New Roman" w:eastAsia="Times New Roman" w:hAnsi="Times New Roman"/>
          <w:sz w:val="20"/>
          <w:szCs w:val="20"/>
          <w:color w:val="auto"/>
        </w:rPr>
        <w:t xml:space="preserve"> (either because the consideration per share (determined pursuant to </w:t>
      </w:r>
      <w:r>
        <w:rPr>
          <w:rFonts w:ascii="Times New Roman" w:cs="Times New Roman" w:eastAsia="Times New Roman" w:hAnsi="Times New Roman"/>
          <w:sz w:val="20"/>
          <w:szCs w:val="20"/>
          <w:u w:val="single" w:color="auto"/>
          <w:color w:val="auto"/>
        </w:rPr>
        <w:t>Subsection 5.4.5</w:t>
      </w:r>
      <w:r>
        <w:rPr>
          <w:rFonts w:ascii="Times New Roman" w:cs="Times New Roman" w:eastAsia="Times New Roman" w:hAnsi="Times New Roman"/>
          <w:sz w:val="20"/>
          <w:szCs w:val="20"/>
          <w:color w:val="auto"/>
        </w:rPr>
        <w:t>) of the Additional Shares of Common Stock subject thereto was equal to or greater than the applicable Conversion Prices then in effect, or because such Option or Convertible Security was issued before the Filing Date), are revised after the Filing Date as a result of an amendment to such terms or any other adjustment pursuant to the provisions of such Option or Convertible Security (but excluding automatic adjustments to such terms pursuant to anti-dilution or similar provisions of such Option or Convertible Security resulting from an event for which an adjustment is also made to the applicable Conversion Prices hereunder) to provide for either (1) any increase in the number of shares of Common Stock issuable upon the exercise, conversion or exchange of any such Option or Convertible Security or (2) any decrease in the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21" w:right="339" w:bottom="1440" w:gutter="0" w:footer="0" w:header="0"/>
        </w:sectPr>
      </w:pPr>
    </w:p>
    <w:bookmarkStart w:id="300" w:name="page301"/>
    <w:bookmarkEnd w:id="300"/>
    <w:p>
      <w:pPr>
        <w:jc w:val="both"/>
        <w:spacing w:after="0" w:line="262" w:lineRule="auto"/>
        <w:rPr>
          <w:sz w:val="20"/>
          <w:szCs w:val="20"/>
          <w:color w:val="auto"/>
        </w:rPr>
      </w:pPr>
      <w:r>
        <w:rPr>
          <w:rFonts w:ascii="Times New Roman" w:cs="Times New Roman" w:eastAsia="Times New Roman" w:hAnsi="Times New Roman"/>
          <w:sz w:val="20"/>
          <w:szCs w:val="20"/>
          <w:color w:val="auto"/>
        </w:rPr>
        <w:t xml:space="preserve">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20"/>
          <w:szCs w:val="20"/>
          <w:u w:val="single" w:color="auto"/>
          <w:color w:val="auto"/>
        </w:rPr>
        <w:t>Subsection 5.4.3(a)</w:t>
      </w:r>
      <w:r>
        <w:rPr>
          <w:rFonts w:ascii="Times New Roman" w:cs="Times New Roman" w:eastAsia="Times New Roman" w:hAnsi="Times New Roman"/>
          <w:sz w:val="20"/>
          <w:szCs w:val="20"/>
          <w:color w:val="auto"/>
        </w:rPr>
        <w:t>) shall be deemed to have been issued effective upon such increase or decrease becoming effective.</w:t>
      </w:r>
    </w:p>
    <w:p>
      <w:pPr>
        <w:spacing w:after="0" w:line="105" w:lineRule="exact"/>
        <w:rPr>
          <w:sz w:val="20"/>
          <w:szCs w:val="20"/>
          <w:color w:val="auto"/>
        </w:rPr>
      </w:pPr>
    </w:p>
    <w:p>
      <w:pPr>
        <w:jc w:val="both"/>
        <w:ind w:firstLine="2389"/>
        <w:spacing w:after="0" w:line="256" w:lineRule="auto"/>
        <w:tabs>
          <w:tab w:leader="none" w:pos="2982"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expiration or termination of any unexercised Option or unconverted or unexchanged Convertible Security (or portion thereof) which resulted (either upon its original issuance or upon a revision of its terms) in an adjustment to a Conversion Price pursuant to the terms of </w:t>
      </w:r>
      <w:r>
        <w:rPr>
          <w:rFonts w:ascii="Times New Roman" w:cs="Times New Roman" w:eastAsia="Times New Roman" w:hAnsi="Times New Roman"/>
          <w:sz w:val="20"/>
          <w:szCs w:val="20"/>
          <w:u w:val="single" w:color="auto"/>
          <w:color w:val="auto"/>
        </w:rPr>
        <w:t>Subsection 5.4.4</w:t>
      </w:r>
      <w:r>
        <w:rPr>
          <w:rFonts w:ascii="Times New Roman" w:cs="Times New Roman" w:eastAsia="Times New Roman" w:hAnsi="Times New Roman"/>
          <w:sz w:val="20"/>
          <w:szCs w:val="20"/>
          <w:color w:val="auto"/>
        </w:rPr>
        <w:t>, the effected Conversion Price shall be readjusted to such Conversion Price as would have obtained had such Option or Convertible Security (or portion thereof) never been issued.</w:t>
      </w:r>
    </w:p>
    <w:p>
      <w:pPr>
        <w:spacing w:after="0" w:line="113" w:lineRule="exact"/>
        <w:rPr>
          <w:rFonts w:ascii="Times New Roman" w:cs="Times New Roman" w:eastAsia="Times New Roman" w:hAnsi="Times New Roman"/>
          <w:sz w:val="20"/>
          <w:szCs w:val="20"/>
          <w:color w:val="auto"/>
        </w:rPr>
      </w:pPr>
    </w:p>
    <w:p>
      <w:pPr>
        <w:jc w:val="both"/>
        <w:ind w:firstLine="2389"/>
        <w:spacing w:after="0" w:line="249" w:lineRule="auto"/>
        <w:tabs>
          <w:tab w:leader="none" w:pos="2983"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a particular Conversion Price provided for in this </w:t>
      </w:r>
      <w:r>
        <w:rPr>
          <w:rFonts w:ascii="Times New Roman" w:cs="Times New Roman" w:eastAsia="Times New Roman" w:hAnsi="Times New Roman"/>
          <w:sz w:val="20"/>
          <w:szCs w:val="20"/>
          <w:u w:val="single" w:color="auto"/>
          <w:color w:val="auto"/>
        </w:rPr>
        <w:t>Subsection 5.4.3</w:t>
      </w:r>
      <w:r>
        <w:rPr>
          <w:rFonts w:ascii="Times New Roman" w:cs="Times New Roman" w:eastAsia="Times New Roman" w:hAnsi="Times New Roman"/>
          <w:sz w:val="20"/>
          <w:szCs w:val="20"/>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cs="Times New Roman" w:eastAsia="Times New Roman" w:hAnsi="Times New Roman"/>
          <w:sz w:val="20"/>
          <w:szCs w:val="20"/>
          <w:u w:val="single" w:color="auto"/>
          <w:color w:val="auto"/>
        </w:rPr>
        <w:t>Subsection 5.4.3</w:t>
      </w:r>
      <w:r>
        <w:rPr>
          <w:rFonts w:ascii="Times New Roman" w:cs="Times New Roman" w:eastAsia="Times New Roman" w:hAnsi="Times New Roman"/>
          <w:sz w:val="20"/>
          <w:szCs w:val="20"/>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Preferred Stock Conversion Prices that would result under the terms of this </w:t>
      </w:r>
      <w:r>
        <w:rPr>
          <w:rFonts w:ascii="Times New Roman" w:cs="Times New Roman" w:eastAsia="Times New Roman" w:hAnsi="Times New Roman"/>
          <w:sz w:val="20"/>
          <w:szCs w:val="20"/>
          <w:u w:val="single" w:color="auto"/>
          <w:color w:val="auto"/>
        </w:rPr>
        <w:t>Subsection 5.4.3</w:t>
      </w:r>
      <w:r>
        <w:rPr>
          <w:rFonts w:ascii="Times New Roman" w:cs="Times New Roman" w:eastAsia="Times New Roman" w:hAnsi="Times New Roman"/>
          <w:sz w:val="20"/>
          <w:szCs w:val="20"/>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a Conversion Price that such issuance or amendment took place at the time such calculation can first be made.</w:t>
      </w:r>
    </w:p>
    <w:p>
      <w:pPr>
        <w:spacing w:after="0" w:line="123" w:lineRule="exact"/>
        <w:rPr>
          <w:sz w:val="20"/>
          <w:szCs w:val="20"/>
          <w:color w:val="auto"/>
        </w:rPr>
      </w:pPr>
    </w:p>
    <w:p>
      <w:pPr>
        <w:jc w:val="both"/>
        <w:ind w:firstLine="1792"/>
        <w:spacing w:after="0" w:line="252" w:lineRule="auto"/>
        <w:rPr>
          <w:sz w:val="20"/>
          <w:szCs w:val="20"/>
          <w:color w:val="auto"/>
        </w:rPr>
      </w:pPr>
      <w:r>
        <w:rPr>
          <w:rFonts w:ascii="Times New Roman" w:cs="Times New Roman" w:eastAsia="Times New Roman" w:hAnsi="Times New Roman"/>
          <w:sz w:val="20"/>
          <w:szCs w:val="20"/>
          <w:color w:val="auto"/>
        </w:rPr>
        <w:t xml:space="preserve">5.4.4 </w:t>
      </w:r>
      <w:r>
        <w:rPr>
          <w:rFonts w:ascii="Times New Roman" w:cs="Times New Roman" w:eastAsia="Times New Roman" w:hAnsi="Times New Roman"/>
          <w:sz w:val="20"/>
          <w:szCs w:val="20"/>
          <w:u w:val="single" w:color="auto"/>
          <w:color w:val="auto"/>
        </w:rPr>
        <w:t>Adjustment of Conversion Prices Upon Issuance of Additional Shares of Common Stock</w:t>
      </w:r>
      <w:r>
        <w:rPr>
          <w:rFonts w:ascii="Times New Roman" w:cs="Times New Roman" w:eastAsia="Times New Roman" w:hAnsi="Times New Roman"/>
          <w:sz w:val="20"/>
          <w:szCs w:val="20"/>
          <w:color w:val="auto"/>
        </w:rPr>
        <w:t xml:space="preserve">. In the event the Corporation shall at any time after the Filing Date issue Additional Shares of Common Stock (including Additional Shares of Common Stock deemed to be issued pursuant to </w:t>
      </w:r>
      <w:r>
        <w:rPr>
          <w:rFonts w:ascii="Times New Roman" w:cs="Times New Roman" w:eastAsia="Times New Roman" w:hAnsi="Times New Roman"/>
          <w:sz w:val="20"/>
          <w:szCs w:val="20"/>
          <w:u w:val="single" w:color="auto"/>
          <w:color w:val="auto"/>
        </w:rPr>
        <w:t>Subsection 5.4.3</w:t>
      </w:r>
      <w:r>
        <w:rPr>
          <w:rFonts w:ascii="Times New Roman" w:cs="Times New Roman" w:eastAsia="Times New Roman" w:hAnsi="Times New Roman"/>
          <w:sz w:val="20"/>
          <w:szCs w:val="20"/>
          <w:color w:val="auto"/>
        </w:rPr>
        <w:t>), without consideration or for a consideration per share less than the applicable Conversion Price of a series of Preferred Stock in effect immediately prior to such issue, then such Conversion Price shall be reduced, concurrently with such issue, to a price (calculated to the nearest one-hundredth of a cent) determined in accordance with the following formula:</w:t>
      </w:r>
    </w:p>
    <w:p>
      <w:pPr>
        <w:spacing w:after="0" w:line="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CP</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20"/>
          <w:szCs w:val="20"/>
          <w:color w:val="auto"/>
        </w:rPr>
        <w:t>* (A + B) ÷ (A + 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the foregoing formula, the following definitions shall apply:</w:t>
      </w:r>
    </w:p>
    <w:p>
      <w:pPr>
        <w:spacing w:after="0" w:line="78" w:lineRule="exact"/>
        <w:rPr>
          <w:sz w:val="20"/>
          <w:szCs w:val="20"/>
          <w:color w:val="auto"/>
        </w:rPr>
      </w:pPr>
    </w:p>
    <w:p>
      <w:pPr>
        <w:ind w:left="2980" w:hanging="591"/>
        <w:spacing w:after="0"/>
        <w:tabs>
          <w:tab w:leader="none" w:pos="298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shall mean the applicable Conversion Price in effect immediately after such issue of Additional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21" w:right="339" w:bottom="1440" w:gutter="0" w:footer="0" w:header="0"/>
        </w:sectPr>
      </w:pPr>
    </w:p>
    <w:bookmarkStart w:id="301" w:name="page302"/>
    <w:bookmarkEnd w:id="301"/>
    <w:p>
      <w:pPr>
        <w:ind w:firstLine="2389"/>
        <w:spacing w:after="0" w:line="298" w:lineRule="auto"/>
        <w:tabs>
          <w:tab w:leader="none" w:pos="2982"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20"/>
          <w:szCs w:val="20"/>
          <w:color w:val="auto"/>
        </w:rPr>
        <w:t>” shall mean the applicable Conversion Price in effect immediately prior to such issue of Additional Shares of Common Stock;</w:t>
      </w:r>
    </w:p>
    <w:p>
      <w:pPr>
        <w:spacing w:after="0" w:line="57" w:lineRule="exact"/>
        <w:rPr>
          <w:rFonts w:ascii="Times New Roman" w:cs="Times New Roman" w:eastAsia="Times New Roman" w:hAnsi="Times New Roman"/>
          <w:sz w:val="20"/>
          <w:szCs w:val="20"/>
          <w:color w:val="auto"/>
        </w:rPr>
      </w:pPr>
    </w:p>
    <w:p>
      <w:pPr>
        <w:jc w:val="both"/>
        <w:ind w:firstLine="2389"/>
        <w:spacing w:after="0" w:line="256" w:lineRule="auto"/>
        <w:tabs>
          <w:tab w:leader="none" w:pos="298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shall mean the number of shares of Common Stock deemed to be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13" w:lineRule="exact"/>
        <w:rPr>
          <w:rFonts w:ascii="Times New Roman" w:cs="Times New Roman" w:eastAsia="Times New Roman" w:hAnsi="Times New Roman"/>
          <w:sz w:val="20"/>
          <w:szCs w:val="20"/>
          <w:color w:val="auto"/>
        </w:rPr>
      </w:pPr>
    </w:p>
    <w:p>
      <w:pPr>
        <w:jc w:val="both"/>
        <w:ind w:firstLine="2389"/>
        <w:spacing w:after="0" w:line="219" w:lineRule="auto"/>
        <w:tabs>
          <w:tab w:leader="none" w:pos="2982"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shall mean the number of shares of Common Stock that would have been issued if such Additional Shares of Common Stock had been issued at a price per share equal to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20"/>
          <w:szCs w:val="20"/>
          <w:color w:val="auto"/>
        </w:rPr>
        <w:t xml:space="preserve"> (determined by dividing the aggregate consideration received by the Corporation in respect of such issue by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20"/>
          <w:szCs w:val="20"/>
          <w:color w:val="auto"/>
        </w:rPr>
        <w:t>); and</w:t>
      </w:r>
    </w:p>
    <w:p>
      <w:pPr>
        <w:spacing w:after="0" w:line="124" w:lineRule="exact"/>
        <w:rPr>
          <w:rFonts w:ascii="Times New Roman" w:cs="Times New Roman" w:eastAsia="Times New Roman" w:hAnsi="Times New Roman"/>
          <w:sz w:val="20"/>
          <w:szCs w:val="20"/>
          <w:color w:val="auto"/>
        </w:rPr>
      </w:pPr>
    </w:p>
    <w:p>
      <w:pPr>
        <w:ind w:left="2980" w:hanging="591"/>
        <w:spacing w:after="0"/>
        <w:tabs>
          <w:tab w:leader="none" w:pos="298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shall mean the number of such Additional Shares of Common Stock issued in such transaction.</w:t>
      </w:r>
    </w:p>
    <w:p>
      <w:pPr>
        <w:spacing w:after="0" w:line="156" w:lineRule="exact"/>
        <w:rPr>
          <w:sz w:val="20"/>
          <w:szCs w:val="20"/>
          <w:color w:val="auto"/>
        </w:rPr>
      </w:pPr>
    </w:p>
    <w:p>
      <w:pPr>
        <w:ind w:left="1800"/>
        <w:spacing w:after="0"/>
        <w:tabs>
          <w:tab w:leader="none" w:pos="2360" w:val="left"/>
        </w:tabs>
        <w:rPr>
          <w:sz w:val="20"/>
          <w:szCs w:val="20"/>
          <w:color w:val="auto"/>
        </w:rPr>
      </w:pPr>
      <w:r>
        <w:rPr>
          <w:rFonts w:ascii="Times New Roman" w:cs="Times New Roman" w:eastAsia="Times New Roman" w:hAnsi="Times New Roman"/>
          <w:sz w:val="20"/>
          <w:szCs w:val="20"/>
          <w:color w:val="auto"/>
        </w:rPr>
        <w:t>5.4.5</w:t>
      </w:r>
      <w:r>
        <w:rPr>
          <w:sz w:val="20"/>
          <w:szCs w:val="20"/>
          <w:color w:val="auto"/>
        </w:rPr>
        <w:tab/>
      </w:r>
      <w:r>
        <w:rPr>
          <w:rFonts w:ascii="Times New Roman" w:cs="Times New Roman" w:eastAsia="Times New Roman" w:hAnsi="Times New Roman"/>
          <w:sz w:val="20"/>
          <w:szCs w:val="20"/>
          <w:u w:val="single" w:color="auto"/>
          <w:color w:val="auto"/>
        </w:rPr>
        <w:t>Determination of Consideration</w:t>
      </w:r>
      <w:r>
        <w:rPr>
          <w:rFonts w:ascii="Times New Roman" w:cs="Times New Roman" w:eastAsia="Times New Roman" w:hAnsi="Times New Roman"/>
          <w:sz w:val="20"/>
          <w:szCs w:val="20"/>
          <w:color w:val="auto"/>
        </w:rPr>
        <w:t>. For purposes of this</w:t>
      </w:r>
      <w:r>
        <w:rPr>
          <w:rFonts w:ascii="Times New Roman" w:cs="Times New Roman" w:eastAsia="Times New Roman" w:hAnsi="Times New Roman"/>
          <w:sz w:val="20"/>
          <w:szCs w:val="20"/>
          <w:u w:val="single" w:color="auto"/>
          <w:color w:val="auto"/>
        </w:rPr>
        <w:t xml:space="preserve"> Subsection 5.4</w:t>
      </w:r>
      <w:r>
        <w:rPr>
          <w:rFonts w:ascii="Times New Roman" w:cs="Times New Roman" w:eastAsia="Times New Roman" w:hAnsi="Times New Roman"/>
          <w:sz w:val="20"/>
          <w:szCs w:val="20"/>
          <w:color w:val="auto"/>
        </w:rPr>
        <w:t>, the consideration received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Corporation for the issue of any Additional Shares of Common Stock shall be computed as follows:</w:t>
      </w:r>
    </w:p>
    <w:p>
      <w:pPr>
        <w:spacing w:after="0" w:line="134" w:lineRule="exact"/>
        <w:rPr>
          <w:sz w:val="20"/>
          <w:szCs w:val="20"/>
          <w:color w:val="auto"/>
        </w:rPr>
      </w:pPr>
    </w:p>
    <w:p>
      <w:pPr>
        <w:ind w:left="2980" w:hanging="591"/>
        <w:spacing w:after="0"/>
        <w:tabs>
          <w:tab w:leader="none" w:pos="2980"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and Property</w:t>
      </w:r>
      <w:r>
        <w:rPr>
          <w:rFonts w:ascii="Times New Roman" w:cs="Times New Roman" w:eastAsia="Times New Roman" w:hAnsi="Times New Roman"/>
          <w:sz w:val="20"/>
          <w:szCs w:val="20"/>
          <w:color w:val="auto"/>
        </w:rPr>
        <w:t>: Such consideration shall:</w:t>
      </w:r>
    </w:p>
    <w:p>
      <w:pPr>
        <w:spacing w:after="0" w:line="155" w:lineRule="exact"/>
        <w:rPr>
          <w:rFonts w:ascii="Times New Roman" w:cs="Times New Roman" w:eastAsia="Times New Roman" w:hAnsi="Times New Roman"/>
          <w:sz w:val="20"/>
          <w:szCs w:val="20"/>
          <w:color w:val="auto"/>
        </w:rPr>
      </w:pPr>
    </w:p>
    <w:p>
      <w:pPr>
        <w:ind w:left="2380" w:hanging="589"/>
        <w:spacing w:after="0" w:line="277" w:lineRule="auto"/>
        <w:tabs>
          <w:tab w:leader="none" w:pos="2369"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insofar as it consists of cash, be computed at the aggregate amount of cash received by the Corporation, excluding amounts paid or payable for accrued interest;</w:t>
      </w:r>
    </w:p>
    <w:p>
      <w:pPr>
        <w:spacing w:after="0" w:line="91" w:lineRule="exact"/>
        <w:rPr>
          <w:rFonts w:ascii="Times New Roman" w:cs="Times New Roman" w:eastAsia="Times New Roman" w:hAnsi="Times New Roman"/>
          <w:sz w:val="20"/>
          <w:szCs w:val="20"/>
          <w:color w:val="auto"/>
        </w:rPr>
      </w:pPr>
    </w:p>
    <w:p>
      <w:pPr>
        <w:ind w:left="2380" w:hanging="589"/>
        <w:spacing w:after="0" w:line="277" w:lineRule="auto"/>
        <w:tabs>
          <w:tab w:leader="none" w:pos="237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insofar as it consists of property other than cash, be computed at the fair market value thereof at the time of such issue, as determined in good faith by the Board; and</w:t>
      </w:r>
    </w:p>
    <w:p>
      <w:pPr>
        <w:spacing w:after="0" w:line="91" w:lineRule="exact"/>
        <w:rPr>
          <w:rFonts w:ascii="Times New Roman" w:cs="Times New Roman" w:eastAsia="Times New Roman" w:hAnsi="Times New Roman"/>
          <w:sz w:val="20"/>
          <w:szCs w:val="20"/>
          <w:color w:val="auto"/>
        </w:rPr>
      </w:pPr>
    </w:p>
    <w:p>
      <w:pPr>
        <w:jc w:val="both"/>
        <w:ind w:left="2380" w:hanging="589"/>
        <w:spacing w:after="0" w:line="262" w:lineRule="auto"/>
        <w:tabs>
          <w:tab w:leader="none" w:pos="238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as determined in good faith by the Board.</w:t>
      </w:r>
    </w:p>
    <w:p>
      <w:pPr>
        <w:spacing w:after="0" w:line="105" w:lineRule="exact"/>
        <w:rPr>
          <w:rFonts w:ascii="Times New Roman" w:cs="Times New Roman" w:eastAsia="Times New Roman" w:hAnsi="Times New Roman"/>
          <w:sz w:val="20"/>
          <w:szCs w:val="20"/>
          <w:color w:val="auto"/>
        </w:rPr>
      </w:pPr>
    </w:p>
    <w:p>
      <w:pPr>
        <w:jc w:val="both"/>
        <w:ind w:firstLine="2389"/>
        <w:spacing w:after="0" w:line="262" w:lineRule="auto"/>
        <w:tabs>
          <w:tab w:leader="none" w:pos="2982"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 and Convertible Securities</w:t>
      </w:r>
      <w:r>
        <w:rPr>
          <w:rFonts w:ascii="Times New Roman" w:cs="Times New Roman" w:eastAsia="Times New Roman" w:hAnsi="Times New Roman"/>
          <w:sz w:val="20"/>
          <w:szCs w:val="20"/>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20"/>
          <w:szCs w:val="20"/>
          <w:u w:val="single" w:color="auto"/>
          <w:color w:val="auto"/>
        </w:rPr>
        <w:t>Subsection 5.4.3</w:t>
      </w:r>
      <w:r>
        <w:rPr>
          <w:rFonts w:ascii="Times New Roman" w:cs="Times New Roman" w:eastAsia="Times New Roman" w:hAnsi="Times New Roman"/>
          <w:sz w:val="20"/>
          <w:szCs w:val="20"/>
          <w:color w:val="auto"/>
        </w:rPr>
        <w:t>, relating to Options and Convertible Securities, shall be determined by dividing</w:t>
      </w:r>
    </w:p>
    <w:p>
      <w:pPr>
        <w:spacing w:after="0" w:line="105" w:lineRule="exact"/>
        <w:rPr>
          <w:sz w:val="20"/>
          <w:szCs w:val="20"/>
          <w:color w:val="auto"/>
        </w:rPr>
      </w:pPr>
    </w:p>
    <w:p>
      <w:pPr>
        <w:jc w:val="both"/>
        <w:ind w:left="2380" w:hanging="589"/>
        <w:spacing w:after="0" w:line="262" w:lineRule="auto"/>
        <w:tabs>
          <w:tab w:leader="none" w:pos="2369"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243" w:right="339" w:bottom="1440" w:gutter="0" w:footer="0" w:header="0"/>
        </w:sectPr>
      </w:pPr>
    </w:p>
    <w:bookmarkStart w:id="302" w:name="page303"/>
    <w:bookmarkEnd w:id="302"/>
    <w:p>
      <w:pPr>
        <w:jc w:val="both"/>
        <w:ind w:left="2380"/>
        <w:spacing w:after="0" w:line="256" w:lineRule="auto"/>
        <w:rPr>
          <w:sz w:val="20"/>
          <w:szCs w:val="20"/>
          <w:color w:val="auto"/>
        </w:rPr>
      </w:pPr>
      <w:r>
        <w:rPr>
          <w:rFonts w:ascii="Times New Roman" w:cs="Times New Roman" w:eastAsia="Times New Roman" w:hAnsi="Times New Roman"/>
          <w:sz w:val="20"/>
          <w:szCs w:val="20"/>
          <w:color w:val="auto"/>
        </w:rPr>
        <w:t>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14" w:lineRule="exact"/>
        <w:rPr>
          <w:sz w:val="20"/>
          <w:szCs w:val="20"/>
          <w:color w:val="auto"/>
        </w:rPr>
      </w:pPr>
    </w:p>
    <w:p>
      <w:pPr>
        <w:jc w:val="both"/>
        <w:ind w:left="2380" w:hanging="589"/>
        <w:spacing w:after="0" w:line="254" w:lineRule="auto"/>
        <w:tabs>
          <w:tab w:leader="none" w:pos="2374"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14" w:lineRule="exact"/>
        <w:rPr>
          <w:sz w:val="20"/>
          <w:szCs w:val="20"/>
          <w:color w:val="auto"/>
        </w:rPr>
      </w:pPr>
    </w:p>
    <w:p>
      <w:pPr>
        <w:jc w:val="both"/>
        <w:ind w:firstLine="1792"/>
        <w:spacing w:after="0" w:line="254" w:lineRule="auto"/>
        <w:rPr>
          <w:sz w:val="20"/>
          <w:szCs w:val="20"/>
          <w:color w:val="auto"/>
        </w:rPr>
      </w:pPr>
      <w:r>
        <w:rPr>
          <w:rFonts w:ascii="Times New Roman" w:cs="Times New Roman" w:eastAsia="Times New Roman" w:hAnsi="Times New Roman"/>
          <w:sz w:val="20"/>
          <w:szCs w:val="20"/>
          <w:color w:val="auto"/>
        </w:rPr>
        <w:t xml:space="preserve">5.4.6 </w:t>
      </w:r>
      <w:r>
        <w:rPr>
          <w:rFonts w:ascii="Times New Roman" w:cs="Times New Roman" w:eastAsia="Times New Roman" w:hAnsi="Times New Roman"/>
          <w:sz w:val="20"/>
          <w:szCs w:val="20"/>
          <w:u w:val="single" w:color="auto"/>
          <w:color w:val="auto"/>
        </w:rPr>
        <w:t>Multiple Closing Dates</w:t>
      </w:r>
      <w:r>
        <w:rPr>
          <w:rFonts w:ascii="Times New Roman" w:cs="Times New Roman" w:eastAsia="Times New Roman" w:hAnsi="Times New Roman"/>
          <w:sz w:val="20"/>
          <w:szCs w:val="20"/>
          <w:color w:val="auto"/>
        </w:rPr>
        <w:t xml:space="preserve">. In the event the Corporation shall issue on more than one date Additional Shares of Common Stock that are a part of one transaction or a series of related transactions and that would result in an adjustment to one or more Conversion Prices pursuant to the terms of </w:t>
      </w:r>
      <w:r>
        <w:rPr>
          <w:rFonts w:ascii="Times New Roman" w:cs="Times New Roman" w:eastAsia="Times New Roman" w:hAnsi="Times New Roman"/>
          <w:sz w:val="20"/>
          <w:szCs w:val="20"/>
          <w:u w:val="single" w:color="auto"/>
          <w:color w:val="auto"/>
        </w:rPr>
        <w:t>Subsection 5.4.4</w:t>
      </w:r>
      <w:r>
        <w:rPr>
          <w:rFonts w:ascii="Times New Roman" w:cs="Times New Roman" w:eastAsia="Times New Roman" w:hAnsi="Times New Roman"/>
          <w:sz w:val="20"/>
          <w:szCs w:val="20"/>
          <w:color w:val="auto"/>
        </w:rPr>
        <w:t>, then, upon the final such issuance, the effected Conversion Prices shall be readjusted to give effect to all such issuances as if they occurred on the date of the first such issuance (and without giving effect to any additional adjustments as a result of any such subsequent issuances within such period).</w:t>
      </w:r>
    </w:p>
    <w:p>
      <w:pPr>
        <w:spacing w:after="0" w:line="114"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Adjustment for Stock Splits and Combinations</w:t>
      </w:r>
      <w:r>
        <w:rPr>
          <w:rFonts w:ascii="Times New Roman" w:cs="Times New Roman" w:eastAsia="Times New Roman" w:hAnsi="Times New Roman"/>
          <w:sz w:val="20"/>
          <w:szCs w:val="20"/>
          <w:color w:val="auto"/>
        </w:rPr>
        <w:t xml:space="preserve">. If the Corporation shall at any time or from time to time after the Filing Date effect a subdivision of the outstanding Common Stock, the Conversion Price of each respective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Filing Date combine the outstanding shares of Common Stock, the Conversion Price of each respective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 w:cs="Times New Roman" w:eastAsia="Times New Roman" w:hAnsi="Times New Roman"/>
          <w:sz w:val="20"/>
          <w:szCs w:val="20"/>
          <w:u w:val="single" w:color="auto"/>
          <w:color w:val="auto"/>
        </w:rPr>
        <w:t>Subsection 5.5</w:t>
      </w:r>
      <w:r>
        <w:rPr>
          <w:rFonts w:ascii="Times New Roman" w:cs="Times New Roman" w:eastAsia="Times New Roman" w:hAnsi="Times New Roman"/>
          <w:sz w:val="20"/>
          <w:szCs w:val="20"/>
          <w:color w:val="auto"/>
        </w:rPr>
        <w:t xml:space="preserve"> shall become effective at the close of business on the date the subdivision or combination becomes effective.</w:t>
      </w:r>
    </w:p>
    <w:p>
      <w:pPr>
        <w:spacing w:after="0" w:line="121"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Adjustment for Certain Dividends and Distributions</w:t>
      </w:r>
      <w:r>
        <w:rPr>
          <w:rFonts w:ascii="Times New Roman" w:cs="Times New Roman" w:eastAsia="Times New Roman" w:hAnsi="Times New Roman"/>
          <w:sz w:val="20"/>
          <w:szCs w:val="20"/>
          <w:color w:val="auto"/>
        </w:rPr>
        <w:t>. In the event the Corporation at any time or from time to time after the Filing Date shall make or issue, or fix a record date for the determination of holders of Common Stock entitled to receive, a dividend or other distribution payable on the Common Stock in additional shares of Common Stock, then and in each such event the Conversion Price of each respective series of Preferred Stock in effect immediately before such event shall be decreased as of the time of such issuance or,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21" w:right="339" w:bottom="1440" w:gutter="0" w:footer="0" w:header="0"/>
        </w:sectPr>
      </w:pPr>
    </w:p>
    <w:bookmarkStart w:id="303" w:name="page304"/>
    <w:bookmarkEnd w:id="303"/>
    <w:p>
      <w:pPr>
        <w:spacing w:after="0" w:line="277" w:lineRule="auto"/>
        <w:rPr>
          <w:sz w:val="20"/>
          <w:szCs w:val="20"/>
          <w:color w:val="auto"/>
        </w:rPr>
      </w:pPr>
      <w:r>
        <w:rPr>
          <w:rFonts w:ascii="Times New Roman" w:cs="Times New Roman" w:eastAsia="Times New Roman" w:hAnsi="Times New Roman"/>
          <w:sz w:val="20"/>
          <w:szCs w:val="20"/>
          <w:color w:val="auto"/>
        </w:rPr>
        <w:t>such a record date shall have been fixed, as of the close of business on such record date, by multiplying the applicable Conversion Price then in effect by a fraction:</w:t>
      </w:r>
    </w:p>
    <w:p>
      <w:pPr>
        <w:spacing w:after="0" w:line="91" w:lineRule="exact"/>
        <w:rPr>
          <w:sz w:val="20"/>
          <w:szCs w:val="20"/>
          <w:color w:val="auto"/>
        </w:rPr>
      </w:pPr>
    </w:p>
    <w:p>
      <w:pPr>
        <w:ind w:left="2380" w:hanging="589"/>
        <w:spacing w:after="0" w:line="277" w:lineRule="auto"/>
        <w:tabs>
          <w:tab w:leader="none" w:pos="237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numerator of which shall be the total number of shares of Common Stock issued and outstanding immediately prior to the time of such issuance or the close of business on such record date, and</w:t>
      </w:r>
    </w:p>
    <w:p>
      <w:pPr>
        <w:spacing w:after="0" w:line="91" w:lineRule="exact"/>
        <w:rPr>
          <w:rFonts w:ascii="Times New Roman" w:cs="Times New Roman" w:eastAsia="Times New Roman" w:hAnsi="Times New Roman"/>
          <w:sz w:val="20"/>
          <w:szCs w:val="20"/>
          <w:color w:val="auto"/>
        </w:rPr>
      </w:pPr>
    </w:p>
    <w:p>
      <w:pPr>
        <w:jc w:val="both"/>
        <w:ind w:left="2380" w:hanging="589"/>
        <w:spacing w:after="0" w:line="262" w:lineRule="auto"/>
        <w:tabs>
          <w:tab w:leader="none" w:pos="237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Notwithstanding the foregoing, (a) if such record date shall have been fixed and such dividend is not fully paid or if such distribution is not fully made on the date fixed therefor, the Conversion Price of each series of Preferred Stock shall be recomputed accordingly as of the close of business on such record date and thereafter each such Conversion Price shall be adjusted pursuant to this </w:t>
      </w:r>
      <w:r>
        <w:rPr>
          <w:rFonts w:ascii="Times New Roman" w:cs="Times New Roman" w:eastAsia="Times New Roman" w:hAnsi="Times New Roman"/>
          <w:sz w:val="20"/>
          <w:szCs w:val="20"/>
          <w:u w:val="single" w:color="auto"/>
          <w:color w:val="auto"/>
        </w:rPr>
        <w:t>Subsection 5.6</w:t>
      </w:r>
      <w:r>
        <w:rPr>
          <w:rFonts w:ascii="Times New Roman" w:cs="Times New Roman" w:eastAsia="Times New Roman" w:hAnsi="Times New Roman"/>
          <w:sz w:val="20"/>
          <w:szCs w:val="20"/>
          <w:color w:val="auto"/>
        </w:rPr>
        <w:t xml:space="preserve"> as of the time of actual payment of such dividends or distributions; and (b) that no such adjustment shall be made if the holders of the applicable series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21"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Adjustments for Other Dividends and Distributions</w:t>
      </w:r>
      <w:r>
        <w:rPr>
          <w:rFonts w:ascii="Times New Roman" w:cs="Times New Roman" w:eastAsia="Times New Roman" w:hAnsi="Times New Roman"/>
          <w:sz w:val="20"/>
          <w:szCs w:val="20"/>
          <w:color w:val="auto"/>
        </w:rPr>
        <w:t xml:space="preserve">. In the event the Corporation at any time or from time to time after the Filing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do not apply to such dividend or distribution, then and in each such event the holders of the applicable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17"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Adjustment for Merger or Reorganization, etc</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Subsection 2.3</w:t>
      </w:r>
      <w:r>
        <w:rPr>
          <w:rFonts w:ascii="Times New Roman" w:cs="Times New Roman" w:eastAsia="Times New Roman" w:hAnsi="Times New Roman"/>
          <w:sz w:val="20"/>
          <w:szCs w:val="20"/>
          <w:color w:val="auto"/>
        </w:rPr>
        <w:t xml:space="preserve">, if there shall occur any reorganization, recapitalization, reclassification, consolidation or merger involving the Corporation in which the Common Stock (but not the applicable series of Preferred Stock) is converted into or exchanged for securities, cash or other property (other than a transaction covered by </w:t>
      </w:r>
      <w:r>
        <w:rPr>
          <w:rFonts w:ascii="Times New Roman" w:cs="Times New Roman" w:eastAsia="Times New Roman" w:hAnsi="Times New Roman"/>
          <w:sz w:val="20"/>
          <w:szCs w:val="20"/>
          <w:u w:val="single" w:color="auto"/>
          <w:color w:val="auto"/>
        </w:rPr>
        <w:t>Subsections 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the applicable series of Preferred Stock immediately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21" w:right="339" w:bottom="1440" w:gutter="0" w:footer="0" w:header="0"/>
        </w:sectPr>
      </w:pPr>
    </w:p>
    <w:bookmarkStart w:id="304" w:name="page305"/>
    <w:bookmarkEnd w:id="304"/>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(including provisions with respect to changes in and other adjustments of the applicable Conversion Prices) shall thereafter be applicable, as nearly as reasonably may be, in relation to any securities or other property thereafter deliverable upon the conversion of shares of such applicable series of Preferred Stock.</w:t>
      </w:r>
    </w:p>
    <w:p>
      <w:pPr>
        <w:spacing w:after="0" w:line="119"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Certificate as to Adjustments</w:t>
      </w:r>
      <w:r>
        <w:rPr>
          <w:rFonts w:ascii="Times New Roman" w:cs="Times New Roman" w:eastAsia="Times New Roman" w:hAnsi="Times New Roman"/>
          <w:sz w:val="20"/>
          <w:szCs w:val="20"/>
          <w:color w:val="auto"/>
        </w:rPr>
        <w:t xml:space="preserve">. Upon the occurrence of each adjustment or readjustment of a Conversion Price pursuant to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the Corporation at its expense shall, as promptly as reasonably practicable but in any event not later than 10 days thereafter, compute such adjustment or readjustment in accordance with the terms hereof and furnish to each holder of the affected series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such series of Preferred Stock.</w:t>
      </w:r>
    </w:p>
    <w:p>
      <w:pPr>
        <w:spacing w:after="0" w:line="121"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19"/>
          <w:szCs w:val="19"/>
          <w:u w:val="single" w:color="auto"/>
          <w:color w:val="auto"/>
        </w:rPr>
        <w:t>Notice of Record Date</w:t>
      </w:r>
      <w:r>
        <w:rPr>
          <w:rFonts w:ascii="Times New Roman" w:cs="Times New Roman" w:eastAsia="Times New Roman" w:hAnsi="Times New Roman"/>
          <w:sz w:val="19"/>
          <w:szCs w:val="19"/>
          <w:color w:val="auto"/>
        </w:rPr>
        <w:t>. In the event:</w:t>
      </w:r>
    </w:p>
    <w:p>
      <w:pPr>
        <w:spacing w:after="0" w:line="156" w:lineRule="exact"/>
        <w:rPr>
          <w:sz w:val="20"/>
          <w:szCs w:val="20"/>
          <w:color w:val="auto"/>
        </w:rPr>
      </w:pPr>
    </w:p>
    <w:p>
      <w:pPr>
        <w:jc w:val="both"/>
        <w:ind w:firstLine="2389"/>
        <w:spacing w:after="0" w:line="256" w:lineRule="auto"/>
        <w:tabs>
          <w:tab w:leader="none" w:pos="298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13" w:lineRule="exact"/>
        <w:rPr>
          <w:rFonts w:ascii="Times New Roman" w:cs="Times New Roman" w:eastAsia="Times New Roman" w:hAnsi="Times New Roman"/>
          <w:sz w:val="20"/>
          <w:szCs w:val="20"/>
          <w:color w:val="auto"/>
        </w:rPr>
      </w:pPr>
    </w:p>
    <w:p>
      <w:pPr>
        <w:ind w:firstLine="2389"/>
        <w:spacing w:after="0" w:line="277" w:lineRule="auto"/>
        <w:tabs>
          <w:tab w:leader="none" w:pos="2982"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capital reorganization of the Corporation, any reclassification of the Common Stock of the Corporation, or any Deemed Liquidation Event; or</w:t>
      </w:r>
    </w:p>
    <w:p>
      <w:pPr>
        <w:spacing w:after="0" w:line="91" w:lineRule="exact"/>
        <w:rPr>
          <w:rFonts w:ascii="Times New Roman" w:cs="Times New Roman" w:eastAsia="Times New Roman" w:hAnsi="Times New Roman"/>
          <w:sz w:val="20"/>
          <w:szCs w:val="20"/>
          <w:color w:val="auto"/>
        </w:rPr>
      </w:pPr>
    </w:p>
    <w:p>
      <w:pPr>
        <w:ind w:left="2980" w:hanging="591"/>
        <w:spacing w:after="0"/>
        <w:tabs>
          <w:tab w:leader="none" w:pos="298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voluntary or involuntary dissolution, liquidation or winding-up of the Corporation,</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then, and in each such case, the Corporation will send or cause to be sent to the holders of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21" w:right="339" w:bottom="1440" w:gutter="0" w:footer="0" w:header="0"/>
        </w:sectPr>
      </w:pPr>
    </w:p>
    <w:bookmarkStart w:id="305" w:name="page306"/>
    <w:bookmarkEnd w:id="305"/>
    <w:p>
      <w:pPr>
        <w:spacing w:after="0" w:line="277" w:lineRule="auto"/>
        <w:rPr>
          <w:sz w:val="20"/>
          <w:szCs w:val="20"/>
          <w:color w:val="auto"/>
        </w:rPr>
      </w:pPr>
      <w:r>
        <w:rPr>
          <w:rFonts w:ascii="Times New Roman" w:cs="Times New Roman" w:eastAsia="Times New Roman" w:hAnsi="Times New Roman"/>
          <w:sz w:val="20"/>
          <w:szCs w:val="20"/>
          <w:color w:val="auto"/>
        </w:rPr>
        <w:t>exchange applicable to such series of Preferred Stock Preferred Stock and the Common Stock. Such notice shall be sent at least 10 days prior to the record date or effective date for the event specified in such notice.</w:t>
      </w:r>
    </w:p>
    <w:p>
      <w:pPr>
        <w:spacing w:after="0" w:line="91" w:lineRule="exact"/>
        <w:rPr>
          <w:sz w:val="20"/>
          <w:szCs w:val="20"/>
          <w:color w:val="auto"/>
        </w:rPr>
      </w:pPr>
    </w:p>
    <w:p>
      <w:pPr>
        <w:ind w:left="1200" w:hanging="603"/>
        <w:spacing w:after="0"/>
        <w:tabs>
          <w:tab w:leader="none" w:pos="120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Redemption</w:t>
      </w:r>
      <w:r>
        <w:rPr>
          <w:rFonts w:ascii="Times New Roman" w:cs="Times New Roman" w:eastAsia="Times New Roman" w:hAnsi="Times New Roman"/>
          <w:sz w:val="20"/>
          <w:szCs w:val="20"/>
          <w:color w:val="auto"/>
        </w:rPr>
        <w:t>. The Preferred Stock is not redeemable at the option of the holder thereof.</w:t>
      </w:r>
    </w:p>
    <w:p>
      <w:pPr>
        <w:spacing w:after="0" w:line="155" w:lineRule="exact"/>
        <w:rPr>
          <w:rFonts w:ascii="Times New Roman" w:cs="Times New Roman" w:eastAsia="Times New Roman" w:hAnsi="Times New Roman"/>
          <w:sz w:val="20"/>
          <w:szCs w:val="20"/>
          <w:color w:val="auto"/>
        </w:rPr>
      </w:pPr>
    </w:p>
    <w:p>
      <w:pPr>
        <w:ind w:left="1200" w:hanging="603"/>
        <w:spacing w:after="0"/>
        <w:tabs>
          <w:tab w:leader="none" w:pos="120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Conversion</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1195"/>
        <w:spacing w:after="0" w:line="249"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Trigger Events</w:t>
      </w:r>
      <w:r>
        <w:rPr>
          <w:rFonts w:ascii="Times New Roman" w:cs="Times New Roman" w:eastAsia="Times New Roman" w:hAnsi="Times New Roman"/>
          <w:sz w:val="20"/>
          <w:szCs w:val="20"/>
          <w:color w:val="auto"/>
        </w:rPr>
        <w:t>. Upon either (a) the closing of the sale of shares of Common Stock to the public at a price of at least $12.5162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having an aggregate offering price to the public of not less than $50 million (a “</w:t>
      </w:r>
      <w:r>
        <w:rPr>
          <w:rFonts w:ascii="Times New Roman" w:cs="Times New Roman" w:eastAsia="Times New Roman" w:hAnsi="Times New Roman"/>
          <w:sz w:val="20"/>
          <w:szCs w:val="20"/>
          <w:b w:val="1"/>
          <w:bCs w:val="1"/>
          <w:color w:val="auto"/>
        </w:rPr>
        <w:t>QPO</w:t>
      </w:r>
      <w:r>
        <w:rPr>
          <w:rFonts w:ascii="Times New Roman" w:cs="Times New Roman" w:eastAsia="Times New Roman" w:hAnsi="Times New Roman"/>
          <w:sz w:val="20"/>
          <w:szCs w:val="20"/>
          <w:color w:val="auto"/>
        </w:rPr>
        <w:t>”) or (b) the date and time, or the occurrence of an event, specified by vote or written consent of (i) the holders of outstanding shares of Preferred Stock representing not less than the Preferred Stock Approval Amount, voting together as a single class and not as separate series and on an as-converted to Common Stock basis, (ii) the holders of at least 60% of the outstanding shares of Series D Preferred Stock, voting as a separate series (iii) the holders of a majority of the outstanding shares of Series E Preferred Stock and Series E-1 Preferred Stock, voting together as if a single series, and (iv) the holders of a majority of the outstanding shares of Series F Preferred Stock, voting as a separate series (the time of such closing or the date and time specified or the time of the event specified in such vote or written consent is referred to herein as the “</w:t>
      </w:r>
      <w:r>
        <w:rPr>
          <w:rFonts w:ascii="Times New Roman" w:cs="Times New Roman" w:eastAsia="Times New Roman" w:hAnsi="Times New Roman"/>
          <w:sz w:val="20"/>
          <w:szCs w:val="20"/>
          <w:b w:val="1"/>
          <w:bCs w:val="1"/>
          <w:color w:val="auto"/>
        </w:rPr>
        <w:t>Mandatory Conversion Time</w:t>
      </w:r>
      <w:r>
        <w:rPr>
          <w:rFonts w:ascii="Times New Roman" w:cs="Times New Roman" w:eastAsia="Times New Roman" w:hAnsi="Times New Roman"/>
          <w:sz w:val="20"/>
          <w:szCs w:val="20"/>
          <w:color w:val="auto"/>
        </w:rPr>
        <w:t>”), all outstanding shares of Preferred Stock shall automatically be converted into shares of Common Stock, at the then effective conversion rate.</w:t>
      </w:r>
    </w:p>
    <w:p>
      <w:pPr>
        <w:spacing w:after="0" w:line="123" w:lineRule="exact"/>
        <w:rPr>
          <w:sz w:val="20"/>
          <w:szCs w:val="20"/>
          <w:color w:val="auto"/>
        </w:rPr>
      </w:pPr>
    </w:p>
    <w:p>
      <w:pPr>
        <w:jc w:val="both"/>
        <w:ind w:firstLine="1195"/>
        <w:spacing w:after="0" w:line="249"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Procedural Requirements</w:t>
      </w:r>
      <w:r>
        <w:rPr>
          <w:rFonts w:ascii="Times New Roman" w:cs="Times New Roman" w:eastAsia="Times New Roman" w:hAnsi="Times New Roman"/>
          <w:sz w:val="20"/>
          <w:szCs w:val="20"/>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Times New Roman" w:cs="Times New Roman" w:eastAsia="Times New Roman" w:hAnsi="Times New Roman"/>
          <w:sz w:val="20"/>
          <w:szCs w:val="20"/>
          <w:u w:val="single" w:color="auto"/>
          <w:color w:val="auto"/>
        </w:rPr>
        <w:t>Subsection 7.2</w:t>
      </w:r>
      <w:r>
        <w:rPr>
          <w:rFonts w:ascii="Times New Roman" w:cs="Times New Roman" w:eastAsia="Times New Roman" w:hAnsi="Times New Roman"/>
          <w:sz w:val="20"/>
          <w:szCs w:val="20"/>
          <w:color w:val="auto"/>
        </w:rPr>
        <w:t>. As soon as practicable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21" w:right="339" w:bottom="1440" w:gutter="0" w:footer="0" w:header="0"/>
        </w:sectPr>
      </w:pPr>
    </w:p>
    <w:bookmarkStart w:id="306" w:name="page307"/>
    <w:bookmarkEnd w:id="306"/>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Times New Roman" w:cs="Times New Roman" w:eastAsia="Times New Roman" w:hAnsi="Times New Roman"/>
          <w:sz w:val="20"/>
          <w:szCs w:val="20"/>
          <w:u w:val="single" w:color="auto"/>
          <w:color w:val="auto"/>
        </w:rPr>
        <w:t>Subsection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21" w:lineRule="exact"/>
        <w:rPr>
          <w:sz w:val="20"/>
          <w:szCs w:val="20"/>
          <w:color w:val="auto"/>
        </w:rPr>
      </w:pPr>
    </w:p>
    <w:p>
      <w:pPr>
        <w:jc w:val="both"/>
        <w:ind w:firstLine="597"/>
        <w:spacing w:after="0" w:line="256" w:lineRule="auto"/>
        <w:tabs>
          <w:tab w:leader="none" w:pos="1195"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Redeemed or Otherwise Acquired Shares</w:t>
      </w:r>
      <w:r>
        <w:rPr>
          <w:rFonts w:ascii="Times New Roman" w:cs="Times New Roman" w:eastAsia="Times New Roman" w:hAnsi="Times New Roman"/>
          <w:sz w:val="20"/>
          <w:szCs w:val="20"/>
          <w:color w:val="auto"/>
        </w:rPr>
        <w:t>. Any shares of Preferred Stock that are redeemed or otherwise acquired by the Corporation or any of its subsidiaries or converted to Common Stock shall be automatically and immediately cancelled and retired and shall not be reissued, sold or transferred. Neither the Corporation nor any of its subsidiaries may exercise any voting or other rights granted to the holders of Preferred Stock following any such redemption, acquisition or conversion.</w:t>
      </w:r>
    </w:p>
    <w:p>
      <w:pPr>
        <w:spacing w:after="0" w:line="113" w:lineRule="exact"/>
        <w:rPr>
          <w:rFonts w:ascii="Times New Roman" w:cs="Times New Roman" w:eastAsia="Times New Roman" w:hAnsi="Times New Roman"/>
          <w:sz w:val="20"/>
          <w:szCs w:val="20"/>
          <w:color w:val="auto"/>
        </w:rPr>
      </w:pPr>
    </w:p>
    <w:p>
      <w:pPr>
        <w:jc w:val="both"/>
        <w:ind w:firstLine="597"/>
        <w:spacing w:after="0" w:line="254" w:lineRule="auto"/>
        <w:tabs>
          <w:tab w:leader="none" w:pos="1195"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xml:space="preserve">. Other than as expressly set forth herein (including without limitation </w:t>
      </w:r>
      <w:r>
        <w:rPr>
          <w:rFonts w:ascii="Times New Roman" w:cs="Times New Roman" w:eastAsia="Times New Roman" w:hAnsi="Times New Roman"/>
          <w:sz w:val="20"/>
          <w:szCs w:val="20"/>
          <w:u w:val="single" w:color="auto"/>
          <w:color w:val="auto"/>
        </w:rPr>
        <w:t>Subsection 3.3.1</w:t>
      </w:r>
      <w:r>
        <w:rPr>
          <w:rFonts w:ascii="Times New Roman" w:cs="Times New Roman" w:eastAsia="Times New Roman" w:hAnsi="Times New Roman"/>
          <w:sz w:val="20"/>
          <w:szCs w:val="20"/>
          <w:color w:val="auto"/>
        </w:rPr>
        <w:t xml:space="preserve">, Subsection </w:t>
      </w:r>
      <w:r>
        <w:rPr>
          <w:rFonts w:ascii="Times New Roman" w:cs="Times New Roman" w:eastAsia="Times New Roman" w:hAnsi="Times New Roman"/>
          <w:sz w:val="20"/>
          <w:szCs w:val="20"/>
          <w:u w:val="single" w:color="auto"/>
          <w:color w:val="auto"/>
        </w:rPr>
        <w:t>4.3.2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Subsection 5.4.2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Subsection 7.1</w:t>
      </w:r>
      <w:r>
        <w:rPr>
          <w:rFonts w:ascii="Times New Roman" w:cs="Times New Roman" w:eastAsia="Times New Roman" w:hAnsi="Times New Roman"/>
          <w:sz w:val="20"/>
          <w:szCs w:val="20"/>
          <w:color w:val="auto"/>
        </w:rPr>
        <w:t>), any of the rights, powers, preferences and other terms of the Preferred Stock set forth herein may be waived on behalf of all holders of Preferred Stock, either prospectively or retrospectively, by the affirmative written consent or vote of the holders of outstanding shares of Preferred Stock representing not less than the Preferred Stock Approval Amount, voting together as a single class and not as separate series and on an as-converted to Common Stock basis.</w:t>
      </w:r>
    </w:p>
    <w:p>
      <w:pPr>
        <w:spacing w:after="0" w:line="114" w:lineRule="exact"/>
        <w:rPr>
          <w:rFonts w:ascii="Times New Roman" w:cs="Times New Roman" w:eastAsia="Times New Roman" w:hAnsi="Times New Roman"/>
          <w:sz w:val="20"/>
          <w:szCs w:val="20"/>
          <w:color w:val="auto"/>
        </w:rPr>
      </w:pPr>
    </w:p>
    <w:p>
      <w:pPr>
        <w:jc w:val="both"/>
        <w:ind w:firstLine="597"/>
        <w:spacing w:after="0" w:line="256" w:lineRule="auto"/>
        <w:tabs>
          <w:tab w:leader="none" w:pos="1195"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10" w:lineRule="exact"/>
        <w:rPr>
          <w:sz w:val="20"/>
          <w:szCs w:val="20"/>
          <w:color w:val="auto"/>
        </w:rPr>
      </w:pPr>
    </w:p>
    <w:p>
      <w:pPr>
        <w:jc w:val="both"/>
        <w:ind w:firstLine="1195"/>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FIFTH: </w:t>
      </w:r>
      <w:r>
        <w:rPr>
          <w:rFonts w:ascii="Times New Roman" w:cs="Times New Roman" w:eastAsia="Times New Roman" w:hAnsi="Times New Roman"/>
          <w:sz w:val="20"/>
          <w:szCs w:val="20"/>
          <w:color w:val="auto"/>
        </w:rPr>
        <w:t>Subject to any additional vote required by the Restated Certificate or Bylaws, in furtherance and not in limitation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powers conferred by statute, the Board is expressly authorized to make, repeal, alter, amend and rescind any or all of the Bylaws of the Corporation.</w:t>
      </w:r>
    </w:p>
    <w:p>
      <w:pPr>
        <w:spacing w:after="0" w:line="100" w:lineRule="exact"/>
        <w:rPr>
          <w:sz w:val="20"/>
          <w:szCs w:val="20"/>
          <w:color w:val="auto"/>
        </w:rPr>
      </w:pPr>
    </w:p>
    <w:p>
      <w:pPr>
        <w:jc w:val="both"/>
        <w:ind w:firstLine="1195"/>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SIXTH: </w:t>
      </w:r>
      <w:r>
        <w:rPr>
          <w:rFonts w:ascii="Times New Roman" w:cs="Times New Roman" w:eastAsia="Times New Roman" w:hAnsi="Times New Roman"/>
          <w:sz w:val="20"/>
          <w:szCs w:val="20"/>
          <w:color w:val="auto"/>
        </w:rPr>
        <w:t>Subject to any additional vote required by the Restated Certificate, the number of directors of the Corporation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determined in the manner set forth in the Bylaws of the Corporation.</w:t>
      </w:r>
    </w:p>
    <w:p>
      <w:pPr>
        <w:spacing w:after="0" w:line="84" w:lineRule="exact"/>
        <w:rPr>
          <w:sz w:val="20"/>
          <w:szCs w:val="20"/>
          <w:color w:val="auto"/>
        </w:rPr>
      </w:pPr>
    </w:p>
    <w:p>
      <w:pPr>
        <w:jc w:val="both"/>
        <w:ind w:firstLine="1195"/>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SEVENTH: </w:t>
      </w:r>
      <w:r>
        <w:rPr>
          <w:rFonts w:ascii="Times New Roman" w:cs="Times New Roman" w:eastAsia="Times New Roman" w:hAnsi="Times New Roman"/>
          <w:sz w:val="20"/>
          <w:szCs w:val="20"/>
          <w:color w:val="auto"/>
        </w:rPr>
        <w:t>Elections of directors need not be by written ballot unless, and only to the extent, otherwise provided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Bylaws of the Corporation.</w:t>
      </w:r>
    </w:p>
    <w:p>
      <w:pPr>
        <w:spacing w:after="0" w:line="84" w:lineRule="exact"/>
        <w:rPr>
          <w:sz w:val="20"/>
          <w:szCs w:val="20"/>
          <w:color w:val="auto"/>
        </w:rPr>
      </w:pPr>
    </w:p>
    <w:p>
      <w:pPr>
        <w:jc w:val="both"/>
        <w:ind w:firstLine="1195"/>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EIGHTH: </w:t>
      </w:r>
      <w:r>
        <w:rPr>
          <w:rFonts w:ascii="Times New Roman" w:cs="Times New Roman" w:eastAsia="Times New Roman" w:hAnsi="Times New Roman"/>
          <w:sz w:val="20"/>
          <w:szCs w:val="20"/>
          <w:color w:val="auto"/>
        </w:rPr>
        <w:t>Meetings of stockholders may be held within or without the State of Delaware, as the Bylaws of the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provide. The books of the Corporation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21" w:right="339" w:bottom="1440" w:gutter="0" w:footer="0" w:header="0"/>
        </w:sectPr>
      </w:pPr>
    </w:p>
    <w:bookmarkStart w:id="307" w:name="page308"/>
    <w:bookmarkEnd w:id="307"/>
    <w:p>
      <w:pPr>
        <w:jc w:val="both"/>
        <w:spacing w:after="0" w:line="277" w:lineRule="auto"/>
        <w:rPr>
          <w:sz w:val="20"/>
          <w:szCs w:val="20"/>
          <w:color w:val="auto"/>
        </w:rPr>
      </w:pPr>
      <w:r>
        <w:rPr>
          <w:rFonts w:ascii="Times New Roman" w:cs="Times New Roman" w:eastAsia="Times New Roman" w:hAnsi="Times New Roman"/>
          <w:sz w:val="20"/>
          <w:szCs w:val="20"/>
          <w:color w:val="auto"/>
        </w:rPr>
        <w:t>kept outside the State of Delaware at such place or places as may be designated from time to time by the Board or in the Bylaws of the Corporation.</w:t>
      </w:r>
    </w:p>
    <w:p>
      <w:pPr>
        <w:spacing w:after="0" w:line="87" w:lineRule="exact"/>
        <w:rPr>
          <w:sz w:val="20"/>
          <w:szCs w:val="20"/>
          <w:color w:val="auto"/>
        </w:rPr>
      </w:pPr>
    </w:p>
    <w:p>
      <w:pPr>
        <w:jc w:val="both"/>
        <w:ind w:firstLine="1195"/>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NINTH: </w:t>
      </w:r>
      <w:r>
        <w:rPr>
          <w:rFonts w:ascii="Times New Roman" w:cs="Times New Roman" w:eastAsia="Times New Roman" w:hAnsi="Times New Roman"/>
          <w:sz w:val="20"/>
          <w:szCs w:val="20"/>
          <w:color w:val="auto"/>
        </w:rPr>
        <w:t>To the fullest extent permitted by law, a director of the Corporation shall not be personally liable to the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its 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14" w:lineRule="exact"/>
        <w:rPr>
          <w:sz w:val="20"/>
          <w:szCs w:val="20"/>
          <w:color w:val="auto"/>
        </w:rPr>
      </w:pPr>
    </w:p>
    <w:p>
      <w:pPr>
        <w:jc w:val="both"/>
        <w:ind w:firstLine="1195"/>
        <w:spacing w:after="0" w:line="262" w:lineRule="auto"/>
        <w:rPr>
          <w:sz w:val="20"/>
          <w:szCs w:val="20"/>
          <w:color w:val="auto"/>
        </w:rPr>
      </w:pPr>
      <w:r>
        <w:rPr>
          <w:rFonts w:ascii="Times New Roman" w:cs="Times New Roman" w:eastAsia="Times New Roman" w:hAnsi="Times New Roman"/>
          <w:sz w:val="20"/>
          <w:szCs w:val="20"/>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TENTH:</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indemnification provisions shall apply to the persons enumerated below.</w:t>
      </w:r>
    </w:p>
    <w:p>
      <w:pPr>
        <w:spacing w:after="0" w:line="156" w:lineRule="exact"/>
        <w:rPr>
          <w:sz w:val="20"/>
          <w:szCs w:val="20"/>
          <w:color w:val="auto"/>
        </w:rPr>
      </w:pPr>
    </w:p>
    <w:p>
      <w:pPr>
        <w:jc w:val="both"/>
        <w:ind w:firstLine="597"/>
        <w:spacing w:after="0" w:line="249" w:lineRule="auto"/>
        <w:tabs>
          <w:tab w:leader="none" w:pos="1195"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Indemnification of Directors and Officers</w:t>
      </w:r>
      <w:r>
        <w:rPr>
          <w:rFonts w:ascii="Times New Roman" w:cs="Times New Roman" w:eastAsia="Times New Roman" w:hAnsi="Times New Roman"/>
          <w:sz w:val="20"/>
          <w:szCs w:val="20"/>
          <w:color w:val="auto"/>
        </w:rPr>
        <w:t>.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20"/>
          <w:szCs w:val="20"/>
          <w:b w:val="1"/>
          <w:bCs w:val="1"/>
          <w:color w:val="auto"/>
        </w:rPr>
        <w:t>Indemnified Person</w:t>
      </w:r>
      <w:r>
        <w:rPr>
          <w:rFonts w:ascii="Times New Roman" w:cs="Times New Roman" w:eastAsia="Times New Roman" w:hAnsi="Times New Roman"/>
          <w:sz w:val="20"/>
          <w:szCs w:val="20"/>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w:t>
      </w:r>
    </w:p>
    <w:p>
      <w:pPr>
        <w:spacing w:after="0" w:line="125" w:lineRule="exact"/>
        <w:rPr>
          <w:rFonts w:ascii="Times New Roman" w:cs="Times New Roman" w:eastAsia="Times New Roman" w:hAnsi="Times New Roman"/>
          <w:sz w:val="20"/>
          <w:szCs w:val="20"/>
          <w:color w:val="auto"/>
        </w:rPr>
      </w:pPr>
    </w:p>
    <w:p>
      <w:pPr>
        <w:jc w:val="both"/>
        <w:ind w:firstLine="597"/>
        <w:spacing w:after="0" w:line="254" w:lineRule="auto"/>
        <w:tabs>
          <w:tab w:leader="none" w:pos="1195"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 of Expenses of Directors and Officers</w:t>
      </w:r>
      <w:r>
        <w:rPr>
          <w:rFonts w:ascii="Times New Roman" w:cs="Times New Roman" w:eastAsia="Times New Roman" w:hAnsi="Times New Roman"/>
          <w:sz w:val="20"/>
          <w:szCs w:val="20"/>
          <w:color w:val="auto"/>
        </w:rPr>
        <w:t xml:space="preserve">. The Corporation shall pay the expenses (including attorneys' fees) incurred by an Indemnified Person in defending any Proceeding in advance of its final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21" w:right="339" w:bottom="1440" w:gutter="0" w:footer="0" w:header="0"/>
        </w:sectPr>
      </w:pPr>
    </w:p>
    <w:bookmarkStart w:id="308" w:name="page309"/>
    <w:bookmarkEnd w:id="308"/>
    <w:p>
      <w:pPr>
        <w:jc w:val="both"/>
        <w:ind w:firstLine="597"/>
        <w:spacing w:after="0" w:line="254" w:lineRule="auto"/>
        <w:tabs>
          <w:tab w:leader="none" w:pos="1195"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by Directors and Officers</w:t>
      </w:r>
      <w:r>
        <w:rPr>
          <w:rFonts w:ascii="Times New Roman" w:cs="Times New Roman" w:eastAsia="Times New Roman" w:hAnsi="Times New Roman"/>
          <w:sz w:val="20"/>
          <w:szCs w:val="20"/>
          <w:color w:val="auto"/>
        </w:rPr>
        <w:t>. If a claim for indemnification or advancement of expenses under this Article Tenth is not paid in full within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14" w:lineRule="exact"/>
        <w:rPr>
          <w:rFonts w:ascii="Times New Roman" w:cs="Times New Roman" w:eastAsia="Times New Roman" w:hAnsi="Times New Roman"/>
          <w:sz w:val="20"/>
          <w:szCs w:val="20"/>
          <w:color w:val="auto"/>
        </w:rPr>
      </w:pPr>
    </w:p>
    <w:p>
      <w:pPr>
        <w:jc w:val="both"/>
        <w:ind w:firstLine="597"/>
        <w:spacing w:after="0" w:line="250" w:lineRule="auto"/>
        <w:tabs>
          <w:tab w:leader="none" w:pos="1195"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of Employees and Agents</w:t>
      </w:r>
      <w:r>
        <w:rPr>
          <w:rFonts w:ascii="Times New Roman" w:cs="Times New Roman" w:eastAsia="Times New Roman" w:hAnsi="Times New Roman"/>
          <w:sz w:val="20"/>
          <w:szCs w:val="20"/>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17" w:lineRule="exact"/>
        <w:rPr>
          <w:rFonts w:ascii="Times New Roman" w:cs="Times New Roman" w:eastAsia="Times New Roman" w:hAnsi="Times New Roman"/>
          <w:sz w:val="20"/>
          <w:szCs w:val="20"/>
          <w:color w:val="auto"/>
        </w:rPr>
      </w:pPr>
    </w:p>
    <w:p>
      <w:pPr>
        <w:jc w:val="both"/>
        <w:ind w:firstLine="597"/>
        <w:spacing w:after="0" w:line="262" w:lineRule="auto"/>
        <w:tabs>
          <w:tab w:leader="none" w:pos="1195"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Advancement of Expenses of Employees and Agents</w:t>
      </w:r>
      <w:r>
        <w:rPr>
          <w:rFonts w:ascii="Times New Roman" w:cs="Times New Roman" w:eastAsia="Times New Roman" w:hAnsi="Times New Roman"/>
          <w:sz w:val="20"/>
          <w:szCs w:val="20"/>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05" w:lineRule="exact"/>
        <w:rPr>
          <w:rFonts w:ascii="Times New Roman" w:cs="Times New Roman" w:eastAsia="Times New Roman" w:hAnsi="Times New Roman"/>
          <w:sz w:val="20"/>
          <w:szCs w:val="20"/>
          <w:color w:val="auto"/>
        </w:rPr>
      </w:pPr>
    </w:p>
    <w:p>
      <w:pPr>
        <w:jc w:val="both"/>
        <w:ind w:firstLine="597"/>
        <w:spacing w:after="0" w:line="262" w:lineRule="auto"/>
        <w:tabs>
          <w:tab w:leader="none" w:pos="1195"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 of Rights</w:t>
      </w:r>
      <w:r>
        <w:rPr>
          <w:rFonts w:ascii="Times New Roman" w:cs="Times New Roman" w:eastAsia="Times New Roman" w:hAnsi="Times New Roman"/>
          <w:sz w:val="20"/>
          <w:szCs w:val="20"/>
          <w:color w:val="auto"/>
        </w:rPr>
        <w:t>. The rights conferred on any person by this Article Tenth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105" w:lineRule="exact"/>
        <w:rPr>
          <w:rFonts w:ascii="Times New Roman" w:cs="Times New Roman" w:eastAsia="Times New Roman" w:hAnsi="Times New Roman"/>
          <w:sz w:val="20"/>
          <w:szCs w:val="20"/>
          <w:color w:val="auto"/>
        </w:rPr>
      </w:pPr>
    </w:p>
    <w:p>
      <w:pPr>
        <w:jc w:val="both"/>
        <w:ind w:firstLine="597"/>
        <w:spacing w:after="0" w:line="256" w:lineRule="auto"/>
        <w:tabs>
          <w:tab w:leader="none" w:pos="1195"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Indemnification</w:t>
      </w:r>
      <w:r>
        <w:rPr>
          <w:rFonts w:ascii="Times New Roman" w:cs="Times New Roman" w:eastAsia="Times New Roman" w:hAnsi="Times New Roman"/>
          <w:sz w:val="20"/>
          <w:szCs w:val="20"/>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13" w:lineRule="exact"/>
        <w:rPr>
          <w:rFonts w:ascii="Times New Roman" w:cs="Times New Roman" w:eastAsia="Times New Roman" w:hAnsi="Times New Roman"/>
          <w:sz w:val="20"/>
          <w:szCs w:val="20"/>
          <w:color w:val="auto"/>
        </w:rPr>
      </w:pPr>
    </w:p>
    <w:p>
      <w:pPr>
        <w:jc w:val="both"/>
        <w:ind w:firstLine="597"/>
        <w:spacing w:after="0" w:line="258" w:lineRule="auto"/>
        <w:tabs>
          <w:tab w:leader="none" w:pos="1195"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Board of Directors may, to the full extent permitted by applicable law as it presently exists, or may hereafter be amended from time to time, authorize an appropriate officer or officers to purchase and maintain at the Corporation's expense insurance:</w:t>
      </w:r>
    </w:p>
    <w:p>
      <w:pPr>
        <w:spacing w:after="0" w:line="254" w:lineRule="auto"/>
        <w:tabs>
          <w:tab w:leader="none" w:pos="28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indemnify the Corporation for any obligation which it incurs as a result of the indemnification of directors, officers and employees under the provisions of this Article Tenth; and (b) to indemnify or insure directors, officers and employees against liability in instances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21"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20"/>
          <w:szCs w:val="20"/>
          <w:color w:val="auto"/>
        </w:rPr>
        <w:t>which they may not otherwise be indemnified by the Corporation under the provisions of this Article Tenth.</w:t>
      </w:r>
    </w:p>
    <w:p>
      <w:pPr>
        <w:spacing w:after="0" w:line="156" w:lineRule="exact"/>
        <w:rPr>
          <w:sz w:val="20"/>
          <w:szCs w:val="20"/>
          <w:color w:val="auto"/>
        </w:rPr>
      </w:pPr>
    </w:p>
    <w:p>
      <w:pPr>
        <w:jc w:val="both"/>
        <w:ind w:firstLine="597"/>
        <w:spacing w:after="0" w:line="262" w:lineRule="auto"/>
        <w:tabs>
          <w:tab w:leader="none" w:pos="119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Repeal</w:t>
      </w:r>
      <w:r>
        <w:rPr>
          <w:rFonts w:ascii="Times New Roman" w:cs="Times New Roman" w:eastAsia="Times New Roman" w:hAnsi="Times New Roman"/>
          <w:sz w:val="20"/>
          <w:szCs w:val="20"/>
          <w:color w:val="auto"/>
        </w:rPr>
        <w:t>. Any repeal or modification of the foregoing provisions of this Article Tenth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01" w:lineRule="exact"/>
        <w:rPr>
          <w:sz w:val="20"/>
          <w:szCs w:val="20"/>
          <w:color w:val="auto"/>
        </w:rPr>
      </w:pPr>
    </w:p>
    <w:p>
      <w:pPr>
        <w:jc w:val="both"/>
        <w:ind w:firstLine="1195"/>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ELEVENTH: </w:t>
      </w:r>
      <w:r>
        <w:rPr>
          <w:rFonts w:ascii="Times New Roman" w:cs="Times New Roman" w:eastAsia="Times New Roman" w:hAnsi="Times New Roman"/>
          <w:sz w:val="20"/>
          <w:szCs w:val="20"/>
          <w:color w:val="auto"/>
        </w:rPr>
        <w:t>This Corporation renounces any interest or expectancy of this Corporation in, or in being offered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opportunity to participate in, an Excluded Opportunity. An “</w:t>
      </w:r>
      <w:r>
        <w:rPr>
          <w:rFonts w:ascii="Times New Roman" w:cs="Times New Roman" w:eastAsia="Times New Roman" w:hAnsi="Times New Roman"/>
          <w:sz w:val="20"/>
          <w:szCs w:val="20"/>
          <w:b w:val="1"/>
          <w:bCs w:val="1"/>
          <w:color w:val="auto"/>
        </w:rPr>
        <w:t>Excluded Opportunity</w:t>
      </w:r>
      <w:r>
        <w:rPr>
          <w:rFonts w:ascii="Times New Roman" w:cs="Times New Roman" w:eastAsia="Times New Roman" w:hAnsi="Times New Roman"/>
          <w:sz w:val="20"/>
          <w:szCs w:val="20"/>
          <w:color w:val="auto"/>
        </w:rPr>
        <w:t>”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or agent of any such holder, other than someone who is an employee of this corporation or any of its subsidiaries (collectively, “</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unless such matter, transaction or interest is presented to, or acquired, created or developed by, or otherwise comes into the possession of, a Covered Person expressly and solely in such Covered Person’s capacity as a director of this corporation.</w:t>
      </w:r>
    </w:p>
    <w:p>
      <w:pPr>
        <w:spacing w:after="0" w:line="118" w:lineRule="exact"/>
        <w:rPr>
          <w:sz w:val="20"/>
          <w:szCs w:val="20"/>
          <w:color w:val="auto"/>
        </w:rPr>
      </w:pPr>
    </w:p>
    <w:p>
      <w:pPr>
        <w:jc w:val="center"/>
        <w:spacing w:after="0"/>
        <w:tabs>
          <w:tab w:leader="none" w:pos="240" w:val="left"/>
          <w:tab w:leader="none" w:pos="22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21" w:right="339" w:bottom="1440" w:gutter="0" w:footer="0" w:header="0"/>
        </w:sectPr>
      </w:pPr>
    </w:p>
    <w:bookmarkStart w:id="310" w:name="page311"/>
    <w:bookmarkEnd w:id="310"/>
    <w:p>
      <w:pPr>
        <w:ind w:firstLine="1195"/>
        <w:spacing w:after="0" w:line="288"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this Eighth Amended and Restated Certificate of Incorporation has been executed by a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officer of this corporation on this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June, 2019.</w:t>
      </w:r>
    </w:p>
    <w:p>
      <w:pPr>
        <w:spacing w:after="0" w:line="55"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20"/>
          <w:szCs w:val="20"/>
          <w:color w:val="auto"/>
        </w:rPr>
        <w:t>By:</w:t>
        <w:tab/>
        <w:t>/s/ James G.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27940</wp:posOffset>
            </wp:positionV>
            <wp:extent cx="290004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James G. Reinhart, President</w:t>
      </w:r>
    </w:p>
    <w:p>
      <w:pPr>
        <w:sectPr>
          <w:pgSz w:w="11900" w:h="16838" w:orient="portrait"/>
          <w:cols w:equalWidth="0" w:num="1">
            <w:col w:w="11240"/>
          </w:cols>
          <w:pgMar w:left="320" w:top="1317"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EIGHTH 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(Pursuant to Section 242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General Corporation Law of the State of Delaware)</w:t>
      </w:r>
    </w:p>
    <w:p>
      <w:pPr>
        <w:spacing w:after="0" w:line="200" w:lineRule="exact"/>
        <w:rPr>
          <w:sz w:val="20"/>
          <w:szCs w:val="20"/>
          <w:color w:val="auto"/>
        </w:rPr>
      </w:pPr>
    </w:p>
    <w:p>
      <w:pPr>
        <w:spacing w:after="0" w:line="378" w:lineRule="exact"/>
        <w:rPr>
          <w:sz w:val="20"/>
          <w:szCs w:val="20"/>
          <w:color w:val="auto"/>
        </w:rPr>
      </w:pPr>
    </w:p>
    <w:p>
      <w:pPr>
        <w:ind w:firstLine="1195"/>
        <w:spacing w:after="0" w:line="281" w:lineRule="auto"/>
        <w:rPr>
          <w:sz w:val="20"/>
          <w:szCs w:val="20"/>
          <w:color w:val="auto"/>
        </w:rPr>
      </w:pPr>
      <w:r>
        <w:rPr>
          <w:rFonts w:ascii="Times New Roman" w:cs="Times New Roman" w:eastAsia="Times New Roman" w:hAnsi="Times New Roman"/>
          <w:sz w:val="20"/>
          <w:szCs w:val="20"/>
          <w:color w:val="auto"/>
        </w:rPr>
        <w:t>ThredUp Inc.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a corporation organized and existing under and by virtue of the provisions of the General Corporation Law of the State of Delaware (the “</w:t>
      </w:r>
      <w:r>
        <w:rPr>
          <w:rFonts w:ascii="Times New Roman" w:cs="Times New Roman" w:eastAsia="Times New Roman" w:hAnsi="Times New Roman"/>
          <w:sz w:val="20"/>
          <w:szCs w:val="20"/>
          <w:b w:val="1"/>
          <w:bCs w:val="1"/>
          <w:color w:val="auto"/>
        </w:rPr>
        <w:t>Delaware General Corporation Law</w:t>
      </w:r>
      <w:r>
        <w:rPr>
          <w:rFonts w:ascii="Times New Roman" w:cs="Times New Roman" w:eastAsia="Times New Roman" w:hAnsi="Times New Roman"/>
          <w:sz w:val="20"/>
          <w:szCs w:val="20"/>
          <w:color w:val="auto"/>
        </w:rPr>
        <w:t>”), does hereby certify:</w:t>
      </w:r>
    </w:p>
    <w:p>
      <w:pPr>
        <w:spacing w:after="0" w:line="88" w:lineRule="exact"/>
        <w:rPr>
          <w:sz w:val="20"/>
          <w:szCs w:val="20"/>
          <w:color w:val="auto"/>
        </w:rPr>
      </w:pPr>
    </w:p>
    <w:p>
      <w:pPr>
        <w:jc w:val="both"/>
        <w:ind w:firstLine="1194"/>
        <w:spacing w:after="0" w:line="262" w:lineRule="auto"/>
        <w:tabs>
          <w:tab w:leader="none" w:pos="1792"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Delaware General Corporation Law, this Certificate of Amendment to Eighth Amended and Restated Certificate of Incorporation (the “</w:t>
      </w:r>
      <w:r>
        <w:rPr>
          <w:rFonts w:ascii="Times New Roman" w:cs="Times New Roman" w:eastAsia="Times New Roman" w:hAnsi="Times New Roman"/>
          <w:sz w:val="20"/>
          <w:szCs w:val="20"/>
          <w:b w:val="1"/>
          <w:bCs w:val="1"/>
          <w:color w:val="auto"/>
        </w:rPr>
        <w:t>Restated Certificate</w:t>
      </w:r>
      <w:r>
        <w:rPr>
          <w:rFonts w:ascii="Times New Roman" w:cs="Times New Roman" w:eastAsia="Times New Roman" w:hAnsi="Times New Roman"/>
          <w:sz w:val="20"/>
          <w:szCs w:val="20"/>
          <w:color w:val="auto"/>
        </w:rPr>
        <w:t>”) amends the provisions of the Restated Certificate of Incorporation of the Corporation.</w:t>
      </w:r>
    </w:p>
    <w:p>
      <w:pPr>
        <w:spacing w:after="0" w:line="105" w:lineRule="exact"/>
        <w:rPr>
          <w:rFonts w:ascii="Times New Roman" w:cs="Times New Roman" w:eastAsia="Times New Roman" w:hAnsi="Times New Roman"/>
          <w:sz w:val="20"/>
          <w:szCs w:val="20"/>
          <w:color w:val="auto"/>
        </w:rPr>
      </w:pPr>
    </w:p>
    <w:p>
      <w:pPr>
        <w:ind w:left="1800" w:hanging="606"/>
        <w:spacing w:after="0"/>
        <w:tabs>
          <w:tab w:leader="none" w:pos="180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 B, Section 4.2 of the Fourth Article of the Restated Certificate is hereby amended in its entirety as follows:</w:t>
      </w:r>
    </w:p>
    <w:p>
      <w:pPr>
        <w:spacing w:after="0" w:line="156" w:lineRule="exact"/>
        <w:rPr>
          <w:sz w:val="20"/>
          <w:szCs w:val="20"/>
          <w:color w:val="auto"/>
        </w:rPr>
      </w:pPr>
    </w:p>
    <w:p>
      <w:pPr>
        <w:jc w:val="both"/>
        <w:ind w:firstLine="1195"/>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Election of Directors</w:t>
      </w:r>
      <w:r>
        <w:rPr>
          <w:rFonts w:ascii="Times New Roman" w:cs="Times New Roman" w:eastAsia="Times New Roman" w:hAnsi="Times New Roman"/>
          <w:sz w:val="20"/>
          <w:szCs w:val="20"/>
          <w:color w:val="auto"/>
        </w:rPr>
        <w:t xml:space="preserve">. So long as at least 1,000,000 shares of Series A-1 Preferred Stock (subject to appropriate adjustment in the event of a Recapitalization Event) are outstanding, the holders of record of the shares of Series A-1 Preferred Stock, exclusively and as a separate class, shall be entitled to elect one director of the Corporation. So long as at least 1,500,000 shares of Series B Preferred Stock (subject to appropriate adjustment in the event of a Recapitalization Event) are outstanding, the holders of record of the shares of Series B Preferred Stock, exclusively and as a separate class, shall be entitled to elect one director of the Corporation. So long as at least 1,500,000 shares of Series C Preferred Stock (subject to appropriate adjustment in the event of a Recapitalization Event) are outstanding, the holders of record of the shares of Series C Preferred Stock, exclusively and as a separate class, shall be entitled to elect one director of the Corporation. So long as at least 2,750,000 shares of Series D Preferred Stock (subject to appropriate adjustment in the event of a Recapitalization Event) are outstanding, the holders of record of the shares of Series D Preferred Stock, exclusively and as a separate class, shall be entitled to elect one director of the Corporation. The holders of record of the shares of Common Stock, exclusively and as a separate class, shall be entitled to elect two directors of the Corporation.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20"/>
          <w:szCs w:val="20"/>
          <w:u w:val="single" w:color="auto"/>
          <w:color w:val="auto"/>
        </w:rPr>
        <w:t>Subsection 4.2</w:t>
      </w:r>
      <w:r>
        <w:rPr>
          <w:rFonts w:ascii="Times New Roman" w:cs="Times New Roman" w:eastAsia="Times New Roman" w:hAnsi="Times New Roman"/>
          <w:sz w:val="20"/>
          <w:szCs w:val="20"/>
          <w:color w:val="auto"/>
        </w:rPr>
        <w:t>, a vacancy in any directorship filled by the holders of any class or series shall be filled only by vote or written</w:t>
      </w:r>
    </w:p>
    <w:p>
      <w:pPr>
        <w:sectPr>
          <w:pgSz w:w="11900" w:h="16838" w:orient="portrait"/>
          <w:cols w:equalWidth="0" w:num="1">
            <w:col w:w="11240"/>
          </w:cols>
          <w:pgMar w:left="320" w:top="1317" w:right="339" w:bottom="1440" w:gutter="0" w:footer="0" w:header="0"/>
        </w:sectPr>
      </w:pPr>
    </w:p>
    <w:bookmarkStart w:id="312" w:name="page313"/>
    <w:bookmarkEnd w:id="312"/>
    <w:p>
      <w:pPr>
        <w:spacing w:after="0" w:line="277" w:lineRule="auto"/>
        <w:rPr>
          <w:sz w:val="20"/>
          <w:szCs w:val="20"/>
          <w:color w:val="auto"/>
        </w:rPr>
      </w:pPr>
      <w:r>
        <w:rPr>
          <w:rFonts w:ascii="Times New Roman" w:cs="Times New Roman" w:eastAsia="Times New Roman" w:hAnsi="Times New Roman"/>
          <w:sz w:val="20"/>
          <w:szCs w:val="20"/>
          <w:color w:val="auto"/>
        </w:rPr>
        <w:t xml:space="preserve">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20"/>
          <w:szCs w:val="20"/>
          <w:u w:val="single" w:color="auto"/>
          <w:color w:val="auto"/>
        </w:rPr>
        <w:t>Subsection 4.2</w:t>
      </w:r>
      <w:r>
        <w:rPr>
          <w:rFonts w:ascii="Times New Roman" w:cs="Times New Roman" w:eastAsia="Times New Roman" w:hAnsi="Times New Roman"/>
          <w:sz w:val="20"/>
          <w:szCs w:val="20"/>
          <w:color w:val="auto"/>
        </w:rPr>
        <w:t>.”</w:t>
      </w:r>
    </w:p>
    <w:p>
      <w:pPr>
        <w:spacing w:after="0" w:line="91" w:lineRule="exact"/>
        <w:rPr>
          <w:sz w:val="20"/>
          <w:szCs w:val="20"/>
          <w:color w:val="auto"/>
        </w:rPr>
      </w:pPr>
    </w:p>
    <w:p>
      <w:pPr>
        <w:ind w:firstLine="1194"/>
        <w:spacing w:after="0" w:line="277" w:lineRule="auto"/>
        <w:tabs>
          <w:tab w:leader="none" w:pos="1792"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foregoing amendment was approved by the holders of the requisite number of shares of the Corporation in accordance with Section 228 of the Delaware General Corporation Law.</w:t>
      </w:r>
    </w:p>
    <w:p>
      <w:pPr>
        <w:spacing w:after="0" w:line="91" w:lineRule="exact"/>
        <w:rPr>
          <w:rFonts w:ascii="Times New Roman" w:cs="Times New Roman" w:eastAsia="Times New Roman" w:hAnsi="Times New Roman"/>
          <w:sz w:val="20"/>
          <w:szCs w:val="20"/>
          <w:color w:val="auto"/>
        </w:rPr>
      </w:pPr>
    </w:p>
    <w:p>
      <w:pPr>
        <w:ind w:firstLine="1194"/>
        <w:spacing w:after="0" w:line="277" w:lineRule="auto"/>
        <w:tabs>
          <w:tab w:leader="none" w:pos="1792"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said amendment was duly adopted by the Corporation’s Board of Directors in accordance with Section 242 of the Delaware General Corporation Law.</w:t>
      </w:r>
    </w:p>
    <w:p>
      <w:pPr>
        <w:spacing w:after="0" w:line="91" w:lineRule="exact"/>
        <w:rPr>
          <w:rFonts w:ascii="Times New Roman" w:cs="Times New Roman" w:eastAsia="Times New Roman" w:hAnsi="Times New Roman"/>
          <w:sz w:val="20"/>
          <w:szCs w:val="20"/>
          <w:color w:val="auto"/>
        </w:rPr>
      </w:pPr>
    </w:p>
    <w:p>
      <w:pPr>
        <w:ind w:left="52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13"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21" w:right="339" w:bottom="1440" w:gutter="0" w:footer="0" w:header="0"/>
        </w:sectPr>
      </w:pPr>
    </w:p>
    <w:bookmarkStart w:id="313" w:name="page314"/>
    <w:bookmarkEnd w:id="313"/>
    <w:p>
      <w:pPr>
        <w:ind w:firstLine="1195"/>
        <w:spacing w:after="0" w:line="281"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this Certificate of Amendment to Eighth Amended and Restated Certificate of Incorporation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executed by a duly authorized officer of the Corporation on this 7th day of November, 2019.</w:t>
      </w:r>
    </w:p>
    <w:p>
      <w:pPr>
        <w:spacing w:after="0" w:line="1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THREDUP INC.</w:t>
      </w:r>
    </w:p>
    <w:p>
      <w:pPr>
        <w:spacing w:after="0" w:line="200" w:lineRule="exact"/>
        <w:rPr>
          <w:sz w:val="20"/>
          <w:szCs w:val="20"/>
          <w:color w:val="auto"/>
        </w:rPr>
      </w:pPr>
    </w:p>
    <w:p>
      <w:pPr>
        <w:spacing w:after="0" w:line="354"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20"/>
          <w:szCs w:val="20"/>
          <w:color w:val="auto"/>
        </w:rPr>
        <w:t>By:</w:t>
        <w:tab/>
        <w:t>/s/ James G.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27940</wp:posOffset>
            </wp:positionV>
            <wp:extent cx="290004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James G. Reinhart,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17" w:right="33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EIGHTH 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242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Corporation Law of the State of Delaware)</w:t>
      </w:r>
    </w:p>
    <w:p>
      <w:pPr>
        <w:spacing w:after="0" w:line="200" w:lineRule="exact"/>
        <w:rPr>
          <w:sz w:val="20"/>
          <w:szCs w:val="20"/>
          <w:color w:val="auto"/>
        </w:rPr>
      </w:pPr>
    </w:p>
    <w:p>
      <w:pPr>
        <w:spacing w:after="0" w:line="378" w:lineRule="exact"/>
        <w:rPr>
          <w:sz w:val="20"/>
          <w:szCs w:val="20"/>
          <w:color w:val="auto"/>
        </w:rPr>
      </w:pPr>
    </w:p>
    <w:p>
      <w:pPr>
        <w:ind w:firstLine="1195"/>
        <w:spacing w:after="0" w:line="281" w:lineRule="auto"/>
        <w:rPr>
          <w:sz w:val="20"/>
          <w:szCs w:val="20"/>
          <w:color w:val="auto"/>
        </w:rPr>
      </w:pPr>
      <w:r>
        <w:rPr>
          <w:rFonts w:ascii="Times New Roman" w:cs="Times New Roman" w:eastAsia="Times New Roman" w:hAnsi="Times New Roman"/>
          <w:sz w:val="20"/>
          <w:szCs w:val="20"/>
          <w:color w:val="auto"/>
        </w:rPr>
        <w:t>ThredUp Inc.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a corporation organized and existing under and by virtue of the provisions of the General Corporation Law of the State of Delaware (the “</w:t>
      </w:r>
      <w:r>
        <w:rPr>
          <w:rFonts w:ascii="Times New Roman" w:cs="Times New Roman" w:eastAsia="Times New Roman" w:hAnsi="Times New Roman"/>
          <w:sz w:val="20"/>
          <w:szCs w:val="20"/>
          <w:b w:val="1"/>
          <w:bCs w:val="1"/>
          <w:color w:val="auto"/>
        </w:rPr>
        <w:t>Delaware General Corporation Law</w:t>
      </w:r>
      <w:r>
        <w:rPr>
          <w:rFonts w:ascii="Times New Roman" w:cs="Times New Roman" w:eastAsia="Times New Roman" w:hAnsi="Times New Roman"/>
          <w:sz w:val="20"/>
          <w:szCs w:val="20"/>
          <w:color w:val="auto"/>
        </w:rPr>
        <w:t>”), does hereby certify:</w:t>
      </w:r>
    </w:p>
    <w:p>
      <w:pPr>
        <w:spacing w:after="0" w:line="88" w:lineRule="exact"/>
        <w:rPr>
          <w:sz w:val="20"/>
          <w:szCs w:val="20"/>
          <w:color w:val="auto"/>
        </w:rPr>
      </w:pPr>
    </w:p>
    <w:p>
      <w:pPr>
        <w:jc w:val="both"/>
        <w:ind w:firstLine="1194"/>
        <w:spacing w:after="0" w:line="262" w:lineRule="auto"/>
        <w:tabs>
          <w:tab w:leader="none" w:pos="1792"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Delaware General Corporation Law, this Certificate of Amendment to Eighth Amended and Restated Certificate of Incorporation (the “</w:t>
      </w:r>
      <w:r>
        <w:rPr>
          <w:rFonts w:ascii="Times New Roman" w:cs="Times New Roman" w:eastAsia="Times New Roman" w:hAnsi="Times New Roman"/>
          <w:sz w:val="20"/>
          <w:szCs w:val="20"/>
          <w:b w:val="1"/>
          <w:bCs w:val="1"/>
          <w:color w:val="auto"/>
        </w:rPr>
        <w:t>Restated Certificate</w:t>
      </w:r>
      <w:r>
        <w:rPr>
          <w:rFonts w:ascii="Times New Roman" w:cs="Times New Roman" w:eastAsia="Times New Roman" w:hAnsi="Times New Roman"/>
          <w:sz w:val="20"/>
          <w:szCs w:val="20"/>
          <w:color w:val="auto"/>
        </w:rPr>
        <w:t>”), amends the provisions of the Restated Certificate of Incorporation of the Corporation.</w:t>
      </w:r>
    </w:p>
    <w:p>
      <w:pPr>
        <w:spacing w:after="0" w:line="105" w:lineRule="exact"/>
        <w:rPr>
          <w:rFonts w:ascii="Times New Roman" w:cs="Times New Roman" w:eastAsia="Times New Roman" w:hAnsi="Times New Roman"/>
          <w:sz w:val="20"/>
          <w:szCs w:val="20"/>
          <w:color w:val="auto"/>
        </w:rPr>
      </w:pPr>
    </w:p>
    <w:p>
      <w:pPr>
        <w:ind w:left="1800" w:hanging="606"/>
        <w:spacing w:after="0"/>
        <w:tabs>
          <w:tab w:leader="none" w:pos="180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paragraph of the Fourth Article of the Restated Certificate is hereby amended in its entirety as follows:</w:t>
      </w:r>
    </w:p>
    <w:p>
      <w:pPr>
        <w:spacing w:after="0" w:line="156" w:lineRule="exact"/>
        <w:rPr>
          <w:sz w:val="20"/>
          <w:szCs w:val="20"/>
          <w:color w:val="auto"/>
        </w:rPr>
      </w:pPr>
    </w:p>
    <w:p>
      <w:pPr>
        <w:jc w:val="both"/>
        <w:ind w:firstLine="1195"/>
        <w:spacing w:after="0" w:line="262" w:lineRule="auto"/>
        <w:rPr>
          <w:sz w:val="20"/>
          <w:szCs w:val="20"/>
          <w:color w:val="auto"/>
        </w:rPr>
      </w:pPr>
      <w:r>
        <w:rPr>
          <w:rFonts w:ascii="Times New Roman" w:cs="Times New Roman" w:eastAsia="Times New Roman" w:hAnsi="Times New Roman"/>
          <w:sz w:val="20"/>
          <w:szCs w:val="20"/>
          <w:color w:val="auto"/>
        </w:rPr>
        <w:t>“The total number of shares of all classes of stock which the Corporation shall have authority to issue is (i) 100,000,000 shares of Common Stock, $0.0001 par value per share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and (ii) 68,107,991 shares of Preferred Stock, $0.0001 par value per share (“</w:t>
      </w:r>
      <w:r>
        <w:rPr>
          <w:rFonts w:ascii="Times New Roman" w:cs="Times New Roman" w:eastAsia="Times New Roman" w:hAnsi="Times New Roman"/>
          <w:sz w:val="20"/>
          <w:szCs w:val="20"/>
          <w:b w:val="1"/>
          <w:bCs w:val="1"/>
          <w:color w:val="auto"/>
        </w:rPr>
        <w:t>Preferred Stock</w:t>
      </w:r>
      <w:r>
        <w:rPr>
          <w:rFonts w:ascii="Times New Roman" w:cs="Times New Roman" w:eastAsia="Times New Roman" w:hAnsi="Times New Roman"/>
          <w:sz w:val="20"/>
          <w:szCs w:val="20"/>
          <w:color w:val="auto"/>
        </w:rPr>
        <w:t>”).”</w:t>
      </w:r>
    </w:p>
    <w:p>
      <w:pPr>
        <w:spacing w:after="0" w:line="105" w:lineRule="exact"/>
        <w:rPr>
          <w:sz w:val="20"/>
          <w:szCs w:val="20"/>
          <w:color w:val="auto"/>
        </w:rPr>
      </w:pPr>
    </w:p>
    <w:p>
      <w:pPr>
        <w:ind w:left="1800" w:hanging="606"/>
        <w:spacing w:after="0"/>
        <w:tabs>
          <w:tab w:leader="none" w:pos="180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of Part B of the Fourth Article of the Restated Certificate is hereby amended in its entirety as follows:</w:t>
      </w:r>
    </w:p>
    <w:p>
      <w:pPr>
        <w:spacing w:after="0" w:line="152"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Designation</w:t>
      </w:r>
      <w:r>
        <w:rPr>
          <w:rFonts w:ascii="Times New Roman" w:cs="Times New Roman" w:eastAsia="Times New Roman" w:hAnsi="Times New Roman"/>
          <w:sz w:val="20"/>
          <w:szCs w:val="20"/>
          <w:color w:val="auto"/>
        </w:rPr>
        <w:t>. 1,051,540 shares of the authorized Preferred Stock of the Corporation are hereby designated “</w:t>
      </w:r>
      <w:r>
        <w:rPr>
          <w:rFonts w:ascii="Times New Roman" w:cs="Times New Roman" w:eastAsia="Times New Roman" w:hAnsi="Times New Roman"/>
          <w:sz w:val="20"/>
          <w:szCs w:val="20"/>
          <w:b w:val="1"/>
          <w:bCs w:val="1"/>
          <w:color w:val="auto"/>
        </w:rPr>
        <w:t>Series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Preferred Stock</w:t>
      </w:r>
      <w:r>
        <w:rPr>
          <w:rFonts w:ascii="Times New Roman" w:cs="Times New Roman" w:eastAsia="Times New Roman" w:hAnsi="Times New Roman"/>
          <w:sz w:val="20"/>
          <w:szCs w:val="20"/>
          <w:color w:val="auto"/>
        </w:rPr>
        <w:t>.” 5,475,700 shares of the authorized Preferred Stock of the Corporation are hereby designated “</w:t>
      </w:r>
      <w:r>
        <w:rPr>
          <w:rFonts w:ascii="Times New Roman" w:cs="Times New Roman" w:eastAsia="Times New Roman" w:hAnsi="Times New Roman"/>
          <w:sz w:val="20"/>
          <w:szCs w:val="20"/>
          <w:b w:val="1"/>
          <w:bCs w:val="1"/>
          <w:color w:val="auto"/>
        </w:rPr>
        <w:t>Series A-1 Preferred Stock</w:t>
      </w:r>
      <w:r>
        <w:rPr>
          <w:rFonts w:ascii="Times New Roman" w:cs="Times New Roman" w:eastAsia="Times New Roman" w:hAnsi="Times New Roman"/>
          <w:sz w:val="20"/>
          <w:szCs w:val="20"/>
          <w:color w:val="auto"/>
        </w:rPr>
        <w:t>.” 7,511,886 shares of the authorized Preferred Stock of the Corporation are hereby designated “</w:t>
      </w:r>
      <w:r>
        <w:rPr>
          <w:rFonts w:ascii="Times New Roman" w:cs="Times New Roman" w:eastAsia="Times New Roman" w:hAnsi="Times New Roman"/>
          <w:sz w:val="20"/>
          <w:szCs w:val="20"/>
          <w:b w:val="1"/>
          <w:bCs w:val="1"/>
          <w:color w:val="auto"/>
        </w:rPr>
        <w:t>Series B Preferred Stock</w:t>
      </w:r>
      <w:r>
        <w:rPr>
          <w:rFonts w:ascii="Times New Roman" w:cs="Times New Roman" w:eastAsia="Times New Roman" w:hAnsi="Times New Roman"/>
          <w:sz w:val="20"/>
          <w:szCs w:val="20"/>
          <w:color w:val="auto"/>
        </w:rPr>
        <w:t>.” 9,725,945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the authorized Preferred Stock of the Corporation are hereby designated “</w:t>
      </w:r>
      <w:r>
        <w:rPr>
          <w:rFonts w:ascii="Times New Roman" w:cs="Times New Roman" w:eastAsia="Times New Roman" w:hAnsi="Times New Roman"/>
          <w:sz w:val="20"/>
          <w:szCs w:val="20"/>
          <w:b w:val="1"/>
          <w:bCs w:val="1"/>
          <w:color w:val="auto"/>
        </w:rPr>
        <w:t>Series C Preferred Stock</w:t>
      </w:r>
      <w:r>
        <w:rPr>
          <w:rFonts w:ascii="Times New Roman" w:cs="Times New Roman" w:eastAsia="Times New Roman" w:hAnsi="Times New Roman"/>
          <w:sz w:val="20"/>
          <w:szCs w:val="20"/>
          <w:color w:val="auto"/>
        </w:rPr>
        <w:t>.” 11,072,579 shares of the authorized Preferred Stock of the Corporation are hereby designated “</w:t>
      </w:r>
      <w:r>
        <w:rPr>
          <w:rFonts w:ascii="Times New Roman" w:cs="Times New Roman" w:eastAsia="Times New Roman" w:hAnsi="Times New Roman"/>
          <w:sz w:val="20"/>
          <w:szCs w:val="20"/>
          <w:b w:val="1"/>
          <w:bCs w:val="1"/>
          <w:color w:val="auto"/>
        </w:rPr>
        <w:t>Series D Preferred Stock</w:t>
      </w:r>
      <w:r>
        <w:rPr>
          <w:rFonts w:ascii="Times New Roman" w:cs="Times New Roman" w:eastAsia="Times New Roman" w:hAnsi="Times New Roman"/>
          <w:sz w:val="20"/>
          <w:szCs w:val="20"/>
          <w:color w:val="auto"/>
        </w:rPr>
        <w:t>.” 12,943,216 shares of the authorized Preferred Stock of the Corporation are hereby designated “</w:t>
      </w:r>
      <w:r>
        <w:rPr>
          <w:rFonts w:ascii="Times New Roman" w:cs="Times New Roman" w:eastAsia="Times New Roman" w:hAnsi="Times New Roman"/>
          <w:sz w:val="20"/>
          <w:szCs w:val="20"/>
          <w:b w:val="1"/>
          <w:bCs w:val="1"/>
          <w:color w:val="auto"/>
        </w:rPr>
        <w:t>Series E Preferred Stock</w:t>
      </w:r>
      <w:r>
        <w:rPr>
          <w:rFonts w:ascii="Times New Roman" w:cs="Times New Roman" w:eastAsia="Times New Roman" w:hAnsi="Times New Roman"/>
          <w:sz w:val="20"/>
          <w:szCs w:val="20"/>
          <w:color w:val="auto"/>
        </w:rPr>
        <w:t>.” 5,800,476 shares of the authorized and unissued Preferred Stock of the Corporation are hereby designated “</w:t>
      </w:r>
      <w:r>
        <w:rPr>
          <w:rFonts w:ascii="Times New Roman" w:cs="Times New Roman" w:eastAsia="Times New Roman" w:hAnsi="Times New Roman"/>
          <w:sz w:val="20"/>
          <w:szCs w:val="20"/>
          <w:b w:val="1"/>
          <w:bCs w:val="1"/>
          <w:color w:val="auto"/>
        </w:rPr>
        <w:t>Series E-1 Preferred Stock</w:t>
      </w:r>
      <w:r>
        <w:rPr>
          <w:rFonts w:ascii="Times New Roman" w:cs="Times New Roman" w:eastAsia="Times New Roman" w:hAnsi="Times New Roman"/>
          <w:sz w:val="20"/>
          <w:szCs w:val="20"/>
          <w:color w:val="auto"/>
        </w:rPr>
        <w:t>.” 14,526,649 shares of the authorized and unissued Preferred Stock of the Corporation are hereby designated “</w:t>
      </w:r>
      <w:r>
        <w:rPr>
          <w:rFonts w:ascii="Times New Roman" w:cs="Times New Roman" w:eastAsia="Times New Roman" w:hAnsi="Times New Roman"/>
          <w:sz w:val="20"/>
          <w:szCs w:val="20"/>
          <w:b w:val="1"/>
          <w:bCs w:val="1"/>
          <w:color w:val="auto"/>
        </w:rPr>
        <w:t>Series F Preferred Stock</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1194"/>
        <w:spacing w:after="0" w:line="277" w:lineRule="auto"/>
        <w:tabs>
          <w:tab w:leader="none" w:pos="1792"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foregoing amendment was approved by the holders of the requisite number of shares of the Corporation in accordance with Section 228 of the Delaware General Corporation Law.</w:t>
      </w:r>
    </w:p>
    <w:p>
      <w:pPr>
        <w:sectPr>
          <w:pgSz w:w="11900" w:h="16838" w:orient="portrait"/>
          <w:cols w:equalWidth="0" w:num="1">
            <w:col w:w="11240"/>
          </w:cols>
          <w:pgMar w:left="320" w:top="1317" w:right="339" w:bottom="1440" w:gutter="0" w:footer="0" w:header="0"/>
        </w:sectPr>
      </w:pPr>
    </w:p>
    <w:bookmarkStart w:id="315" w:name="page316"/>
    <w:bookmarkEnd w:id="315"/>
    <w:p>
      <w:pPr>
        <w:ind w:firstLine="1194"/>
        <w:spacing w:after="0" w:line="277" w:lineRule="auto"/>
        <w:tabs>
          <w:tab w:leader="none" w:pos="1792"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said amendment was duly adopted by the Corporation’s Board of Directors in accordance with Section 242 of the Delaware General Corporation Law.</w:t>
      </w:r>
    </w:p>
    <w:p>
      <w:pPr>
        <w:spacing w:after="0" w:line="91" w:lineRule="exact"/>
        <w:rPr>
          <w:rFonts w:ascii="Times New Roman" w:cs="Times New Roman" w:eastAsia="Times New Roman" w:hAnsi="Times New Roman"/>
          <w:sz w:val="20"/>
          <w:szCs w:val="20"/>
          <w:color w:val="auto"/>
        </w:rPr>
      </w:pPr>
    </w:p>
    <w:p>
      <w:pPr>
        <w:ind w:left="5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1" w:right="339" w:bottom="1440" w:gutter="0" w:footer="0" w:header="0"/>
        </w:sectPr>
      </w:pPr>
    </w:p>
    <w:bookmarkStart w:id="316" w:name="page317"/>
    <w:bookmarkEnd w:id="316"/>
    <w:p>
      <w:pPr>
        <w:ind w:firstLine="1195"/>
        <w:spacing w:after="0" w:line="281"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this Certificate of Amendment to Eighth Amended and Restated Certificate of Incorporation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executed by a duly authorized officer of the Corporation on this 14th day of August, 2020.</w:t>
      </w:r>
    </w:p>
    <w:p>
      <w:pPr>
        <w:spacing w:after="0" w:line="1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THREDUP INC.</w:t>
      </w:r>
    </w:p>
    <w:p>
      <w:pPr>
        <w:spacing w:after="0" w:line="200" w:lineRule="exact"/>
        <w:rPr>
          <w:sz w:val="20"/>
          <w:szCs w:val="20"/>
          <w:color w:val="auto"/>
        </w:rPr>
      </w:pPr>
    </w:p>
    <w:p>
      <w:pPr>
        <w:spacing w:after="0" w:line="354" w:lineRule="exact"/>
        <w:rPr>
          <w:sz w:val="20"/>
          <w:szCs w:val="20"/>
          <w:color w:val="auto"/>
        </w:rPr>
      </w:pPr>
    </w:p>
    <w:p>
      <w:pPr>
        <w:ind w:left="5060"/>
        <w:spacing w:after="0"/>
        <w:tabs>
          <w:tab w:leader="none" w:pos="56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G.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27940</wp:posOffset>
            </wp:positionV>
            <wp:extent cx="356362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3620" cy="7620"/>
                    </a:xfrm>
                    <a:prstGeom prst="rect">
                      <a:avLst/>
                    </a:prstGeom>
                    <a:noFill/>
                  </pic:spPr>
                </pic:pic>
              </a:graphicData>
            </a:graphic>
          </wp:anchor>
        </w:drawing>
      </w:r>
    </w:p>
    <w:p>
      <w:pPr>
        <w:spacing w:after="0" w:line="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James G. Reinhart, CEO</w:t>
      </w:r>
    </w:p>
    <w:p>
      <w:pPr>
        <w:sectPr>
          <w:pgSz w:w="11900" w:h="16838" w:orient="portrait"/>
          <w:cols w:equalWidth="0" w:num="1">
            <w:col w:w="11240"/>
          </w:cols>
          <w:pgMar w:left="320" w:top="1317" w:right="339" w:bottom="1440" w:gutter="0" w:footer="0" w:header="0"/>
        </w:sectPr>
      </w:pPr>
    </w:p>
    <w:bookmarkStart w:id="317" w:name="page318"/>
    <w:bookmarkEnd w:id="317"/>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EIGHTH 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(Pursuant to Section 242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General Corporation Law of the State of Delaware)</w:t>
      </w:r>
    </w:p>
    <w:p>
      <w:pPr>
        <w:spacing w:after="0" w:line="130" w:lineRule="exact"/>
        <w:rPr>
          <w:sz w:val="20"/>
          <w:szCs w:val="20"/>
          <w:color w:val="auto"/>
        </w:rPr>
      </w:pPr>
    </w:p>
    <w:p>
      <w:pPr>
        <w:ind w:firstLine="1195"/>
        <w:spacing w:after="0" w:line="281" w:lineRule="auto"/>
        <w:rPr>
          <w:sz w:val="20"/>
          <w:szCs w:val="20"/>
          <w:color w:val="auto"/>
        </w:rPr>
      </w:pPr>
      <w:r>
        <w:rPr>
          <w:rFonts w:ascii="Times New Roman" w:cs="Times New Roman" w:eastAsia="Times New Roman" w:hAnsi="Times New Roman"/>
          <w:sz w:val="20"/>
          <w:szCs w:val="20"/>
          <w:color w:val="auto"/>
        </w:rPr>
        <w:t>ThredUp Inc.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a corporation organized and existing under and by virtue of the provisions of the General Corporation Law of the State of Delaware (the “</w:t>
      </w:r>
      <w:r>
        <w:rPr>
          <w:rFonts w:ascii="Times New Roman" w:cs="Times New Roman" w:eastAsia="Times New Roman" w:hAnsi="Times New Roman"/>
          <w:sz w:val="20"/>
          <w:szCs w:val="20"/>
          <w:b w:val="1"/>
          <w:bCs w:val="1"/>
          <w:color w:val="auto"/>
        </w:rPr>
        <w:t>Delaware General Corporation Law</w:t>
      </w:r>
      <w:r>
        <w:rPr>
          <w:rFonts w:ascii="Times New Roman" w:cs="Times New Roman" w:eastAsia="Times New Roman" w:hAnsi="Times New Roman"/>
          <w:sz w:val="20"/>
          <w:szCs w:val="20"/>
          <w:color w:val="auto"/>
        </w:rPr>
        <w:t>”), does hereby certify:</w:t>
      </w:r>
    </w:p>
    <w:p>
      <w:pPr>
        <w:spacing w:after="0" w:line="88" w:lineRule="exact"/>
        <w:rPr>
          <w:sz w:val="20"/>
          <w:szCs w:val="20"/>
          <w:color w:val="auto"/>
        </w:rPr>
      </w:pPr>
    </w:p>
    <w:p>
      <w:pPr>
        <w:jc w:val="both"/>
        <w:ind w:firstLine="597"/>
        <w:spacing w:after="0" w:line="262" w:lineRule="auto"/>
        <w:tabs>
          <w:tab w:leader="none" w:pos="1195"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242 of the Delaware General Corporation Law, this Certificate of Amendment to Eighth Amended and Restated Certificate of Incorporation, as amended (the “</w:t>
      </w:r>
      <w:r>
        <w:rPr>
          <w:rFonts w:ascii="Times New Roman" w:cs="Times New Roman" w:eastAsia="Times New Roman" w:hAnsi="Times New Roman"/>
          <w:sz w:val="20"/>
          <w:szCs w:val="20"/>
          <w:b w:val="1"/>
          <w:bCs w:val="1"/>
          <w:color w:val="auto"/>
        </w:rPr>
        <w:t>Restated Certificate</w:t>
      </w:r>
      <w:r>
        <w:rPr>
          <w:rFonts w:ascii="Times New Roman" w:cs="Times New Roman" w:eastAsia="Times New Roman" w:hAnsi="Times New Roman"/>
          <w:sz w:val="20"/>
          <w:szCs w:val="20"/>
          <w:color w:val="auto"/>
        </w:rPr>
        <w:t>”), amends the provisions of the Restated Certificate of Incorporation of the Corporation.</w:t>
      </w:r>
    </w:p>
    <w:p>
      <w:pPr>
        <w:spacing w:after="0" w:line="105" w:lineRule="exact"/>
        <w:rPr>
          <w:rFonts w:ascii="Times New Roman" w:cs="Times New Roman" w:eastAsia="Times New Roman" w:hAnsi="Times New Roman"/>
          <w:sz w:val="20"/>
          <w:szCs w:val="20"/>
          <w:color w:val="auto"/>
        </w:rPr>
      </w:pPr>
    </w:p>
    <w:p>
      <w:pPr>
        <w:ind w:left="1200" w:hanging="603"/>
        <w:spacing w:after="0"/>
        <w:tabs>
          <w:tab w:leader="none" w:pos="120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paragraph of the Fourth Article of the Restated Certificate is hereby amended in its entirety as follows:</w:t>
      </w:r>
    </w:p>
    <w:p>
      <w:pPr>
        <w:spacing w:after="0" w:line="156" w:lineRule="exact"/>
        <w:rPr>
          <w:sz w:val="20"/>
          <w:szCs w:val="20"/>
          <w:color w:val="auto"/>
        </w:rPr>
      </w:pPr>
    </w:p>
    <w:p>
      <w:pPr>
        <w:jc w:val="both"/>
        <w:ind w:firstLine="896"/>
        <w:spacing w:after="0" w:line="262" w:lineRule="auto"/>
        <w:rPr>
          <w:sz w:val="20"/>
          <w:szCs w:val="20"/>
          <w:color w:val="auto"/>
        </w:rPr>
      </w:pPr>
      <w:r>
        <w:rPr>
          <w:rFonts w:ascii="Times New Roman" w:cs="Times New Roman" w:eastAsia="Times New Roman" w:hAnsi="Times New Roman"/>
          <w:sz w:val="20"/>
          <w:szCs w:val="20"/>
          <w:color w:val="auto"/>
        </w:rPr>
        <w:t>“The total number of shares of all classes of stock which the Corporation shall have authority to issue is (i) 110,000,000 shares of Common Stock, $0.0001 par value per share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and (ii) 68,139,958 shares of Preferred Stock, $0.0001 par value per share (“</w:t>
      </w:r>
      <w:r>
        <w:rPr>
          <w:rFonts w:ascii="Times New Roman" w:cs="Times New Roman" w:eastAsia="Times New Roman" w:hAnsi="Times New Roman"/>
          <w:sz w:val="20"/>
          <w:szCs w:val="20"/>
          <w:b w:val="1"/>
          <w:bCs w:val="1"/>
          <w:color w:val="auto"/>
        </w:rPr>
        <w:t>Preferred Stock</w:t>
      </w:r>
      <w:r>
        <w:rPr>
          <w:rFonts w:ascii="Times New Roman" w:cs="Times New Roman" w:eastAsia="Times New Roman" w:hAnsi="Times New Roman"/>
          <w:sz w:val="20"/>
          <w:szCs w:val="20"/>
          <w:color w:val="auto"/>
        </w:rPr>
        <w:t>”).”</w:t>
      </w:r>
    </w:p>
    <w:p>
      <w:pPr>
        <w:spacing w:after="0" w:line="105" w:lineRule="exact"/>
        <w:rPr>
          <w:sz w:val="20"/>
          <w:szCs w:val="20"/>
          <w:color w:val="auto"/>
        </w:rPr>
      </w:pPr>
    </w:p>
    <w:p>
      <w:pPr>
        <w:ind w:left="1200" w:hanging="603"/>
        <w:spacing w:after="0"/>
        <w:tabs>
          <w:tab w:leader="none" w:pos="120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of Part B of the Fourth Article of the Restated Certificate is hereby amended in its entirety as follows:</w:t>
      </w:r>
    </w:p>
    <w:p>
      <w:pPr>
        <w:spacing w:after="0" w:line="152" w:lineRule="exact"/>
        <w:rPr>
          <w:sz w:val="20"/>
          <w:szCs w:val="20"/>
          <w:color w:val="auto"/>
        </w:rPr>
      </w:pPr>
    </w:p>
    <w:p>
      <w:pPr>
        <w:jc w:val="both"/>
        <w:ind w:firstLine="8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Designation</w:t>
      </w:r>
      <w:r>
        <w:rPr>
          <w:rFonts w:ascii="Times New Roman" w:cs="Times New Roman" w:eastAsia="Times New Roman" w:hAnsi="Times New Roman"/>
          <w:sz w:val="20"/>
          <w:szCs w:val="20"/>
          <w:color w:val="auto"/>
        </w:rPr>
        <w:t>. 1,051,540 shares of the authorized Preferred Stock of the Corporation are hereby designated “</w:t>
      </w:r>
      <w:r>
        <w:rPr>
          <w:rFonts w:ascii="Times New Roman" w:cs="Times New Roman" w:eastAsia="Times New Roman" w:hAnsi="Times New Roman"/>
          <w:sz w:val="20"/>
          <w:szCs w:val="20"/>
          <w:b w:val="1"/>
          <w:bCs w:val="1"/>
          <w:color w:val="auto"/>
        </w:rPr>
        <w:t>Series A Preferred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 5,475,700 shares of the authorized Preferred Stock of the Corporation are hereby designated “</w:t>
      </w:r>
      <w:r>
        <w:rPr>
          <w:rFonts w:ascii="Times New Roman" w:cs="Times New Roman" w:eastAsia="Times New Roman" w:hAnsi="Times New Roman"/>
          <w:sz w:val="20"/>
          <w:szCs w:val="20"/>
          <w:b w:val="1"/>
          <w:bCs w:val="1"/>
          <w:color w:val="auto"/>
        </w:rPr>
        <w:t>Series A-1 Preferred Stock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7,511,886 shares of the authorized Preferred Stock of the Corporation are hereby designated “</w:t>
      </w:r>
      <w:r>
        <w:rPr>
          <w:rFonts w:ascii="Times New Roman" w:cs="Times New Roman" w:eastAsia="Times New Roman" w:hAnsi="Times New Roman"/>
          <w:sz w:val="20"/>
          <w:szCs w:val="20"/>
          <w:b w:val="1"/>
          <w:bCs w:val="1"/>
          <w:color w:val="auto"/>
        </w:rPr>
        <w:t>Series B Preferred Stock</w:t>
      </w:r>
      <w:r>
        <w:rPr>
          <w:rFonts w:ascii="Times New Roman" w:cs="Times New Roman" w:eastAsia="Times New Roman" w:hAnsi="Times New Roman"/>
          <w:sz w:val="20"/>
          <w:szCs w:val="20"/>
          <w:color w:val="auto"/>
        </w:rPr>
        <w:t>.” 9,725,945 shares of the authorized Preferred Stock of the Corporation are hereby designated “</w:t>
      </w:r>
      <w:r>
        <w:rPr>
          <w:rFonts w:ascii="Times New Roman" w:cs="Times New Roman" w:eastAsia="Times New Roman" w:hAnsi="Times New Roman"/>
          <w:sz w:val="20"/>
          <w:szCs w:val="20"/>
          <w:b w:val="1"/>
          <w:bCs w:val="1"/>
          <w:color w:val="auto"/>
        </w:rPr>
        <w:t>Series C Preferred Stock</w:t>
      </w:r>
      <w:r>
        <w:rPr>
          <w:rFonts w:ascii="Times New Roman" w:cs="Times New Roman" w:eastAsia="Times New Roman" w:hAnsi="Times New Roman"/>
          <w:sz w:val="20"/>
          <w:szCs w:val="20"/>
          <w:color w:val="auto"/>
        </w:rPr>
        <w:t>.” 11,072,579 shares of the authorized Preferred Stock of the Corporation are hereby designated “</w:t>
      </w:r>
      <w:r>
        <w:rPr>
          <w:rFonts w:ascii="Times New Roman" w:cs="Times New Roman" w:eastAsia="Times New Roman" w:hAnsi="Times New Roman"/>
          <w:sz w:val="20"/>
          <w:szCs w:val="20"/>
          <w:b w:val="1"/>
          <w:bCs w:val="1"/>
          <w:color w:val="auto"/>
        </w:rPr>
        <w:t>Series D Preferred Stock</w:t>
      </w:r>
      <w:r>
        <w:rPr>
          <w:rFonts w:ascii="Times New Roman" w:cs="Times New Roman" w:eastAsia="Times New Roman" w:hAnsi="Times New Roman"/>
          <w:sz w:val="20"/>
          <w:szCs w:val="20"/>
          <w:color w:val="auto"/>
        </w:rPr>
        <w:t>.” 12,943,216 shares of the authorized Preferred Stock of the Corporation are hereby designated “</w:t>
      </w:r>
      <w:r>
        <w:rPr>
          <w:rFonts w:ascii="Times New Roman" w:cs="Times New Roman" w:eastAsia="Times New Roman" w:hAnsi="Times New Roman"/>
          <w:sz w:val="20"/>
          <w:szCs w:val="20"/>
          <w:b w:val="1"/>
          <w:bCs w:val="1"/>
          <w:color w:val="auto"/>
        </w:rPr>
        <w:t>Series E Preferred Stock</w:t>
      </w:r>
      <w:r>
        <w:rPr>
          <w:rFonts w:ascii="Times New Roman" w:cs="Times New Roman" w:eastAsia="Times New Roman" w:hAnsi="Times New Roman"/>
          <w:sz w:val="20"/>
          <w:szCs w:val="20"/>
          <w:color w:val="auto"/>
        </w:rPr>
        <w:t>.” 5,832,443 shares of the authorized and unissued Preferred Stock of the Corporation are hereby designated “</w:t>
      </w:r>
      <w:r>
        <w:rPr>
          <w:rFonts w:ascii="Times New Roman" w:cs="Times New Roman" w:eastAsia="Times New Roman" w:hAnsi="Times New Roman"/>
          <w:sz w:val="20"/>
          <w:szCs w:val="20"/>
          <w:b w:val="1"/>
          <w:bCs w:val="1"/>
          <w:color w:val="auto"/>
        </w:rPr>
        <w:t>Series E-1 Preferred Stock</w:t>
      </w:r>
      <w:r>
        <w:rPr>
          <w:rFonts w:ascii="Times New Roman" w:cs="Times New Roman" w:eastAsia="Times New Roman" w:hAnsi="Times New Roman"/>
          <w:sz w:val="20"/>
          <w:szCs w:val="20"/>
          <w:color w:val="auto"/>
        </w:rPr>
        <w:t>.” 14,526,649 shares of the authorized and unissued Preferred Stock of the Corporation are hereby designated “</w:t>
      </w:r>
      <w:r>
        <w:rPr>
          <w:rFonts w:ascii="Times New Roman" w:cs="Times New Roman" w:eastAsia="Times New Roman" w:hAnsi="Times New Roman"/>
          <w:sz w:val="20"/>
          <w:szCs w:val="20"/>
          <w:b w:val="1"/>
          <w:bCs w:val="1"/>
          <w:color w:val="auto"/>
        </w:rPr>
        <w:t>Series F Preferred Stock</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firstLine="597"/>
        <w:spacing w:after="0" w:line="277" w:lineRule="auto"/>
        <w:tabs>
          <w:tab w:leader="none" w:pos="119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foregoing amendment was approved by the holders of the requisite number of shares of the Corporation in accordance with Section 228 of the Delaware General Corporation Law.</w:t>
      </w:r>
    </w:p>
    <w:p>
      <w:pPr>
        <w:sectPr>
          <w:pgSz w:w="11900" w:h="16838" w:orient="portrait"/>
          <w:cols w:equalWidth="0" w:num="1">
            <w:col w:w="11240"/>
          </w:cols>
          <w:pgMar w:left="320" w:top="1317" w:right="339" w:bottom="1440" w:gutter="0" w:footer="0" w:header="0"/>
        </w:sectPr>
      </w:pPr>
    </w:p>
    <w:bookmarkStart w:id="318" w:name="page319"/>
    <w:bookmarkEnd w:id="318"/>
    <w:p>
      <w:pPr>
        <w:ind w:left="-597" w:firstLine="597"/>
        <w:spacing w:after="0" w:line="277" w:lineRule="auto"/>
        <w:tabs>
          <w:tab w:leader="none" w:pos="598"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said amendment was duly adopted by the Corporation’s Board of Directors in accordance with Section 242 of the Delaware General Corporation Law.</w:t>
      </w:r>
    </w:p>
    <w:p>
      <w:pPr>
        <w:spacing w:after="0" w:line="91" w:lineRule="exact"/>
        <w:rPr>
          <w:rFonts w:ascii="Times New Roman" w:cs="Times New Roman" w:eastAsia="Times New Roman" w:hAnsi="Times New Roman"/>
          <w:sz w:val="20"/>
          <w:szCs w:val="20"/>
          <w:color w:val="auto"/>
        </w:rPr>
      </w:pPr>
    </w:p>
    <w:p>
      <w:pPr>
        <w:ind w:left="462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64" w:lineRule="exact"/>
        <w:rPr>
          <w:rFonts w:ascii="Times New Roman" w:cs="Times New Roman" w:eastAsia="Times New Roman" w:hAnsi="Times New Roman"/>
          <w:sz w:val="20"/>
          <w:szCs w:val="20"/>
          <w:color w:val="auto"/>
        </w:rPr>
      </w:pPr>
    </w:p>
    <w:p>
      <w:pPr>
        <w:ind w:left="498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643"/>
          </w:cols>
          <w:pgMar w:left="917" w:top="1321" w:right="339" w:bottom="1440" w:gutter="0" w:footer="0" w:header="0"/>
        </w:sectPr>
      </w:pPr>
    </w:p>
    <w:bookmarkStart w:id="319" w:name="page320"/>
    <w:bookmarkEnd w:id="319"/>
    <w:p>
      <w:pPr>
        <w:ind w:firstLine="1195"/>
        <w:spacing w:after="0" w:line="281"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this Certificate of Amendment to Eighth Amended and Restated Certificate of Incorporation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executed by a duly authorized officer of the Corporation on this 26th day of August, 2020.</w:t>
      </w:r>
    </w:p>
    <w:p>
      <w:pPr>
        <w:spacing w:after="0" w:line="1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THREDUP INC.</w:t>
      </w:r>
    </w:p>
    <w:p>
      <w:pPr>
        <w:spacing w:after="0" w:line="200" w:lineRule="exact"/>
        <w:rPr>
          <w:sz w:val="20"/>
          <w:szCs w:val="20"/>
          <w:color w:val="auto"/>
        </w:rPr>
      </w:pPr>
    </w:p>
    <w:p>
      <w:pPr>
        <w:spacing w:after="0" w:line="354" w:lineRule="exact"/>
        <w:rPr>
          <w:sz w:val="20"/>
          <w:szCs w:val="20"/>
          <w:color w:val="auto"/>
        </w:rPr>
      </w:pPr>
    </w:p>
    <w:p>
      <w:pPr>
        <w:ind w:left="5060"/>
        <w:spacing w:after="0"/>
        <w:tabs>
          <w:tab w:leader="none" w:pos="56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G.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27940</wp:posOffset>
            </wp:positionV>
            <wp:extent cx="356362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3620" cy="7620"/>
                    </a:xfrm>
                    <a:prstGeom prst="rect">
                      <a:avLst/>
                    </a:prstGeom>
                    <a:noFill/>
                  </pic:spPr>
                </pic:pic>
              </a:graphicData>
            </a:graphic>
          </wp:anchor>
        </w:drawing>
      </w:r>
    </w:p>
    <w:p>
      <w:pPr>
        <w:spacing w:after="0" w:line="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James G. Reinhart, CEO</w:t>
      </w:r>
    </w:p>
    <w:p>
      <w:pPr>
        <w:sectPr>
          <w:pgSz w:w="11900" w:h="16838" w:orient="portrait"/>
          <w:cols w:equalWidth="0" w:num="1">
            <w:col w:w="11240"/>
          </w:cols>
          <w:pgMar w:left="320" w:top="1317"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THREDUP INC.</w:t>
      </w:r>
    </w:p>
    <w:p>
      <w:pPr>
        <w:spacing w:after="0" w:line="1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ThredUp Inc., a corporation organized and existing under the laws of the State of Delaware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hereby certifies as follows:</w:t>
      </w:r>
    </w:p>
    <w:p>
      <w:pPr>
        <w:spacing w:after="0" w:line="157" w:lineRule="exact"/>
        <w:rPr>
          <w:sz w:val="20"/>
          <w:szCs w:val="20"/>
          <w:color w:val="auto"/>
        </w:rPr>
      </w:pPr>
    </w:p>
    <w:p>
      <w:pPr>
        <w:ind w:right="220" w:firstLine="597"/>
        <w:spacing w:after="0" w:line="269" w:lineRule="auto"/>
        <w:tabs>
          <w:tab w:leader="none" w:pos="1194"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name of this corporation is ThredUp Inc., and that this corporation was originally incorporated pursuant to the General Corporation Law of the State of Delaware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on January 7, 2009.</w:t>
      </w:r>
    </w:p>
    <w:p>
      <w:pPr>
        <w:spacing w:after="0" w:line="105" w:lineRule="exact"/>
        <w:rPr>
          <w:rFonts w:ascii="Times New Roman" w:cs="Times New Roman" w:eastAsia="Times New Roman" w:hAnsi="Times New Roman"/>
          <w:sz w:val="17"/>
          <w:szCs w:val="17"/>
          <w:color w:val="auto"/>
        </w:rPr>
      </w:pPr>
    </w:p>
    <w:p>
      <w:pPr>
        <w:jc w:val="both"/>
        <w:ind w:right="740" w:firstLine="597"/>
        <w:spacing w:after="0" w:line="259" w:lineRule="auto"/>
        <w:tabs>
          <w:tab w:leader="none" w:pos="1185"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(the “</w:t>
      </w:r>
      <w:r>
        <w:rPr>
          <w:rFonts w:ascii="Times New Roman" w:cs="Times New Roman" w:eastAsia="Times New Roman" w:hAnsi="Times New Roman"/>
          <w:sz w:val="17"/>
          <w:szCs w:val="17"/>
          <w:b w:val="1"/>
          <w:bCs w:val="1"/>
          <w:color w:val="auto"/>
        </w:rPr>
        <w:t>Amended and Restated Certificate of Incorporation</w:t>
      </w:r>
      <w:r>
        <w:rPr>
          <w:rFonts w:ascii="Times New Roman" w:cs="Times New Roman" w:eastAsia="Times New Roman" w:hAnsi="Times New Roman"/>
          <w:sz w:val="17"/>
          <w:szCs w:val="17"/>
          <w:color w:val="auto"/>
        </w:rPr>
        <w:t>”) was duly adopted in accordance with the provisions of Sections 242 and 245 of the DGCL, and has been approved by the written consent of the stockholders of the Corporation in accordance with Section 228 of the DGCL.</w:t>
      </w:r>
    </w:p>
    <w:p>
      <w:pPr>
        <w:spacing w:after="0" w:line="117" w:lineRule="exact"/>
        <w:rPr>
          <w:rFonts w:ascii="Times New Roman" w:cs="Times New Roman" w:eastAsia="Times New Roman" w:hAnsi="Times New Roman"/>
          <w:sz w:val="17"/>
          <w:szCs w:val="17"/>
          <w:color w:val="auto"/>
        </w:rPr>
      </w:pPr>
    </w:p>
    <w:p>
      <w:pPr>
        <w:ind w:left="1180" w:hanging="583"/>
        <w:spacing w:after="0"/>
        <w:tabs>
          <w:tab w:leader="none" w:pos="118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Eighth Amended and Restated Certificate of Incorporation of the Corporation, as amended, is hereby amended and restated in its entirety to read</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as follows: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10000"/>
        </w:rPr>
        <w:t>ARTICLE I</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name of the Corporation is ThredUp Inc.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10000"/>
        </w:rPr>
        <w:t>ARTICLE II</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address of the registered office of the Corporation in the State of Delaware is 1209 Orange Street, in the City of Wilmington, County of New Castle, 19801.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name of its registered agent at such address is The Corporation Trust Company.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10000"/>
        </w:rPr>
        <w:t>ARTICLE III</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corporations may be organized under the DGCL.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10000"/>
        </w:rPr>
        <w:t>ARTICLE IV</w:t>
      </w:r>
    </w:p>
    <w:p>
      <w:pPr>
        <w:spacing w:after="0" w:line="157" w:lineRule="exact"/>
        <w:rPr>
          <w:sz w:val="20"/>
          <w:szCs w:val="20"/>
          <w:color w:val="auto"/>
        </w:rPr>
      </w:pPr>
    </w:p>
    <w:p>
      <w:pPr>
        <w:ind w:left="1800" w:hanging="606"/>
        <w:spacing w:after="0"/>
        <w:tabs>
          <w:tab w:leader="none" w:pos="180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Classes of Stock</w:t>
      </w:r>
      <w:r>
        <w:rPr>
          <w:rFonts w:ascii="Times New Roman" w:cs="Times New Roman" w:eastAsia="Times New Roman" w:hAnsi="Times New Roman"/>
          <w:sz w:val="16"/>
          <w:szCs w:val="16"/>
          <w:color w:val="auto"/>
        </w:rPr>
        <w:t>. The total number of shares of capital stock that the Corporation shall have authority to issue is 1,220,000,000, consisting of</w:t>
      </w:r>
    </w:p>
    <w:p>
      <w:pPr>
        <w:spacing w:after="0" w:line="31" w:lineRule="exact"/>
        <w:rPr>
          <w:rFonts w:ascii="Times New Roman" w:cs="Times New Roman" w:eastAsia="Times New Roman" w:hAnsi="Times New Roman"/>
          <w:sz w:val="16"/>
          <w:szCs w:val="16"/>
          <w:color w:val="auto"/>
        </w:rPr>
      </w:pPr>
    </w:p>
    <w:p>
      <w:pPr>
        <w:jc w:val="both"/>
        <w:ind w:right="38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following: 1,000,000,000 shares of Class A Common Stock, par value $0.0001 per share (“</w:t>
      </w:r>
      <w:r>
        <w:rPr>
          <w:rFonts w:ascii="Times New Roman" w:cs="Times New Roman" w:eastAsia="Times New Roman" w:hAnsi="Times New Roman"/>
          <w:sz w:val="17"/>
          <w:szCs w:val="17"/>
          <w:b w:val="1"/>
          <w:bCs w:val="1"/>
          <w:color w:val="auto"/>
        </w:rPr>
        <w:t>Class A Common Stock</w:t>
      </w:r>
      <w:r>
        <w:rPr>
          <w:rFonts w:ascii="Times New Roman" w:cs="Times New Roman" w:eastAsia="Times New Roman" w:hAnsi="Times New Roman"/>
          <w:sz w:val="17"/>
          <w:szCs w:val="17"/>
          <w:color w:val="auto"/>
        </w:rPr>
        <w:t>”), 120,000,000 shares of Class B Common Stock, par value $0.0001 per share (“</w:t>
      </w:r>
      <w:r>
        <w:rPr>
          <w:rFonts w:ascii="Times New Roman" w:cs="Times New Roman" w:eastAsia="Times New Roman" w:hAnsi="Times New Roman"/>
          <w:sz w:val="17"/>
          <w:szCs w:val="17"/>
          <w:b w:val="1"/>
          <w:bCs w:val="1"/>
          <w:color w:val="auto"/>
        </w:rPr>
        <w:t>Class B Common Stock</w:t>
      </w:r>
      <w:r>
        <w:rPr>
          <w:rFonts w:ascii="Times New Roman" w:cs="Times New Roman" w:eastAsia="Times New Roman" w:hAnsi="Times New Roman"/>
          <w:sz w:val="17"/>
          <w:szCs w:val="17"/>
          <w:color w:val="auto"/>
        </w:rPr>
        <w:t>”), and 100,000,000 shares of undesignated Preferred Stock, par value $0.0001 per share (“</w:t>
      </w:r>
      <w:r>
        <w:rPr>
          <w:rFonts w:ascii="Times New Roman" w:cs="Times New Roman" w:eastAsia="Times New Roman" w:hAnsi="Times New Roman"/>
          <w:sz w:val="17"/>
          <w:szCs w:val="17"/>
          <w:b w:val="1"/>
          <w:bCs w:val="1"/>
          <w:color w:val="auto"/>
        </w:rPr>
        <w:t>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w:t>
      </w:r>
    </w:p>
    <w:p>
      <w:pPr>
        <w:spacing w:after="0" w:line="124" w:lineRule="exact"/>
        <w:rPr>
          <w:rFonts w:ascii="Times New Roman" w:cs="Times New Roman" w:eastAsia="Times New Roman" w:hAnsi="Times New Roman"/>
          <w:sz w:val="16"/>
          <w:szCs w:val="16"/>
          <w:color w:val="auto"/>
        </w:rPr>
      </w:pPr>
    </w:p>
    <w:p>
      <w:pPr>
        <w:ind w:firstLine="1194"/>
        <w:spacing w:after="0" w:line="250" w:lineRule="auto"/>
        <w:tabs>
          <w:tab w:leader="none" w:pos="1782"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Preferred Stock</w:t>
      </w:r>
      <w:r>
        <w:rPr>
          <w:rFonts w:ascii="Times New Roman" w:cs="Times New Roman" w:eastAsia="Times New Roman" w:hAnsi="Times New Roman"/>
          <w:sz w:val="17"/>
          <w:szCs w:val="17"/>
          <w:color w:val="auto"/>
        </w:rPr>
        <w:t>. The Board of Directors of the Corporation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is authorized, subject to any limitations prescribed by law but to the fullest extent permitted by law, to provide by resolution for the designation and issuance of shares of Preferred Stock in one or more series, and to establish from time to time the number of shares to be included in each such series, and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pursuant to the applicable law of the State of Delaware (such certificate being hereinafter referred to as a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Designation</w:t>
      </w:r>
      <w:r>
        <w:rPr>
          <w:rFonts w:ascii="Times New Roman" w:cs="Times New Roman" w:eastAsia="Times New Roman" w:hAnsi="Times New Roman"/>
          <w:sz w:val="17"/>
          <w:szCs w:val="17"/>
          <w:color w:val="auto"/>
        </w:rPr>
        <w:t>”), setting forth such resolution or resolutions.</w:t>
      </w:r>
    </w:p>
    <w:p>
      <w:pPr>
        <w:spacing w:after="0" w:line="126" w:lineRule="exact"/>
        <w:rPr>
          <w:rFonts w:ascii="Times New Roman" w:cs="Times New Roman" w:eastAsia="Times New Roman" w:hAnsi="Times New Roman"/>
          <w:sz w:val="17"/>
          <w:szCs w:val="17"/>
          <w:color w:val="auto"/>
        </w:rPr>
      </w:pPr>
    </w:p>
    <w:p>
      <w:pPr>
        <w:ind w:right="60" w:firstLine="1194"/>
        <w:spacing w:after="0" w:line="252" w:lineRule="auto"/>
        <w:tabs>
          <w:tab w:leader="none" w:pos="1782"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Vote to Increase or Decrease Authorized Shares of Preferred Stock</w:t>
      </w:r>
      <w:r>
        <w:rPr>
          <w:rFonts w:ascii="Times New Roman" w:cs="Times New Roman" w:eastAsia="Times New Roman" w:hAnsi="Times New Roman"/>
          <w:sz w:val="17"/>
          <w:szCs w:val="17"/>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sectPr>
          <w:pgSz w:w="11900" w:h="16838" w:orient="portrait"/>
          <w:cols w:equalWidth="0" w:num="1">
            <w:col w:w="11240"/>
          </w:cols>
          <w:pgMar w:left="320" w:top="119" w:right="339" w:bottom="1440" w:gutter="0" w:footer="0" w:header="0"/>
        </w:sectPr>
      </w:pPr>
    </w:p>
    <w:bookmarkStart w:id="321" w:name="page322"/>
    <w:bookmarkEnd w:id="321"/>
    <w:p>
      <w:pPr>
        <w:ind w:right="40" w:firstLine="1194"/>
        <w:spacing w:after="0" w:line="269" w:lineRule="auto"/>
        <w:tabs>
          <w:tab w:leader="none" w:pos="1791"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Class A Common Stock and Class B Common Stock</w:t>
      </w:r>
      <w:r>
        <w:rPr>
          <w:rFonts w:ascii="Times New Roman" w:cs="Times New Roman" w:eastAsia="Times New Roman" w:hAnsi="Times New Roman"/>
          <w:sz w:val="17"/>
          <w:szCs w:val="17"/>
          <w:color w:val="auto"/>
        </w:rPr>
        <w:t>. The relative powers, rights, qualifications, limitations and restrictions granted to or imposed on the shares of Class A Common Stock and Class B Common Stock are as follows:</w:t>
      </w:r>
    </w:p>
    <w:p>
      <w:pPr>
        <w:spacing w:after="0" w:line="109" w:lineRule="exact"/>
        <w:rPr>
          <w:rFonts w:ascii="Times New Roman" w:cs="Times New Roman" w:eastAsia="Times New Roman" w:hAnsi="Times New Roman"/>
          <w:sz w:val="17"/>
          <w:szCs w:val="17"/>
          <w:color w:val="auto"/>
        </w:rPr>
      </w:pPr>
    </w:p>
    <w:p>
      <w:pPr>
        <w:ind w:left="1200" w:hanging="603"/>
        <w:spacing w:after="0"/>
        <w:tabs>
          <w:tab w:leader="none" w:pos="120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color w:val="auto"/>
        </w:rPr>
      </w:pPr>
    </w:p>
    <w:p>
      <w:pPr>
        <w:ind w:right="40" w:firstLine="1791"/>
        <w:spacing w:after="0" w:line="250" w:lineRule="auto"/>
        <w:tabs>
          <w:tab w:leader="none" w:pos="2386" w:val="left"/>
        </w:tabs>
        <w:numPr>
          <w:ilvl w:val="2"/>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Right to Vote Together; Exception</w:t>
      </w:r>
      <w:r>
        <w:rPr>
          <w:rFonts w:ascii="Times New Roman" w:cs="Times New Roman" w:eastAsia="Times New Roman" w:hAnsi="Times New Roman"/>
          <w:sz w:val="17"/>
          <w:szCs w:val="17"/>
          <w:color w:val="auto"/>
        </w:rPr>
        <w:t xml:space="preserve">. Except as otherwise expressly provided herein or required by applicable law, the holders of Class A Common Stock and Class B Common Stock shall vote together as one class on all matters submitted to a vote of the stockholders;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subject to the terms of any Preferred Stock Designation, the number of authorized shares of Class A Common Stock or Class B Common Stock may be increased or decreased (but not below the number of shares thereof then outstanding) by the affirmative vote of the holders of a majority of the voting power of the capital stock of the Corporation entitled to vote.</w:t>
      </w:r>
    </w:p>
    <w:p>
      <w:pPr>
        <w:spacing w:after="0" w:line="126" w:lineRule="exact"/>
        <w:rPr>
          <w:rFonts w:ascii="Times New Roman" w:cs="Times New Roman" w:eastAsia="Times New Roman" w:hAnsi="Times New Roman"/>
          <w:sz w:val="17"/>
          <w:szCs w:val="17"/>
          <w:color w:val="auto"/>
        </w:rPr>
      </w:pPr>
    </w:p>
    <w:p>
      <w:pPr>
        <w:ind w:right="60" w:firstLine="1791"/>
        <w:spacing w:after="0" w:line="256" w:lineRule="auto"/>
        <w:tabs>
          <w:tab w:leader="none" w:pos="2383" w:val="left"/>
        </w:tabs>
        <w:numPr>
          <w:ilvl w:val="2"/>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Votes Per Share</w:t>
      </w:r>
      <w:r>
        <w:rPr>
          <w:rFonts w:ascii="Times New Roman" w:cs="Times New Roman" w:eastAsia="Times New Roman" w:hAnsi="Times New Roman"/>
          <w:sz w:val="17"/>
          <w:szCs w:val="17"/>
          <w:color w:val="auto"/>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ten (10) votes for each such share.</w:t>
      </w:r>
    </w:p>
    <w:p>
      <w:pPr>
        <w:spacing w:after="0" w:line="121" w:lineRule="exact"/>
        <w:rPr>
          <w:rFonts w:ascii="Times New Roman" w:cs="Times New Roman" w:eastAsia="Times New Roman" w:hAnsi="Times New Roman"/>
          <w:sz w:val="17"/>
          <w:szCs w:val="17"/>
          <w:color w:val="auto"/>
        </w:rPr>
      </w:pPr>
    </w:p>
    <w:p>
      <w:pPr>
        <w:ind w:right="40" w:firstLine="597"/>
        <w:spacing w:after="0" w:line="301" w:lineRule="auto"/>
        <w:tabs>
          <w:tab w:leader="none" w:pos="1194"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Identical Rights</w:t>
      </w:r>
      <w:r>
        <w:rPr>
          <w:rFonts w:ascii="Times New Roman" w:cs="Times New Roman" w:eastAsia="Times New Roman" w:hAnsi="Times New Roman"/>
          <w:sz w:val="16"/>
          <w:szCs w:val="16"/>
          <w:color w:val="auto"/>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spacing w:after="0" w:line="86" w:lineRule="exact"/>
        <w:rPr>
          <w:rFonts w:ascii="Times New Roman" w:cs="Times New Roman" w:eastAsia="Times New Roman" w:hAnsi="Times New Roman"/>
          <w:sz w:val="16"/>
          <w:szCs w:val="16"/>
          <w:color w:val="auto"/>
        </w:rPr>
      </w:pPr>
    </w:p>
    <w:p>
      <w:pPr>
        <w:ind w:right="20" w:firstLine="1791"/>
        <w:spacing w:after="0" w:line="248" w:lineRule="auto"/>
        <w:tabs>
          <w:tab w:leader="none" w:pos="2386" w:val="left"/>
        </w:tabs>
        <w:numPr>
          <w:ilvl w:val="2"/>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 and Distributions</w:t>
      </w:r>
      <w:r>
        <w:rPr>
          <w:rFonts w:ascii="Times New Roman" w:cs="Times New Roman" w:eastAsia="Times New Roman" w:hAnsi="Times New Roman"/>
          <w:sz w:val="17"/>
          <w:szCs w:val="17"/>
          <w:color w:val="auto"/>
        </w:rPr>
        <w:t xml:space="preserve">.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the event a Distribution is paid in the form of Class A Common Stock or Class B Common Stock (or Rights to acquire such stock), then holders of Class A Common Stock shall receive Class A Common Stock (or Rights to acquire such stock, as the case may be) and holders of Class B Common Stock shall receive Class B Common Stock (or Rights to acquire such stock, as the case may be).</w:t>
      </w:r>
    </w:p>
    <w:p>
      <w:pPr>
        <w:spacing w:after="0" w:line="128" w:lineRule="exact"/>
        <w:rPr>
          <w:rFonts w:ascii="Times New Roman" w:cs="Times New Roman" w:eastAsia="Times New Roman" w:hAnsi="Times New Roman"/>
          <w:sz w:val="17"/>
          <w:szCs w:val="17"/>
          <w:color w:val="auto"/>
        </w:rPr>
      </w:pPr>
    </w:p>
    <w:p>
      <w:pPr>
        <w:ind w:right="40" w:firstLine="1791"/>
        <w:spacing w:after="0" w:line="252" w:lineRule="auto"/>
        <w:tabs>
          <w:tab w:leader="none" w:pos="2383" w:val="left"/>
        </w:tabs>
        <w:numPr>
          <w:ilvl w:val="2"/>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Subdivision or Combination</w:t>
      </w:r>
      <w:r>
        <w:rPr>
          <w:rFonts w:ascii="Times New Roman" w:cs="Times New Roman" w:eastAsia="Times New Roman" w:hAnsi="Times New Roman"/>
          <w:sz w:val="17"/>
          <w:szCs w:val="17"/>
          <w:color w:val="auto"/>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24" w:lineRule="exact"/>
        <w:rPr>
          <w:rFonts w:ascii="Times New Roman" w:cs="Times New Roman" w:eastAsia="Times New Roman" w:hAnsi="Times New Roman"/>
          <w:sz w:val="17"/>
          <w:szCs w:val="17"/>
          <w:color w:val="auto"/>
        </w:rPr>
      </w:pPr>
    </w:p>
    <w:p>
      <w:pPr>
        <w:ind w:firstLine="1791"/>
        <w:spacing w:after="0" w:line="247" w:lineRule="auto"/>
        <w:tabs>
          <w:tab w:leader="none" w:pos="2386" w:val="left"/>
        </w:tabs>
        <w:numPr>
          <w:ilvl w:val="2"/>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Equal Treatment in a Change of Control or any Merger Transaction</w:t>
      </w:r>
      <w:r>
        <w:rPr>
          <w:rFonts w:ascii="Times New Roman" w:cs="Times New Roman" w:eastAsia="Times New Roman" w:hAnsi="Times New Roman"/>
          <w:sz w:val="17"/>
          <w:szCs w:val="17"/>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17" w:right="339" w:bottom="1440" w:gutter="0" w:footer="0" w:header="0"/>
        </w:sectPr>
      </w:pPr>
    </w:p>
    <w:bookmarkStart w:id="322" w:name="page323"/>
    <w:bookmarkEnd w:id="322"/>
    <w:p>
      <w:pPr>
        <w:ind w:left="1180" w:hanging="603"/>
        <w:spacing w:after="0"/>
        <w:tabs>
          <w:tab w:leader="none" w:pos="1180"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Class B Common Stock</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color w:val="auto"/>
        </w:rPr>
      </w:pPr>
    </w:p>
    <w:p>
      <w:pPr>
        <w:ind w:left="-20" w:right="300" w:firstLine="1791"/>
        <w:spacing w:after="0" w:line="269" w:lineRule="auto"/>
        <w:tabs>
          <w:tab w:leader="none" w:pos="2366"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Conversion</w:t>
      </w:r>
      <w:r>
        <w:rPr>
          <w:rFonts w:ascii="Times New Roman" w:cs="Times New Roman" w:eastAsia="Times New Roman" w:hAnsi="Times New Roman"/>
          <w:sz w:val="17"/>
          <w:szCs w:val="17"/>
          <w:color w:val="auto"/>
        </w:rPr>
        <w:t>. Each one (1) share of Class B Common Stock shall be convertible into one (1) share of Class A Common Stock at the option of the holder thereof at any time upon written notice to the transfer agent of the Corporation.</w:t>
      </w:r>
    </w:p>
    <w:p>
      <w:pPr>
        <w:spacing w:after="0" w:line="109" w:lineRule="exact"/>
        <w:rPr>
          <w:rFonts w:ascii="Times New Roman" w:cs="Times New Roman" w:eastAsia="Times New Roman" w:hAnsi="Times New Roman"/>
          <w:sz w:val="17"/>
          <w:szCs w:val="17"/>
          <w:color w:val="auto"/>
        </w:rPr>
      </w:pPr>
    </w:p>
    <w:p>
      <w:pPr>
        <w:ind w:left="-20" w:right="420" w:firstLine="1791"/>
        <w:spacing w:after="0" w:line="269" w:lineRule="auto"/>
        <w:tabs>
          <w:tab w:leader="none" w:pos="2363"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Automatic Conversion</w:t>
      </w:r>
      <w:r>
        <w:rPr>
          <w:rFonts w:ascii="Times New Roman" w:cs="Times New Roman" w:eastAsia="Times New Roman" w:hAnsi="Times New Roman"/>
          <w:sz w:val="17"/>
          <w:szCs w:val="17"/>
          <w:color w:val="auto"/>
        </w:rPr>
        <w:t>. Shares of Class B Common Stock shall automatically, without any further action, convert into an equal number of shares of Class A Common Stock upon the earlier of:</w:t>
      </w:r>
    </w:p>
    <w:p>
      <w:pPr>
        <w:spacing w:after="0" w:line="107" w:lineRule="exact"/>
        <w:rPr>
          <w:rFonts w:ascii="Times New Roman" w:cs="Times New Roman" w:eastAsia="Times New Roman" w:hAnsi="Times New Roman"/>
          <w:sz w:val="17"/>
          <w:szCs w:val="17"/>
          <w:color w:val="auto"/>
        </w:rPr>
      </w:pPr>
    </w:p>
    <w:p>
      <w:pPr>
        <w:jc w:val="both"/>
        <w:ind w:left="580" w:right="240" w:firstLine="1789"/>
        <w:spacing w:after="0" w:line="258" w:lineRule="auto"/>
        <w:tabs>
          <w:tab w:leader="none" w:pos="2964" w:val="left"/>
        </w:tabs>
        <w:numPr>
          <w:ilvl w:val="2"/>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Transfer of such share;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such automatic conversion shall occur in the case of a Transfer by a Class B Stockholder to any of the persons or entities listed in clauses (A) through (G) below (each, a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and from any such Permitted Transferee back to such Class B Stockholder and/or any other Permitted Transferee established by or for such Class B Stockholder:</w:t>
      </w:r>
    </w:p>
    <w:p>
      <w:pPr>
        <w:spacing w:after="0" w:line="118" w:lineRule="exact"/>
        <w:rPr>
          <w:rFonts w:ascii="Times New Roman" w:cs="Times New Roman" w:eastAsia="Times New Roman" w:hAnsi="Times New Roman"/>
          <w:sz w:val="17"/>
          <w:szCs w:val="17"/>
          <w:color w:val="auto"/>
        </w:rPr>
      </w:pPr>
    </w:p>
    <w:p>
      <w:pPr>
        <w:ind w:left="1180" w:right="40" w:firstLine="1786"/>
        <w:spacing w:after="0" w:line="252" w:lineRule="auto"/>
        <w:tabs>
          <w:tab w:leader="none" w:pos="3563" w:val="left"/>
        </w:tabs>
        <w:numPr>
          <w:ilvl w:val="3"/>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family member of such Class B Stockholder, which shall include with respect to any natural person who is a Class B Stockholder, the spouse, domestic partner, parents, grandparents, lineal descendants, stepchildren, siblings and lineal descendants and stepchildren of siblings of such Class B Stockholder;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lineal descendants and shall include adopted persons, but only so long as they are adopted while a minor;</w:t>
      </w:r>
    </w:p>
    <w:p>
      <w:pPr>
        <w:spacing w:after="0" w:line="124" w:lineRule="exact"/>
        <w:rPr>
          <w:rFonts w:ascii="Times New Roman" w:cs="Times New Roman" w:eastAsia="Times New Roman" w:hAnsi="Times New Roman"/>
          <w:sz w:val="17"/>
          <w:szCs w:val="17"/>
          <w:color w:val="auto"/>
        </w:rPr>
      </w:pPr>
    </w:p>
    <w:p>
      <w:pPr>
        <w:ind w:left="1180" w:right="40" w:firstLine="1786"/>
        <w:spacing w:after="0" w:line="248" w:lineRule="auto"/>
        <w:tabs>
          <w:tab w:leader="none" w:pos="3566" w:val="left"/>
        </w:tabs>
        <w:numPr>
          <w:ilvl w:val="3"/>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trust for the benefit of such Class B Stockholder or persons other than the Class B Stockholder so long as the Class B Stockholder and/or family members of such Class B Stockholder have sole dispositive power and exclusive Voting Control with respect to the shares of Class B Common Stock held by such trust;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such Transfer does not involve any payment of cash, securities, property or other consideration to the Class B Stockholder (other than as a settlor or beneficiary of such trust)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in the event such Class B Stockholder and/or family members of such Class B Stockholder no longer have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24" w:lineRule="exact"/>
        <w:rPr>
          <w:rFonts w:ascii="Times New Roman" w:cs="Times New Roman" w:eastAsia="Times New Roman" w:hAnsi="Times New Roman"/>
          <w:sz w:val="17"/>
          <w:szCs w:val="17"/>
          <w:color w:val="auto"/>
        </w:rPr>
      </w:pPr>
    </w:p>
    <w:p>
      <w:pPr>
        <w:ind w:left="1180" w:firstLine="1786"/>
        <w:spacing w:after="0" w:line="251" w:lineRule="auto"/>
        <w:tabs>
          <w:tab w:leader="none" w:pos="3566" w:val="left"/>
        </w:tabs>
        <w:numPr>
          <w:ilvl w:val="3"/>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beneficiaries or trustee of a trust; so long as the original grantor of the trust (the “</w:t>
      </w:r>
      <w:r>
        <w:rPr>
          <w:rFonts w:ascii="Times New Roman" w:cs="Times New Roman" w:eastAsia="Times New Roman" w:hAnsi="Times New Roman"/>
          <w:sz w:val="17"/>
          <w:szCs w:val="17"/>
          <w:b w:val="1"/>
          <w:bCs w:val="1"/>
          <w:color w:val="auto"/>
        </w:rPr>
        <w:t>Grantor</w:t>
      </w:r>
      <w:r>
        <w:rPr>
          <w:rFonts w:ascii="Times New Roman" w:cs="Times New Roman" w:eastAsia="Times New Roman" w:hAnsi="Times New Roman"/>
          <w:sz w:val="17"/>
          <w:szCs w:val="17"/>
          <w:color w:val="auto"/>
        </w:rPr>
        <w:t xml:space="preserve">”) and/or family members of such Grantor have sole dispositive power and exclusive Voting Control with respect to the shares of Class B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such Grantor and/or family members of such Grantor no longer have sole dispositive power and exclusive Voting Control with respect to the shares of Class B Common Stock, each share of Class B Common Stock then held shall automatically convert into one (1) fully paid and nonassessable share of Class A Common Stock;</w:t>
      </w:r>
    </w:p>
    <w:p>
      <w:pPr>
        <w:spacing w:after="0" w:line="126" w:lineRule="exact"/>
        <w:rPr>
          <w:rFonts w:ascii="Times New Roman" w:cs="Times New Roman" w:eastAsia="Times New Roman" w:hAnsi="Times New Roman"/>
          <w:sz w:val="17"/>
          <w:szCs w:val="17"/>
          <w:color w:val="auto"/>
        </w:rPr>
      </w:pPr>
    </w:p>
    <w:p>
      <w:pPr>
        <w:ind w:left="1180" w:right="20" w:firstLine="1786"/>
        <w:spacing w:after="0" w:line="268" w:lineRule="auto"/>
        <w:tabs>
          <w:tab w:leader="none" w:pos="3563" w:val="left"/>
        </w:tabs>
        <w:numPr>
          <w:ilvl w:val="3"/>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trust under the terms of which such Class B Stockholder has retained a “qualified interest” within the meaning of §2702(b)(1) of the Internal Revenue Code (or successor provision) and/or a reversionary interest so long as the Class B Stockholder and/or family members of such Class B Stockholder have sole dispositive power and exclusive Voting Control with respect to the shares of Class B Common Stock held by such trust;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in the event such Class B Stockholder and/or family members of such Class B Stockholder no longer have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11" w:lineRule="exact"/>
        <w:rPr>
          <w:rFonts w:ascii="Times New Roman" w:cs="Times New Roman" w:eastAsia="Times New Roman" w:hAnsi="Times New Roman"/>
          <w:sz w:val="16"/>
          <w:szCs w:val="16"/>
          <w:color w:val="auto"/>
        </w:rPr>
      </w:pPr>
    </w:p>
    <w:p>
      <w:pPr>
        <w:ind w:left="1180" w:right="60" w:firstLine="1786"/>
        <w:spacing w:after="0" w:line="252" w:lineRule="auto"/>
        <w:tabs>
          <w:tab w:leader="none" w:pos="3557" w:val="left"/>
        </w:tabs>
        <w:numPr>
          <w:ilvl w:val="3"/>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Individual Retirement Account, as defined in Section 408(a) of the Internal Revenue Code (or successor provision), or a pension, profit sharing, stock bonus or other type of plan or trust of which such Class B Stockholder is a participant or beneficiary and which satisfies the requirements for qualification under Section 401 of the Internal Revenue Code (or successor provision);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such Class B Stockholder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00"/>
          </w:cols>
          <w:pgMar w:left="340" w:top="1317" w:right="359" w:bottom="1440" w:gutter="0" w:footer="0" w:header="0"/>
        </w:sectPr>
      </w:pPr>
    </w:p>
    <w:bookmarkStart w:id="323" w:name="page324"/>
    <w:bookmarkEnd w:id="323"/>
    <w:p>
      <w:pPr>
        <w:ind w:left="1140" w:right="220"/>
        <w:spacing w:after="0" w:line="252" w:lineRule="auto"/>
        <w:rPr>
          <w:sz w:val="20"/>
          <w:szCs w:val="20"/>
          <w:color w:val="auto"/>
        </w:rPr>
      </w:pPr>
      <w:r>
        <w:rPr>
          <w:rFonts w:ascii="Times New Roman" w:cs="Times New Roman" w:eastAsia="Times New Roman" w:hAnsi="Times New Roman"/>
          <w:sz w:val="17"/>
          <w:szCs w:val="17"/>
          <w:color w:val="auto"/>
        </w:rPr>
        <w:t xml:space="preserve">sole dispositive power and exclusive Voting Control with respect to the shares of Class B Common Stock held in such account, plan or trust,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in the event the Class B Stockholder no longer has sole dispositive power and exclusive Voting Control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Class B Common Stock held by such account, plan or trust, each share of Class B Common Stock then held by such account, plan or trust shall automatically convert into one (1) fully paid and nonassessable share of Class A Common Stock;</w:t>
      </w:r>
    </w:p>
    <w:p>
      <w:pPr>
        <w:spacing w:after="0" w:line="125" w:lineRule="exact"/>
        <w:rPr>
          <w:sz w:val="20"/>
          <w:szCs w:val="20"/>
          <w:color w:val="auto"/>
        </w:rPr>
      </w:pPr>
    </w:p>
    <w:p>
      <w:pPr>
        <w:ind w:left="1140" w:right="40" w:firstLine="1786"/>
        <w:spacing w:after="0" w:line="246" w:lineRule="auto"/>
        <w:tabs>
          <w:tab w:leader="none" w:pos="3520" w:val="left"/>
        </w:tabs>
        <w:numPr>
          <w:ilvl w:val="2"/>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corporation, partnership or limited liability company in which such Class B Stockholder and/or family members of such Class B Stockholder directly, or indirectly through one or more Permitted Transferees, own shares, partnership interests or membership interests, as applicable, with sufficient Voting Control in the corporation, partnership or limited liability company, as applicable, or otherwise have legally enforceable rights, such that the Class B Stockholder and/or family members of such Class B Stockholder retain sole dispositive power and exclusive Voting Control with respect to the shares of Class B Common Stock held by such corporation, partnership or limited liability company;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the event the Class B Stockholder and/or family members of such Class B Stockholder no longer own sufficient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partnership interests or membership interests, as applicable, or no longer has sufficient legally enforceable rights to ensure the Class B Stockholder and/or family members of such Class B Stockholder retain sole dispositive power and exclusive Voting Control with respect to the shares of Class B Common Stock held by such corporation, partnership or limited liability company, as applicable, each share of Class B Common Stock then held by such corporation, partnership or limited liability company, as applicable, shall automatically convert into one (1) fully paid and nonassessable share of Class A Common Stock; or</w:t>
      </w:r>
    </w:p>
    <w:p>
      <w:pPr>
        <w:spacing w:after="0" w:line="133" w:lineRule="exact"/>
        <w:rPr>
          <w:rFonts w:ascii="Times New Roman" w:cs="Times New Roman" w:eastAsia="Times New Roman" w:hAnsi="Times New Roman"/>
          <w:sz w:val="17"/>
          <w:szCs w:val="17"/>
          <w:color w:val="auto"/>
        </w:rPr>
      </w:pPr>
    </w:p>
    <w:p>
      <w:pPr>
        <w:ind w:left="1140" w:right="40" w:firstLine="1786"/>
        <w:spacing w:after="0" w:line="249" w:lineRule="auto"/>
        <w:tabs>
          <w:tab w:leader="none" w:pos="3523" w:val="left"/>
        </w:tabs>
        <w:numPr>
          <w:ilvl w:val="2"/>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Affiliate of a Class B Stockholder;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person or entity holding sole dispositive power and exclusive Voting Control with respect to the shares of Class B Common Stock being Transferred (the “</w:t>
      </w:r>
      <w:r>
        <w:rPr>
          <w:rFonts w:ascii="Times New Roman" w:cs="Times New Roman" w:eastAsia="Times New Roman" w:hAnsi="Times New Roman"/>
          <w:sz w:val="17"/>
          <w:szCs w:val="17"/>
          <w:b w:val="1"/>
          <w:bCs w:val="1"/>
          <w:color w:val="auto"/>
        </w:rPr>
        <w:t>Controlling Person</w:t>
      </w:r>
      <w:r>
        <w:rPr>
          <w:rFonts w:ascii="Times New Roman" w:cs="Times New Roman" w:eastAsia="Times New Roman" w:hAnsi="Times New Roman"/>
          <w:sz w:val="17"/>
          <w:szCs w:val="17"/>
          <w:color w:val="auto"/>
        </w:rPr>
        <w:t xml:space="preserve">”) retains, directly or indirectly, sole dispositive power and exclusive Voting Control with respect to the shares following such Transfer;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in the event the Controlling Person no longer has sole dispositive power and exclusive Voting Control with respect to the shares of Class B Common Stock Transferred to such Affiliate, each such share of Class B Common Stock Transferred to such Affiliate shall automatically convert into one (1) share of Class A Common Stock unless such transaction is otherwise approved by the Corporation.</w:t>
      </w:r>
    </w:p>
    <w:p>
      <w:pPr>
        <w:spacing w:after="0" w:line="129" w:lineRule="exact"/>
        <w:rPr>
          <w:rFonts w:ascii="Times New Roman" w:cs="Times New Roman" w:eastAsia="Times New Roman" w:hAnsi="Times New Roman"/>
          <w:sz w:val="17"/>
          <w:szCs w:val="17"/>
          <w:color w:val="auto"/>
        </w:rPr>
      </w:pPr>
    </w:p>
    <w:p>
      <w:pPr>
        <w:ind w:left="540" w:firstLine="1789"/>
        <w:spacing w:after="0" w:line="250" w:lineRule="auto"/>
        <w:tabs>
          <w:tab w:leader="none" w:pos="2920"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date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of such notice and certification request;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such automatic conversion pursuant to this subsection (ii) shall occur in the case of a Class B Stockholder or its Permitted Transferees that furnishes a certification satisfactory to the Corporation prior to the specified date.</w:t>
      </w:r>
    </w:p>
    <w:p>
      <w:pPr>
        <w:spacing w:after="0" w:line="126" w:lineRule="exact"/>
        <w:rPr>
          <w:rFonts w:ascii="Times New Roman" w:cs="Times New Roman" w:eastAsia="Times New Roman" w:hAnsi="Times New Roman"/>
          <w:sz w:val="17"/>
          <w:szCs w:val="17"/>
          <w:color w:val="auto"/>
        </w:rPr>
      </w:pPr>
    </w:p>
    <w:p>
      <w:pPr>
        <w:jc w:val="both"/>
        <w:ind w:left="-60" w:right="120" w:firstLine="1791"/>
        <w:spacing w:after="0" w:line="256" w:lineRule="auto"/>
        <w:tabs>
          <w:tab w:leader="none" w:pos="2326"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Upon Death or Incapacity of a Class B Stockholder</w:t>
      </w:r>
      <w:r>
        <w:rPr>
          <w:rFonts w:ascii="Times New Roman" w:cs="Times New Roman" w:eastAsia="Times New Roman" w:hAnsi="Times New Roman"/>
          <w:sz w:val="17"/>
          <w:szCs w:val="17"/>
          <w:color w:val="auto"/>
        </w:rPr>
        <w:t>. Each share of Class B Common Stock held of record by a Class B Stockholder who is a natural person, or by such Class B Stockholder’s Permitted Transferees, shall automatically, without any further action, convert into one (1) share of Class A Common Stock upon the death or Incapacity of such Class B Stockholder.</w:t>
      </w:r>
    </w:p>
    <w:p>
      <w:pPr>
        <w:spacing w:after="0" w:line="117" w:lineRule="exact"/>
        <w:rPr>
          <w:rFonts w:ascii="Times New Roman" w:cs="Times New Roman" w:eastAsia="Times New Roman" w:hAnsi="Times New Roman"/>
          <w:sz w:val="17"/>
          <w:szCs w:val="17"/>
          <w:color w:val="auto"/>
        </w:rPr>
      </w:pPr>
    </w:p>
    <w:p>
      <w:pPr>
        <w:ind w:left="-60" w:right="60" w:firstLine="1791"/>
        <w:spacing w:after="0" w:line="254" w:lineRule="auto"/>
        <w:tabs>
          <w:tab w:leader="none" w:pos="2323"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Automatic Conversion of Founder Shares Upon Termination</w:t>
      </w:r>
      <w:r>
        <w:rPr>
          <w:rFonts w:ascii="Times New Roman" w:cs="Times New Roman" w:eastAsia="Times New Roman" w:hAnsi="Times New Roman"/>
          <w:sz w:val="17"/>
          <w:szCs w:val="17"/>
          <w:color w:val="auto"/>
        </w:rPr>
        <w:t>. In the event that co-founder James Reinhart (the “</w:t>
      </w:r>
      <w:r>
        <w:rPr>
          <w:rFonts w:ascii="Times New Roman" w:cs="Times New Roman" w:eastAsia="Times New Roman" w:hAnsi="Times New Roman"/>
          <w:sz w:val="17"/>
          <w:szCs w:val="17"/>
          <w:b w:val="1"/>
          <w:bCs w:val="1"/>
          <w:color w:val="auto"/>
        </w:rPr>
        <w:t>Founder</w:t>
      </w:r>
      <w:r>
        <w:rPr>
          <w:rFonts w:ascii="Times New Roman" w:cs="Times New Roman" w:eastAsia="Times New Roman" w:hAnsi="Times New Roman"/>
          <w:sz w:val="17"/>
          <w:szCs w:val="17"/>
          <w:color w:val="auto"/>
        </w:rPr>
        <w:t>”) is terminated or resigns from his position as Chief Executive Officer of the Corporation (the “</w:t>
      </w:r>
      <w:r>
        <w:rPr>
          <w:rFonts w:ascii="Times New Roman" w:cs="Times New Roman" w:eastAsia="Times New Roman" w:hAnsi="Times New Roman"/>
          <w:sz w:val="17"/>
          <w:szCs w:val="17"/>
          <w:b w:val="1"/>
          <w:bCs w:val="1"/>
          <w:color w:val="auto"/>
        </w:rPr>
        <w:t>Founder Departure</w:t>
      </w:r>
      <w:r>
        <w:rPr>
          <w:rFonts w:ascii="Times New Roman" w:cs="Times New Roman" w:eastAsia="Times New Roman" w:hAnsi="Times New Roman"/>
          <w:sz w:val="17"/>
          <w:szCs w:val="17"/>
          <w:color w:val="auto"/>
        </w:rPr>
        <w:t>”), each share of Class B Common Stock held of record by the Founder, or by the Founder’s Permitted Transferees, shall automatically, without any further action, convert into one (1) share of Class A Common Stock the day following the Founder Departure.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40"/>
          </w:cols>
          <w:pgMar w:left="380" w:top="1318" w:right="379" w:bottom="1440" w:gutter="0" w:footer="0" w:header="0"/>
        </w:sectPr>
      </w:pPr>
    </w:p>
    <w:bookmarkStart w:id="324" w:name="page325"/>
    <w:bookmarkEnd w:id="324"/>
    <w:p>
      <w:pPr>
        <w:ind w:right="380" w:firstLine="1791"/>
        <w:spacing w:after="0" w:line="256" w:lineRule="auto"/>
        <w:tabs>
          <w:tab w:leader="none" w:pos="2386"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Automatic Conversion of All Outstanding Class B Common Stock</w:t>
      </w:r>
      <w:r>
        <w:rPr>
          <w:rFonts w:ascii="Times New Roman" w:cs="Times New Roman" w:eastAsia="Times New Roman" w:hAnsi="Times New Roman"/>
          <w:sz w:val="17"/>
          <w:szCs w:val="17"/>
          <w:color w:val="auto"/>
        </w:rPr>
        <w:t>. Each one (1) share of Class B Common Stock shall automatically, without any further action, convert into one (1) share of Class A Common Stock upon the date specified by affirmative vote of the holders of at least sixty-six and two-thirds percent (66-2/3%) of the outstanding shares of Class B Common Stock, voting as a single class.</w:t>
      </w:r>
    </w:p>
    <w:p>
      <w:pPr>
        <w:spacing w:after="0" w:line="121" w:lineRule="exact"/>
        <w:rPr>
          <w:rFonts w:ascii="Times New Roman" w:cs="Times New Roman" w:eastAsia="Times New Roman" w:hAnsi="Times New Roman"/>
          <w:sz w:val="17"/>
          <w:szCs w:val="17"/>
          <w:color w:val="auto"/>
        </w:rPr>
      </w:pPr>
    </w:p>
    <w:p>
      <w:pPr>
        <w:ind w:firstLine="1791"/>
        <w:spacing w:after="0" w:line="250" w:lineRule="auto"/>
        <w:tabs>
          <w:tab w:leader="none" w:pos="2381"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Final Conversion of Class B Common Stock</w:t>
      </w:r>
      <w:r>
        <w:rPr>
          <w:rFonts w:ascii="Times New Roman" w:cs="Times New Roman" w:eastAsia="Times New Roman" w:hAnsi="Times New Roman"/>
          <w:sz w:val="17"/>
          <w:szCs w:val="17"/>
          <w:color w:val="auto"/>
        </w:rPr>
        <w:t>. On the Final Conversion Date, each one (1) outstanding share of Class B Common Stock shall automatically, without any further action, convert into one (1) share of Class A Common Stock. Following such conversion, the reissuance of all shares of Class B Common Stock shall be prohibited, and such shares shall be retired and cancelled in accordance with Section 243 of the DGCL and the filing by the Secretary of State of the State of Delaware required thereby, and upon such retirement and cancellation, all references to Class B Common Stock in this Amended and Restated Certificate of Incorporation shall be eliminated.</w:t>
      </w:r>
    </w:p>
    <w:p>
      <w:pPr>
        <w:spacing w:after="0" w:line="126" w:lineRule="exact"/>
        <w:rPr>
          <w:rFonts w:ascii="Times New Roman" w:cs="Times New Roman" w:eastAsia="Times New Roman" w:hAnsi="Times New Roman"/>
          <w:sz w:val="17"/>
          <w:szCs w:val="17"/>
          <w:color w:val="auto"/>
        </w:rPr>
      </w:pPr>
    </w:p>
    <w:p>
      <w:pPr>
        <w:ind w:right="80" w:firstLine="1791"/>
        <w:spacing w:after="0" w:line="249" w:lineRule="auto"/>
        <w:tabs>
          <w:tab w:leader="none" w:pos="2383"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Procedures</w:t>
      </w:r>
      <w:r>
        <w:rPr>
          <w:rFonts w:ascii="Times New Roman" w:cs="Times New Roman" w:eastAsia="Times New Roman" w:hAnsi="Times New Roman"/>
          <w:sz w:val="17"/>
          <w:szCs w:val="17"/>
          <w:color w:val="auto"/>
        </w:rPr>
        <w:t>. The Corporation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necessary or advisable, and may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Secretary of the Corporation that a Transfer results in a conversion to Class A Common Stock shall be conclusive and binding.</w:t>
      </w:r>
    </w:p>
    <w:p>
      <w:pPr>
        <w:spacing w:after="0" w:line="127" w:lineRule="exact"/>
        <w:rPr>
          <w:rFonts w:ascii="Times New Roman" w:cs="Times New Roman" w:eastAsia="Times New Roman" w:hAnsi="Times New Roman"/>
          <w:sz w:val="17"/>
          <w:szCs w:val="17"/>
          <w:color w:val="auto"/>
        </w:rPr>
      </w:pPr>
    </w:p>
    <w:p>
      <w:pPr>
        <w:ind w:right="40" w:firstLine="1791"/>
        <w:spacing w:after="0" w:line="247" w:lineRule="auto"/>
        <w:tabs>
          <w:tab w:leader="none" w:pos="2383"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Immediate Effect of Conversion</w:t>
      </w:r>
      <w:r>
        <w:rPr>
          <w:rFonts w:ascii="Times New Roman" w:cs="Times New Roman" w:eastAsia="Times New Roman" w:hAnsi="Times New Roman"/>
          <w:sz w:val="17"/>
          <w:szCs w:val="17"/>
          <w:color w:val="auto"/>
        </w:rPr>
        <w:t>. In the event of a conversion of shares of Class B Common Stock to shares of Class A Common Stock pursuant to this Section D.3, such conversion(s) shall be deemed to have been made at the time that the Corporation’s transfer agent receives the written notice required, the time that the Transfer of such shares occurred, the death or Incapacity of the Class B Stockholder or immediately upon the Final Conversion Date, as applicable. Upon any conversion of Class B Common Stock to Class A Common Stock, all rights of the holder of such shares of Class B Common Stock shall cease and the person or persons in whose names or names the certificate or certificates (or book-entry position(s) representing the shares of Class B Common Stock) are to be issued shall be treated for all purposes as having become the record holder or holders of such number of shares of Class A Common Stock into which such shares of Class B Common Stock were convertible. Shares of Class B Common Stock that are converted into shares of Class A Common Stock as provided in this Section D.3 shall be retired and shall not be reissued.</w:t>
      </w:r>
    </w:p>
    <w:p>
      <w:pPr>
        <w:spacing w:after="0" w:line="132" w:lineRule="exact"/>
        <w:rPr>
          <w:rFonts w:ascii="Times New Roman" w:cs="Times New Roman" w:eastAsia="Times New Roman" w:hAnsi="Times New Roman"/>
          <w:sz w:val="17"/>
          <w:szCs w:val="17"/>
          <w:color w:val="auto"/>
        </w:rPr>
      </w:pPr>
    </w:p>
    <w:p>
      <w:pPr>
        <w:ind w:right="60" w:firstLine="1791"/>
        <w:spacing w:after="0" w:line="256" w:lineRule="auto"/>
        <w:tabs>
          <w:tab w:leader="none" w:pos="2384"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Stock</w:t>
      </w:r>
      <w:r>
        <w:rPr>
          <w:rFonts w:ascii="Times New Roman" w:cs="Times New Roman" w:eastAsia="Times New Roman" w:hAnsi="Times New Roman"/>
          <w:sz w:val="17"/>
          <w:szCs w:val="17"/>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121" w:lineRule="exact"/>
        <w:rPr>
          <w:rFonts w:ascii="Times New Roman" w:cs="Times New Roman" w:eastAsia="Times New Roman" w:hAnsi="Times New Roman"/>
          <w:sz w:val="17"/>
          <w:szCs w:val="17"/>
          <w:color w:val="auto"/>
        </w:rPr>
      </w:pPr>
    </w:p>
    <w:p>
      <w:pPr>
        <w:ind w:right="20" w:firstLine="1194"/>
        <w:spacing w:after="0" w:line="252" w:lineRule="auto"/>
        <w:tabs>
          <w:tab w:leader="none" w:pos="1785"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Further Issuances</w:t>
      </w:r>
      <w:r>
        <w:rPr>
          <w:rFonts w:ascii="Times New Roman" w:cs="Times New Roman" w:eastAsia="Times New Roman" w:hAnsi="Times New Roman"/>
          <w:sz w:val="17"/>
          <w:szCs w:val="17"/>
          <w:color w:val="auto"/>
        </w:rPr>
        <w:t xml:space="preserve">. Except for the issuance of Class B Common Stock issuable upon exercise of Rights outstanding at the IPO Time or a dividend payable in accordance with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Section D.2(a), the Corporation shall not at any time after the IPO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010000"/>
        </w:rPr>
        <w:t>ARTICLE V</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xml:space="preserve">The following terms, where capitalized in this Amended and Restated Certificate of Incorporation, shall have the meanings ascribed to them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right="280" w:firstLine="59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20"/>
          </w:cols>
          <w:pgMar w:left="320" w:top="1317" w:right="359" w:bottom="1440" w:gutter="0" w:footer="0" w:header="0"/>
        </w:sectPr>
      </w:pPr>
    </w:p>
    <w:bookmarkStart w:id="325" w:name="page326"/>
    <w:bookmarkEnd w:id="325"/>
    <w:p>
      <w:pPr>
        <w:ind w:right="80"/>
        <w:spacing w:after="0" w:line="269" w:lineRule="auto"/>
        <w:rPr>
          <w:sz w:val="20"/>
          <w:szCs w:val="20"/>
          <w:color w:val="auto"/>
        </w:rPr>
      </w:pPr>
      <w:r>
        <w:rPr>
          <w:rFonts w:ascii="Times New Roman" w:cs="Times New Roman" w:eastAsia="Times New Roman" w:hAnsi="Times New Roman"/>
          <w:sz w:val="17"/>
          <w:szCs w:val="17"/>
          <w:color w:val="auto"/>
        </w:rPr>
        <w:t>one or more general partners or managing members of, or is under common investment management (or shares the same management, advisory company or investment advisor) with, such person.</w:t>
      </w:r>
    </w:p>
    <w:p>
      <w:pPr>
        <w:spacing w:after="0" w:line="105" w:lineRule="exact"/>
        <w:rPr>
          <w:sz w:val="20"/>
          <w:szCs w:val="20"/>
          <w:color w:val="auto"/>
        </w:rPr>
      </w:pPr>
    </w:p>
    <w:p>
      <w:pPr>
        <w:ind w:right="40" w:firstLine="597"/>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 Share Issuance</w:t>
      </w:r>
      <w:r>
        <w:rPr>
          <w:rFonts w:ascii="Times New Roman" w:cs="Times New Roman" w:eastAsia="Times New Roman" w:hAnsi="Times New Roman"/>
          <w:sz w:val="17"/>
          <w:szCs w:val="17"/>
          <w:color w:val="auto"/>
        </w:rPr>
        <w:t>” means the issuance by the Corporation, in a transaction or series of related transactions, of voting securities representing more than two percent (2%) of the total voting power (assuming Class A Common Stock and Class B Common Stock each have one (1) vote per share) of the Corporation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Corporation (assuming Class A Common Stock and Class B Common Stock each have one (1) vote per share).</w:t>
      </w:r>
    </w:p>
    <w:p>
      <w:pPr>
        <w:spacing w:after="0" w:line="123"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of Control Transaction</w:t>
      </w:r>
      <w:r>
        <w:rPr>
          <w:rFonts w:ascii="Times New Roman" w:cs="Times New Roman" w:eastAsia="Times New Roman" w:hAnsi="Times New Roman"/>
          <w:sz w:val="16"/>
          <w:szCs w:val="16"/>
          <w:color w:val="auto"/>
        </w:rPr>
        <w:t xml:space="preserve">” means (i) the sale, lease, exclusive license, exchange, or other disposition (other than liens and encumbrances created in the ordinary course of business, including liens or encumbrances to secure indebtedness for borrowed money that are approved by the Corporation’s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any sale, lease, exclusive license, exchange or other disposition of property or assets exclusively between or among the Corporation and any direct or indirect subsidiary or subsidiaries of the Corporation shall not be deemed a “</w:t>
      </w: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Control Transaction</w:t>
      </w:r>
      <w:r>
        <w:rPr>
          <w:rFonts w:ascii="Times New Roman" w:cs="Times New Roman" w:eastAsia="Times New Roman" w:hAnsi="Times New Roman"/>
          <w:sz w:val="16"/>
          <w:szCs w:val="16"/>
          <w:color w:val="auto"/>
        </w:rPr>
        <w:t>”; (ii) the merger, consolidation, business combination, or other similar transaction of the Corporation with any other entity, other than a merger,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w:t>
      </w:r>
      <w:r>
        <w:rPr>
          <w:rFonts w:ascii="Times New Roman" w:cs="Times New Roman" w:eastAsia="Times New Roman" w:hAnsi="Times New Roman"/>
          <w:sz w:val="16"/>
          <w:szCs w:val="16"/>
          <w:i w:val="1"/>
          <w:iCs w:val="1"/>
          <w:color w:val="auto"/>
        </w:rPr>
        <w:t>and</w:t>
      </w:r>
      <w:r>
        <w:rPr>
          <w:rFonts w:ascii="Times New Roman" w:cs="Times New Roman" w:eastAsia="Times New Roman" w:hAnsi="Times New Roman"/>
          <w:sz w:val="16"/>
          <w:szCs w:val="16"/>
          <w:color w:val="auto"/>
        </w:rPr>
        <w:t xml:space="preserve">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immediately following the 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Times New Roman" w:cs="Times New Roman" w:eastAsia="Times New Roman" w:hAnsi="Times New Roman"/>
          <w:sz w:val="16"/>
          <w:szCs w:val="16"/>
          <w:i w:val="1"/>
          <w:iCs w:val="1"/>
          <w:color w:val="auto"/>
        </w:rPr>
        <w:t>and</w:t>
      </w:r>
      <w:r>
        <w:rPr>
          <w:rFonts w:ascii="Times New Roman" w:cs="Times New Roman" w:eastAsia="Times New Roman" w:hAnsi="Times New Roman"/>
          <w:sz w:val="16"/>
          <w:szCs w:val="16"/>
          <w:color w:val="auto"/>
        </w:rPr>
        <w:t xml:space="preserve">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 and (iv) any Change of Control Share Issuance.</w:t>
      </w:r>
    </w:p>
    <w:p>
      <w:pPr>
        <w:spacing w:after="0" w:line="313" w:lineRule="exact"/>
        <w:rPr>
          <w:sz w:val="20"/>
          <w:szCs w:val="20"/>
          <w:color w:val="auto"/>
        </w:rPr>
      </w:pPr>
    </w:p>
    <w:p>
      <w:pPr>
        <w:ind w:right="360" w:firstLine="59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B Stockholder</w:t>
      </w:r>
      <w:r>
        <w:rPr>
          <w:rFonts w:ascii="Times New Roman" w:cs="Times New Roman" w:eastAsia="Times New Roman" w:hAnsi="Times New Roman"/>
          <w:sz w:val="17"/>
          <w:szCs w:val="17"/>
          <w:color w:val="auto"/>
        </w:rPr>
        <w:t>” means (i) the registered holder of a share of Class B Common Stock at the IPO Time and (ii) the registered holder of any shares of Class B Common Stock that are originally issued by the Corporation after the IPO Time.</w:t>
      </w:r>
    </w:p>
    <w:p>
      <w:pPr>
        <w:spacing w:after="0" w:line="101" w:lineRule="exact"/>
        <w:rPr>
          <w:sz w:val="20"/>
          <w:szCs w:val="20"/>
          <w:color w:val="auto"/>
        </w:rPr>
      </w:pPr>
    </w:p>
    <w:p>
      <w:pPr>
        <w:ind w:right="320" w:firstLine="59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Distribution</w:t>
      </w:r>
      <w:r>
        <w:rPr>
          <w:rFonts w:ascii="Times New Roman" w:cs="Times New Roman" w:eastAsia="Times New Roman" w:hAnsi="Times New Roman"/>
          <w:sz w:val="17"/>
          <w:szCs w:val="17"/>
          <w:color w:val="auto"/>
        </w:rPr>
        <w:t>” means (i) any dividend or distribution of cash, property or shares of the Corporation’s capital stock; and (ii) any distribution following or in connection with any liquidation, dissolution or winding up of the Corporation, either voluntary or involuntary.</w:t>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United States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20"/>
          </w:cols>
          <w:pgMar w:left="320" w:top="1317" w:right="359" w:bottom="1440" w:gutter="0" w:footer="0" w:header="0"/>
        </w:sectPr>
      </w:pPr>
    </w:p>
    <w:bookmarkStart w:id="326" w:name="page327"/>
    <w:bookmarkEnd w:id="326"/>
    <w:p>
      <w:pPr>
        <w:ind w:right="220" w:firstLine="59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Final Conversion Date</w:t>
      </w:r>
      <w:r>
        <w:rPr>
          <w:rFonts w:ascii="Times New Roman" w:cs="Times New Roman" w:eastAsia="Times New Roman" w:hAnsi="Times New Roman"/>
          <w:sz w:val="17"/>
          <w:szCs w:val="17"/>
          <w:color w:val="auto"/>
        </w:rPr>
        <w:t>” means 5:00 p.m. in New York City, New York on the first Trading Day falling on or after the seventh (7th) year anniversary of the IPO Time.</w:t>
      </w:r>
    </w:p>
    <w:p>
      <w:pPr>
        <w:spacing w:after="0" w:line="101" w:lineRule="exact"/>
        <w:rPr>
          <w:sz w:val="20"/>
          <w:szCs w:val="20"/>
          <w:color w:val="auto"/>
        </w:rPr>
      </w:pPr>
    </w:p>
    <w:p>
      <w:pPr>
        <w:ind w:right="100" w:firstLine="597"/>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Incapacity</w:t>
      </w:r>
      <w:r>
        <w:rPr>
          <w:rFonts w:ascii="Times New Roman" w:cs="Times New Roman" w:eastAsia="Times New Roman" w:hAnsi="Times New Roman"/>
          <w:sz w:val="17"/>
          <w:szCs w:val="17"/>
          <w:color w:val="auto"/>
        </w:rPr>
        <w:t>” shall mean that such holder is incapable of managing such holder’s financial affairs under the criteria set forth in the applicable probate code that can be expected to result in death or which has lasted or can be expected to last for a continuous period of not less than six (6) months as determined by a licensed medical practitioner. In the event of a dispute regarding whether a Class B Stockholder has suffered an Incapacity, no Incapacity of such holder will be deemed to have occurred unless and until an affirmative ruling regarding such Incapacity has been made by a court of competent jurisdiction.</w:t>
      </w:r>
    </w:p>
    <w:p>
      <w:pPr>
        <w:spacing w:after="0" w:line="118" w:lineRule="exact"/>
        <w:rPr>
          <w:sz w:val="20"/>
          <w:szCs w:val="20"/>
          <w:color w:val="auto"/>
        </w:rPr>
      </w:pPr>
    </w:p>
    <w:p>
      <w:pPr>
        <w:ind w:right="200" w:firstLine="59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Independent Directors</w:t>
      </w:r>
      <w:r>
        <w:rPr>
          <w:rFonts w:ascii="Times New Roman" w:cs="Times New Roman" w:eastAsia="Times New Roman" w:hAnsi="Times New Roman"/>
          <w:sz w:val="16"/>
          <w:szCs w:val="16"/>
          <w:color w:val="auto"/>
        </w:rPr>
        <w:t>” means the members of the Board of Directors designated as independent directors in accordance with the requirements of the Securities Exchange that are generally applicable to companies with common equity securities listed thereon (or if the Corporation’s equity securities are not listed for trading on a Securities Exchange, the requirements of a Securities Exchange generally applicable to companies with common equity securities listed thereon).</w:t>
      </w:r>
    </w:p>
    <w:p>
      <w:pPr>
        <w:spacing w:after="0" w:line="96" w:lineRule="exact"/>
        <w:rPr>
          <w:sz w:val="20"/>
          <w:szCs w:val="20"/>
          <w:color w:val="auto"/>
        </w:rPr>
      </w:pPr>
    </w:p>
    <w:p>
      <w:pPr>
        <w:ind w:right="200" w:firstLine="59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IPO Time</w:t>
      </w:r>
      <w:r>
        <w:rPr>
          <w:rFonts w:ascii="Times New Roman" w:cs="Times New Roman" w:eastAsia="Times New Roman" w:hAnsi="Times New Roman"/>
          <w:sz w:val="17"/>
          <w:szCs w:val="17"/>
          <w:color w:val="auto"/>
        </w:rPr>
        <w:t>” means the closing of the Corporation’s sale of a class of its capital stock to the public pursuant to a registration statement on Form S-1 under the Securities Act.</w:t>
      </w:r>
    </w:p>
    <w:p>
      <w:pPr>
        <w:spacing w:after="0" w:line="101" w:lineRule="exact"/>
        <w:rPr>
          <w:sz w:val="20"/>
          <w:szCs w:val="20"/>
          <w:color w:val="auto"/>
        </w:rPr>
      </w:pPr>
    </w:p>
    <w:p>
      <w:pPr>
        <w:ind w:right="40" w:firstLine="59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w:t>
      </w:r>
      <w:r>
        <w:rPr>
          <w:rFonts w:ascii="Times New Roman" w:cs="Times New Roman" w:eastAsia="Times New Roman" w:hAnsi="Times New Roman"/>
          <w:sz w:val="17"/>
          <w:szCs w:val="17"/>
          <w:color w:val="auto"/>
        </w:rPr>
        <w:t>” means any option, warrant, restricted stock unit, conversion right or contractual right of any kind to acquire shares of the Corporation’s authorized but unissued capital stock.</w:t>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United States Securities Act of 1933, as amended.</w:t>
      </w:r>
    </w:p>
    <w:p>
      <w:pPr>
        <w:spacing w:after="0" w:line="153" w:lineRule="exact"/>
        <w:rPr>
          <w:sz w:val="20"/>
          <w:szCs w:val="20"/>
          <w:color w:val="auto"/>
        </w:rPr>
      </w:pPr>
    </w:p>
    <w:p>
      <w:pPr>
        <w:ind w:firstLine="59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Exchange</w:t>
      </w:r>
      <w:r>
        <w:rPr>
          <w:rFonts w:ascii="Times New Roman" w:cs="Times New Roman" w:eastAsia="Times New Roman" w:hAnsi="Times New Roman"/>
          <w:sz w:val="17"/>
          <w:szCs w:val="17"/>
          <w:color w:val="auto"/>
        </w:rPr>
        <w:t>” 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or any successor exchange of either the New York Stock Exchange or Nasdaq.</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any day on which the Securities Exchange is open for trading.</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of a share of Class B Common Stock shall mean, directly or indirectly, any sale, assignment, transfer, conveyance, hypothecation or other transfer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disposition of such share or any legal or beneficial interest in such share, whether or not for value and whether voluntary or involuntary or by operation of law.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shall also include, without limitation, (i) a transfer of a share of Class B Common Stock to a broker or other nominee (regardless of whether or not there is 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corresponding change in beneficial ownership) or (ii) the transfer of, or entering into a binding agreement with respect to, Voting Control over a share of Class B</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Common Stock by proxy or otherwise;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following shall not be considered a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(a) the grant of a proxy to officers or directors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at the request of the Board of Directors of the Corporation in connection with actions to be taken at an annual or special meeting of stockholders; (b)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pledge of shares of Class B Common Stock by a Class B Stockholder that creates a mere security interest in such shares pursuant to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loan or indebtedness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transaction so long as the Class B Stockholder continues to exercise Voting Control over such pledged shares;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 foreclosure on such shares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B Common Stock or other similar action by the pledge shall constitute a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(c) the fact that, as of the IPO Time or at any time after the IPO Time,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spouse of any Class B Stockholder possesses or obtains an interest in such holder’s shares of Class B Common Stock arising solely by reason of the application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community property laws of any jurisdiction, so long as no other event or circumstance shall exist or have occurred that constitutes a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of such shares of Class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 Common Stock; (d) entering into a trading plan pursuant to Rule 10b5-1 under the Exchange Act with a broker or other nominee;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sale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shares of Class B Common Stock pursuant to such plan shall constitute a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at the time of such sale; or (e) entering into a support, voting, tender or similar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agreement, arrangement or understanding (with or without granting a proxy) in connection with a Change of Control Transaction;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such Change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Control Transaction was approved by a majority of the Independent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13" w:right="339" w:bottom="1440" w:gutter="0" w:footer="0" w:header="0"/>
        </w:sectPr>
      </w:pPr>
    </w:p>
    <w:bookmarkStart w:id="327" w:name="page328"/>
    <w:bookmarkEnd w:id="327"/>
    <w:p>
      <w:pPr>
        <w:ind w:right="180" w:firstLine="597"/>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Control</w:t>
      </w:r>
      <w:r>
        <w:rPr>
          <w:rFonts w:ascii="Times New Roman" w:cs="Times New Roman" w:eastAsia="Times New Roman" w:hAnsi="Times New Roman"/>
          <w:sz w:val="17"/>
          <w:szCs w:val="17"/>
          <w:color w:val="auto"/>
        </w:rPr>
        <w:t>” with respect to a share of Class B Common Stock means the exclusive power (whether directly or indirectly) to vote or direct the voting of such share of Class B Common Stock by proxy, voting agreement, or otherwise.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010000"/>
        </w:rPr>
        <w:t>ARTICLE VI</w:t>
      </w:r>
    </w:p>
    <w:p>
      <w:pPr>
        <w:spacing w:after="0" w:line="157" w:lineRule="exact"/>
        <w:rPr>
          <w:sz w:val="20"/>
          <w:szCs w:val="20"/>
          <w:color w:val="auto"/>
        </w:rPr>
      </w:pPr>
    </w:p>
    <w:p>
      <w:pPr>
        <w:ind w:left="1800" w:hanging="606"/>
        <w:spacing w:after="0"/>
        <w:tabs>
          <w:tab w:leader="none" w:pos="180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Powers</w:t>
      </w:r>
      <w:r>
        <w:rPr>
          <w:rFonts w:ascii="Times New Roman" w:cs="Times New Roman" w:eastAsia="Times New Roman" w:hAnsi="Times New Roman"/>
          <w:sz w:val="17"/>
          <w:szCs w:val="17"/>
          <w:color w:val="auto"/>
        </w:rPr>
        <w:t>. The business and affairs of the Corporation shall be managed by or under the direction of the Board of Directors.</w:t>
      </w:r>
    </w:p>
    <w:p>
      <w:pPr>
        <w:spacing w:after="0" w:line="152" w:lineRule="exact"/>
        <w:rPr>
          <w:rFonts w:ascii="Times New Roman" w:cs="Times New Roman" w:eastAsia="Times New Roman" w:hAnsi="Times New Roman"/>
          <w:sz w:val="17"/>
          <w:szCs w:val="17"/>
          <w:color w:val="auto"/>
        </w:rPr>
      </w:pPr>
    </w:p>
    <w:p>
      <w:pPr>
        <w:ind w:right="60" w:firstLine="1194"/>
        <w:spacing w:after="0" w:line="273" w:lineRule="auto"/>
        <w:tabs>
          <w:tab w:leader="none" w:pos="1782"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Directors; Election</w:t>
      </w:r>
      <w:r>
        <w:rPr>
          <w:rFonts w:ascii="Times New Roman" w:cs="Times New Roman" w:eastAsia="Times New Roman" w:hAnsi="Times New Roman"/>
          <w:sz w:val="16"/>
          <w:szCs w:val="16"/>
          <w:color w:val="auto"/>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such director’s successor has been duly elected and qualified or until such director’s earlier resignation, death or removal.</w:t>
      </w:r>
    </w:p>
    <w:p>
      <w:pPr>
        <w:spacing w:after="0" w:line="108" w:lineRule="exact"/>
        <w:rPr>
          <w:rFonts w:ascii="Times New Roman" w:cs="Times New Roman" w:eastAsia="Times New Roman" w:hAnsi="Times New Roman"/>
          <w:sz w:val="16"/>
          <w:szCs w:val="16"/>
          <w:color w:val="auto"/>
        </w:rPr>
      </w:pPr>
    </w:p>
    <w:p>
      <w:pPr>
        <w:ind w:firstLine="1194"/>
        <w:spacing w:after="0" w:line="247" w:lineRule="auto"/>
        <w:tabs>
          <w:tab w:leader="none" w:pos="1782"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Classified Board Structure</w:t>
      </w:r>
      <w:r>
        <w:rPr>
          <w:rFonts w:ascii="Times New Roman" w:cs="Times New Roman" w:eastAsia="Times New Roman" w:hAnsi="Times New Roman"/>
          <w:sz w:val="17"/>
          <w:szCs w:val="17"/>
          <w:color w:val="auto"/>
        </w:rPr>
        <w:t>. From and after the IPO Time, and subject to the rights of holders of any series of Preferred Stock with respect to the election of directors, the directors of the Corporation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regularly-scheduled annual meeting of stockholders following the IPO Time, the term of office of the initial Class II directors shall expire at the second annual meeting of stockholders following the IPO Time and the term of office of the initial Class III directors shall expire at the third annual meeting of stockholders following the IPO Time. At each annual meeting of stockholders, commencing with the first regularly-scheduled annual meeting of stockholders following the IPO Time, each of the successors elected to replace the directors of a Class whose term shall have expired at such annual meeting shall be elected to hold office until the third annual meeting next succeeding such director’s election and until such director’s respective successor shall have been duly elected and qualified.</w:t>
      </w:r>
    </w:p>
    <w:p>
      <w:pPr>
        <w:spacing w:after="0" w:line="131" w:lineRule="exact"/>
        <w:rPr>
          <w:sz w:val="20"/>
          <w:szCs w:val="20"/>
          <w:color w:val="auto"/>
        </w:rPr>
      </w:pPr>
    </w:p>
    <w:p>
      <w:pPr>
        <w:ind w:right="160" w:firstLine="597"/>
        <w:spacing w:after="0" w:line="250" w:lineRule="auto"/>
        <w:rPr>
          <w:sz w:val="20"/>
          <w:szCs w:val="20"/>
          <w:color w:val="auto"/>
        </w:rPr>
      </w:pPr>
      <w:r>
        <w:rPr>
          <w:rFonts w:ascii="Times New Roman" w:cs="Times New Roman" w:eastAsia="Times New Roman" w:hAnsi="Times New Roman"/>
          <w:sz w:val="17"/>
          <w:szCs w:val="17"/>
          <w:color w:val="auto"/>
        </w:rPr>
        <w:t xml:space="preserve">Notwithstanding the foregoing provisions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each director shall serve until such director’s successor is duly elected and qualified or until such director’s death, resignation, or removal. Subject to the rights of holders of any series of Preferred Stock with respect to the election of directors, if the number of directors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127" w:lineRule="exact"/>
        <w:rPr>
          <w:sz w:val="20"/>
          <w:szCs w:val="20"/>
          <w:color w:val="auto"/>
        </w:rPr>
      </w:pPr>
    </w:p>
    <w:p>
      <w:pPr>
        <w:ind w:firstLine="1194"/>
        <w:spacing w:after="0" w:line="249" w:lineRule="auto"/>
        <w:tabs>
          <w:tab w:leader="none" w:pos="1791"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 Vacancies</w:t>
      </w:r>
      <w:r>
        <w:rPr>
          <w:rFonts w:ascii="Times New Roman" w:cs="Times New Roman" w:eastAsia="Times New Roman" w:hAnsi="Times New Roman"/>
          <w:sz w:val="17"/>
          <w:szCs w:val="17"/>
          <w:color w:val="auto"/>
        </w:rPr>
        <w:t xml:space="preserve">. Subject to the rights of holders of any series of Preferred Stock with respect to the election of directors, for so long as the Board of Directors is divided into classes pursuant to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Section C, any director may be removed from office by the stockholders of the Corporation only for cause.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such director’s successor shall be duly elected and qualified.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010000"/>
        </w:rPr>
        <w:t>ARTICLE VII</w:t>
      </w:r>
    </w:p>
    <w:p>
      <w:pPr>
        <w:spacing w:after="0" w:line="153" w:lineRule="exact"/>
        <w:rPr>
          <w:sz w:val="20"/>
          <w:szCs w:val="20"/>
          <w:color w:val="auto"/>
        </w:rPr>
      </w:pPr>
    </w:p>
    <w:p>
      <w:pPr>
        <w:ind w:left="1800" w:hanging="606"/>
        <w:spacing w:after="0"/>
        <w:tabs>
          <w:tab w:leader="none" w:pos="18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Written Ballot</w:t>
      </w:r>
      <w:r>
        <w:rPr>
          <w:rFonts w:ascii="Times New Roman" w:cs="Times New Roman" w:eastAsia="Times New Roman" w:hAnsi="Times New Roman"/>
          <w:sz w:val="17"/>
          <w:szCs w:val="17"/>
          <w:color w:val="auto"/>
        </w:rPr>
        <w:t>. Elections of directors need not be by written ballot unless the Bylaws of the Corporation (the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shall so provide.</w:t>
      </w:r>
    </w:p>
    <w:p>
      <w:pPr>
        <w:spacing w:after="0" w:line="156" w:lineRule="exact"/>
        <w:rPr>
          <w:rFonts w:ascii="Times New Roman" w:cs="Times New Roman" w:eastAsia="Times New Roman" w:hAnsi="Times New Roman"/>
          <w:sz w:val="17"/>
          <w:szCs w:val="17"/>
          <w:color w:val="auto"/>
        </w:rPr>
      </w:pPr>
    </w:p>
    <w:p>
      <w:pPr>
        <w:ind w:right="60" w:firstLine="1194"/>
        <w:spacing w:after="0" w:line="269" w:lineRule="auto"/>
        <w:tabs>
          <w:tab w:leader="none" w:pos="1782"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Bylaws</w:t>
      </w:r>
      <w:r>
        <w:rPr>
          <w:rFonts w:ascii="Times New Roman" w:cs="Times New Roman" w:eastAsia="Times New Roman" w:hAnsi="Times New Roman"/>
          <w:sz w:val="17"/>
          <w:szCs w:val="17"/>
          <w:color w:val="auto"/>
        </w:rPr>
        <w:t>. In furtherance and not in limitation of the powers conferred by statute, the Board of Directors is expressly authorized to adopt, amend or repeal the Bylaws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20"/>
          </w:cols>
          <w:pgMar w:left="320" w:top="1313" w:right="359" w:bottom="1440" w:gutter="0" w:footer="0" w:header="0"/>
        </w:sectPr>
      </w:pPr>
    </w:p>
    <w:bookmarkStart w:id="328" w:name="page329"/>
    <w:bookmarkEnd w:id="328"/>
    <w:p>
      <w:pPr>
        <w:ind w:right="20" w:firstLine="1194"/>
        <w:spacing w:after="0" w:line="256" w:lineRule="auto"/>
        <w:tabs>
          <w:tab w:leader="none" w:pos="1782"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stockholders may be called only by (i) the Board of Directors pursuant to a resolution adopted by a majority of the Board of Directors; (ii) the chairman of the Board of Directors; (iii) the chief executive officer of the Corporation; or (iv) the president of the Corporation.</w:t>
      </w:r>
    </w:p>
    <w:p>
      <w:pPr>
        <w:spacing w:after="0" w:line="121" w:lineRule="exact"/>
        <w:rPr>
          <w:rFonts w:ascii="Times New Roman" w:cs="Times New Roman" w:eastAsia="Times New Roman" w:hAnsi="Times New Roman"/>
          <w:sz w:val="17"/>
          <w:szCs w:val="17"/>
          <w:color w:val="auto"/>
        </w:rPr>
      </w:pPr>
    </w:p>
    <w:p>
      <w:pPr>
        <w:ind w:right="60" w:firstLine="1194"/>
        <w:spacing w:after="0" w:line="256" w:lineRule="auto"/>
        <w:tabs>
          <w:tab w:leader="none" w:pos="1791"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Stockholder Action by Written Consent</w:t>
      </w:r>
      <w:r>
        <w:rPr>
          <w:rFonts w:ascii="Times New Roman" w:cs="Times New Roman" w:eastAsia="Times New Roman" w:hAnsi="Times New Roman"/>
          <w:sz w:val="17"/>
          <w:szCs w:val="17"/>
          <w:color w:val="auto"/>
        </w:rPr>
        <w:t>. Subject to the rights of the holders of any series of Preferred Stock, no action shall be taken by the stockholders of the Corporation except at an annual or special meeting of the stockholders called in accordance with the Bylaws, and no action shall be taken by the stockholders by written consent.</w:t>
      </w:r>
    </w:p>
    <w:p>
      <w:pPr>
        <w:spacing w:after="0" w:line="121" w:lineRule="exact"/>
        <w:rPr>
          <w:rFonts w:ascii="Times New Roman" w:cs="Times New Roman" w:eastAsia="Times New Roman" w:hAnsi="Times New Roman"/>
          <w:sz w:val="17"/>
          <w:szCs w:val="17"/>
          <w:color w:val="auto"/>
        </w:rPr>
      </w:pPr>
    </w:p>
    <w:p>
      <w:pPr>
        <w:ind w:left="1780" w:hanging="586"/>
        <w:spacing w:after="0"/>
        <w:tabs>
          <w:tab w:leader="none" w:pos="178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Cumulative Voting</w:t>
      </w:r>
      <w:r>
        <w:rPr>
          <w:rFonts w:ascii="Times New Roman" w:cs="Times New Roman" w:eastAsia="Times New Roman" w:hAnsi="Times New Roman"/>
          <w:sz w:val="17"/>
          <w:szCs w:val="17"/>
          <w:color w:val="auto"/>
        </w:rPr>
        <w:t>. No stockholder will be permitted to cumulate votes at any election of directors.</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010000"/>
        </w:rPr>
        <w:t>ARTICLE VIII</w:t>
      </w:r>
    </w:p>
    <w:p>
      <w:pPr>
        <w:spacing w:after="0" w:line="157" w:lineRule="exact"/>
        <w:rPr>
          <w:sz w:val="20"/>
          <w:szCs w:val="20"/>
          <w:color w:val="auto"/>
        </w:rPr>
      </w:pPr>
    </w:p>
    <w:p>
      <w:pPr>
        <w:ind w:right="180" w:firstLine="597"/>
        <w:spacing w:after="0" w:line="252" w:lineRule="auto"/>
        <w:rPr>
          <w:sz w:val="20"/>
          <w:szCs w:val="20"/>
          <w:color w:val="auto"/>
        </w:rPr>
      </w:pPr>
      <w:r>
        <w:rPr>
          <w:rFonts w:ascii="Times New Roman" w:cs="Times New Roman" w:eastAsia="Times New Roman" w:hAnsi="Times New Roman"/>
          <w:sz w:val="17"/>
          <w:szCs w:val="17"/>
          <w:color w:val="auto"/>
        </w:rPr>
        <w:t>To the fullest extent permitted by the DGCL, as it presently exists or may hereafter be amended from time to time, a director of the Corporation shall not be personally liable to the Corporation or its stockholders for monetary damages for breach of any fiduciary duties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25" w:lineRule="exact"/>
        <w:rPr>
          <w:sz w:val="20"/>
          <w:szCs w:val="20"/>
          <w:color w:val="auto"/>
        </w:rPr>
      </w:pPr>
    </w:p>
    <w:p>
      <w:pPr>
        <w:ind w:right="180" w:firstLine="597"/>
        <w:spacing w:after="0" w:line="256" w:lineRule="auto"/>
        <w:rPr>
          <w:sz w:val="20"/>
          <w:szCs w:val="20"/>
          <w:color w:val="auto"/>
        </w:rPr>
      </w:pPr>
      <w:r>
        <w:rPr>
          <w:rFonts w:ascii="Times New Roman" w:cs="Times New Roman" w:eastAsia="Times New Roman" w:hAnsi="Times New Roman"/>
          <w:sz w:val="17"/>
          <w:szCs w:val="17"/>
          <w:color w:val="auto"/>
        </w:rPr>
        <w:t xml:space="preserve">Neither any amendment nor repeal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nor the adoption of any provision of the Corporation’s Amended Certificate of Incorporation inconsistent with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eliminate or reduce the effect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in respect of any matter occurring, or any cause of action, suit or proceeding accruing or arising or that, but for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would accrue or arise, prior to such amendment, repeal or adoption of an inconsistent provision.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010000"/>
        </w:rPr>
        <w:t>ARTICLE IX</w:t>
      </w:r>
    </w:p>
    <w:p>
      <w:pPr>
        <w:spacing w:after="0" w:line="157" w:lineRule="exact"/>
        <w:rPr>
          <w:sz w:val="20"/>
          <w:szCs w:val="20"/>
          <w:color w:val="auto"/>
        </w:rPr>
      </w:pPr>
    </w:p>
    <w:p>
      <w:pPr>
        <w:ind w:right="20" w:firstLine="597"/>
        <w:spacing w:after="0" w:line="268" w:lineRule="auto"/>
        <w:rPr>
          <w:sz w:val="20"/>
          <w:szCs w:val="20"/>
          <w:color w:val="auto"/>
        </w:rPr>
      </w:pPr>
      <w:r>
        <w:rPr>
          <w:rFonts w:ascii="Times New Roman" w:cs="Times New Roman" w:eastAsia="Times New Roman" w:hAnsi="Times New Roman"/>
          <w:sz w:val="16"/>
          <w:szCs w:val="16"/>
          <w:color w:val="auto"/>
        </w:rPr>
        <w:t>Subject to any provisions in the Bylaws of the Corporation related to indemnification of directors or officers of the Corporation,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6"/>
          <w:szCs w:val="16"/>
          <w:b w:val="1"/>
          <w:bCs w:val="1"/>
          <w:color w:val="auto"/>
        </w:rPr>
        <w:t>Proceeding</w:t>
      </w:r>
      <w:r>
        <w:rPr>
          <w:rFonts w:ascii="Times New Roman" w:cs="Times New Roman" w:eastAsia="Times New Roman" w:hAnsi="Times New Roman"/>
          <w:sz w:val="16"/>
          <w:szCs w:val="16"/>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11"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27"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A right to indemnification or to advancement of expenses arising under a provision of this Amended and Restated Certificate of Incorporation or the Bylaws of the Corporation shall not be eliminated or impaired by an amendment to this Amended and Restated Certificate of Incorporation or the Bylaws of the Corporation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25" w:lineRule="exact"/>
        <w:rPr>
          <w:sz w:val="20"/>
          <w:szCs w:val="20"/>
          <w:color w:val="auto"/>
        </w:rPr>
      </w:pPr>
    </w:p>
    <w:p>
      <w:pPr>
        <w:ind w:right="20" w:firstLine="597"/>
        <w:spacing w:after="0" w:line="256" w:lineRule="auto"/>
        <w:rPr>
          <w:sz w:val="20"/>
          <w:szCs w:val="20"/>
          <w:color w:val="auto"/>
        </w:rPr>
      </w:pPr>
      <w:r>
        <w:rPr>
          <w:rFonts w:ascii="Times New Roman" w:cs="Times New Roman" w:eastAsia="Times New Roman" w:hAnsi="Times New Roman"/>
          <w:sz w:val="17"/>
          <w:szCs w:val="17"/>
          <w:color w:val="auto"/>
        </w:rPr>
        <w:t>A right to indemnification or to advancement of expenses arising under a provision of this Amended and Restated Certificate of Incorporation or the Bylaws of the Corporation shall not be deemed exclusive of any other rights to which those seeking indemnification or advancement of expenses may be entitled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180"/>
          </w:cols>
          <w:pgMar w:left="320" w:top="1317" w:right="399" w:bottom="1440" w:gutter="0" w:footer="0" w:header="0"/>
        </w:sectPr>
      </w:pPr>
    </w:p>
    <w:bookmarkStart w:id="329" w:name="page330"/>
    <w:bookmarkEnd w:id="329"/>
    <w:p>
      <w:pPr>
        <w:ind w:right="40"/>
        <w:spacing w:after="0" w:line="256" w:lineRule="auto"/>
        <w:rPr>
          <w:sz w:val="20"/>
          <w:szCs w:val="20"/>
          <w:color w:val="auto"/>
        </w:rPr>
      </w:pPr>
      <w:r>
        <w:rPr>
          <w:rFonts w:ascii="Times New Roman" w:cs="Times New Roman" w:eastAsia="Times New Roman" w:hAnsi="Times New Roman"/>
          <w:sz w:val="17"/>
          <w:szCs w:val="17"/>
          <w:color w:val="auto"/>
        </w:rPr>
        <w:t>or under any statute, bylaw, agreement, vote of stockholders or disinterested directors or otherwise, both as to action in such person’s official capacity and as to action in any 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010000"/>
        </w:rPr>
        <w:t>ARTICLE X</w:t>
      </w:r>
    </w:p>
    <w:p>
      <w:pPr>
        <w:spacing w:after="0" w:line="157" w:lineRule="exact"/>
        <w:rPr>
          <w:sz w:val="20"/>
          <w:szCs w:val="20"/>
          <w:color w:val="auto"/>
        </w:rPr>
      </w:pPr>
    </w:p>
    <w:p>
      <w:pPr>
        <w:ind w:right="80" w:firstLine="597"/>
        <w:spacing w:after="0" w:line="249" w:lineRule="auto"/>
        <w:rPr>
          <w:sz w:val="20"/>
          <w:szCs w:val="20"/>
          <w:color w:val="auto"/>
        </w:rPr>
      </w:pPr>
      <w:r>
        <w:rPr>
          <w:rFonts w:ascii="Times New Roman" w:cs="Times New Roman" w:eastAsia="Times New Roman" w:hAnsi="Times New Roman"/>
          <w:sz w:val="17"/>
          <w:szCs w:val="17"/>
          <w:color w:val="auto"/>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of Incorporation shall be enforceable in accordance with its terms.</w:t>
      </w:r>
    </w:p>
    <w:p>
      <w:pPr>
        <w:spacing w:after="0" w:line="127"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above,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Amended and Restated Certificate of Incorporation inconsistent with,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20"/>
          </w:cols>
          <w:pgMar w:left="320" w:top="1317" w:right="359" w:bottom="1440" w:gutter="0" w:footer="0" w:header="0"/>
        </w:sectPr>
      </w:pPr>
    </w:p>
    <w:bookmarkStart w:id="330" w:name="page331"/>
    <w:bookmarkEnd w:id="330"/>
    <w:p>
      <w:pPr>
        <w:ind w:firstLine="597"/>
        <w:spacing w:after="0" w:line="274"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Amended and Restated Certificate of Incorporation has been signed on behalf of the Corporation by its duly authorized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this ___ day of _____________, 2021.</w:t>
      </w:r>
    </w:p>
    <w:p>
      <w:pPr>
        <w:spacing w:after="0" w:line="1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b w:val="1"/>
          <w:bCs w:val="1"/>
          <w:color w:val="auto"/>
        </w:rPr>
        <w:t>THREDUP INC.</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28575</wp:posOffset>
            </wp:positionV>
            <wp:extent cx="304990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49905" cy="7620"/>
                    </a:xfrm>
                    <a:prstGeom prst="rect">
                      <a:avLst/>
                    </a:prstGeom>
                    <a:noFill/>
                  </pic:spPr>
                </pic:pic>
              </a:graphicData>
            </a:graphic>
          </wp:anchor>
        </w:drawing>
      </w:r>
    </w:p>
    <w:p>
      <w:pPr>
        <w:spacing w:after="0" w:line="4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James Reinhart</w:t>
      </w:r>
    </w:p>
    <w:p>
      <w:pPr>
        <w:spacing w:after="0" w:line="5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13"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7"/>
          <w:szCs w:val="17"/>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SECOND AMENDED AND RESTATED BYLAWS OF THREDUP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Adopted on June 23, 2017</w:t>
      </w:r>
    </w:p>
    <w:p>
      <w:pPr>
        <w:spacing w:after="0" w:line="151" w:lineRule="exact"/>
        <w:rPr>
          <w:sz w:val="20"/>
          <w:szCs w:val="20"/>
          <w:color w:val="auto"/>
        </w:rPr>
      </w:pPr>
    </w:p>
    <w:p>
      <w:pPr>
        <w:ind w:left="580" w:hanging="580"/>
        <w:spacing w:after="0"/>
        <w:tabs>
          <w:tab w:leader="none" w:pos="580"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CERTIFICATE OF INCORPORATION AND BYLAWS</w:t>
      </w:r>
    </w:p>
    <w:p>
      <w:pPr>
        <w:spacing w:after="0" w:line="154" w:lineRule="exact"/>
        <w:rPr>
          <w:rFonts w:ascii="Arial" w:cs="Arial" w:eastAsia="Arial" w:hAnsi="Arial"/>
          <w:sz w:val="17"/>
          <w:szCs w:val="17"/>
          <w:b w:val="1"/>
          <w:bCs w:val="1"/>
          <w:color w:val="auto"/>
        </w:rPr>
      </w:pPr>
    </w:p>
    <w:p>
      <w:pPr>
        <w:ind w:left="1180" w:right="180" w:hanging="597"/>
        <w:spacing w:after="0" w:line="260" w:lineRule="auto"/>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7"/>
          <w:szCs w:val="17"/>
          <w:u w:val="single" w:color="auto"/>
          <w:color w:val="auto"/>
        </w:rPr>
        <w:t>Certificate of Incorporation and Bylaws</w:t>
      </w:r>
      <w:r>
        <w:rPr>
          <w:rFonts w:ascii="Arial" w:cs="Arial" w:eastAsia="Arial" w:hAnsi="Arial"/>
          <w:sz w:val="17"/>
          <w:szCs w:val="17"/>
          <w:color w:val="auto"/>
        </w:rPr>
        <w:t>. These Bylaws are subject to the certificate of incorporation of the corporation. In these Bylaws,</w:t>
      </w:r>
      <w:r>
        <w:rPr>
          <w:rFonts w:ascii="Arial" w:cs="Arial" w:eastAsia="Arial" w:hAnsi="Arial"/>
          <w:sz w:val="17"/>
          <w:szCs w:val="17"/>
          <w:u w:val="single" w:color="auto"/>
          <w:color w:val="auto"/>
        </w:rPr>
        <w:t xml:space="preserve"> </w:t>
      </w:r>
      <w:r>
        <w:rPr>
          <w:rFonts w:ascii="Arial" w:cs="Arial" w:eastAsia="Arial" w:hAnsi="Arial"/>
          <w:sz w:val="17"/>
          <w:szCs w:val="17"/>
          <w:color w:val="auto"/>
        </w:rPr>
        <w:t>references to the certificate of incorporation and Bylaws mean the provisions of the certificate of incorporation and the Bylaws as are from time to time in effect.</w:t>
      </w:r>
    </w:p>
    <w:p>
      <w:pPr>
        <w:spacing w:after="0" w:line="109" w:lineRule="exact"/>
        <w:rPr>
          <w:rFonts w:ascii="Arial" w:cs="Arial" w:eastAsia="Arial" w:hAnsi="Arial"/>
          <w:sz w:val="17"/>
          <w:szCs w:val="17"/>
          <w:b w:val="1"/>
          <w:bCs w:val="1"/>
          <w:color w:val="auto"/>
        </w:rPr>
      </w:pPr>
    </w:p>
    <w:p>
      <w:pPr>
        <w:ind w:left="580" w:hanging="580"/>
        <w:spacing w:after="0"/>
        <w:tabs>
          <w:tab w:leader="none" w:pos="580"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OFFICES</w:t>
      </w:r>
    </w:p>
    <w:p>
      <w:pPr>
        <w:spacing w:after="0" w:line="154"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2.1</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shall be in the City of Wilmington, County of New Castle, State of Delaware.</w:t>
      </w:r>
    </w:p>
    <w:p>
      <w:pPr>
        <w:spacing w:after="0" w:line="152" w:lineRule="exact"/>
        <w:rPr>
          <w:rFonts w:ascii="Arial" w:cs="Arial" w:eastAsia="Arial" w:hAnsi="Arial"/>
          <w:sz w:val="17"/>
          <w:szCs w:val="17"/>
          <w:b w:val="1"/>
          <w:bCs w:val="1"/>
          <w:color w:val="auto"/>
        </w:rPr>
      </w:pPr>
    </w:p>
    <w:p>
      <w:pPr>
        <w:ind w:left="1180" w:right="120" w:hanging="597"/>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2.2</w:t>
      </w:r>
      <w:r>
        <w:rPr>
          <w:rFonts w:ascii="Arial" w:cs="Arial" w:eastAsia="Arial" w:hAnsi="Arial"/>
          <w:sz w:val="17"/>
          <w:szCs w:val="17"/>
          <w:u w:val="single" w:color="auto"/>
          <w:color w:val="auto"/>
        </w:rPr>
        <w:t>Other Offices</w:t>
      </w:r>
      <w:r>
        <w:rPr>
          <w:rFonts w:ascii="Arial" w:cs="Arial" w:eastAsia="Arial" w:hAnsi="Arial"/>
          <w:sz w:val="17"/>
          <w:szCs w:val="17"/>
          <w:color w:val="auto"/>
        </w:rPr>
        <w:t>. The corporation may also have offices at such other places both within and without the State of Delaware as the board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directors may from time to time determine or the business of the corporation may require.</w:t>
      </w:r>
    </w:p>
    <w:p>
      <w:pPr>
        <w:spacing w:after="0" w:line="94" w:lineRule="exact"/>
        <w:rPr>
          <w:rFonts w:ascii="Arial" w:cs="Arial" w:eastAsia="Arial" w:hAnsi="Arial"/>
          <w:sz w:val="17"/>
          <w:szCs w:val="17"/>
          <w:b w:val="1"/>
          <w:bCs w:val="1"/>
          <w:color w:val="auto"/>
        </w:rPr>
      </w:pPr>
    </w:p>
    <w:p>
      <w:pPr>
        <w:ind w:left="580" w:hanging="580"/>
        <w:spacing w:after="0"/>
        <w:tabs>
          <w:tab w:leader="none" w:pos="580"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w:t>
      </w:r>
    </w:p>
    <w:p>
      <w:pPr>
        <w:spacing w:after="0" w:line="154" w:lineRule="exact"/>
        <w:rPr>
          <w:rFonts w:ascii="Arial" w:cs="Arial" w:eastAsia="Arial" w:hAnsi="Arial"/>
          <w:sz w:val="17"/>
          <w:szCs w:val="17"/>
          <w:b w:val="1"/>
          <w:bCs w:val="1"/>
          <w:color w:val="auto"/>
        </w:rPr>
      </w:pPr>
    </w:p>
    <w:p>
      <w:pPr>
        <w:ind w:left="1180" w:hanging="597"/>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3.1</w:t>
      </w:r>
      <w:r>
        <w:rPr>
          <w:rFonts w:ascii="Arial" w:cs="Arial" w:eastAsia="Arial" w:hAnsi="Arial"/>
          <w:sz w:val="17"/>
          <w:szCs w:val="17"/>
          <w:u w:val="single" w:color="auto"/>
          <w:color w:val="auto"/>
        </w:rPr>
        <w:t>Location of Meetings</w:t>
      </w:r>
      <w:r>
        <w:rPr>
          <w:rFonts w:ascii="Arial" w:cs="Arial" w:eastAsia="Arial" w:hAnsi="Arial"/>
          <w:sz w:val="17"/>
          <w:szCs w:val="17"/>
          <w:color w:val="auto"/>
        </w:rPr>
        <w:t>. All meetings of the stockholders shall be held at such place either within or without the State of Delaware as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be designated from time to time by the board of directors, or if not so designated, at the registered office of the corporation. Notwithstanding the foregoing, the board of directors may, in its sole discretion, determine that the meeting shall not be held at any place, but may instead be held solely by means of remote communication as authorized by Section 21 l(a)(2) of the Delaware General Corporation Law. If so authorized; and subject to such guidelines and procedures as the board of directors may adopt, stockholders and proxyholders not physically present at a meeting of stockholders may, by means of remote communication, participate in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 Any adjourned session of any meeting shall be held at the place designated in the vote of adjournment.</w:t>
      </w:r>
    </w:p>
    <w:p>
      <w:pPr>
        <w:spacing w:after="0" w:line="131" w:lineRule="exact"/>
        <w:rPr>
          <w:rFonts w:ascii="Arial" w:cs="Arial" w:eastAsia="Arial" w:hAnsi="Arial"/>
          <w:sz w:val="17"/>
          <w:szCs w:val="17"/>
          <w:b w:val="1"/>
          <w:bCs w:val="1"/>
          <w:color w:val="auto"/>
        </w:rPr>
      </w:pPr>
    </w:p>
    <w:p>
      <w:pPr>
        <w:ind w:left="1180" w:hanging="597"/>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3.2</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shall be held at 10:00 a.m. on the second Wednesday in May in each year, unless</w:t>
      </w:r>
      <w:r>
        <w:rPr>
          <w:rFonts w:ascii="Arial" w:cs="Arial" w:eastAsia="Arial" w:hAnsi="Arial"/>
          <w:sz w:val="17"/>
          <w:szCs w:val="17"/>
          <w:u w:val="single" w:color="auto"/>
          <w:color w:val="auto"/>
        </w:rPr>
        <w:t xml:space="preserve"> </w:t>
      </w:r>
      <w:r>
        <w:rPr>
          <w:rFonts w:ascii="Arial" w:cs="Arial" w:eastAsia="Arial" w:hAnsi="Arial"/>
          <w:sz w:val="17"/>
          <w:szCs w:val="17"/>
          <w:color w:val="auto"/>
        </w:rPr>
        <w:t>that day be a legal holiday at the place where the meeting is to be held, in which case the meeting shall be held at the same hour on the next succeeding day not a legal holiday, or at such other date and time as shall be designated from time to time by the board of directors, at which they shall elect a board of directors and transact such other business as may be required by law or these Bylaws or as may properly come before the meeting.</w:t>
      </w:r>
    </w:p>
    <w:p>
      <w:pPr>
        <w:spacing w:after="0" w:line="118" w:lineRule="exact"/>
        <w:rPr>
          <w:rFonts w:ascii="Arial" w:cs="Arial" w:eastAsia="Arial" w:hAnsi="Arial"/>
          <w:sz w:val="17"/>
          <w:szCs w:val="17"/>
          <w:b w:val="1"/>
          <w:bCs w:val="1"/>
          <w:color w:val="auto"/>
        </w:rPr>
      </w:pPr>
    </w:p>
    <w:p>
      <w:pPr>
        <w:ind w:left="1180" w:right="360" w:hanging="597"/>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3.3</w:t>
      </w:r>
      <w:r>
        <w:rPr>
          <w:rFonts w:ascii="Arial" w:cs="Arial" w:eastAsia="Arial" w:hAnsi="Arial"/>
          <w:sz w:val="17"/>
          <w:szCs w:val="17"/>
          <w:u w:val="single" w:color="auto"/>
          <w:color w:val="auto"/>
        </w:rPr>
        <w:t>Special Meeting in Place of Annual Meeting</w:t>
      </w:r>
      <w:r>
        <w:rPr>
          <w:rFonts w:ascii="Arial" w:cs="Arial" w:eastAsia="Arial" w:hAnsi="Arial"/>
          <w:sz w:val="17"/>
          <w:szCs w:val="17"/>
          <w:color w:val="auto"/>
        </w:rPr>
        <w:t>. If the election for directors shall not be held on the day designated by these Bylaws,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directors shall cause the election to be held</w:t>
      </w:r>
    </w:p>
    <w:p>
      <w:pPr>
        <w:sectPr>
          <w:pgSz w:w="11900" w:h="16838" w:orient="portrait"/>
          <w:cols w:equalWidth="0" w:num="1">
            <w:col w:w="11240"/>
          </w:cols>
          <w:pgMar w:left="320" w:top="119" w:right="339" w:bottom="1440" w:gutter="0" w:footer="0" w:header="0"/>
        </w:sectPr>
      </w:pPr>
    </w:p>
    <w:bookmarkStart w:id="332" w:name="page333"/>
    <w:bookmarkEnd w:id="332"/>
    <w:p>
      <w:pPr>
        <w:ind w:left="80" w:right="20"/>
        <w:spacing w:after="0" w:line="250" w:lineRule="auto"/>
        <w:rPr>
          <w:sz w:val="20"/>
          <w:szCs w:val="20"/>
          <w:color w:val="auto"/>
        </w:rPr>
      </w:pPr>
      <w:r>
        <w:rPr>
          <w:rFonts w:ascii="Arial" w:cs="Arial" w:eastAsia="Arial" w:hAnsi="Arial"/>
          <w:sz w:val="17"/>
          <w:szCs w:val="17"/>
          <w:color w:val="auto"/>
        </w:rPr>
        <w:t>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 meeting. Any such special meeting shall be called and the purposes thereof shall be specified in the call, as provided in Section 3.5.</w:t>
      </w:r>
    </w:p>
    <w:p>
      <w:pPr>
        <w:spacing w:after="0" w:line="122" w:lineRule="exact"/>
        <w:rPr>
          <w:sz w:val="20"/>
          <w:szCs w:val="20"/>
          <w:color w:val="auto"/>
        </w:rPr>
      </w:pPr>
    </w:p>
    <w:p>
      <w:pPr>
        <w:ind w:left="60" w:right="160" w:hanging="596"/>
        <w:spacing w:after="0" w:line="250" w:lineRule="auto"/>
        <w:tabs>
          <w:tab w:leader="none" w:pos="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u w:val="single" w:color="auto"/>
          <w:color w:val="auto"/>
        </w:rPr>
        <w:t>Notice of Annual Meeting</w:t>
      </w:r>
      <w:r>
        <w:rPr>
          <w:rFonts w:ascii="Arial" w:cs="Arial" w:eastAsia="Arial" w:hAnsi="Arial"/>
          <w:sz w:val="17"/>
          <w:szCs w:val="17"/>
          <w:color w:val="auto"/>
        </w:rPr>
        <w:t>. Written notice of the annual meeting stating the place, date and hour of the meeting shall be given to each</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in accordance with Section 5.2 by each stockholder entitled to such notice who did not receive such notice. Prompt notice of all action taken in connection with such waiver of notice shall be given to all stockholders not present or represented at such meeting.</w:t>
      </w:r>
    </w:p>
    <w:p>
      <w:pPr>
        <w:spacing w:after="0" w:line="122" w:lineRule="exact"/>
        <w:rPr>
          <w:sz w:val="20"/>
          <w:szCs w:val="20"/>
          <w:color w:val="auto"/>
        </w:rPr>
      </w:pPr>
    </w:p>
    <w:p>
      <w:pPr>
        <w:ind w:left="60" w:right="20" w:hanging="596"/>
        <w:spacing w:after="0" w:line="252" w:lineRule="auto"/>
        <w:tabs>
          <w:tab w:leader="none" w:pos="4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u w:val="single" w:color="auto"/>
          <w:color w:val="auto"/>
        </w:rPr>
        <w:t>Other Special Meetings</w:t>
      </w:r>
      <w:r>
        <w:rPr>
          <w:rFonts w:ascii="Arial" w:cs="Arial" w:eastAsia="Arial" w:hAnsi="Arial"/>
          <w:sz w:val="17"/>
          <w:szCs w:val="17"/>
          <w:color w:val="auto"/>
        </w:rPr>
        <w:t>. Special meetings of the stockholders, for any purpose or purposes, unless otherwise prescribed by law or by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certificate of incorporation, may be called by the president and shall be called by the president or secretary at the request in writing of a majority of the board of directors, or at the request in writing of the holders of at least ten percent of all capital stock of the corporation issued and outstanding and entitled to vote at such meeting. Such request shall state the purpose or purposes of the proposed meeting and business to be transacted at any special meeting of the stockholders.</w:t>
      </w:r>
    </w:p>
    <w:p>
      <w:pPr>
        <w:spacing w:after="0" w:line="119" w:lineRule="exact"/>
        <w:rPr>
          <w:sz w:val="20"/>
          <w:szCs w:val="20"/>
          <w:color w:val="auto"/>
        </w:rPr>
      </w:pPr>
    </w:p>
    <w:p>
      <w:pPr>
        <w:ind w:left="60" w:right="100" w:hanging="596"/>
        <w:spacing w:after="0" w:line="250" w:lineRule="auto"/>
        <w:tabs>
          <w:tab w:leader="none" w:pos="4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7"/>
          <w:szCs w:val="17"/>
          <w:u w:val="single" w:color="auto"/>
          <w:color w:val="auto"/>
        </w:rPr>
        <w:t>Notice of Special Meeting</w:t>
      </w:r>
      <w:r>
        <w:rPr>
          <w:rFonts w:ascii="Arial" w:cs="Arial" w:eastAsia="Arial" w:hAnsi="Arial"/>
          <w:sz w:val="17"/>
          <w:szCs w:val="17"/>
          <w:color w:val="auto"/>
        </w:rPr>
        <w:t>. Written notice of a special meeting stating the place, date and hour of the meeting and the purpose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purposes for which the meeting is called, shall be given not less than ten nor more than sixty days before the date of the meeting, to each stockholder entitled to vote at such meeting. No action shall be taken at such meeting unless such notice is given or unless waiver of such notice is given in accordance with Section 5.2 by each stockholder entitled to such notice who did not receive such notice. Prompt notice of all action taken in connection with such waiver of notice shall be given to all stockholders not present or represented at such meeting.</w:t>
      </w:r>
    </w:p>
    <w:p>
      <w:pPr>
        <w:spacing w:after="0" w:line="122" w:lineRule="exact"/>
        <w:rPr>
          <w:sz w:val="20"/>
          <w:szCs w:val="20"/>
          <w:color w:val="auto"/>
        </w:rPr>
      </w:pPr>
    </w:p>
    <w:p>
      <w:pPr>
        <w:ind w:left="60" w:hanging="596"/>
        <w:spacing w:after="0" w:line="266" w:lineRule="auto"/>
        <w:tabs>
          <w:tab w:leader="none" w:pos="4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6"/>
          <w:szCs w:val="16"/>
          <w:u w:val="single" w:color="auto"/>
          <w:color w:val="auto"/>
        </w:rPr>
        <w:t>Stockholder List</w:t>
      </w:r>
      <w:r>
        <w:rPr>
          <w:rFonts w:ascii="Arial" w:cs="Arial" w:eastAsia="Arial" w:hAnsi="Arial"/>
          <w:sz w:val="16"/>
          <w:szCs w:val="16"/>
          <w:color w:val="auto"/>
        </w:rPr>
        <w:t>. The officer who has charge of the stock ledger of the corporation shall prepare and make, at least ten days before</w:t>
      </w:r>
      <w:r>
        <w:rPr>
          <w:rFonts w:ascii="Arial" w:cs="Arial" w:eastAsia="Arial" w:hAnsi="Arial"/>
          <w:sz w:val="16"/>
          <w:szCs w:val="16"/>
          <w:u w:val="single" w:color="auto"/>
          <w:color w:val="auto"/>
        </w:rPr>
        <w:t xml:space="preserve"> </w:t>
      </w:r>
      <w:r>
        <w:rPr>
          <w:rFonts w:ascii="Arial" w:cs="Arial" w:eastAsia="Arial" w:hAnsi="Arial"/>
          <w:sz w:val="16"/>
          <w:szCs w:val="16"/>
          <w:color w:val="auto"/>
        </w:rPr>
        <w:t>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either</w:t>
      </w:r>
    </w:p>
    <w:p>
      <w:pPr>
        <w:spacing w:after="0" w:line="1" w:lineRule="exact"/>
        <w:rPr>
          <w:sz w:val="20"/>
          <w:szCs w:val="20"/>
          <w:color w:val="auto"/>
        </w:rPr>
      </w:pPr>
    </w:p>
    <w:p>
      <w:pPr>
        <w:ind w:left="80" w:right="20" w:hanging="6"/>
        <w:spacing w:after="0" w:line="245" w:lineRule="auto"/>
        <w:tabs>
          <w:tab w:leader="none" w:pos="273" w:val="left"/>
        </w:tabs>
        <w:numPr>
          <w:ilvl w:val="0"/>
          <w:numId w:val="265"/>
        </w:numPr>
        <w:rPr>
          <w:rFonts w:ascii="Arial" w:cs="Arial" w:eastAsia="Arial" w:hAnsi="Arial"/>
          <w:sz w:val="17"/>
          <w:szCs w:val="17"/>
          <w:color w:val="auto"/>
        </w:rPr>
      </w:pPr>
      <w:r>
        <w:rPr>
          <w:rFonts w:ascii="Arial" w:cs="Arial" w:eastAsia="Arial" w:hAnsi="Arial"/>
          <w:sz w:val="17"/>
          <w:szCs w:val="17"/>
          <w:color w:val="auto"/>
        </w:rPr>
        <w:t>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examination of any stockholder during the entire meeting on a</w:t>
      </w:r>
    </w:p>
    <w:p>
      <w:pPr>
        <w:sectPr>
          <w:pgSz w:w="11900" w:h="16838" w:orient="portrait"/>
          <w:cols w:equalWidth="0" w:num="1">
            <w:col w:w="10120"/>
          </w:cols>
          <w:pgMar w:left="1440" w:top="1313" w:right="339" w:bottom="1440" w:gutter="0" w:footer="0" w:header="0"/>
        </w:sectPr>
      </w:pPr>
    </w:p>
    <w:bookmarkStart w:id="333" w:name="page334"/>
    <w:bookmarkEnd w:id="333"/>
    <w:p>
      <w:pPr>
        <w:ind w:left="80" w:right="600"/>
        <w:spacing w:after="0" w:line="277" w:lineRule="auto"/>
        <w:rPr>
          <w:sz w:val="20"/>
          <w:szCs w:val="20"/>
          <w:color w:val="auto"/>
        </w:rPr>
      </w:pPr>
      <w:r>
        <w:rPr>
          <w:rFonts w:ascii="Arial" w:cs="Arial" w:eastAsia="Arial" w:hAnsi="Arial"/>
          <w:sz w:val="17"/>
          <w:szCs w:val="17"/>
          <w:color w:val="auto"/>
        </w:rPr>
        <w:t>reasonably accessible electronic network, and the information required to access such list shall be provided with the notice of the meeting.</w:t>
      </w:r>
    </w:p>
    <w:p>
      <w:pPr>
        <w:spacing w:after="0" w:line="96" w:lineRule="exact"/>
        <w:rPr>
          <w:sz w:val="20"/>
          <w:szCs w:val="20"/>
          <w:color w:val="auto"/>
        </w:rPr>
      </w:pPr>
    </w:p>
    <w:p>
      <w:pPr>
        <w:ind w:left="60" w:right="120" w:hanging="596"/>
        <w:spacing w:after="0" w:line="255" w:lineRule="auto"/>
        <w:tabs>
          <w:tab w:leader="none" w:pos="4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u w:val="single" w:color="auto"/>
          <w:color w:val="auto"/>
        </w:rPr>
        <w:t>Quorum of Stockholders</w:t>
      </w:r>
      <w:r>
        <w:rPr>
          <w:rFonts w:ascii="Arial" w:cs="Arial" w:eastAsia="Arial" w:hAnsi="Arial"/>
          <w:sz w:val="17"/>
          <w:szCs w:val="17"/>
          <w:color w:val="auto"/>
        </w:rPr>
        <w:t>. The holders of a majority of the stock issued and outstanding and entitled to vote thereat, present in person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represented by proxy, shall constitute a quorum at all meetings of the stockholders for the transaction of business except as otherwise required by law, by the certificate of incorporation or by these Bylaws. Except as otherwise provided by law, no stockholder present at a meeting may withhold his shares from the quorum count by declaring his shares absent from the meeting.</w:t>
      </w:r>
    </w:p>
    <w:p>
      <w:pPr>
        <w:spacing w:after="0" w:line="115" w:lineRule="exact"/>
        <w:rPr>
          <w:sz w:val="20"/>
          <w:szCs w:val="20"/>
          <w:color w:val="auto"/>
        </w:rPr>
      </w:pPr>
    </w:p>
    <w:p>
      <w:pPr>
        <w:ind w:left="60" w:right="120" w:hanging="596"/>
        <w:spacing w:after="0" w:line="249" w:lineRule="auto"/>
        <w:tabs>
          <w:tab w:leader="none" w:pos="4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7"/>
          <w:szCs w:val="17"/>
          <w:u w:val="single" w:color="auto"/>
          <w:color w:val="auto"/>
        </w:rPr>
        <w:t>Adjournment</w:t>
      </w:r>
      <w:r>
        <w:rPr>
          <w:rFonts w:ascii="Arial" w:cs="Arial" w:eastAsia="Arial" w:hAnsi="Arial"/>
          <w:sz w:val="17"/>
          <w:szCs w:val="17"/>
          <w:color w:val="auto"/>
        </w:rPr>
        <w:t>. Any meeting of stockholders may be adjourned from time to time to any other time and to any other place at which a</w:t>
      </w:r>
      <w:r>
        <w:rPr>
          <w:rFonts w:ascii="Arial" w:cs="Arial" w:eastAsia="Arial" w:hAnsi="Arial"/>
          <w:sz w:val="17"/>
          <w:szCs w:val="17"/>
          <w:u w:val="single" w:color="auto"/>
          <w:color w:val="auto"/>
        </w:rPr>
        <w:t xml:space="preserve"> </w:t>
      </w:r>
      <w:r>
        <w:rPr>
          <w:rFonts w:ascii="Arial" w:cs="Arial" w:eastAsia="Arial" w:hAnsi="Arial"/>
          <w:sz w:val="17"/>
          <w:szCs w:val="17"/>
          <w:color w:val="auto"/>
        </w:rPr>
        <w:t>meeting of stockholders may be held under these Bylaws, which time and place shall be announced at the meeting, by a majority of votes cast upon the question, whether or not a quorum is present, or, if no stockholder is present or represented by proxy, by any officer entitled to preside at or to act as secretary of such meeting.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23" w:lineRule="exact"/>
        <w:rPr>
          <w:sz w:val="20"/>
          <w:szCs w:val="20"/>
          <w:color w:val="auto"/>
        </w:rPr>
      </w:pPr>
    </w:p>
    <w:p>
      <w:pPr>
        <w:ind w:left="80" w:hanging="596"/>
        <w:spacing w:after="0" w:line="265" w:lineRule="auto"/>
        <w:tabs>
          <w:tab w:leader="none" w:pos="6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6"/>
          <w:szCs w:val="16"/>
          <w:u w:val="single" w:color="auto"/>
          <w:color w:val="auto"/>
        </w:rPr>
        <w:t>Proxy Representation</w:t>
      </w:r>
      <w:r>
        <w:rPr>
          <w:rFonts w:ascii="Arial" w:cs="Arial" w:eastAsia="Arial" w:hAnsi="Arial"/>
          <w:sz w:val="16"/>
          <w:szCs w:val="16"/>
          <w:color w:val="auto"/>
        </w:rPr>
        <w:t>. Every stockholder may authorize another person or persons to act for him by proxy in all matters in which a</w:t>
      </w:r>
      <w:r>
        <w:rPr>
          <w:rFonts w:ascii="Arial" w:cs="Arial" w:eastAsia="Arial" w:hAnsi="Arial"/>
          <w:sz w:val="16"/>
          <w:szCs w:val="16"/>
          <w:u w:val="single" w:color="auto"/>
          <w:color w:val="auto"/>
        </w:rPr>
        <w:t xml:space="preserve"> </w:t>
      </w:r>
      <w:r>
        <w:rPr>
          <w:rFonts w:ascii="Arial" w:cs="Arial" w:eastAsia="Arial" w:hAnsi="Arial"/>
          <w:sz w:val="16"/>
          <w:szCs w:val="16"/>
          <w:color w:val="auto"/>
        </w:rPr>
        <w:t>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Except as provided by law, a revocable proxy shall be deemed revoked if the stockholder is present at the meeting for which the proxy was given.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09" w:lineRule="exact"/>
        <w:rPr>
          <w:sz w:val="20"/>
          <w:szCs w:val="20"/>
          <w:color w:val="auto"/>
        </w:rPr>
      </w:pPr>
    </w:p>
    <w:p>
      <w:pPr>
        <w:ind w:left="60" w:right="60" w:hanging="596"/>
        <w:spacing w:after="0" w:line="248" w:lineRule="auto"/>
        <w:tabs>
          <w:tab w:leader="none" w:pos="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auto"/>
        </w:rPr>
        <w:t>Inspectors</w:t>
      </w:r>
      <w:r>
        <w:rPr>
          <w:rFonts w:ascii="Arial" w:cs="Arial" w:eastAsia="Arial" w:hAnsi="Arial"/>
          <w:sz w:val="17"/>
          <w:szCs w:val="17"/>
          <w:color w:val="auto"/>
        </w:rPr>
        <w:t>. The directors or the person presiding at the meeting may, but need not unless required by law, appoint one or more</w:t>
      </w:r>
      <w:r>
        <w:rPr>
          <w:rFonts w:ascii="Arial" w:cs="Arial" w:eastAsia="Arial" w:hAnsi="Arial"/>
          <w:sz w:val="17"/>
          <w:szCs w:val="17"/>
          <w:u w:val="single" w:color="auto"/>
          <w:color w:val="auto"/>
        </w:rPr>
        <w:t xml:space="preserve"> </w:t>
      </w:r>
      <w:r>
        <w:rPr>
          <w:rFonts w:ascii="Arial" w:cs="Arial" w:eastAsia="Arial" w:hAnsi="Arial"/>
          <w:sz w:val="17"/>
          <w:szCs w:val="17"/>
          <w:color w:val="auto"/>
        </w:rPr>
        <w:t>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ectPr>
          <w:pgSz w:w="11900" w:h="16838" w:orient="portrait"/>
          <w:cols w:equalWidth="0" w:num="1">
            <w:col w:w="10120"/>
          </w:cols>
          <w:pgMar w:left="1440" w:top="1313" w:right="339" w:bottom="1440" w:gutter="0" w:footer="0" w:header="0"/>
        </w:sectPr>
      </w:pPr>
    </w:p>
    <w:bookmarkStart w:id="334" w:name="page335"/>
    <w:bookmarkEnd w:id="334"/>
    <w:p>
      <w:pPr>
        <w:ind w:left="1200" w:right="100" w:hanging="596"/>
        <w:spacing w:after="0" w:line="252" w:lineRule="auto"/>
        <w:tabs>
          <w:tab w:leader="none" w:pos="11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u w:val="single" w:color="auto"/>
          <w:color w:val="auto"/>
        </w:rPr>
        <w:t>Action by Vote</w:t>
      </w:r>
      <w:r>
        <w:rPr>
          <w:rFonts w:ascii="Arial" w:cs="Arial" w:eastAsia="Arial" w:hAnsi="Arial"/>
          <w:sz w:val="17"/>
          <w:szCs w:val="17"/>
          <w:color w:val="auto"/>
        </w:rPr>
        <w:t>. When a quorum is present at any meeting, whether the same be an original or an adjourned session, a plurality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19" w:lineRule="exact"/>
        <w:rPr>
          <w:sz w:val="20"/>
          <w:szCs w:val="20"/>
          <w:color w:val="auto"/>
        </w:rPr>
      </w:pPr>
    </w:p>
    <w:p>
      <w:pPr>
        <w:jc w:val="center"/>
        <w:ind w:left="360"/>
        <w:spacing w:after="0"/>
        <w:tabs>
          <w:tab w:leader="none" w:pos="26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6"/>
          <w:szCs w:val="16"/>
          <w:u w:val="single" w:color="auto"/>
          <w:color w:val="auto"/>
        </w:rPr>
        <w:t>Action Without Meetings</w:t>
      </w:r>
      <w:r>
        <w:rPr>
          <w:rFonts w:ascii="Arial" w:cs="Arial" w:eastAsia="Arial" w:hAnsi="Arial"/>
          <w:sz w:val="16"/>
          <w:szCs w:val="16"/>
          <w:color w:val="auto"/>
        </w:rPr>
        <w:t>. Unless otherwise provided in the certificate of incorporation, any action required to be taken at any annual or</w:t>
      </w:r>
    </w:p>
    <w:p>
      <w:pPr>
        <w:spacing w:after="0" w:line="24" w:lineRule="exact"/>
        <w:rPr>
          <w:sz w:val="20"/>
          <w:szCs w:val="20"/>
          <w:color w:val="auto"/>
        </w:rPr>
      </w:pPr>
    </w:p>
    <w:p>
      <w:pPr>
        <w:ind w:left="1200" w:right="60"/>
        <w:spacing w:after="0" w:line="245" w:lineRule="auto"/>
        <w:rPr>
          <w:sz w:val="20"/>
          <w:szCs w:val="20"/>
          <w:color w:val="auto"/>
        </w:rPr>
      </w:pPr>
      <w:r>
        <w:rPr>
          <w:rFonts w:ascii="Arial" w:cs="Arial" w:eastAsia="Arial" w:hAnsi="Arial"/>
          <w:sz w:val="17"/>
          <w:szCs w:val="17"/>
          <w:color w:val="auto"/>
        </w:rPr>
        <w:t>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 Consent may be given by electronic transmission to the extent permitted by the Delaware General Corporation Law.</w:t>
      </w:r>
    </w:p>
    <w:p>
      <w:pPr>
        <w:spacing w:after="0" w:line="126" w:lineRule="exact"/>
        <w:rPr>
          <w:sz w:val="20"/>
          <w:szCs w:val="20"/>
          <w:color w:val="auto"/>
        </w:rPr>
      </w:pPr>
    </w:p>
    <w:p>
      <w:pPr>
        <w:ind w:left="1200" w:right="120" w:hanging="596"/>
        <w:spacing w:after="0" w:line="252" w:lineRule="auto"/>
        <w:tabs>
          <w:tab w:leader="none" w:pos="118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7"/>
          <w:szCs w:val="17"/>
          <w:u w:val="single" w:color="auto"/>
          <w:color w:val="auto"/>
        </w:rPr>
        <w:t>Organization</w:t>
      </w:r>
      <w:r>
        <w:rPr>
          <w:rFonts w:ascii="Arial" w:cs="Arial" w:eastAsia="Arial" w:hAnsi="Arial"/>
          <w:sz w:val="17"/>
          <w:szCs w:val="17"/>
          <w:color w:val="auto"/>
        </w:rPr>
        <w:t>. Meetings of stockholders shall be presided over by the chairperson of the board of directors, if any, or in his absence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president, or in his absence by a vice president, or in the absence of the foregoing persons by a chairperson chosen at the meeting by the board. The secretary shall act as secretary of the meeting, but in his absence the chairperson of the meeting may appoint any person to act as secretary of the meeting. The chairperson of the meeting shall announce at the meeting of stockholders the date and time of the opening and the closing of the polls for each matter upon which the stockholders will vote.</w:t>
      </w:r>
    </w:p>
    <w:p>
      <w:pPr>
        <w:spacing w:after="0" w:line="119" w:lineRule="exact"/>
        <w:rPr>
          <w:sz w:val="20"/>
          <w:szCs w:val="20"/>
          <w:color w:val="auto"/>
        </w:rPr>
      </w:pPr>
    </w:p>
    <w:p>
      <w:pPr>
        <w:ind w:left="1200" w:hanging="596"/>
        <w:spacing w:after="0" w:line="247" w:lineRule="auto"/>
        <w:tabs>
          <w:tab w:leader="none" w:pos="118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u w:val="single" w:color="auto"/>
          <w:color w:val="auto"/>
        </w:rPr>
        <w:t>Conduct of Meetings</w:t>
      </w:r>
      <w:r>
        <w:rPr>
          <w:rFonts w:ascii="Arial" w:cs="Arial" w:eastAsia="Arial" w:hAnsi="Arial"/>
          <w:sz w:val="17"/>
          <w:szCs w:val="17"/>
          <w:color w:val="auto"/>
        </w:rPr>
        <w:t>. The board of directors of the corporation may adopt by resolution such rules and regulations for the conduct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meeting of stockholders as it shall deem appropriate. Except to the extent inconsistent with such rules and regulations as adopted by the board of directors, the chairperson of any meeting of stockholders shall have the right and authority to prescribe such rules, regulations and procedures and to do all such acts as, in the judgment of such chairperson, are appropriate for the proper conduct of the meeting. Such rules, regulations or procedures, whether adopted by the board of directors or prescribed by the chairperson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Unless and to the extent determined by the board of directors or the chairperson of the meeting, meetings of stockholders shall not be required to be held in accordance with the rules of parliamentary procedure.</w:t>
      </w:r>
    </w:p>
    <w:p>
      <w:pPr>
        <w:spacing w:after="0" w:line="122" w:lineRule="exact"/>
        <w:rPr>
          <w:sz w:val="20"/>
          <w:szCs w:val="20"/>
          <w:color w:val="auto"/>
        </w:rPr>
      </w:pPr>
    </w:p>
    <w:p>
      <w:pPr>
        <w:ind w:left="580" w:hanging="580"/>
        <w:spacing w:after="0"/>
        <w:tabs>
          <w:tab w:leader="none" w:pos="580"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DIRECTORS</w:t>
      </w:r>
    </w:p>
    <w:p>
      <w:pPr>
        <w:spacing w:after="0" w:line="154" w:lineRule="exact"/>
        <w:rPr>
          <w:rFonts w:ascii="Arial" w:cs="Arial" w:eastAsia="Arial" w:hAnsi="Arial"/>
          <w:sz w:val="17"/>
          <w:szCs w:val="17"/>
          <w:b w:val="1"/>
          <w:bCs w:val="1"/>
          <w:color w:val="auto"/>
        </w:rPr>
      </w:pPr>
    </w:p>
    <w:p>
      <w:pPr>
        <w:ind w:left="1180" w:right="100" w:hanging="597"/>
        <w:spacing w:after="0" w:line="276" w:lineRule="auto"/>
        <w:rPr>
          <w:rFonts w:ascii="Arial" w:cs="Arial" w:eastAsia="Arial" w:hAnsi="Arial"/>
          <w:sz w:val="17"/>
          <w:szCs w:val="17"/>
          <w:b w:val="1"/>
          <w:bCs w:val="1"/>
          <w:color w:val="auto"/>
        </w:rPr>
      </w:pPr>
      <w:r>
        <w:rPr>
          <w:rFonts w:ascii="Arial" w:cs="Arial" w:eastAsia="Arial" w:hAnsi="Arial"/>
          <w:sz w:val="17"/>
          <w:szCs w:val="17"/>
          <w:color w:val="auto"/>
        </w:rPr>
        <w:t>4.1</w:t>
      </w:r>
      <w:r>
        <w:rPr>
          <w:rFonts w:ascii="Arial" w:cs="Arial" w:eastAsia="Arial" w:hAnsi="Arial"/>
          <w:sz w:val="16"/>
          <w:szCs w:val="16"/>
          <w:u w:val="single" w:color="auto"/>
          <w:color w:val="auto"/>
        </w:rPr>
        <w:t>Number</w:t>
      </w:r>
      <w:r>
        <w:rPr>
          <w:rFonts w:ascii="Arial" w:cs="Arial" w:eastAsia="Arial" w:hAnsi="Arial"/>
          <w:sz w:val="16"/>
          <w:szCs w:val="16"/>
          <w:color w:val="auto"/>
        </w:rPr>
        <w:t>. The number of directors which shall constitute the whole board shall not be less than one. The first board shall consist of two</w:t>
      </w:r>
      <w:r>
        <w:rPr>
          <w:rFonts w:ascii="Arial" w:cs="Arial" w:eastAsia="Arial" w:hAnsi="Arial"/>
          <w:sz w:val="16"/>
          <w:szCs w:val="16"/>
          <w:u w:val="single" w:color="auto"/>
          <w:color w:val="auto"/>
        </w:rPr>
        <w:t xml:space="preserve"> </w:t>
      </w:r>
      <w:r>
        <w:rPr>
          <w:rFonts w:ascii="Arial" w:cs="Arial" w:eastAsia="Arial" w:hAnsi="Arial"/>
          <w:sz w:val="16"/>
          <w:szCs w:val="16"/>
          <w:color w:val="auto"/>
        </w:rPr>
        <w:t>directors. Thereafter, the stockholders at the annual meeting shall determine the number of directors, and the number of directors may be increased or decreased at any time or from time to time by the stockholders or by the directors by vote of a majority of directors then in office, except that any such decrease by vote of the directors shall only be made to eliminate vacancies existing by</w:t>
      </w:r>
    </w:p>
    <w:p>
      <w:pPr>
        <w:sectPr>
          <w:pgSz w:w="11900" w:h="16838" w:orient="portrait"/>
          <w:cols w:equalWidth="0" w:num="1">
            <w:col w:w="11200"/>
          </w:cols>
          <w:pgMar w:left="320" w:top="1313" w:right="379" w:bottom="1440" w:gutter="0" w:footer="0" w:header="0"/>
        </w:sectPr>
      </w:pPr>
    </w:p>
    <w:bookmarkStart w:id="335" w:name="page336"/>
    <w:bookmarkEnd w:id="335"/>
    <w:p>
      <w:pPr>
        <w:ind w:left="80" w:right="720"/>
        <w:spacing w:after="0" w:line="277" w:lineRule="auto"/>
        <w:rPr>
          <w:sz w:val="20"/>
          <w:szCs w:val="20"/>
          <w:color w:val="auto"/>
        </w:rPr>
      </w:pPr>
      <w:r>
        <w:rPr>
          <w:rFonts w:ascii="Arial" w:cs="Arial" w:eastAsia="Arial" w:hAnsi="Arial"/>
          <w:sz w:val="17"/>
          <w:szCs w:val="17"/>
          <w:color w:val="auto"/>
        </w:rPr>
        <w:t>reason of the death, resignation or removal of one or more directors. The directors shall be elected at the annual meeting of the stockholders, except as provided in these Bylaws. Directors need not be stockholders.</w:t>
      </w:r>
    </w:p>
    <w:p>
      <w:pPr>
        <w:spacing w:after="0" w:line="96" w:lineRule="exact"/>
        <w:rPr>
          <w:sz w:val="20"/>
          <w:szCs w:val="20"/>
          <w:color w:val="auto"/>
        </w:rPr>
      </w:pPr>
    </w:p>
    <w:p>
      <w:pPr>
        <w:ind w:left="60" w:right="260" w:hanging="596"/>
        <w:spacing w:after="0" w:line="260" w:lineRule="auto"/>
        <w:tabs>
          <w:tab w:leader="none" w:pos="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u w:val="single" w:color="auto"/>
          <w:color w:val="auto"/>
        </w:rPr>
        <w:t>Tenure</w:t>
      </w:r>
      <w:r>
        <w:rPr>
          <w:rFonts w:ascii="Arial" w:cs="Arial" w:eastAsia="Arial" w:hAnsi="Arial"/>
          <w:sz w:val="17"/>
          <w:szCs w:val="17"/>
          <w:color w:val="auto"/>
        </w:rPr>
        <w:t>. Except as otherwise provided by law, by the certificate of incorporation or by these Bylaws, each director shall hold office until</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next annual meeting and until his successor is elected and qualified, or until he sooner dies, resigns, is removed or becomes disqualified.</w:t>
      </w:r>
    </w:p>
    <w:p>
      <w:pPr>
        <w:spacing w:after="0" w:line="111" w:lineRule="exact"/>
        <w:rPr>
          <w:sz w:val="20"/>
          <w:szCs w:val="20"/>
          <w:color w:val="auto"/>
        </w:rPr>
      </w:pPr>
    </w:p>
    <w:p>
      <w:pPr>
        <w:ind w:left="60" w:right="20" w:hanging="596"/>
        <w:spacing w:after="0" w:line="260" w:lineRule="auto"/>
        <w:tabs>
          <w:tab w:leader="none" w:pos="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u w:val="single" w:color="auto"/>
          <w:color w:val="auto"/>
        </w:rPr>
        <w:t>Powers</w:t>
      </w:r>
      <w:r>
        <w:rPr>
          <w:rFonts w:ascii="Arial" w:cs="Arial" w:eastAsia="Arial" w:hAnsi="Arial"/>
          <w:sz w:val="17"/>
          <w:szCs w:val="17"/>
          <w:color w:val="auto"/>
        </w:rPr>
        <w:t>. The business of the corporation shall be managed by or under the direction of the board of directors which shall have and may</w:t>
      </w:r>
      <w:r>
        <w:rPr>
          <w:rFonts w:ascii="Arial" w:cs="Arial" w:eastAsia="Arial" w:hAnsi="Arial"/>
          <w:sz w:val="17"/>
          <w:szCs w:val="17"/>
          <w:u w:val="single" w:color="auto"/>
          <w:color w:val="auto"/>
        </w:rPr>
        <w:t xml:space="preserve"> </w:t>
      </w:r>
      <w:r>
        <w:rPr>
          <w:rFonts w:ascii="Arial" w:cs="Arial" w:eastAsia="Arial" w:hAnsi="Arial"/>
          <w:sz w:val="17"/>
          <w:szCs w:val="17"/>
          <w:color w:val="auto"/>
        </w:rPr>
        <w:t>exercise all the powers of the corporation and do all such lawful acts and things as are not by law, the certificate of incorporation or these Bylaws directed or required to be exercised or done by the stockholders.</w:t>
      </w:r>
    </w:p>
    <w:p>
      <w:pPr>
        <w:spacing w:after="0" w:line="111" w:lineRule="exact"/>
        <w:rPr>
          <w:sz w:val="20"/>
          <w:szCs w:val="20"/>
          <w:color w:val="auto"/>
        </w:rPr>
      </w:pPr>
    </w:p>
    <w:p>
      <w:pPr>
        <w:ind w:left="60" w:right="20" w:hanging="596"/>
        <w:spacing w:after="0" w:line="267" w:lineRule="auto"/>
        <w:tabs>
          <w:tab w:leader="none" w:pos="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any newly created directorships resulting from any increase in the number of directors may be filled by vote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in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110" w:lineRule="exact"/>
        <w:rPr>
          <w:sz w:val="20"/>
          <w:szCs w:val="20"/>
          <w:color w:val="auto"/>
        </w:rPr>
      </w:pPr>
    </w:p>
    <w:p>
      <w:pPr>
        <w:ind w:left="60" w:hanging="596"/>
        <w:spacing w:after="0" w:line="246" w:lineRule="auto"/>
        <w:tabs>
          <w:tab w:leader="none" w:pos="4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by vote of a majority of the whole board, (a) designate, change the membership of or terminate</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alter and repeal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132" w:lineRule="exact"/>
        <w:rPr>
          <w:sz w:val="20"/>
          <w:szCs w:val="20"/>
          <w:color w:val="auto"/>
        </w:rPr>
      </w:pPr>
    </w:p>
    <w:p>
      <w:pPr>
        <w:ind w:left="60" w:right="180" w:hanging="596"/>
        <w:spacing w:after="0" w:line="255" w:lineRule="auto"/>
        <w:tabs>
          <w:tab w:leader="none" w:pos="4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u w:val="single" w:color="auto"/>
          <w:color w:val="auto"/>
        </w:rPr>
        <w:t>Regular Meeting</w:t>
      </w:r>
      <w:r>
        <w:rPr>
          <w:rFonts w:ascii="Arial" w:cs="Arial" w:eastAsia="Arial" w:hAnsi="Arial"/>
          <w:sz w:val="17"/>
          <w:szCs w:val="17"/>
          <w:color w:val="auto"/>
        </w:rPr>
        <w:t>. Regular meetings of the board of directors may be held without call or notice at such place within or without the State</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Delaware arid at such times as the board may from time to time determine, provided that notice of the first regular meeting following any such determination shall be given to absent directors. A regular meeting of the directors may be held without call or notice immediately after arid at the same place as the annual meeting of the stockholders.</w:t>
      </w:r>
    </w:p>
    <w:p>
      <w:pPr>
        <w:sectPr>
          <w:pgSz w:w="11900" w:h="16838" w:orient="portrait"/>
          <w:cols w:equalWidth="0" w:num="1">
            <w:col w:w="10120"/>
          </w:cols>
          <w:pgMar w:left="1440" w:top="1313" w:right="339" w:bottom="1440" w:gutter="0" w:footer="0" w:header="0"/>
        </w:sectPr>
      </w:pPr>
    </w:p>
    <w:bookmarkStart w:id="336" w:name="page337"/>
    <w:bookmarkEnd w:id="336"/>
    <w:p>
      <w:pPr>
        <w:jc w:val="both"/>
        <w:ind w:left="60" w:right="420" w:hanging="596"/>
        <w:spacing w:after="0" w:line="255" w:lineRule="auto"/>
        <w:tabs>
          <w:tab w:leader="none" w:pos="4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held at any time and at any place within or without the State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Delaware designated in the notice of the meeting, when called by the president, or by one-third or more in number of the directors, reasonable notice thereof being given to each director by the secretary or by the president or by any one of the directors calling the meeting.</w:t>
      </w:r>
    </w:p>
    <w:p>
      <w:pPr>
        <w:spacing w:after="0" w:line="115" w:lineRule="exact"/>
        <w:rPr>
          <w:sz w:val="20"/>
          <w:szCs w:val="20"/>
          <w:color w:val="auto"/>
        </w:rPr>
      </w:pPr>
    </w:p>
    <w:p>
      <w:pPr>
        <w:ind w:left="60" w:right="20" w:hanging="596"/>
        <w:spacing w:after="0" w:line="269" w:lineRule="auto"/>
        <w:tabs>
          <w:tab w:leader="none" w:pos="40"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6"/>
          <w:szCs w:val="16"/>
          <w:u w:val="single" w:color="auto"/>
          <w:color w:val="auto"/>
        </w:rPr>
        <w:t>Notice</w:t>
      </w:r>
      <w:r>
        <w:rPr>
          <w:rFonts w:ascii="Arial" w:cs="Arial" w:eastAsia="Arial" w:hAnsi="Arial"/>
          <w:sz w:val="16"/>
          <w:szCs w:val="16"/>
          <w:color w:val="auto"/>
        </w:rPr>
        <w:t>. It shall be reasonable and sufficient notice to a director to send notice by mail at least forty-eight hours or by telegram or telecopy</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other form of electronic transmission at least twenty-four hours before the meeting, addressed to him at his usual or last known business or residence address or to give notice to him in person or by telephone at least twenty- 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07" w:lineRule="exact"/>
        <w:rPr>
          <w:sz w:val="20"/>
          <w:szCs w:val="20"/>
          <w:color w:val="auto"/>
        </w:rPr>
      </w:pPr>
    </w:p>
    <w:p>
      <w:pPr>
        <w:ind w:left="60" w:right="140" w:hanging="596"/>
        <w:spacing w:after="0" w:line="255" w:lineRule="auto"/>
        <w:tabs>
          <w:tab w:leader="none" w:pos="4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7"/>
          <w:szCs w:val="17"/>
          <w:u w:val="single" w:color="auto"/>
          <w:color w:val="auto"/>
        </w:rPr>
        <w:t>Quorum</w:t>
      </w:r>
      <w:r>
        <w:rPr>
          <w:rFonts w:ascii="Arial" w:cs="Arial" w:eastAsia="Arial" w:hAnsi="Arial"/>
          <w:sz w:val="17"/>
          <w:szCs w:val="17"/>
          <w:color w:val="auto"/>
        </w:rPr>
        <w:t>. Except as may be otherwise provided by law, by the certificate of incorporation or by these Bylaws, at any meeting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115" w:lineRule="exact"/>
        <w:rPr>
          <w:sz w:val="20"/>
          <w:szCs w:val="20"/>
          <w:color w:val="auto"/>
        </w:rPr>
      </w:pPr>
    </w:p>
    <w:p>
      <w:pPr>
        <w:ind w:left="80" w:right="280" w:hanging="596"/>
        <w:spacing w:after="0" w:line="277" w:lineRule="auto"/>
        <w:tabs>
          <w:tab w:leader="none" w:pos="6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7"/>
          <w:szCs w:val="17"/>
          <w:u w:val="single" w:color="auto"/>
          <w:color w:val="auto"/>
        </w:rPr>
        <w:t>Action by Vote</w:t>
      </w:r>
      <w:r>
        <w:rPr>
          <w:rFonts w:ascii="Arial" w:cs="Arial" w:eastAsia="Arial" w:hAnsi="Arial"/>
          <w:sz w:val="17"/>
          <w:szCs w:val="17"/>
          <w:color w:val="auto"/>
        </w:rPr>
        <w:t>. Except as may be otherwise provided by law, by the certificate of incorporation or by these Bylaws, when a quorum is</w:t>
      </w:r>
      <w:r>
        <w:rPr>
          <w:rFonts w:ascii="Arial" w:cs="Arial" w:eastAsia="Arial" w:hAnsi="Arial"/>
          <w:sz w:val="17"/>
          <w:szCs w:val="17"/>
          <w:u w:val="single" w:color="auto"/>
          <w:color w:val="auto"/>
        </w:rPr>
        <w:t xml:space="preserve"> </w:t>
      </w:r>
      <w:r>
        <w:rPr>
          <w:rFonts w:ascii="Arial" w:cs="Arial" w:eastAsia="Arial" w:hAnsi="Arial"/>
          <w:sz w:val="17"/>
          <w:szCs w:val="17"/>
          <w:color w:val="auto"/>
        </w:rPr>
        <w:t>present at any meeting the vote of a majority of the directors present shall be the act of the board of directors.</w:t>
      </w:r>
    </w:p>
    <w:p>
      <w:pPr>
        <w:spacing w:after="0" w:line="96" w:lineRule="exact"/>
        <w:rPr>
          <w:sz w:val="20"/>
          <w:szCs w:val="20"/>
          <w:color w:val="auto"/>
        </w:rPr>
      </w:pPr>
    </w:p>
    <w:p>
      <w:pPr>
        <w:ind w:left="60" w:hanging="596"/>
        <w:spacing w:after="0" w:line="269" w:lineRule="auto"/>
        <w:tabs>
          <w:tab w:leader="none" w:pos="4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6"/>
          <w:szCs w:val="16"/>
          <w:u w:val="single" w:color="auto"/>
          <w:color w:val="auto"/>
        </w:rPr>
        <w:t>Action Without a Meeting</w:t>
      </w:r>
      <w:r>
        <w:rPr>
          <w:rFonts w:ascii="Arial" w:cs="Arial" w:eastAsia="Arial" w:hAnsi="Arial"/>
          <w:sz w:val="16"/>
          <w:szCs w:val="16"/>
          <w:color w:val="auto"/>
        </w:rPr>
        <w:t>. Unless otherwise restricted by the certificate of incorporation or these Bylaws, any action required or permitted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be taken at any meeting of the board of directors or of any committee thereof may be taken without a meeting if all the members of the board or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 Such consent shall be treated for all purposes as the act of the board or of such committee, as the case may be.</w:t>
      </w:r>
    </w:p>
    <w:p>
      <w:pPr>
        <w:spacing w:after="0" w:line="107" w:lineRule="exact"/>
        <w:rPr>
          <w:sz w:val="20"/>
          <w:szCs w:val="20"/>
          <w:color w:val="auto"/>
        </w:rPr>
      </w:pPr>
    </w:p>
    <w:p>
      <w:pPr>
        <w:ind w:left="80" w:right="260" w:hanging="596"/>
        <w:spacing w:after="0" w:line="255" w:lineRule="auto"/>
        <w:tabs>
          <w:tab w:leader="none" w:pos="6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u w:val="single" w:color="auto"/>
          <w:color w:val="auto"/>
        </w:rPr>
        <w:t>Participation in Meetings by Conference Telephone</w:t>
      </w:r>
      <w:r>
        <w:rPr>
          <w:rFonts w:ascii="Arial" w:cs="Arial" w:eastAsia="Arial" w:hAnsi="Arial"/>
          <w:sz w:val="17"/>
          <w:szCs w:val="17"/>
          <w:color w:val="auto"/>
        </w:rPr>
        <w:t>. Unless otherwise restricted by the certificate of incorporation or these Bylaws,</w:t>
      </w:r>
      <w:r>
        <w:rPr>
          <w:rFonts w:ascii="Arial" w:cs="Arial" w:eastAsia="Arial" w:hAnsi="Arial"/>
          <w:sz w:val="17"/>
          <w:szCs w:val="17"/>
          <w:u w:val="single" w:color="auto"/>
          <w:color w:val="auto"/>
        </w:rPr>
        <w:t xml:space="preserve"> </w:t>
      </w:r>
      <w:r>
        <w:rPr>
          <w:rFonts w:ascii="Arial" w:cs="Arial" w:eastAsia="Arial" w:hAnsi="Arial"/>
          <w:sz w:val="17"/>
          <w:szCs w:val="17"/>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115" w:lineRule="exact"/>
        <w:rPr>
          <w:sz w:val="20"/>
          <w:szCs w:val="20"/>
          <w:color w:val="auto"/>
        </w:rPr>
      </w:pPr>
    </w:p>
    <w:p>
      <w:pPr>
        <w:ind w:left="80" w:right="20" w:hanging="596"/>
        <w:spacing w:after="0" w:line="250" w:lineRule="auto"/>
        <w:tabs>
          <w:tab w:leader="none" w:pos="60" w:val="left"/>
        </w:tabs>
        <w:rPr>
          <w:sz w:val="20"/>
          <w:szCs w:val="20"/>
          <w:color w:val="auto"/>
        </w:rPr>
      </w:pPr>
      <w:r>
        <w:rPr>
          <w:rFonts w:ascii="Arial" w:cs="Arial" w:eastAsia="Arial" w:hAnsi="Arial"/>
          <w:sz w:val="17"/>
          <w:szCs w:val="17"/>
          <w:color w:val="auto"/>
        </w:rPr>
        <w:t>4.13</w:t>
      </w:r>
      <w:r>
        <w:rPr>
          <w:sz w:val="20"/>
          <w:szCs w:val="20"/>
          <w:color w:val="auto"/>
        </w:rPr>
        <w:tab/>
      </w:r>
      <w:r>
        <w:rPr>
          <w:rFonts w:ascii="Arial" w:cs="Arial" w:eastAsia="Arial" w:hAnsi="Arial"/>
          <w:sz w:val="17"/>
          <w:szCs w:val="17"/>
          <w:u w:val="single" w:color="auto"/>
          <w:color w:val="auto"/>
        </w:rPr>
        <w:t>Compensation</w:t>
      </w:r>
      <w:r>
        <w:rPr>
          <w:rFonts w:ascii="Arial" w:cs="Arial" w:eastAsia="Arial" w:hAnsi="Arial"/>
          <w:sz w:val="17"/>
          <w:szCs w:val="17"/>
          <w:color w:val="auto"/>
        </w:rPr>
        <w:t>. Unless otherwise restricted by the certificate of incorporation or these Bylaws, the board of directors shall have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w:t>
      </w:r>
    </w:p>
    <w:p>
      <w:pPr>
        <w:sectPr>
          <w:pgSz w:w="11900" w:h="16838" w:orient="portrait"/>
          <w:cols w:equalWidth="0" w:num="1">
            <w:col w:w="10100"/>
          </w:cols>
          <w:pgMar w:left="1440" w:top="1313" w:right="359" w:bottom="1440" w:gutter="0" w:footer="0" w:header="0"/>
        </w:sectPr>
      </w:pPr>
    </w:p>
    <w:bookmarkStart w:id="337" w:name="page338"/>
    <w:bookmarkEnd w:id="337"/>
    <w:p>
      <w:pPr>
        <w:ind w:left="1200"/>
        <w:spacing w:after="0"/>
        <w:rPr>
          <w:sz w:val="20"/>
          <w:szCs w:val="20"/>
          <w:color w:val="auto"/>
        </w:rPr>
      </w:pPr>
      <w:r>
        <w:rPr>
          <w:rFonts w:ascii="Arial" w:cs="Arial" w:eastAsia="Arial" w:hAnsi="Arial"/>
          <w:sz w:val="17"/>
          <w:szCs w:val="17"/>
          <w:color w:val="auto"/>
        </w:rPr>
        <w:t>also allow compensation for members of special or standing committees for service on such committees.</w:t>
      </w:r>
    </w:p>
    <w:p>
      <w:pPr>
        <w:spacing w:after="0" w:line="153" w:lineRule="exact"/>
        <w:rPr>
          <w:sz w:val="20"/>
          <w:szCs w:val="20"/>
          <w:color w:val="auto"/>
        </w:rPr>
      </w:pPr>
    </w:p>
    <w:p>
      <w:pPr>
        <w:ind w:left="1200" w:right="200" w:hanging="596"/>
        <w:spacing w:after="0" w:line="252" w:lineRule="auto"/>
        <w:tabs>
          <w:tab w:leader="none" w:pos="1180" w:val="left"/>
        </w:tabs>
        <w:rPr>
          <w:sz w:val="20"/>
          <w:szCs w:val="20"/>
          <w:color w:val="auto"/>
        </w:rPr>
      </w:pPr>
      <w:r>
        <w:rPr>
          <w:rFonts w:ascii="Arial" w:cs="Arial" w:eastAsia="Arial" w:hAnsi="Arial"/>
          <w:sz w:val="17"/>
          <w:szCs w:val="17"/>
          <w:color w:val="auto"/>
        </w:rPr>
        <w:t>4.14</w:t>
      </w:r>
      <w:r>
        <w:rPr>
          <w:sz w:val="20"/>
          <w:szCs w:val="20"/>
          <w:color w:val="auto"/>
        </w:rPr>
        <w:tab/>
      </w:r>
      <w:r>
        <w:rPr>
          <w:rFonts w:ascii="Arial" w:cs="Arial" w:eastAsia="Arial" w:hAnsi="Arial"/>
          <w:sz w:val="17"/>
          <w:szCs w:val="17"/>
          <w:u w:val="single" w:color="auto"/>
          <w:color w:val="auto"/>
        </w:rPr>
        <w:t>Interested Directors and Officers</w:t>
      </w:r>
      <w:r>
        <w:rPr>
          <w:rFonts w:ascii="Arial" w:cs="Arial" w:eastAsia="Arial" w:hAnsi="Arial"/>
          <w:sz w:val="17"/>
          <w:szCs w:val="17"/>
          <w:color w:val="auto"/>
        </w:rPr>
        <w:t>. No contract or transaction between the corporation and one or more of its directors or officers,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19" w:lineRule="exact"/>
        <w:rPr>
          <w:sz w:val="20"/>
          <w:szCs w:val="20"/>
          <w:color w:val="auto"/>
        </w:rPr>
      </w:pPr>
    </w:p>
    <w:p>
      <w:pPr>
        <w:jc w:val="both"/>
        <w:ind w:left="1800" w:right="140" w:hanging="606"/>
        <w:spacing w:after="0" w:line="284" w:lineRule="auto"/>
        <w:tabs>
          <w:tab w:leader="none" w:pos="179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93" w:lineRule="exact"/>
        <w:rPr>
          <w:rFonts w:ascii="Arial" w:cs="Arial" w:eastAsia="Arial" w:hAnsi="Arial"/>
          <w:sz w:val="16"/>
          <w:szCs w:val="16"/>
          <w:color w:val="auto"/>
        </w:rPr>
      </w:pPr>
    </w:p>
    <w:p>
      <w:pPr>
        <w:ind w:left="1800" w:right="620" w:hanging="606"/>
        <w:spacing w:after="0" w:line="260" w:lineRule="auto"/>
        <w:tabs>
          <w:tab w:leader="none" w:pos="179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11" w:lineRule="exact"/>
        <w:rPr>
          <w:rFonts w:ascii="Arial" w:cs="Arial" w:eastAsia="Arial" w:hAnsi="Arial"/>
          <w:sz w:val="17"/>
          <w:szCs w:val="17"/>
          <w:color w:val="auto"/>
        </w:rPr>
      </w:pPr>
    </w:p>
    <w:p>
      <w:pPr>
        <w:ind w:left="1800" w:right="660" w:hanging="606"/>
        <w:spacing w:after="0" w:line="277" w:lineRule="auto"/>
        <w:tabs>
          <w:tab w:leader="none" w:pos="179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contract or transaction is fair as to the corporation as of the time it is authorized, approved or ratified by the board of directors, a committee thereof, or the stockholders.</w:t>
      </w:r>
    </w:p>
    <w:p>
      <w:pPr>
        <w:spacing w:after="0" w:line="96" w:lineRule="exact"/>
        <w:rPr>
          <w:rFonts w:ascii="Arial" w:cs="Arial" w:eastAsia="Arial" w:hAnsi="Arial"/>
          <w:sz w:val="17"/>
          <w:szCs w:val="17"/>
          <w:color w:val="auto"/>
        </w:rPr>
      </w:pPr>
    </w:p>
    <w:p>
      <w:pPr>
        <w:ind w:left="1800" w:right="120" w:hanging="606"/>
        <w:spacing w:after="0" w:line="277" w:lineRule="auto"/>
        <w:tabs>
          <w:tab w:leader="none" w:pos="179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Common or interested directors may be counted in determining the presence of a quorum at a meeting of the board of directors or of a committee which authorizes the contract or transaction.</w:t>
      </w:r>
    </w:p>
    <w:p>
      <w:pPr>
        <w:spacing w:after="0" w:line="96" w:lineRule="exact"/>
        <w:rPr>
          <w:sz w:val="20"/>
          <w:szCs w:val="20"/>
          <w:color w:val="auto"/>
        </w:rPr>
      </w:pPr>
    </w:p>
    <w:p>
      <w:pPr>
        <w:ind w:left="1200" w:hanging="596"/>
        <w:spacing w:after="0" w:line="248" w:lineRule="auto"/>
        <w:tabs>
          <w:tab w:leader="none" w:pos="1180" w:val="left"/>
        </w:tabs>
        <w:rPr>
          <w:sz w:val="20"/>
          <w:szCs w:val="20"/>
          <w:color w:val="auto"/>
        </w:rPr>
      </w:pPr>
      <w:r>
        <w:rPr>
          <w:rFonts w:ascii="Arial" w:cs="Arial" w:eastAsia="Arial" w:hAnsi="Arial"/>
          <w:sz w:val="17"/>
          <w:szCs w:val="17"/>
          <w:color w:val="auto"/>
        </w:rPr>
        <w:t>4.15</w:t>
      </w:r>
      <w:r>
        <w:rPr>
          <w:sz w:val="20"/>
          <w:szCs w:val="20"/>
          <w:color w:val="auto"/>
        </w:rPr>
        <w:tab/>
      </w:r>
      <w:r>
        <w:rPr>
          <w:rFonts w:ascii="Arial" w:cs="Arial" w:eastAsia="Arial" w:hAnsi="Arial"/>
          <w:sz w:val="17"/>
          <w:szCs w:val="17"/>
          <w:u w:val="single" w:color="auto"/>
          <w:color w:val="auto"/>
        </w:rPr>
        <w:t>Resignation or Removal of Directors</w:t>
      </w:r>
      <w:r>
        <w:rPr>
          <w:rFonts w:ascii="Arial" w:cs="Arial" w:eastAsia="Arial" w:hAnsi="Arial"/>
          <w:sz w:val="17"/>
          <w:szCs w:val="17"/>
          <w:color w:val="auto"/>
        </w:rPr>
        <w:t>. Unless otherwise restricted by the certificate of incorporation or by law, any director or the entire</w:t>
      </w:r>
      <w:r>
        <w:rPr>
          <w:rFonts w:ascii="Arial" w:cs="Arial" w:eastAsia="Arial" w:hAnsi="Arial"/>
          <w:sz w:val="17"/>
          <w:szCs w:val="17"/>
          <w:u w:val="single" w:color="auto"/>
          <w:color w:val="auto"/>
        </w:rPr>
        <w:t xml:space="preserve"> </w:t>
      </w:r>
      <w:r>
        <w:rPr>
          <w:rFonts w:ascii="Arial" w:cs="Arial" w:eastAsia="Arial" w:hAnsi="Arial"/>
          <w:sz w:val="17"/>
          <w:szCs w:val="17"/>
          <w:color w:val="auto"/>
        </w:rPr>
        <w:t>board of directors may be removed, with or 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no director removed shall have any right to receive compensation as such director for any period following his resignation or removal, except where a right to receive compensation shall be expressly provided in a duly authorized written agreement with the corporation,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18" w:lineRule="exact"/>
        <w:rPr>
          <w:sz w:val="20"/>
          <w:szCs w:val="20"/>
          <w:color w:val="auto"/>
        </w:rPr>
      </w:pPr>
    </w:p>
    <w:p>
      <w:pPr>
        <w:ind w:left="580" w:hanging="580"/>
        <w:spacing w:after="0"/>
        <w:tabs>
          <w:tab w:leader="none" w:pos="580"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54" w:lineRule="exact"/>
        <w:rPr>
          <w:rFonts w:ascii="Arial" w:cs="Arial" w:eastAsia="Arial" w:hAnsi="Arial"/>
          <w:sz w:val="17"/>
          <w:szCs w:val="17"/>
          <w:b w:val="1"/>
          <w:bCs w:val="1"/>
          <w:color w:val="auto"/>
        </w:rPr>
      </w:pPr>
    </w:p>
    <w:p>
      <w:pPr>
        <w:ind w:left="1180" w:hanging="597"/>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5.1</w:t>
      </w:r>
      <w:r>
        <w:rPr>
          <w:rFonts w:ascii="Arial" w:cs="Arial" w:eastAsia="Arial" w:hAnsi="Arial"/>
          <w:sz w:val="17"/>
          <w:szCs w:val="17"/>
          <w:u w:val="single" w:color="auto"/>
          <w:color w:val="auto"/>
        </w:rPr>
        <w:t>Form of Notice</w:t>
      </w:r>
      <w:r>
        <w:rPr>
          <w:rFonts w:ascii="Arial" w:cs="Arial" w:eastAsia="Arial" w:hAnsi="Arial"/>
          <w:sz w:val="17"/>
          <w:szCs w:val="17"/>
          <w:color w:val="auto"/>
        </w:rPr>
        <w:t>. Whenever, under the provisions of law, of the certificate of incorporation or of these Bylaws, notice is required to be given</w:t>
      </w:r>
      <w:r>
        <w:rPr>
          <w:rFonts w:ascii="Arial" w:cs="Arial" w:eastAsia="Arial" w:hAnsi="Arial"/>
          <w:sz w:val="17"/>
          <w:szCs w:val="17"/>
          <w:u w:val="single" w:color="auto"/>
          <w:color w:val="auto"/>
        </w:rPr>
        <w:t xml:space="preserve"> </w:t>
      </w:r>
      <w:r>
        <w:rPr>
          <w:rFonts w:ascii="Arial" w:cs="Arial" w:eastAsia="Arial" w:hAnsi="Arial"/>
          <w:sz w:val="17"/>
          <w:szCs w:val="17"/>
          <w:color w:val="auto"/>
        </w:rPr>
        <w:t>to any director or stockholder, such notice may be given by mail, 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w:t>
      </w:r>
    </w:p>
    <w:p>
      <w:pPr>
        <w:sectPr>
          <w:pgSz w:w="11900" w:h="16838" w:orient="portrait"/>
          <w:cols w:equalWidth="0" w:num="1">
            <w:col w:w="11240"/>
          </w:cols>
          <w:pgMar w:left="320" w:top="1313" w:right="339" w:bottom="1440" w:gutter="0" w:footer="0" w:header="0"/>
        </w:sectPr>
      </w:pPr>
    </w:p>
    <w:bookmarkStart w:id="338" w:name="page339"/>
    <w:bookmarkEnd w:id="338"/>
    <w:p>
      <w:pPr>
        <w:ind w:left="1200"/>
        <w:spacing w:after="0" w:line="250" w:lineRule="auto"/>
        <w:rPr>
          <w:sz w:val="20"/>
          <w:szCs w:val="20"/>
          <w:color w:val="auto"/>
        </w:rPr>
      </w:pPr>
      <w:r>
        <w:rPr>
          <w:rFonts w:ascii="Arial" w:cs="Arial" w:eastAsia="Arial" w:hAnsi="Arial"/>
          <w:sz w:val="17"/>
          <w:szCs w:val="17"/>
          <w:color w:val="auto"/>
        </w:rPr>
        <w:t>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Notice may also be given to any stockholder and to any director by any form of electronic transmission, to the same extent permitted by Section 232 of the Delaware General Corporation Law with respect to stockholders, and will be deemed given at the time provided therein. Oral notice or other in-hand delivery (in person or by telephone) shall be deemed given at the time it is actually given.</w:t>
      </w:r>
    </w:p>
    <w:p>
      <w:pPr>
        <w:spacing w:after="0" w:line="122" w:lineRule="exact"/>
        <w:rPr>
          <w:sz w:val="20"/>
          <w:szCs w:val="20"/>
          <w:color w:val="auto"/>
        </w:rPr>
      </w:pPr>
    </w:p>
    <w:p>
      <w:pPr>
        <w:ind w:left="1180" w:hanging="596"/>
        <w:spacing w:after="0" w:line="250" w:lineRule="auto"/>
        <w:tabs>
          <w:tab w:leader="none" w:pos="11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notice is required to be given under the provisions of law, the certificate of incorporation or these Bylaws, a</w:t>
      </w:r>
      <w:r>
        <w:rPr>
          <w:rFonts w:ascii="Arial" w:cs="Arial" w:eastAsia="Arial" w:hAnsi="Arial"/>
          <w:sz w:val="17"/>
          <w:szCs w:val="17"/>
          <w:u w:val="single" w:color="auto"/>
          <w:color w:val="auto"/>
        </w:rPr>
        <w:t xml:space="preserve"> </w:t>
      </w:r>
      <w:r>
        <w:rPr>
          <w:rFonts w:ascii="Arial" w:cs="Arial" w:eastAsia="Arial" w:hAnsi="Arial"/>
          <w:sz w:val="17"/>
          <w:szCs w:val="17"/>
          <w:color w:val="auto"/>
        </w:rPr>
        <w:t>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120" w:lineRule="exact"/>
        <w:rPr>
          <w:sz w:val="20"/>
          <w:szCs w:val="20"/>
          <w:color w:val="auto"/>
        </w:rPr>
      </w:pPr>
    </w:p>
    <w:p>
      <w:pPr>
        <w:ind w:left="580" w:hanging="580"/>
        <w:spacing w:after="0"/>
        <w:tabs>
          <w:tab w:leader="none" w:pos="580"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OFFICERS AND AGENTS</w:t>
      </w:r>
    </w:p>
    <w:p>
      <w:pPr>
        <w:spacing w:after="0" w:line="154" w:lineRule="exact"/>
        <w:rPr>
          <w:rFonts w:ascii="Arial" w:cs="Arial" w:eastAsia="Arial" w:hAnsi="Arial"/>
          <w:sz w:val="17"/>
          <w:szCs w:val="17"/>
          <w:b w:val="1"/>
          <w:bCs w:val="1"/>
          <w:color w:val="auto"/>
        </w:rPr>
      </w:pPr>
    </w:p>
    <w:p>
      <w:pPr>
        <w:ind w:left="1180" w:right="40" w:hanging="597"/>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6.1</w:t>
      </w:r>
      <w:r>
        <w:rPr>
          <w:rFonts w:ascii="Arial" w:cs="Arial" w:eastAsia="Arial" w:hAnsi="Arial"/>
          <w:sz w:val="17"/>
          <w:szCs w:val="17"/>
          <w:u w:val="single" w:color="auto"/>
          <w:color w:val="auto"/>
        </w:rPr>
        <w:t>Enumeration; Qualification</w:t>
      </w:r>
      <w:r>
        <w:rPr>
          <w:rFonts w:ascii="Arial" w:cs="Arial" w:eastAsia="Arial" w:hAnsi="Arial"/>
          <w:sz w:val="17"/>
          <w:szCs w:val="17"/>
          <w:color w:val="auto"/>
        </w:rPr>
        <w:t>. The officers of the corporation shall be a president, a treasurer, a secretary and such other officers, if any,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board of directors from time to time may in its discretion elect or appoint including without limitation a chairperson of the board of directors and one or more vice presidents.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118" w:lineRule="exact"/>
        <w:rPr>
          <w:rFonts w:ascii="Arial" w:cs="Arial" w:eastAsia="Arial" w:hAnsi="Arial"/>
          <w:sz w:val="17"/>
          <w:szCs w:val="17"/>
          <w:b w:val="1"/>
          <w:bCs w:val="1"/>
          <w:color w:val="auto"/>
        </w:rPr>
      </w:pPr>
    </w:p>
    <w:p>
      <w:pPr>
        <w:ind w:left="1180" w:right="120" w:hanging="597"/>
        <w:spacing w:after="0" w:line="260" w:lineRule="auto"/>
        <w:rPr>
          <w:rFonts w:ascii="Arial" w:cs="Arial" w:eastAsia="Arial" w:hAnsi="Arial"/>
          <w:sz w:val="17"/>
          <w:szCs w:val="17"/>
          <w:b w:val="1"/>
          <w:bCs w:val="1"/>
          <w:color w:val="auto"/>
        </w:rPr>
      </w:pPr>
      <w:r>
        <w:rPr>
          <w:rFonts w:ascii="Arial" w:cs="Arial" w:eastAsia="Arial" w:hAnsi="Arial"/>
          <w:sz w:val="17"/>
          <w:szCs w:val="17"/>
          <w:color w:val="auto"/>
        </w:rPr>
        <w:t>6.2</w:t>
      </w:r>
      <w:r>
        <w:rPr>
          <w:rFonts w:ascii="Arial" w:cs="Arial" w:eastAsia="Arial" w:hAnsi="Arial"/>
          <w:sz w:val="17"/>
          <w:szCs w:val="17"/>
          <w:u w:val="single" w:color="auto"/>
          <w:color w:val="auto"/>
        </w:rPr>
        <w:t>Powers</w:t>
      </w:r>
      <w:r>
        <w:rPr>
          <w:rFonts w:ascii="Arial" w:cs="Arial" w:eastAsia="Arial" w:hAnsi="Arial"/>
          <w:sz w:val="17"/>
          <w:szCs w:val="17"/>
          <w:color w:val="auto"/>
        </w:rPr>
        <w:t>. Subject to law, to the certificate of incorporation and to the other provisions of these Bylaws, each officer shall have, in addition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to the duties and powers herein set forth, such duties and powers as are commonly incident to his office and such additional duties and powers as the board of directors may from time to time designate.</w:t>
      </w:r>
    </w:p>
    <w:p>
      <w:pPr>
        <w:spacing w:after="0" w:line="111" w:lineRule="exact"/>
        <w:rPr>
          <w:rFonts w:ascii="Arial" w:cs="Arial" w:eastAsia="Arial" w:hAnsi="Arial"/>
          <w:sz w:val="17"/>
          <w:szCs w:val="17"/>
          <w:b w:val="1"/>
          <w:bCs w:val="1"/>
          <w:color w:val="auto"/>
        </w:rPr>
      </w:pPr>
    </w:p>
    <w:p>
      <w:pPr>
        <w:ind w:left="1180" w:right="40" w:hanging="597"/>
        <w:spacing w:after="0" w:line="284" w:lineRule="auto"/>
        <w:rPr>
          <w:rFonts w:ascii="Arial" w:cs="Arial" w:eastAsia="Arial" w:hAnsi="Arial"/>
          <w:sz w:val="17"/>
          <w:szCs w:val="17"/>
          <w:b w:val="1"/>
          <w:bCs w:val="1"/>
          <w:color w:val="auto"/>
        </w:rPr>
      </w:pPr>
      <w:r>
        <w:rPr>
          <w:rFonts w:ascii="Arial" w:cs="Arial" w:eastAsia="Arial" w:hAnsi="Arial"/>
          <w:sz w:val="17"/>
          <w:szCs w:val="17"/>
          <w:color w:val="auto"/>
        </w:rPr>
        <w:t>6.3</w:t>
      </w:r>
      <w:r>
        <w:rPr>
          <w:rFonts w:ascii="Arial" w:cs="Arial" w:eastAsia="Arial" w:hAnsi="Arial"/>
          <w:sz w:val="16"/>
          <w:szCs w:val="16"/>
          <w:u w:val="single" w:color="auto"/>
          <w:color w:val="auto"/>
        </w:rPr>
        <w:t>Election</w:t>
      </w:r>
      <w:r>
        <w:rPr>
          <w:rFonts w:ascii="Arial" w:cs="Arial" w:eastAsia="Arial" w:hAnsi="Arial"/>
          <w:sz w:val="16"/>
          <w:szCs w:val="16"/>
          <w:color w:val="auto"/>
        </w:rPr>
        <w:t>. The board of directors at its first meeting after each annual meeting of stockholders shall choose a president, a secretary and a</w:t>
      </w:r>
      <w:r>
        <w:rPr>
          <w:rFonts w:ascii="Arial" w:cs="Arial" w:eastAsia="Arial" w:hAnsi="Arial"/>
          <w:sz w:val="16"/>
          <w:szCs w:val="16"/>
          <w:u w:val="single" w:color="auto"/>
          <w:color w:val="auto"/>
        </w:rPr>
        <w:t xml:space="preserve"> </w:t>
      </w:r>
      <w:r>
        <w:rPr>
          <w:rFonts w:ascii="Arial" w:cs="Arial" w:eastAsia="Arial" w:hAnsi="Arial"/>
          <w:sz w:val="16"/>
          <w:szCs w:val="16"/>
          <w:color w:val="auto"/>
        </w:rPr>
        <w:t>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93" w:lineRule="exact"/>
        <w:rPr>
          <w:rFonts w:ascii="Arial" w:cs="Arial" w:eastAsia="Arial" w:hAnsi="Arial"/>
          <w:sz w:val="17"/>
          <w:szCs w:val="17"/>
          <w:b w:val="1"/>
          <w:bCs w:val="1"/>
          <w:color w:val="auto"/>
        </w:rPr>
      </w:pPr>
    </w:p>
    <w:p>
      <w:pPr>
        <w:ind w:left="1180" w:right="40" w:hanging="597"/>
        <w:spacing w:after="0" w:line="276" w:lineRule="auto"/>
        <w:rPr>
          <w:rFonts w:ascii="Arial" w:cs="Arial" w:eastAsia="Arial" w:hAnsi="Arial"/>
          <w:sz w:val="17"/>
          <w:szCs w:val="17"/>
          <w:b w:val="1"/>
          <w:bCs w:val="1"/>
          <w:color w:val="auto"/>
        </w:rPr>
      </w:pPr>
      <w:r>
        <w:rPr>
          <w:rFonts w:ascii="Arial" w:cs="Arial" w:eastAsia="Arial" w:hAnsi="Arial"/>
          <w:sz w:val="17"/>
          <w:szCs w:val="17"/>
          <w:color w:val="auto"/>
        </w:rPr>
        <w:t>6.4</w:t>
      </w:r>
      <w:r>
        <w:rPr>
          <w:rFonts w:ascii="Arial" w:cs="Arial" w:eastAsia="Arial" w:hAnsi="Arial"/>
          <w:sz w:val="16"/>
          <w:szCs w:val="16"/>
          <w:u w:val="single" w:color="auto"/>
          <w:color w:val="auto"/>
        </w:rPr>
        <w:t>Tenure</w:t>
      </w:r>
      <w:r>
        <w:rPr>
          <w:rFonts w:ascii="Arial" w:cs="Arial" w:eastAsia="Arial" w:hAnsi="Arial"/>
          <w:sz w:val="16"/>
          <w:szCs w:val="16"/>
          <w:color w:val="auto"/>
        </w:rPr>
        <w:t>. Each officer shall hold office until the first meeting of the board of directors following the next annual meeting of the stockholders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99" w:lineRule="exact"/>
        <w:rPr>
          <w:rFonts w:ascii="Arial" w:cs="Arial" w:eastAsia="Arial" w:hAnsi="Arial"/>
          <w:sz w:val="17"/>
          <w:szCs w:val="17"/>
          <w:b w:val="1"/>
          <w:bCs w:val="1"/>
          <w:color w:val="auto"/>
        </w:rPr>
      </w:pPr>
    </w:p>
    <w:p>
      <w:pPr>
        <w:ind w:left="1180" w:right="40" w:hanging="597"/>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6.5</w:t>
      </w:r>
      <w:r>
        <w:rPr>
          <w:rFonts w:ascii="Arial" w:cs="Arial" w:eastAsia="Arial" w:hAnsi="Arial"/>
          <w:sz w:val="17"/>
          <w:szCs w:val="17"/>
          <w:u w:val="single" w:color="auto"/>
          <w:color w:val="auto"/>
        </w:rPr>
        <w:t>Chairperson of the Board of Directors</w:t>
      </w:r>
      <w:r>
        <w:rPr>
          <w:rFonts w:ascii="Arial" w:cs="Arial" w:eastAsia="Arial" w:hAnsi="Arial"/>
          <w:sz w:val="17"/>
          <w:szCs w:val="17"/>
          <w:color w:val="auto"/>
        </w:rPr>
        <w:t>. The chairperson of the board of directors, if any, shall have such duties and powers as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designated from time to time by the board of directors. Unless the board of directors otherwise specifies, the chairperson of the board, or if there is none the president, shall preside, or designate the person who shall preside, at all meetings of the stockholders and of the board of directors. References in</w:t>
      </w:r>
    </w:p>
    <w:p>
      <w:pPr>
        <w:sectPr>
          <w:pgSz w:w="11900" w:h="16838" w:orient="portrait"/>
          <w:cols w:equalWidth="0" w:num="1">
            <w:col w:w="11220"/>
          </w:cols>
          <w:pgMar w:left="320" w:top="1313" w:right="359" w:bottom="1440" w:gutter="0" w:footer="0" w:header="0"/>
        </w:sectPr>
      </w:pPr>
    </w:p>
    <w:bookmarkStart w:id="339" w:name="page340"/>
    <w:bookmarkEnd w:id="339"/>
    <w:p>
      <w:pPr>
        <w:ind w:left="80" w:right="840"/>
        <w:spacing w:after="0" w:line="277" w:lineRule="auto"/>
        <w:rPr>
          <w:sz w:val="20"/>
          <w:szCs w:val="20"/>
          <w:color w:val="auto"/>
        </w:rPr>
      </w:pPr>
      <w:r>
        <w:rPr>
          <w:rFonts w:ascii="Arial" w:cs="Arial" w:eastAsia="Arial" w:hAnsi="Arial"/>
          <w:sz w:val="17"/>
          <w:szCs w:val="17"/>
          <w:color w:val="auto"/>
        </w:rPr>
        <w:t>these Bylaws to a chairperson shall include references to persons designated by the board of directors with the title chairman, chairwoman or chair or any similar title.</w:t>
      </w:r>
    </w:p>
    <w:p>
      <w:pPr>
        <w:spacing w:after="0" w:line="96" w:lineRule="exact"/>
        <w:rPr>
          <w:sz w:val="20"/>
          <w:szCs w:val="20"/>
          <w:color w:val="auto"/>
        </w:rPr>
      </w:pPr>
    </w:p>
    <w:p>
      <w:pPr>
        <w:ind w:left="60" w:hanging="596"/>
        <w:spacing w:after="0" w:line="266" w:lineRule="auto"/>
        <w:tabs>
          <w:tab w:leader="none" w:pos="4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6"/>
          <w:szCs w:val="16"/>
          <w:u w:val="single" w:color="auto"/>
          <w:color w:val="auto"/>
        </w:rPr>
        <w:t>President and Vice Presidents</w:t>
      </w:r>
      <w:r>
        <w:rPr>
          <w:rFonts w:ascii="Arial" w:cs="Arial" w:eastAsia="Arial" w:hAnsi="Arial"/>
          <w:sz w:val="16"/>
          <w:szCs w:val="16"/>
          <w:color w:val="auto"/>
        </w:rPr>
        <w:t>. The president shall be the chief executive officer and shall have direct and active charge of all business</w:t>
      </w:r>
      <w:r>
        <w:rPr>
          <w:rFonts w:ascii="Arial" w:cs="Arial" w:eastAsia="Arial" w:hAnsi="Arial"/>
          <w:sz w:val="16"/>
          <w:szCs w:val="16"/>
          <w:u w:val="single" w:color="auto"/>
          <w:color w:val="auto"/>
        </w:rPr>
        <w:t xml:space="preserve"> </w:t>
      </w:r>
      <w:r>
        <w:rPr>
          <w:rFonts w:ascii="Arial" w:cs="Arial" w:eastAsia="Arial" w:hAnsi="Arial"/>
          <w:sz w:val="16"/>
          <w:szCs w:val="16"/>
          <w:color w:val="auto"/>
        </w:rPr>
        <w:t>operations of the corporation and shall have general supervision of the entire business of the corporation, subject to the control of the board of directors. As provided in Section 6.5, in the absence of the chairperson of the board of directors, the president shall preside at all meetings of the stockholders and of the board of directors at which the president is present, except as otherwise voted by the board of directors. The president or treasurer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Any vice presidents shall have such duties and powers as shall be designated from time to time by the board of directors or by the president.</w:t>
      </w:r>
    </w:p>
    <w:p>
      <w:pPr>
        <w:spacing w:after="0" w:line="111" w:lineRule="exact"/>
        <w:rPr>
          <w:sz w:val="20"/>
          <w:szCs w:val="20"/>
          <w:color w:val="auto"/>
        </w:rPr>
      </w:pPr>
    </w:p>
    <w:p>
      <w:pPr>
        <w:jc w:val="both"/>
        <w:ind w:left="60" w:right="40" w:hanging="596"/>
        <w:spacing w:after="0" w:line="255" w:lineRule="auto"/>
        <w:tabs>
          <w:tab w:leader="none" w:pos="40"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7"/>
          <w:szCs w:val="17"/>
          <w:u w:val="single" w:color="auto"/>
          <w:color w:val="auto"/>
        </w:rPr>
        <w:t>Treasurer and Assistant Treasurers</w:t>
      </w:r>
      <w:r>
        <w:rPr>
          <w:rFonts w:ascii="Arial" w:cs="Arial" w:eastAsia="Arial" w:hAnsi="Arial"/>
          <w:sz w:val="17"/>
          <w:szCs w:val="17"/>
          <w:color w:val="auto"/>
        </w:rPr>
        <w:t>. The treasurer shall be the chief financial officer of the corporation and shall be in charge of its funds</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valuable papers, and shall have such other duties and powers as may be assigned to him from time to time by the board of directors or by the president. Any assistant treasurers shall have such duties and powers as shall be designated from time to time by the board of directors, the president or the treasurer.</w:t>
      </w:r>
    </w:p>
    <w:p>
      <w:pPr>
        <w:spacing w:after="0" w:line="115" w:lineRule="exact"/>
        <w:rPr>
          <w:sz w:val="20"/>
          <w:szCs w:val="20"/>
          <w:color w:val="auto"/>
        </w:rPr>
      </w:pPr>
    </w:p>
    <w:p>
      <w:pPr>
        <w:ind w:left="60" w:right="60" w:hanging="596"/>
        <w:spacing w:after="0" w:line="248" w:lineRule="auto"/>
        <w:tabs>
          <w:tab w:leader="none" w:pos="40"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7"/>
          <w:szCs w:val="17"/>
          <w:u w:val="single" w:color="auto"/>
          <w:color w:val="auto"/>
        </w:rPr>
        <w:t>Secretary and Assistant Secretaries</w:t>
      </w:r>
      <w:r>
        <w:rPr>
          <w:rFonts w:ascii="Arial" w:cs="Arial" w:eastAsia="Arial" w:hAnsi="Arial"/>
          <w:sz w:val="17"/>
          <w:szCs w:val="17"/>
          <w:color w:val="auto"/>
        </w:rPr>
        <w:t>. The secretary shall record all proceedings of the stockholders, of the board of directors and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committees of the board of directors in a book or series of books to be kept therefor and shall file therein all writings of, or related to, action by stockholder or director consent. In the absence of the secretary from any meeting, an assistant secretary, or if there is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The secretary shall have such other duties and powers as may from time to time be designated by the board of directors or the president. Any assistant secretaries shall have such duties and powers as shall be designated from time to time by the board of directors, the president or the secretary.</w:t>
      </w:r>
    </w:p>
    <w:p>
      <w:pPr>
        <w:spacing w:after="0" w:line="123" w:lineRule="exact"/>
        <w:rPr>
          <w:sz w:val="20"/>
          <w:szCs w:val="20"/>
          <w:color w:val="auto"/>
        </w:rPr>
      </w:pPr>
    </w:p>
    <w:p>
      <w:pPr>
        <w:ind w:left="60" w:hanging="596"/>
        <w:spacing w:after="0" w:line="248" w:lineRule="auto"/>
        <w:tabs>
          <w:tab w:leader="none" w:pos="40" w:val="left"/>
        </w:tabs>
        <w:rPr>
          <w:sz w:val="20"/>
          <w:szCs w:val="20"/>
          <w:color w:val="auto"/>
        </w:rPr>
      </w:pPr>
      <w:r>
        <w:rPr>
          <w:rFonts w:ascii="Arial" w:cs="Arial" w:eastAsia="Arial" w:hAnsi="Arial"/>
          <w:sz w:val="17"/>
          <w:szCs w:val="17"/>
          <w:color w:val="auto"/>
        </w:rPr>
        <w:t>6.9</w:t>
      </w:r>
      <w:r>
        <w:rPr>
          <w:sz w:val="20"/>
          <w:szCs w:val="20"/>
          <w:color w:val="auto"/>
        </w:rPr>
        <w:tab/>
      </w:r>
      <w:r>
        <w:rPr>
          <w:rFonts w:ascii="Arial" w:cs="Arial" w:eastAsia="Arial" w:hAnsi="Arial"/>
          <w:sz w:val="17"/>
          <w:szCs w:val="17"/>
          <w:u w:val="single" w:color="auto"/>
          <w:color w:val="auto"/>
        </w:rPr>
        <w:t>Resignation and Removal</w:t>
      </w:r>
      <w:r>
        <w:rPr>
          <w:rFonts w:ascii="Arial" w:cs="Arial" w:eastAsia="Arial" w:hAnsi="Arial"/>
          <w:sz w:val="17"/>
          <w:szCs w:val="17"/>
          <w:color w:val="auto"/>
        </w:rPr>
        <w:t>. Any officer may resign at any time by delivering his resignation in writing to the president or the secretary or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no officer removed shall have any right to any compensation as such officer for any period following his resignation or removal, except where a right to receive compensation shall be expressly provided in a duly authorized written agreement with the corporation,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23" w:lineRule="exact"/>
        <w:rPr>
          <w:sz w:val="20"/>
          <w:szCs w:val="20"/>
          <w:color w:val="auto"/>
        </w:rPr>
      </w:pPr>
    </w:p>
    <w:p>
      <w:pPr>
        <w:ind w:left="80" w:right="120" w:hanging="596"/>
        <w:spacing w:after="0" w:line="309" w:lineRule="auto"/>
        <w:tabs>
          <w:tab w:leader="none" w:pos="60" w:val="left"/>
        </w:tabs>
        <w:rPr>
          <w:sz w:val="20"/>
          <w:szCs w:val="20"/>
          <w:color w:val="auto"/>
        </w:rPr>
      </w:pPr>
      <w:r>
        <w:rPr>
          <w:rFonts w:ascii="Arial" w:cs="Arial" w:eastAsia="Arial" w:hAnsi="Arial"/>
          <w:sz w:val="17"/>
          <w:szCs w:val="17"/>
          <w:color w:val="auto"/>
        </w:rPr>
        <w:t>6.10</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If the office of the president or the treasurer or the secretary becomes vacant, the directors may elect a successor by vote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a majority of the directors then in office. If the office of any other officer becomes vacant, any person or body empowered to elect or</w:t>
      </w:r>
    </w:p>
    <w:p>
      <w:pPr>
        <w:sectPr>
          <w:pgSz w:w="11900" w:h="16838" w:orient="portrait"/>
          <w:cols w:equalWidth="0" w:num="1">
            <w:col w:w="10120"/>
          </w:cols>
          <w:pgMar w:left="1440" w:top="1313" w:right="339" w:bottom="1440" w:gutter="0" w:footer="0" w:header="0"/>
        </w:sectPr>
      </w:pPr>
    </w:p>
    <w:bookmarkStart w:id="340" w:name="page341"/>
    <w:bookmarkEnd w:id="340"/>
    <w:p>
      <w:pPr>
        <w:ind w:left="1200" w:right="160"/>
        <w:spacing w:after="0" w:line="260" w:lineRule="auto"/>
        <w:rPr>
          <w:sz w:val="20"/>
          <w:szCs w:val="20"/>
          <w:color w:val="auto"/>
        </w:rPr>
      </w:pPr>
      <w:r>
        <w:rPr>
          <w:rFonts w:ascii="Arial" w:cs="Arial" w:eastAsia="Arial" w:hAnsi="Arial"/>
          <w:sz w:val="17"/>
          <w:szCs w:val="17"/>
          <w:color w:val="auto"/>
        </w:rPr>
        <w:t>appoint that office may choose a successor. Each such successor shall hold office for the unexpired term of his predecessor, and in the case of the president, the treasurer and the secretary until his successor is chosen and qualified, or in each case until he sooner dies, resigns, is removed or becomes disqualified.</w:t>
      </w:r>
    </w:p>
    <w:p>
      <w:pPr>
        <w:spacing w:after="0" w:line="109" w:lineRule="exact"/>
        <w:rPr>
          <w:sz w:val="20"/>
          <w:szCs w:val="20"/>
          <w:color w:val="auto"/>
        </w:rPr>
      </w:pPr>
    </w:p>
    <w:p>
      <w:pPr>
        <w:ind w:left="580" w:hanging="580"/>
        <w:spacing w:after="0"/>
        <w:tabs>
          <w:tab w:leader="none" w:pos="580"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w:t>
      </w:r>
    </w:p>
    <w:p>
      <w:pPr>
        <w:spacing w:after="0" w:line="154" w:lineRule="exact"/>
        <w:rPr>
          <w:rFonts w:ascii="Arial" w:cs="Arial" w:eastAsia="Arial" w:hAnsi="Arial"/>
          <w:sz w:val="17"/>
          <w:szCs w:val="17"/>
          <w:b w:val="1"/>
          <w:bCs w:val="1"/>
          <w:color w:val="auto"/>
        </w:rPr>
      </w:pPr>
    </w:p>
    <w:p>
      <w:pPr>
        <w:ind w:left="1180" w:hanging="597"/>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7.1</w:t>
      </w:r>
      <w:r>
        <w:rPr>
          <w:rFonts w:ascii="Arial" w:cs="Arial" w:eastAsia="Arial" w:hAnsi="Arial"/>
          <w:sz w:val="16"/>
          <w:szCs w:val="16"/>
          <w:u w:val="single" w:color="auto"/>
          <w:color w:val="auto"/>
        </w:rPr>
        <w:t>Stock Certificates</w:t>
      </w:r>
      <w:r>
        <w:rPr>
          <w:rFonts w:ascii="Arial" w:cs="Arial" w:eastAsia="Arial" w:hAnsi="Arial"/>
          <w:sz w:val="16"/>
          <w:szCs w:val="16"/>
          <w:color w:val="auto"/>
        </w:rPr>
        <w:t>. Each stockholder shall be entitled to a certificate stating the number and the class and the designation of the series, if</w:t>
      </w:r>
      <w:r>
        <w:rPr>
          <w:rFonts w:ascii="Arial" w:cs="Arial" w:eastAsia="Arial" w:hAnsi="Arial"/>
          <w:sz w:val="16"/>
          <w:szCs w:val="16"/>
          <w:u w:val="single" w:color="auto"/>
          <w:color w:val="auto"/>
        </w:rPr>
        <w:t xml:space="preserve"> </w:t>
      </w:r>
      <w:r>
        <w:rPr>
          <w:rFonts w:ascii="Arial" w:cs="Arial" w:eastAsia="Arial" w:hAnsi="Arial"/>
          <w:sz w:val="16"/>
          <w:szCs w:val="16"/>
          <w:color w:val="auto"/>
        </w:rPr>
        <w:t>any, of the shares held by him, in such form as shall, in conformity to law, the certificate of incorporation and the Bylaws, be prescribed from time to time by the board of directors. Such certificate shall be signed by (i) the chairperson of the board of directors or the president or a vice-president and (ii) the treasurer or an assistant treasurer or the secretary or an assistant secretary. Any or all of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110" w:lineRule="exact"/>
        <w:rPr>
          <w:rFonts w:ascii="Arial" w:cs="Arial" w:eastAsia="Arial" w:hAnsi="Arial"/>
          <w:sz w:val="17"/>
          <w:szCs w:val="17"/>
          <w:b w:val="1"/>
          <w:bCs w:val="1"/>
          <w:color w:val="auto"/>
        </w:rPr>
      </w:pPr>
    </w:p>
    <w:p>
      <w:pPr>
        <w:ind w:left="1180" w:right="20" w:hanging="597"/>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7.2</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certificate or certificates to be issued in place of any certificate or certificates</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21" w:lineRule="exact"/>
        <w:rPr>
          <w:rFonts w:ascii="Arial" w:cs="Arial" w:eastAsia="Arial" w:hAnsi="Arial"/>
          <w:sz w:val="17"/>
          <w:szCs w:val="17"/>
          <w:b w:val="1"/>
          <w:bCs w:val="1"/>
          <w:color w:val="auto"/>
        </w:rPr>
      </w:pPr>
    </w:p>
    <w:p>
      <w:pPr>
        <w:ind w:left="580" w:hanging="580"/>
        <w:spacing w:after="0"/>
        <w:tabs>
          <w:tab w:leader="none" w:pos="580"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TRANSFER OF SHARES OF STOCK</w:t>
      </w:r>
    </w:p>
    <w:p>
      <w:pPr>
        <w:spacing w:after="0" w:line="154"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8.1</w:t>
      </w:r>
      <w:r>
        <w:rPr>
          <w:rFonts w:ascii="Arial" w:cs="Arial" w:eastAsia="Arial" w:hAnsi="Arial"/>
          <w:sz w:val="16"/>
          <w:szCs w:val="16"/>
          <w:u w:val="single" w:color="auto"/>
          <w:color w:val="auto"/>
        </w:rPr>
        <w:t>Transfer on Books</w:t>
      </w:r>
      <w:r>
        <w:rPr>
          <w:rFonts w:ascii="Arial" w:cs="Arial" w:eastAsia="Arial" w:hAnsi="Arial"/>
          <w:sz w:val="16"/>
          <w:szCs w:val="16"/>
          <w:color w:val="auto"/>
        </w:rPr>
        <w:t>. Subject to any restrictions with respect to the transfer of shares of stock, shares of stock may be transferred on the</w:t>
      </w:r>
    </w:p>
    <w:p>
      <w:pPr>
        <w:spacing w:after="0" w:line="23" w:lineRule="exact"/>
        <w:rPr>
          <w:rFonts w:ascii="Arial" w:cs="Arial" w:eastAsia="Arial" w:hAnsi="Arial"/>
          <w:sz w:val="17"/>
          <w:szCs w:val="17"/>
          <w:b w:val="1"/>
          <w:bCs w:val="1"/>
          <w:color w:val="auto"/>
        </w:rPr>
      </w:pPr>
    </w:p>
    <w:p>
      <w:pPr>
        <w:ind w:left="1200" w:right="4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 It shall be the duty of each stockholder to notify the corporation of his post office address.</w:t>
      </w:r>
    </w:p>
    <w:p>
      <w:pPr>
        <w:spacing w:after="0" w:line="123" w:lineRule="exact"/>
        <w:rPr>
          <w:rFonts w:ascii="Arial" w:cs="Arial" w:eastAsia="Arial" w:hAnsi="Arial"/>
          <w:sz w:val="17"/>
          <w:szCs w:val="17"/>
          <w:b w:val="1"/>
          <w:bCs w:val="1"/>
          <w:color w:val="auto"/>
        </w:rPr>
      </w:pPr>
    </w:p>
    <w:p>
      <w:pPr>
        <w:ind w:left="580" w:hanging="580"/>
        <w:spacing w:after="0"/>
        <w:tabs>
          <w:tab w:leader="none" w:pos="580"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154" w:lineRule="exact"/>
        <w:rPr>
          <w:rFonts w:ascii="Arial" w:cs="Arial" w:eastAsia="Arial" w:hAnsi="Arial"/>
          <w:sz w:val="17"/>
          <w:szCs w:val="17"/>
          <w:b w:val="1"/>
          <w:bCs w:val="1"/>
          <w:color w:val="auto"/>
        </w:rPr>
      </w:pPr>
    </w:p>
    <w:p>
      <w:pPr>
        <w:ind w:left="1180" w:right="20" w:hanging="597"/>
        <w:spacing w:after="0" w:line="260" w:lineRule="auto"/>
        <w:rPr>
          <w:rFonts w:ascii="Arial" w:cs="Arial" w:eastAsia="Arial" w:hAnsi="Arial"/>
          <w:sz w:val="17"/>
          <w:szCs w:val="17"/>
          <w:b w:val="1"/>
          <w:bCs w:val="1"/>
          <w:color w:val="auto"/>
        </w:rPr>
      </w:pPr>
      <w:r>
        <w:rPr>
          <w:rFonts w:ascii="Arial" w:cs="Arial" w:eastAsia="Arial" w:hAnsi="Arial"/>
          <w:sz w:val="17"/>
          <w:szCs w:val="17"/>
          <w:color w:val="auto"/>
        </w:rPr>
        <w:t>9.1</w:t>
      </w:r>
      <w:r>
        <w:rPr>
          <w:rFonts w:ascii="Arial" w:cs="Arial" w:eastAsia="Arial" w:hAnsi="Arial"/>
          <w:sz w:val="17"/>
          <w:szCs w:val="17"/>
          <w:u w:val="single" w:color="auto"/>
          <w:color w:val="auto"/>
        </w:rPr>
        <w:t>Forum and Jurisdiction</w:t>
      </w:r>
      <w:r>
        <w:rPr>
          <w:rFonts w:ascii="Arial" w:cs="Arial" w:eastAsia="Arial" w:hAnsi="Arial"/>
          <w:sz w:val="17"/>
          <w:szCs w:val="17"/>
          <w:color w:val="auto"/>
        </w:rPr>
        <w:t>. Unless the Company consents in writing to an alternative forum, the Court of Chancery of the State of Delaware</w:t>
      </w:r>
      <w:r>
        <w:rPr>
          <w:rFonts w:ascii="Arial" w:cs="Arial" w:eastAsia="Arial" w:hAnsi="Arial"/>
          <w:sz w:val="17"/>
          <w:szCs w:val="17"/>
          <w:u w:val="single" w:color="auto"/>
          <w:color w:val="auto"/>
        </w:rPr>
        <w:t xml:space="preserve"> </w:t>
      </w:r>
      <w:r>
        <w:rPr>
          <w:rFonts w:ascii="Arial" w:cs="Arial" w:eastAsia="Arial" w:hAnsi="Arial"/>
          <w:sz w:val="17"/>
          <w:szCs w:val="17"/>
          <w:color w:val="auto"/>
        </w:rPr>
        <w:t>will be the exclusive forum for (i) any derivative action or proceeding brought on behalf of the corporation, (ii) any action asserting a claim of breach of a fiduciary duty owed by any director, officer, or other</w:t>
      </w:r>
    </w:p>
    <w:p>
      <w:pPr>
        <w:sectPr>
          <w:pgSz w:w="11900" w:h="16838" w:orient="portrait"/>
          <w:cols w:equalWidth="0" w:num="1">
            <w:col w:w="11240"/>
          </w:cols>
          <w:pgMar w:left="320" w:top="1313" w:right="339" w:bottom="1440" w:gutter="0" w:footer="0" w:header="0"/>
        </w:sectPr>
      </w:pPr>
    </w:p>
    <w:bookmarkStart w:id="341" w:name="page342"/>
    <w:bookmarkEnd w:id="341"/>
    <w:p>
      <w:pPr>
        <w:ind w:left="80" w:right="40"/>
        <w:spacing w:after="0" w:line="255" w:lineRule="auto"/>
        <w:rPr>
          <w:sz w:val="20"/>
          <w:szCs w:val="20"/>
          <w:color w:val="auto"/>
        </w:rPr>
      </w:pPr>
      <w:r>
        <w:rPr>
          <w:rFonts w:ascii="Arial" w:cs="Arial" w:eastAsia="Arial" w:hAnsi="Arial"/>
          <w:sz w:val="17"/>
          <w:szCs w:val="17"/>
          <w:color w:val="auto"/>
        </w:rPr>
        <w:t>employee of the corporation to the corporation’s or the corporation’s stockholders, (iii) any action asserting a claim arising under any provision of the Delaware General Corporation Law, the certificate of incorporation, or the bylaws of the corporation, or (iv) any action asserting a claim governed by the internal-affairs doctrine. Any person or entity that acquires any interest in shares of capital stock of the corporation will be deemed to have notice of and consented to the provisions of this section.</w:t>
      </w:r>
    </w:p>
    <w:p>
      <w:pPr>
        <w:spacing w:after="0" w:line="115" w:lineRule="exact"/>
        <w:rPr>
          <w:sz w:val="20"/>
          <w:szCs w:val="20"/>
          <w:color w:val="auto"/>
        </w:rPr>
      </w:pPr>
    </w:p>
    <w:p>
      <w:pPr>
        <w:ind w:left="80" w:right="260"/>
        <w:spacing w:after="0" w:line="255" w:lineRule="auto"/>
        <w:rPr>
          <w:sz w:val="20"/>
          <w:szCs w:val="20"/>
          <w:color w:val="auto"/>
        </w:rPr>
      </w:pPr>
      <w:r>
        <w:rPr>
          <w:rFonts w:ascii="Arial" w:cs="Arial" w:eastAsia="Arial" w:hAnsi="Arial"/>
          <w:sz w:val="17"/>
          <w:szCs w:val="17"/>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any security of the corporation shall be deemed to have notice of and consented to the provisions of these Bylaws.</w:t>
      </w:r>
    </w:p>
    <w:p>
      <w:pPr>
        <w:spacing w:after="0" w:line="115" w:lineRule="exact"/>
        <w:rPr>
          <w:sz w:val="20"/>
          <w:szCs w:val="20"/>
          <w:color w:val="auto"/>
        </w:rPr>
      </w:pPr>
    </w:p>
    <w:p>
      <w:pPr>
        <w:ind w:left="60" w:hanging="596"/>
        <w:spacing w:after="0" w:line="249" w:lineRule="auto"/>
        <w:tabs>
          <w:tab w:leader="none" w:pos="4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or to vote at any meeting of stockholders</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 at a meeting of stockholders shall apply to any adjournment of the meeting; provided, however, that the board of directors may fix a new record-date for the adjourned’ meeting. If no record date is fixed,</w:t>
      </w:r>
    </w:p>
    <w:p>
      <w:pPr>
        <w:spacing w:after="0" w:line="120" w:lineRule="exact"/>
        <w:rPr>
          <w:sz w:val="20"/>
          <w:szCs w:val="20"/>
          <w:color w:val="auto"/>
        </w:rPr>
      </w:pPr>
    </w:p>
    <w:p>
      <w:pPr>
        <w:jc w:val="both"/>
        <w:ind w:left="680" w:right="160" w:hanging="606"/>
        <w:spacing w:after="0" w:line="260" w:lineRule="auto"/>
        <w:tabs>
          <w:tab w:leader="none" w:pos="67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11" w:lineRule="exact"/>
        <w:rPr>
          <w:rFonts w:ascii="Arial" w:cs="Arial" w:eastAsia="Arial" w:hAnsi="Arial"/>
          <w:sz w:val="17"/>
          <w:szCs w:val="17"/>
          <w:color w:val="auto"/>
        </w:rPr>
      </w:pPr>
    </w:p>
    <w:p>
      <w:pPr>
        <w:ind w:left="680" w:right="180" w:hanging="606"/>
        <w:spacing w:after="0" w:line="309" w:lineRule="auto"/>
        <w:tabs>
          <w:tab w:leader="none" w:pos="67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record date for determining stockholders entitled to express consent to corporate action in writing without a meeting, when no prior action by the board of directors is necessary, shall be the day on which the first written consent is expressed; and</w:t>
      </w:r>
    </w:p>
    <w:p>
      <w:pPr>
        <w:spacing w:after="0" w:line="73" w:lineRule="exact"/>
        <w:rPr>
          <w:rFonts w:ascii="Arial" w:cs="Arial" w:eastAsia="Arial" w:hAnsi="Arial"/>
          <w:sz w:val="16"/>
          <w:szCs w:val="16"/>
          <w:color w:val="auto"/>
        </w:rPr>
      </w:pPr>
    </w:p>
    <w:p>
      <w:pPr>
        <w:ind w:left="680" w:right="340" w:hanging="606"/>
        <w:spacing w:after="0" w:line="277" w:lineRule="auto"/>
        <w:tabs>
          <w:tab w:leader="none" w:pos="674"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record date for determining stockholders for any other purpose shall be at the close of business on the day on which the board of directors adopts the resolution relating to such purpose.</w:t>
      </w:r>
    </w:p>
    <w:p>
      <w:pPr>
        <w:spacing w:after="0" w:line="96" w:lineRule="exact"/>
        <w:rPr>
          <w:sz w:val="20"/>
          <w:szCs w:val="20"/>
          <w:color w:val="auto"/>
        </w:rPr>
      </w:pPr>
    </w:p>
    <w:p>
      <w:pPr>
        <w:ind w:left="60" w:hanging="596"/>
        <w:spacing w:after="0" w:line="260" w:lineRule="auto"/>
        <w:tabs>
          <w:tab w:leader="none" w:pos="4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u w:val="single" w:color="auto"/>
          <w:color w:val="auto"/>
        </w:rPr>
        <w:t>Dividends</w:t>
      </w:r>
      <w:r>
        <w:rPr>
          <w:rFonts w:ascii="Arial" w:cs="Arial" w:eastAsia="Arial" w:hAnsi="Arial"/>
          <w:sz w:val="17"/>
          <w:szCs w:val="17"/>
          <w:color w:val="auto"/>
        </w:rPr>
        <w:t>. Dividends upon the capital stock of the corporation may be declared by the board of directors at any regular or special</w:t>
      </w:r>
      <w:r>
        <w:rPr>
          <w:rFonts w:ascii="Arial" w:cs="Arial" w:eastAsia="Arial" w:hAnsi="Arial"/>
          <w:sz w:val="17"/>
          <w:szCs w:val="17"/>
          <w:u w:val="single" w:color="auto"/>
          <w:color w:val="auto"/>
        </w:rPr>
        <w:t xml:space="preserve"> </w:t>
      </w:r>
      <w:r>
        <w:rPr>
          <w:rFonts w:ascii="Arial" w:cs="Arial" w:eastAsia="Arial" w:hAnsi="Arial"/>
          <w:sz w:val="17"/>
          <w:szCs w:val="17"/>
          <w:color w:val="auto"/>
        </w:rPr>
        <w:t>meeting or by written consent, pursuant to law. Dividends may be paid in cash, in property, or in shares of the capital stock, subject to the provisions of the certificate of incorporation.</w:t>
      </w:r>
    </w:p>
    <w:p>
      <w:pPr>
        <w:spacing w:after="0" w:line="111" w:lineRule="exact"/>
        <w:rPr>
          <w:sz w:val="20"/>
          <w:szCs w:val="20"/>
          <w:color w:val="auto"/>
        </w:rPr>
      </w:pPr>
    </w:p>
    <w:p>
      <w:pPr>
        <w:ind w:left="60" w:right="80" w:hanging="596"/>
        <w:spacing w:after="0" w:line="252" w:lineRule="auto"/>
        <w:tabs>
          <w:tab w:leader="none" w:pos="4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7"/>
          <w:szCs w:val="17"/>
          <w:u w:val="single" w:color="auto"/>
          <w:color w:val="auto"/>
        </w:rPr>
        <w:t>Payment of Dividends</w:t>
      </w:r>
      <w:r>
        <w:rPr>
          <w:rFonts w:ascii="Arial" w:cs="Arial" w:eastAsia="Arial" w:hAnsi="Arial"/>
          <w:sz w:val="17"/>
          <w:szCs w:val="17"/>
          <w:color w:val="auto"/>
        </w:rPr>
        <w:t>. Before payment of any dividend, there may be set aside out of any funds of the corporation available for</w:t>
      </w:r>
      <w:r>
        <w:rPr>
          <w:rFonts w:ascii="Arial" w:cs="Arial" w:eastAsia="Arial" w:hAnsi="Arial"/>
          <w:sz w:val="17"/>
          <w:szCs w:val="17"/>
          <w:u w:val="single" w:color="auto"/>
          <w:color w:val="auto"/>
        </w:rPr>
        <w:t xml:space="preserve"> </w:t>
      </w:r>
      <w:r>
        <w:rPr>
          <w:rFonts w:ascii="Arial" w:cs="Arial" w:eastAsia="Arial" w:hAnsi="Arial"/>
          <w:sz w:val="17"/>
          <w:szCs w:val="17"/>
          <w:color w:val="auto"/>
        </w:rPr>
        <w:t>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ectPr>
          <w:pgSz w:w="11900" w:h="16838" w:orient="portrait"/>
          <w:cols w:equalWidth="0" w:num="1">
            <w:col w:w="10120"/>
          </w:cols>
          <w:pgMar w:left="1440" w:top="1313" w:right="339" w:bottom="1440" w:gutter="0" w:footer="0" w:header="0"/>
        </w:sectPr>
      </w:pPr>
    </w:p>
    <w:bookmarkStart w:id="342" w:name="page343"/>
    <w:bookmarkEnd w:id="342"/>
    <w:p>
      <w:pPr>
        <w:ind w:left="1180" w:right="40" w:hanging="596"/>
        <w:spacing w:after="0" w:line="277" w:lineRule="auto"/>
        <w:tabs>
          <w:tab w:leader="none" w:pos="116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7"/>
          <w:szCs w:val="17"/>
          <w:u w:val="single" w:color="auto"/>
          <w:color w:val="auto"/>
        </w:rPr>
        <w:t>Checks</w:t>
      </w:r>
      <w:r>
        <w:rPr>
          <w:rFonts w:ascii="Arial" w:cs="Arial" w:eastAsia="Arial" w:hAnsi="Arial"/>
          <w:sz w:val="17"/>
          <w:szCs w:val="17"/>
          <w:color w:val="auto"/>
        </w:rPr>
        <w:t>. All checks or demands for money and notes of the corporation shall be signed by such officer or officers or such other person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persons as the chief executive officer or the board of directors may from time to time designate.</w:t>
      </w:r>
    </w:p>
    <w:p>
      <w:pPr>
        <w:spacing w:after="0" w:line="96" w:lineRule="exact"/>
        <w:rPr>
          <w:sz w:val="20"/>
          <w:szCs w:val="20"/>
          <w:color w:val="auto"/>
        </w:rPr>
      </w:pPr>
    </w:p>
    <w:p>
      <w:pPr>
        <w:ind w:left="1180" w:right="140" w:hanging="596"/>
        <w:spacing w:after="0" w:line="277" w:lineRule="auto"/>
        <w:tabs>
          <w:tab w:leader="none" w:pos="116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begin on the first of January in each year and shall end on the last day of December</w:t>
      </w:r>
      <w:r>
        <w:rPr>
          <w:rFonts w:ascii="Arial" w:cs="Arial" w:eastAsia="Arial" w:hAnsi="Arial"/>
          <w:sz w:val="17"/>
          <w:szCs w:val="17"/>
          <w:u w:val="single" w:color="auto"/>
          <w:color w:val="auto"/>
        </w:rPr>
        <w:t xml:space="preserve"> </w:t>
      </w:r>
      <w:r>
        <w:rPr>
          <w:rFonts w:ascii="Arial" w:cs="Arial" w:eastAsia="Arial" w:hAnsi="Arial"/>
          <w:sz w:val="17"/>
          <w:szCs w:val="17"/>
          <w:color w:val="auto"/>
        </w:rPr>
        <w:t>next following, unless otherwise determined by the board of directors.</w:t>
      </w:r>
    </w:p>
    <w:p>
      <w:pPr>
        <w:spacing w:after="0" w:line="96" w:lineRule="exact"/>
        <w:rPr>
          <w:sz w:val="20"/>
          <w:szCs w:val="20"/>
          <w:color w:val="auto"/>
        </w:rPr>
      </w:pPr>
    </w:p>
    <w:p>
      <w:pPr>
        <w:ind w:left="1180" w:right="100" w:hanging="596"/>
        <w:spacing w:after="0" w:line="260" w:lineRule="auto"/>
        <w:tabs>
          <w:tab w:leader="none" w:pos="116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7"/>
          <w:szCs w:val="17"/>
          <w:u w:val="single" w:color="auto"/>
          <w:color w:val="auto"/>
        </w:rPr>
        <w:t>Seal</w:t>
      </w:r>
      <w:r>
        <w:rPr>
          <w:rFonts w:ascii="Arial" w:cs="Arial" w:eastAsia="Arial" w:hAnsi="Arial"/>
          <w:sz w:val="17"/>
          <w:szCs w:val="17"/>
          <w:color w:val="auto"/>
        </w:rPr>
        <w:t>. The board of directors may, by resolution, adopt a corporate seal. The corporate seal shall have inscribed thereon the name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109" w:lineRule="exact"/>
        <w:rPr>
          <w:sz w:val="20"/>
          <w:szCs w:val="20"/>
          <w:color w:val="auto"/>
        </w:rPr>
      </w:pPr>
    </w:p>
    <w:p>
      <w:pPr>
        <w:ind w:left="600" w:hanging="600"/>
        <w:spacing w:after="0"/>
        <w:tabs>
          <w:tab w:leader="none" w:pos="600" w:val="left"/>
        </w:tabs>
        <w:numPr>
          <w:ilvl w:val="0"/>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p>
    <w:p>
      <w:pPr>
        <w:spacing w:after="0" w:line="154" w:lineRule="exact"/>
        <w:rPr>
          <w:rFonts w:ascii="Arial" w:cs="Arial" w:eastAsia="Arial" w:hAnsi="Arial"/>
          <w:sz w:val="17"/>
          <w:szCs w:val="17"/>
          <w:b w:val="1"/>
          <w:bCs w:val="1"/>
          <w:color w:val="auto"/>
        </w:rPr>
      </w:pPr>
    </w:p>
    <w:p>
      <w:pPr>
        <w:ind w:left="1200" w:hanging="597"/>
        <w:spacing w:after="0" w:line="247" w:lineRule="auto"/>
        <w:rPr>
          <w:rFonts w:ascii="Arial" w:cs="Arial" w:eastAsia="Arial" w:hAnsi="Arial"/>
          <w:sz w:val="17"/>
          <w:szCs w:val="17"/>
          <w:b w:val="1"/>
          <w:bCs w:val="1"/>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Indemnification</w:t>
      </w:r>
      <w:r>
        <w:rPr>
          <w:rFonts w:ascii="Arial" w:cs="Arial" w:eastAsia="Arial" w:hAnsi="Arial"/>
          <w:sz w:val="17"/>
          <w:szCs w:val="17"/>
          <w:color w:val="auto"/>
        </w:rPr>
        <w:t>. It being the intent of the corporation to provide maximum protection available under the law to its officers and directors, the corporation shall indemnify its officers and directors to the full extent the corporation is permitted or required to do so by the Delaware General Corporation Law. In furtherance of and not in limitation of the foregoing, the corporation shall advance expenses, including attorneys’ fees,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advances if it shall ultimately be determined that he is not entitled to be indemnified by the corporation. The corporation shall have the power to purchase and maintain insurance on behalf of any person who is or was a director, officer, employee or agent of the corporation, or who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has the power to indemnify such person under the Delaware General Corporation Law. Notwithstanding the foregoing, the Corporation shall not be required to indemnify or advance expenses to any person in connection with any action, suit, proceeding, claim or counterclaim initiated by or on behalf of such person.</w:t>
      </w:r>
    </w:p>
    <w:p>
      <w:pPr>
        <w:spacing w:after="0" w:line="120" w:lineRule="exact"/>
        <w:rPr>
          <w:rFonts w:ascii="Arial" w:cs="Arial" w:eastAsia="Arial" w:hAnsi="Arial"/>
          <w:sz w:val="17"/>
          <w:szCs w:val="17"/>
          <w:b w:val="1"/>
          <w:bCs w:val="1"/>
          <w:color w:val="auto"/>
        </w:rPr>
      </w:pPr>
    </w:p>
    <w:p>
      <w:pPr>
        <w:ind w:left="580" w:hanging="580"/>
        <w:spacing w:after="0"/>
        <w:tabs>
          <w:tab w:leader="none" w:pos="580" w:val="left"/>
        </w:tabs>
        <w:numPr>
          <w:ilvl w:val="0"/>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AMENDMENTS</w:t>
      </w:r>
    </w:p>
    <w:p>
      <w:pPr>
        <w:spacing w:after="0" w:line="154" w:lineRule="exact"/>
        <w:rPr>
          <w:rFonts w:ascii="Arial" w:cs="Arial" w:eastAsia="Arial" w:hAnsi="Arial"/>
          <w:sz w:val="17"/>
          <w:szCs w:val="17"/>
          <w:b w:val="1"/>
          <w:bCs w:val="1"/>
          <w:color w:val="auto"/>
        </w:rPr>
      </w:pPr>
    </w:p>
    <w:p>
      <w:pPr>
        <w:ind w:left="1200" w:right="80" w:hanging="597"/>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Amendments</w:t>
      </w:r>
      <w:r>
        <w:rPr>
          <w:rFonts w:ascii="Arial" w:cs="Arial" w:eastAsia="Arial" w:hAnsi="Arial"/>
          <w:sz w:val="17"/>
          <w:szCs w:val="17"/>
          <w:color w:val="auto"/>
        </w:rPr>
        <w:t>.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ectPr>
          <w:pgSz w:w="11900" w:h="16838" w:orient="portrait"/>
          <w:cols w:equalWidth="0" w:num="1">
            <w:col w:w="11240"/>
          </w:cols>
          <w:pgMar w:left="320" w:top="1313" w:right="33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7"/>
          <w:szCs w:val="17"/>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(effective as of the closing of the corporation’s initial public offering)</w:t>
      </w:r>
    </w:p>
    <w:p>
      <w:pPr>
        <w:sectPr>
          <w:pgSz w:w="11900" w:h="16838" w:orient="portrait"/>
          <w:cols w:equalWidth="0" w:num="1">
            <w:col w:w="10120"/>
          </w:cols>
          <w:pgMar w:left="1440" w:top="119" w:right="339" w:bottom="1440" w:gutter="0" w:footer="0" w:header="0"/>
        </w:sectPr>
      </w:pPr>
    </w:p>
    <w:bookmarkStart w:id="344" w:name="page345"/>
    <w:bookmarkEnd w:id="344"/>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Pr>
          <w:p>
            <w:pPr>
              <w:spacing w:after="0"/>
              <w:rPr>
                <w:sz w:val="22"/>
                <w:szCs w:val="22"/>
                <w:color w:val="auto"/>
              </w:rPr>
            </w:pPr>
          </w:p>
        </w:tc>
        <w:tc>
          <w:tcPr>
            <w:tcW w:w="8920" w:type="dxa"/>
            <w:vAlign w:val="bottom"/>
            <w:gridSpan w:val="3"/>
          </w:tcPr>
          <w:p>
            <w:pPr>
              <w:ind w:left="3000"/>
              <w:spacing w:after="0"/>
              <w:rPr>
                <w:sz w:val="20"/>
                <w:szCs w:val="20"/>
                <w:color w:val="auto"/>
              </w:rPr>
            </w:pPr>
            <w:r>
              <w:rPr>
                <w:rFonts w:ascii="Times New Roman" w:cs="Times New Roman" w:eastAsia="Times New Roman" w:hAnsi="Times New Roman"/>
                <w:sz w:val="23"/>
                <w:szCs w:val="23"/>
                <w:b w:val="1"/>
                <w:bCs w:val="1"/>
                <w:color w:val="auto"/>
              </w:rPr>
              <w:t>TABLE OF CONTENTS</w:t>
            </w:r>
          </w:p>
        </w:tc>
        <w:tc>
          <w:tcPr>
            <w:tcW w:w="940" w:type="dxa"/>
            <w:vAlign w:val="bottom"/>
          </w:tcPr>
          <w:p>
            <w:pPr>
              <w:spacing w:after="0"/>
              <w:rPr>
                <w:sz w:val="22"/>
                <w:szCs w:val="22"/>
                <w:color w:val="auto"/>
              </w:rPr>
            </w:pPr>
          </w:p>
        </w:tc>
      </w:tr>
      <w:tr>
        <w:trPr>
          <w:trHeight w:val="383"/>
        </w:trPr>
        <w:tc>
          <w:tcPr>
            <w:tcW w:w="1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58"/>
        </w:trPr>
        <w:tc>
          <w:tcPr>
            <w:tcW w:w="10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 CORPORATE OFFICES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1.1</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Registered Office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1.2</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Other Offices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73"/>
        </w:trPr>
        <w:tc>
          <w:tcPr>
            <w:tcW w:w="10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II MEETINGS OF STOCKHOLDERS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2.1</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Place of Meetings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2.2</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Annual Meeting</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2.3</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Special Meeting</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2.4</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Advance Notice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2.5</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2.6</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Quorum</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2.7</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Adjourned Meeting; Notice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2.8</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Conduct of Business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2.9</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Voting</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2.10</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No Stockholder Action By Written Consent Without A Meeting</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2.11</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Record Dates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2.12</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Proxies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2.13</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List of Stockholders Entitled to Vote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2.14</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Inspectors of Election</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73"/>
        </w:trPr>
        <w:tc>
          <w:tcPr>
            <w:tcW w:w="10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III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3.1</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Powers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3.2</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Number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3.3</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Election, Qualification and Term of Office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3.4</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Resignation and Vacancies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3.5</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Place of Meetings; Meetings By Telephone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3.6</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Regular Meetings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3.7</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Special Meetings; Notice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3.8</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Quorum; Voting</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3.9</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Board Action By Written Consent Without A Meeting</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3.10</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Fees and Compensation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3.11</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Removal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73"/>
        </w:trPr>
        <w:tc>
          <w:tcPr>
            <w:tcW w:w="10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IV COMMITTEES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4.1</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Committees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4.2</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Committee Minutes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4.3</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Meetings and Action of Committees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4.4</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Subcommittees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73"/>
        </w:trPr>
        <w:tc>
          <w:tcPr>
            <w:tcW w:w="10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ARTICLE V OFFICERS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5.1</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Officers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5.2</w:t>
            </w:r>
          </w:p>
        </w:tc>
        <w:tc>
          <w:tcPr>
            <w:tcW w:w="8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Appointment of Officers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20"/>
          </w:cols>
          <w:pgMar w:left="340" w:top="1440" w:right="339" w:bottom="1440" w:gutter="0" w:footer="0" w:header="0"/>
          <w:type w:val="continuous"/>
        </w:sectPr>
      </w:pPr>
    </w:p>
    <w:bookmarkStart w:id="345" w:name="page346"/>
    <w:bookmarkEnd w:id="345"/>
    <w:tbl>
      <w:tblPr>
        <w:tblLayout w:type="fixed"/>
        <w:tblInd w:w="0" w:type="dxa"/>
        <w:tblCellMar>
          <w:top w:w="0" w:type="dxa"/>
          <w:left w:w="0" w:type="dxa"/>
          <w:bottom w:w="0" w:type="dxa"/>
          <w:right w:w="0" w:type="dxa"/>
        </w:tblCellMar>
      </w:tblPr>
      <w:tr>
        <w:trPr>
          <w:trHeight w:val="259"/>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5.3</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Subordinate Officers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5.4</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Removal and Resignation of Officers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5.5</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Vacancies In Offices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5.6</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Representation of Shares of Other Entities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5.7</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Authority and Duties of Officers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73"/>
        </w:trPr>
        <w:tc>
          <w:tcPr>
            <w:tcW w:w="9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6.1</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Stock Certificates; Partly Paid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6.2</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Special Designation On Certificates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6.3</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Lost Certificates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6.4</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Dividends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6.5</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Transfer of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6.6</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Stock Transfer Agreements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6.7</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Registered Stockholders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73"/>
        </w:trPr>
        <w:tc>
          <w:tcPr>
            <w:tcW w:w="9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VII MANNER OF GIVING NOTICE AND WAIVER</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7.1</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7.2</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Notice By Electronic Transmission</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7.3</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Notice To Stockholders Sharing An Address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7.4</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Notice To Person With Whom Communication Is Unlawful</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7.5</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Waiver of 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73"/>
        </w:trPr>
        <w:tc>
          <w:tcPr>
            <w:tcW w:w="9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VIII FORUM FOR CERTAIN ACTIONS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r>
      <w:tr>
        <w:trPr>
          <w:trHeight w:val="373"/>
        </w:trPr>
        <w:tc>
          <w:tcPr>
            <w:tcW w:w="9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IX INDEMNIFICATION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9.1</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Indemnification of Directors and Officers In Third Party Proceedings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9.2</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Indemnification of Directors and Officers in Actions by or in the Right of the Corporation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9.3</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Successful Defense</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9.4</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Indemnification of Others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9.5</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Advance Payment of 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9.6</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Limitation On Indemnification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82"/>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9.7</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Determination; Claim</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13"/>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9.8</w:t>
            </w:r>
          </w:p>
        </w:tc>
        <w:tc>
          <w:tcPr>
            <w:tcW w:w="8540" w:type="dxa"/>
            <w:vAlign w:val="bottom"/>
          </w:tcPr>
          <w:p>
            <w:pPr>
              <w:ind w:left="280"/>
              <w:spacing w:after="0" w:line="230" w:lineRule="exact"/>
              <w:rPr>
                <w:sz w:val="20"/>
                <w:szCs w:val="20"/>
                <w:color w:val="auto"/>
              </w:rPr>
            </w:pPr>
            <w:r>
              <w:rPr>
                <w:rFonts w:ascii="Times New Roman" w:cs="Times New Roman" w:eastAsia="Times New Roman" w:hAnsi="Times New Roman"/>
                <w:sz w:val="20"/>
                <w:szCs w:val="20"/>
                <w:color w:val="auto"/>
              </w:rPr>
              <w:t>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Exclusivity of Rights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64"/>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9.9</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Insurance</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9.10</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Survival</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9.11</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Effect of Repeal or Modification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9.12</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Certain Definitions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73"/>
        </w:trPr>
        <w:tc>
          <w:tcPr>
            <w:tcW w:w="9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X GENERAL MATTERS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10.1</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Execution of Corporate Contracts and Instruments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10.2</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Fiscal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10.3</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Seal</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86"/>
        </w:trPr>
        <w:tc>
          <w:tcPr>
            <w:tcW w:w="1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10.4</w:t>
            </w:r>
          </w:p>
        </w:tc>
        <w:tc>
          <w:tcPr>
            <w:tcW w:w="85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Construction; Definitions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423"/>
        </w:trPr>
        <w:tc>
          <w:tcPr>
            <w:tcW w:w="9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XI AMENDMENTS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r>
    </w:tbl>
    <w:p>
      <w:pPr>
        <w:spacing w:after="0" w:line="200" w:lineRule="exact"/>
        <w:rPr>
          <w:sz w:val="20"/>
          <w:szCs w:val="20"/>
          <w:color w:val="auto"/>
        </w:rPr>
      </w:pPr>
    </w:p>
    <w:p>
      <w:pPr>
        <w:sectPr>
          <w:pgSz w:w="11900" w:h="16838" w:orient="portrait"/>
          <w:cols w:equalWidth="0" w:num="1">
            <w:col w:w="11220"/>
          </w:cols>
          <w:pgMar w:left="340" w:top="13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220"/>
          </w:cols>
          <w:pgMar w:left="340" w:top="1371" w:right="339" w:bottom="1440" w:gutter="0" w:footer="0" w:header="0"/>
          <w:type w:val="continuous"/>
        </w:sectPr>
      </w:pPr>
    </w:p>
    <w:bookmarkStart w:id="346" w:name="page347"/>
    <w:bookmarkEnd w:id="346"/>
    <w:p>
      <w:pPr>
        <w:jc w:val="center"/>
        <w:spacing w:after="0"/>
        <w:rPr>
          <w:sz w:val="20"/>
          <w:szCs w:val="20"/>
          <w:color w:val="auto"/>
        </w:rPr>
      </w:pPr>
      <w:r>
        <w:rPr>
          <w:rFonts w:ascii="Times New Roman" w:cs="Times New Roman" w:eastAsia="Times New Roman" w:hAnsi="Times New Roman"/>
          <w:sz w:val="20"/>
          <w:szCs w:val="20"/>
          <w:b w:val="1"/>
          <w:bCs w:val="1"/>
          <w:color w:val="auto"/>
        </w:rPr>
        <w:t>BYLAWS OF THREDUP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CORPORATE OFFICES</w:t>
      </w:r>
    </w:p>
    <w:p>
      <w:pPr>
        <w:spacing w:after="0" w:line="152"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Registered Office.</w:t>
      </w:r>
      <w:r>
        <w:rPr>
          <w:rFonts w:ascii="Times New Roman" w:cs="Times New Roman" w:eastAsia="Times New Roman" w:hAnsi="Times New Roman"/>
          <w:sz w:val="20"/>
          <w:szCs w:val="20"/>
          <w:color w:val="auto"/>
        </w:rPr>
        <w:t xml:space="preserve"> The registered office of ThredUp Inc.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shall be fixed in its certificate of incorporation, as the same may be amended from time to time.</w:t>
      </w:r>
    </w:p>
    <w:p>
      <w:pPr>
        <w:spacing w:after="0" w:line="88"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Offices.</w:t>
      </w:r>
      <w:r>
        <w:rPr>
          <w:rFonts w:ascii="Times New Roman" w:cs="Times New Roman" w:eastAsia="Times New Roman" w:hAnsi="Times New Roman"/>
          <w:sz w:val="20"/>
          <w:szCs w:val="20"/>
          <w:color w:val="auto"/>
        </w:rPr>
        <w:t xml:space="preserve"> The corporation’s board of directors may at any time establish other offices at any place or places where the corporation is qualified to do business.</w:t>
      </w:r>
    </w:p>
    <w:p>
      <w:pPr>
        <w:spacing w:after="0" w:line="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6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MEETINGS OF STOCKHOLDERS</w:t>
      </w:r>
    </w:p>
    <w:p>
      <w:pPr>
        <w:spacing w:after="0" w:line="156"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Place of Meetings</w:t>
      </w:r>
      <w:r>
        <w:rPr>
          <w:rFonts w:ascii="Times New Roman" w:cs="Times New Roman" w:eastAsia="Times New Roman" w:hAnsi="Times New Roman"/>
          <w:sz w:val="20"/>
          <w:szCs w:val="20"/>
          <w:color w:val="auto"/>
        </w:rPr>
        <w:t>. 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In the absence of any such designation or determination, stockholders’ meetings shall be held at the corporation’s principal executive office.</w:t>
      </w:r>
    </w:p>
    <w:p>
      <w:pPr>
        <w:spacing w:after="0" w:line="114"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Annual Meeting</w:t>
      </w:r>
      <w:r>
        <w:rPr>
          <w:rFonts w:ascii="Times New Roman" w:cs="Times New Roman" w:eastAsia="Times New Roman" w:hAnsi="Times New Roman"/>
          <w:sz w:val="20"/>
          <w:szCs w:val="20"/>
          <w:color w:val="auto"/>
        </w:rPr>
        <w:t>. The annual meeting of stockholders shall be held on such date, at such time, and at such place (if any) within or without the State of Delaware as shall be designated from time to time by the board of directors and stated in the corporation’s notice of the meeting. At the annual meeting, directors shall be elected and any other proper business, brought in accordance with Section 2.4 of these bylaws, may be transacted. The board of directors may cancel, postpone or reschedule any previously scheduled annual meeting at any time, before or after the notice for such meeting has been sent to the stockholders.</w:t>
      </w:r>
    </w:p>
    <w:p>
      <w:pPr>
        <w:spacing w:after="0" w:line="11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Special Meeting</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597"/>
        <w:spacing w:after="0" w:line="256" w:lineRule="auto"/>
        <w:tabs>
          <w:tab w:leader="none" w:pos="1191"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special meeting of the stockholders, other than those required by statute, may be called at any time by (A) the board of directors, (B) the chairperson of the board of directors, (C) the chief executive officer or (D) the president, but a special meeting may not be called by any other person or persons. The board of directors may cancel, postpone or reschedule any previously scheduled special meeting at any time, before or after the notice for such meeting has been sent to the stockholders.</w:t>
      </w:r>
    </w:p>
    <w:p>
      <w:pPr>
        <w:spacing w:after="0" w:line="113" w:lineRule="exact"/>
        <w:rPr>
          <w:rFonts w:ascii="Times New Roman" w:cs="Times New Roman" w:eastAsia="Times New Roman" w:hAnsi="Times New Roman"/>
          <w:sz w:val="20"/>
          <w:szCs w:val="20"/>
          <w:color w:val="auto"/>
        </w:rPr>
      </w:pPr>
    </w:p>
    <w:p>
      <w:pPr>
        <w:jc w:val="both"/>
        <w:ind w:firstLine="597"/>
        <w:spacing w:after="0" w:line="254" w:lineRule="auto"/>
        <w:tabs>
          <w:tab w:leader="none" w:pos="119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of a special meeting shall include the purpose for which the meeting is called. Only such business shall be conducted at a special meeting of stockholders as shall have been brought before the meeting by or at the direction of the board of directors, chairperson of the board of directors, chief executive officer or president and as shall be stated in the notice of special meeting. Nothing contained in this Section 2.3(ii) shall be construed as limiting, fixing or affecting the time when a meeting of stockholders called by action of the board of directors may be held.</w:t>
      </w:r>
    </w:p>
    <w:p>
      <w:pPr>
        <w:sectPr>
          <w:pgSz w:w="11900" w:h="16838" w:orient="portrait"/>
          <w:cols w:equalWidth="0" w:num="1">
            <w:col w:w="11240"/>
          </w:cols>
          <w:pgMar w:left="320" w:top="1317" w:right="339" w:bottom="1440" w:gutter="0" w:footer="0" w:header="0"/>
        </w:sectPr>
      </w:pPr>
    </w:p>
    <w:bookmarkStart w:id="347" w:name="page348"/>
    <w:bookmarkEnd w:id="347"/>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Advance Notice Procedures</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1194"/>
        <w:spacing w:after="0" w:line="250" w:lineRule="auto"/>
        <w:tabs>
          <w:tab w:leader="none" w:pos="1781"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 Notice of Stockholder Business</w:t>
      </w:r>
      <w:r>
        <w:rPr>
          <w:rFonts w:ascii="Times New Roman" w:cs="Times New Roman" w:eastAsia="Times New Roman" w:hAnsi="Times New Roman"/>
          <w:sz w:val="20"/>
          <w:szCs w:val="20"/>
          <w:color w:val="auto"/>
        </w:rPr>
        <w:t>. At an annual meeting of the stockholders, only such business shall be conducted as shall have 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For the avoidance of doubt, except for proposals properly made in accordance with Rule 14a-8 under the Securities and Exchange Act of 1934, as amended, or any successor thereto (the “</w:t>
      </w:r>
      <w:r>
        <w:rPr>
          <w:rFonts w:ascii="Times New Roman" w:cs="Times New Roman" w:eastAsia="Times New Roman" w:hAnsi="Times New Roman"/>
          <w:sz w:val="20"/>
          <w:szCs w:val="20"/>
          <w:b w:val="1"/>
          <w:bCs w:val="1"/>
          <w:color w:val="auto"/>
        </w:rPr>
        <w:t>1934 Act</w:t>
      </w:r>
      <w:r>
        <w:rPr>
          <w:rFonts w:ascii="Times New Roman" w:cs="Times New Roman" w:eastAsia="Times New Roman" w:hAnsi="Times New Roman"/>
          <w:sz w:val="20"/>
          <w:szCs w:val="20"/>
          <w:color w:val="auto"/>
        </w:rPr>
        <w:t>”), and the regulations thereunder (or any successor rule and in any case as so amended), clause (C) above shall be the exclusive means for a stockholder to bring business before an annual meeting of stockholders.</w:t>
      </w:r>
    </w:p>
    <w:p>
      <w:pPr>
        <w:spacing w:after="0" w:line="118" w:lineRule="exact"/>
        <w:rPr>
          <w:sz w:val="20"/>
          <w:szCs w:val="20"/>
          <w:color w:val="auto"/>
        </w:rPr>
      </w:pPr>
    </w:p>
    <w:p>
      <w:pPr>
        <w:ind w:left="600" w:right="20" w:firstLine="594"/>
        <w:spacing w:after="0" w:line="248" w:lineRule="auto"/>
        <w:tabs>
          <w:tab w:leader="none" w:pos="179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close of business on the 90th day nor earlier than the close of business on the 120th day before the one-year anniversary of the date on which the corporation first mailed its proxy materials or a notice of availability of proxy materials (whichever is earlier) for the preceding year’s annual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no annual meeting was held in the previous year or if the date of the annual meeting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ninetieth (90th) day prior to the scheduled date of such annual meeting or the tenth (10th) day following the day on which Public Announcement of the date of such annual meeting is first made or sent by the corporation. In no event shall any adjournment, rescheduling or postponement of an annual meeting or the announcement thereof commence a new time period for the giving of a stockholder’s notice as described in this Section 2.4(i)(a). “</w:t>
      </w:r>
      <w:r>
        <w:rPr>
          <w:rFonts w:ascii="Times New Roman" w:cs="Times New Roman" w:eastAsia="Times New Roman" w:hAnsi="Times New Roman"/>
          <w:sz w:val="20"/>
          <w:szCs w:val="20"/>
          <w:b w:val="1"/>
          <w:bCs w:val="1"/>
          <w:color w:val="auto"/>
        </w:rPr>
        <w:t>Public Announcement</w:t>
      </w:r>
      <w:r>
        <w:rPr>
          <w:rFonts w:ascii="Times New Roman" w:cs="Times New Roman" w:eastAsia="Times New Roman" w:hAnsi="Times New Roman"/>
          <w:sz w:val="20"/>
          <w:szCs w:val="20"/>
          <w:color w:val="auto"/>
        </w:rPr>
        <w:t>” shall mean disclosure in a press release reported by the Dow Jones News Service, Associated Press or a comparable national news service,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21" w:right="339" w:bottom="1440" w:gutter="0" w:footer="0" w:header="0"/>
        </w:sectPr>
      </w:pPr>
    </w:p>
    <w:bookmarkStart w:id="348" w:name="page349"/>
    <w:bookmarkEnd w:id="348"/>
    <w:p>
      <w:pPr>
        <w:ind w:left="600" w:right="140"/>
        <w:spacing w:after="0" w:line="277" w:lineRule="auto"/>
        <w:rPr>
          <w:sz w:val="20"/>
          <w:szCs w:val="20"/>
          <w:color w:val="auto"/>
        </w:rPr>
      </w:pPr>
      <w:r>
        <w:rPr>
          <w:rFonts w:ascii="Times New Roman" w:cs="Times New Roman" w:eastAsia="Times New Roman" w:hAnsi="Times New Roman"/>
          <w:sz w:val="20"/>
          <w:szCs w:val="20"/>
          <w:color w:val="auto"/>
        </w:rPr>
        <w:t>document publicly filed by the corporation with the Securities and Exchange Commission pursuant to Section 13, 14 or 15(d) of the 1934 Act.</w:t>
      </w:r>
    </w:p>
    <w:p>
      <w:pPr>
        <w:spacing w:after="0" w:line="91" w:lineRule="exact"/>
        <w:rPr>
          <w:sz w:val="20"/>
          <w:szCs w:val="20"/>
          <w:color w:val="auto"/>
        </w:rPr>
      </w:pPr>
    </w:p>
    <w:p>
      <w:pPr>
        <w:jc w:val="both"/>
        <w:ind w:firstLine="1791"/>
        <w:spacing w:after="0" w:line="247" w:lineRule="auto"/>
        <w:tabs>
          <w:tab w:leader="none" w:pos="2386"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proposal or business (including the text of any resolutions proposed for consideration and in the event that such business includes a proposal to amend the bylaws, the language of the proposed amendment)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(6) a statement whether either such stockholder or any Stockholder Associated Person will deliver a proxy statement and/or form of proxy to holders of at least the percentage of the voting power of the corporation’s voting shares required under applicable law to carry the proposal and/or otherwise to solicit proxies or votes from stockholders in support of such proposal and (7) any other information relating to such stockholder or Stockholder Associated Person, if any, required to be disclosed in a proxy statement or other filings required to be made in connection with solicitations of proxies for, the proposal pursuant to and in accordance with Section 14(a) of the 1934 Act and the rules and regulations promulgated thereunder (such information provided and statements made as required by clauses (1) through (7), a “</w:t>
      </w:r>
      <w:r>
        <w:rPr>
          <w:rFonts w:ascii="Times New Roman" w:cs="Times New Roman" w:eastAsia="Times New Roman" w:hAnsi="Times New Roman"/>
          <w:sz w:val="20"/>
          <w:szCs w:val="20"/>
          <w:b w:val="1"/>
          <w:bCs w:val="1"/>
          <w:color w:val="auto"/>
        </w:rPr>
        <w:t>Business Solicitation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In addition, to be in proper written form, a stockholder’s notice to the secretary must be supplemented not later than ten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the record date for the determination of stockholders entitled to notice of the meeting to disclose the information contained in clauses (3) and (4) above as of the record date. For purposes of this Section 2.4, a “</w:t>
      </w:r>
      <w:r>
        <w:rPr>
          <w:rFonts w:ascii="Times New Roman" w:cs="Times New Roman" w:eastAsia="Times New Roman" w:hAnsi="Times New Roman"/>
          <w:sz w:val="20"/>
          <w:szCs w:val="20"/>
          <w:b w:val="1"/>
          <w:bCs w:val="1"/>
          <w:color w:val="auto"/>
        </w:rPr>
        <w:t>Stockholder Associated Person</w:t>
      </w:r>
      <w:r>
        <w:rPr>
          <w:rFonts w:ascii="Times New Roman" w:cs="Times New Roman" w:eastAsia="Times New Roman" w:hAnsi="Times New Roman"/>
          <w:sz w:val="20"/>
          <w:szCs w:val="20"/>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42" w:lineRule="exact"/>
        <w:rPr>
          <w:rFonts w:ascii="Times New Roman" w:cs="Times New Roman" w:eastAsia="Times New Roman" w:hAnsi="Times New Roman"/>
          <w:sz w:val="20"/>
          <w:szCs w:val="20"/>
          <w:color w:val="auto"/>
        </w:rPr>
      </w:pPr>
    </w:p>
    <w:p>
      <w:pPr>
        <w:jc w:val="both"/>
        <w:ind w:firstLine="1791"/>
        <w:spacing w:after="0" w:line="262" w:lineRule="auto"/>
        <w:tabs>
          <w:tab w:leader="none" w:pos="2385"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21" w:right="339" w:bottom="1440" w:gutter="0" w:footer="0" w:header="0"/>
        </w:sectPr>
      </w:pPr>
    </w:p>
    <w:bookmarkStart w:id="349" w:name="page350"/>
    <w:bookmarkEnd w:id="349"/>
    <w:p>
      <w:pPr>
        <w:jc w:val="both"/>
        <w:spacing w:after="0" w:line="252" w:lineRule="auto"/>
        <w:rPr>
          <w:sz w:val="20"/>
          <w:szCs w:val="20"/>
          <w:color w:val="auto"/>
        </w:rPr>
      </w:pPr>
      <w:r>
        <w:rPr>
          <w:rFonts w:ascii="Times New Roman" w:cs="Times New Roman" w:eastAsia="Times New Roman" w:hAnsi="Times New Roman"/>
          <w:sz w:val="20"/>
          <w:szCs w:val="20"/>
          <w:color w:val="auto"/>
        </w:rPr>
        <w:t>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the chairperson shall so declare at the annual meeting that any such business not properly brought before the annual meeting shall not be conducted.</w:t>
      </w:r>
    </w:p>
    <w:p>
      <w:pPr>
        <w:spacing w:after="0" w:line="119" w:lineRule="exact"/>
        <w:rPr>
          <w:sz w:val="20"/>
          <w:szCs w:val="20"/>
          <w:color w:val="auto"/>
        </w:rPr>
      </w:pPr>
    </w:p>
    <w:p>
      <w:pPr>
        <w:jc w:val="both"/>
        <w:ind w:firstLine="1194"/>
        <w:spacing w:after="0" w:line="251" w:lineRule="auto"/>
        <w:tabs>
          <w:tab w:leader="none" w:pos="1786"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 Notice of Director Nominations at Annual Meetings</w:t>
      </w:r>
      <w:r>
        <w:rPr>
          <w:rFonts w:ascii="Times New Roman" w:cs="Times New Roman" w:eastAsia="Times New Roman" w:hAnsi="Times New Roman"/>
          <w:sz w:val="20"/>
          <w:szCs w:val="20"/>
          <w:color w:val="auto"/>
        </w:rPr>
        <w:t>. Notwithstanding anything in these bylaws to the contrary, only persons who are nominated in accordance with the procedures set forth in this Section 2.4(ii)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 (1) was a stockholder of record at the time of the giving of the notice required by this Section 2.4(ii)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17" w:lineRule="exact"/>
        <w:rPr>
          <w:sz w:val="20"/>
          <w:szCs w:val="20"/>
          <w:color w:val="auto"/>
        </w:rPr>
      </w:pPr>
    </w:p>
    <w:p>
      <w:pPr>
        <w:ind w:left="600" w:right="180" w:firstLine="594"/>
        <w:spacing w:after="0" w:line="249" w:lineRule="auto"/>
        <w:tabs>
          <w:tab w:leader="none" w:pos="179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 </w:t>
      </w:r>
      <w:r>
        <w:rPr>
          <w:rFonts w:ascii="Times New Roman" w:cs="Times New Roman" w:eastAsia="Times New Roman" w:hAnsi="Times New Roman"/>
          <w:sz w:val="20"/>
          <w:szCs w:val="20"/>
          <w:i w:val="1"/>
          <w:iCs w:val="1"/>
          <w:color w:val="auto"/>
        </w:rPr>
        <w:t>provided additionally, however</w:t>
      </w:r>
      <w:r>
        <w:rPr>
          <w:rFonts w:ascii="Times New Roman" w:cs="Times New Roman" w:eastAsia="Times New Roman" w:hAnsi="Times New Roman"/>
          <w:sz w:val="20"/>
          <w:szCs w:val="20"/>
          <w:color w:val="auto"/>
        </w:rPr>
        <w:t>, that in the event that the number of directors to be elected to the board of directors is increased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effective after the time period for which nominations would otherwise be due under the final three sentences of Section 2.4(i)(a) above and there is no Public Announcement naming all of the nominees for director or specifying the size of the increased board made by the corporation at least ten days before the last day a stockholder may deliver a notice of nomination pursuant to the foregoing provisions, a stockholder’s notice required by this Section 2.4(ii) shall also be considered timely, but only with respect to nominees for any new positions created by such increase, if it shall be received by the secretary of the corporation at the principal executive offices of the corporation not later than the close of business on the tenth day following the day on which such Public Announcement is first made by the corporation.</w:t>
      </w:r>
    </w:p>
    <w:p>
      <w:pPr>
        <w:spacing w:after="0" w:line="125" w:lineRule="exact"/>
        <w:rPr>
          <w:rFonts w:ascii="Times New Roman" w:cs="Times New Roman" w:eastAsia="Times New Roman" w:hAnsi="Times New Roman"/>
          <w:sz w:val="20"/>
          <w:szCs w:val="20"/>
          <w:color w:val="auto"/>
        </w:rPr>
      </w:pPr>
    </w:p>
    <w:p>
      <w:pPr>
        <w:ind w:left="2380" w:hanging="589"/>
        <w:spacing w:after="0"/>
        <w:tabs>
          <w:tab w:leader="none" w:pos="2380"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in proper written form, such stockholder’s notice to the secretary must set forth:</w:t>
      </w:r>
    </w:p>
    <w:p>
      <w:pPr>
        <w:spacing w:after="0" w:line="151" w:lineRule="exact"/>
        <w:rPr>
          <w:rFonts w:ascii="Times New Roman" w:cs="Times New Roman" w:eastAsia="Times New Roman" w:hAnsi="Times New Roman"/>
          <w:sz w:val="20"/>
          <w:szCs w:val="20"/>
          <w:color w:val="auto"/>
        </w:rPr>
      </w:pPr>
    </w:p>
    <w:p>
      <w:pPr>
        <w:ind w:left="2980" w:hanging="591"/>
        <w:spacing w:after="0"/>
        <w:tabs>
          <w:tab w:leader="none" w:pos="2980" w:val="left"/>
        </w:tabs>
        <w:numPr>
          <w:ilvl w:val="2"/>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each person (a “</w:t>
      </w:r>
      <w:r>
        <w:rPr>
          <w:rFonts w:ascii="Times New Roman" w:cs="Times New Roman" w:eastAsia="Times New Roman" w:hAnsi="Times New Roman"/>
          <w:sz w:val="19"/>
          <w:szCs w:val="19"/>
          <w:b w:val="1"/>
          <w:bCs w:val="1"/>
          <w:color w:val="auto"/>
        </w:rPr>
        <w:t>nominee</w:t>
      </w:r>
      <w:r>
        <w:rPr>
          <w:rFonts w:ascii="Times New Roman" w:cs="Times New Roman" w:eastAsia="Times New Roman" w:hAnsi="Times New Roman"/>
          <w:sz w:val="19"/>
          <w:szCs w:val="19"/>
          <w:color w:val="auto"/>
        </w:rPr>
        <w:t>”) whom the stockholder proposes to nominate for election or re-election</w:t>
      </w:r>
    </w:p>
    <w:p>
      <w:pPr>
        <w:spacing w:after="0" w:line="4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as a director: (A) the name, age, business address and residence address of the nominee, (B) the principal occupation or employment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21" w:right="339" w:bottom="1440" w:gutter="0" w:footer="0" w:header="0"/>
        </w:sectPr>
      </w:pPr>
    </w:p>
    <w:bookmarkStart w:id="350" w:name="page351"/>
    <w:bookmarkEnd w:id="350"/>
    <w:p>
      <w:pPr>
        <w:jc w:val="both"/>
        <w:spacing w:after="0" w:line="249" w:lineRule="auto"/>
        <w:rPr>
          <w:sz w:val="20"/>
          <w:szCs w:val="20"/>
          <w:color w:val="auto"/>
        </w:rPr>
      </w:pPr>
      <w:r>
        <w:rPr>
          <w:rFonts w:ascii="Times New Roman" w:cs="Times New Roman" w:eastAsia="Times New Roman" w:hAnsi="Times New Roman"/>
          <w:sz w:val="20"/>
          <w:szCs w:val="20"/>
          <w:color w:val="auto"/>
        </w:rPr>
        <w:t>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any of the stockholder, each nominee and/or any other person or persons (naming such person or persons) pursuant to which the nominations are to be made by the stockholder or relating to the nominee’s potential service on the board of directors, (F) a written statement executed by the nominee acknowledging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and</w:t>
      </w:r>
    </w:p>
    <w:p>
      <w:pPr>
        <w:spacing w:after="0" w:line="121" w:lineRule="exact"/>
        <w:rPr>
          <w:sz w:val="20"/>
          <w:szCs w:val="20"/>
          <w:color w:val="auto"/>
        </w:rPr>
      </w:pPr>
    </w:p>
    <w:p>
      <w:pPr>
        <w:jc w:val="both"/>
        <w:ind w:firstLine="2389"/>
        <w:spacing w:after="0" w:line="251" w:lineRule="auto"/>
        <w:tabs>
          <w:tab w:leader="none" w:pos="298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such stockholder giving notice, (A) the information required to be provided pursuant to clauses (2) through (5) of Section 2.4(i)(b) above, and the supplement referenced in the second sentence of Section 2.4(i)(b) above (except that the references to “business” in such clauses shall instead refer to nominations of directors for purposes of this paragraph), and (B) a statement whether either such stockholder or Stockholder Associated Person will deliver a proxy statement and/or form of proxy to holders at least the percentage of the corporation’s voting shares reasonably believed by such stockholder or Stockholder Associated Person to be necessary to elect such nominee(s) and/or otherwise to solicit proxies or votes from stockholders in support of such nomination (such information provided and statements made as required by clauses (A) and (B) above, a “</w:t>
      </w:r>
      <w:r>
        <w:rPr>
          <w:rFonts w:ascii="Times New Roman" w:cs="Times New Roman" w:eastAsia="Times New Roman" w:hAnsi="Times New Roman"/>
          <w:sz w:val="20"/>
          <w:szCs w:val="20"/>
          <w:b w:val="1"/>
          <w:bCs w:val="1"/>
          <w:color w:val="auto"/>
        </w:rPr>
        <w:t>Nominee Solicitation Statement</w:t>
      </w:r>
      <w:r>
        <w:rPr>
          <w:rFonts w:ascii="Times New Roman" w:cs="Times New Roman" w:eastAsia="Times New Roman" w:hAnsi="Times New Roman"/>
          <w:sz w:val="20"/>
          <w:szCs w:val="20"/>
          <w:color w:val="auto"/>
        </w:rPr>
        <w:t>”).</w:t>
      </w:r>
    </w:p>
    <w:p>
      <w:pPr>
        <w:spacing w:after="0" w:line="120" w:lineRule="exact"/>
        <w:rPr>
          <w:rFonts w:ascii="Times New Roman" w:cs="Times New Roman" w:eastAsia="Times New Roman" w:hAnsi="Times New Roman"/>
          <w:sz w:val="20"/>
          <w:szCs w:val="20"/>
          <w:color w:val="auto"/>
        </w:rPr>
      </w:pPr>
    </w:p>
    <w:p>
      <w:pPr>
        <w:jc w:val="both"/>
        <w:ind w:firstLine="1791"/>
        <w:spacing w:after="0" w:line="251" w:lineRule="auto"/>
        <w:tabs>
          <w:tab w:leader="none" w:pos="2385"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120" w:lineRule="exact"/>
        <w:rPr>
          <w:rFonts w:ascii="Times New Roman" w:cs="Times New Roman" w:eastAsia="Times New Roman" w:hAnsi="Times New Roman"/>
          <w:sz w:val="20"/>
          <w:szCs w:val="20"/>
          <w:color w:val="auto"/>
        </w:rPr>
      </w:pPr>
    </w:p>
    <w:p>
      <w:pPr>
        <w:jc w:val="both"/>
        <w:ind w:firstLine="1791"/>
        <w:spacing w:after="0" w:line="262" w:lineRule="auto"/>
        <w:tabs>
          <w:tab w:leader="none" w:pos="2386"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1" w:right="339" w:bottom="1440" w:gutter="0" w:footer="0" w:header="0"/>
        </w:sectPr>
      </w:pPr>
    </w:p>
    <w:bookmarkStart w:id="351" w:name="page352"/>
    <w:bookmarkEnd w:id="351"/>
    <w:p>
      <w:pPr>
        <w:jc w:val="both"/>
        <w:spacing w:after="0" w:line="254" w:lineRule="auto"/>
        <w:rPr>
          <w:sz w:val="20"/>
          <w:szCs w:val="20"/>
          <w:color w:val="auto"/>
        </w:rPr>
      </w:pPr>
      <w:r>
        <w:rPr>
          <w:rFonts w:ascii="Times New Roman" w:cs="Times New Roman" w:eastAsia="Times New Roman" w:hAnsi="Times New Roman"/>
          <w:sz w:val="20"/>
          <w:szCs w:val="20"/>
          <w:color w:val="auto"/>
        </w:rPr>
        <w:t>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the chairperson shall so declare at the annual meeting, and the defective nomination shall be disregarded.</w:t>
      </w:r>
    </w:p>
    <w:p>
      <w:pPr>
        <w:spacing w:after="0" w:line="114" w:lineRule="exact"/>
        <w:rPr>
          <w:sz w:val="20"/>
          <w:szCs w:val="20"/>
          <w:color w:val="auto"/>
        </w:rPr>
      </w:pPr>
    </w:p>
    <w:p>
      <w:pPr>
        <w:ind w:left="1800" w:hanging="606"/>
        <w:spacing w:after="0"/>
        <w:tabs>
          <w:tab w:leader="none" w:pos="180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 Notice of Director Nominations for Special Meetings</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firstLine="1791"/>
        <w:spacing w:after="0" w:line="244" w:lineRule="auto"/>
        <w:tabs>
          <w:tab w:leader="none" w:pos="2386" w:val="left"/>
        </w:tabs>
        <w:numPr>
          <w:ilvl w:val="1"/>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special meeting of stockholders at which directors are to be elected pursuant to Section 2.3, nominations of persons for election to the board of directors shall be made only (1) by or at the direction of the board of directors or (2) by any stockholder of the corporation who (A) is a stockholder of record at the time of the giving of the notice required by this Section 2.4(iii) and on the record date for the determination of stockholders entitled to vote at the special meeting and (B) delivers a timely written notice of the nomination to the secretary of the corporation that includes the information set forth in Sections 2.4(ii)(b) and (ii)(c) above. To be timely, such notice must be received by the secretary at the principal executive offices of the corporation not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meeting and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In no event shall any adjournment, rescheduling or postponement of a special meeting or the announcement thereof commence a new time period for the giving of a stockholder’s notice.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30" w:lineRule="exact"/>
        <w:rPr>
          <w:rFonts w:ascii="Times New Roman" w:cs="Times New Roman" w:eastAsia="Times New Roman" w:hAnsi="Times New Roman"/>
          <w:sz w:val="20"/>
          <w:szCs w:val="20"/>
          <w:color w:val="auto"/>
        </w:rPr>
      </w:pPr>
    </w:p>
    <w:p>
      <w:pPr>
        <w:jc w:val="both"/>
        <w:ind w:firstLine="1791"/>
        <w:spacing w:after="0" w:line="262" w:lineRule="auto"/>
        <w:tabs>
          <w:tab w:leader="none" w:pos="2385" w:val="left"/>
        </w:tabs>
        <w:numPr>
          <w:ilvl w:val="1"/>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chairperson of the special meeting shall, if the facts warrant, determine and declare at the meeting that a nomination or business was not made in accordance with the procedures prescribed by these bylaws, and if the chairperson should so determine, the chairperson shall so declare at the meeting, and the defective nomination or business shall be disregarded.</w:t>
      </w:r>
    </w:p>
    <w:p>
      <w:pPr>
        <w:spacing w:after="0" w:line="105" w:lineRule="exact"/>
        <w:rPr>
          <w:sz w:val="20"/>
          <w:szCs w:val="20"/>
          <w:color w:val="auto"/>
        </w:rPr>
      </w:pPr>
    </w:p>
    <w:p>
      <w:pPr>
        <w:jc w:val="both"/>
        <w:ind w:firstLine="1194"/>
        <w:spacing w:after="0" w:line="254" w:lineRule="auto"/>
        <w:tabs>
          <w:tab w:leader="none" w:pos="1781"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Requirements and Rights</w:t>
      </w:r>
      <w:r>
        <w:rPr>
          <w:rFonts w:ascii="Times New Roman" w:cs="Times New Roman" w:eastAsia="Times New Roman" w:hAnsi="Times New Roman"/>
          <w:sz w:val="20"/>
          <w:szCs w:val="20"/>
          <w:color w:val="auto"/>
        </w:rPr>
        <w:t>. In addition to the foregoing provisions of this Section 2.4, a stockholder must also comply with all applicable requirements of state law 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21" w:right="339" w:bottom="1440" w:gutter="0" w:footer="0" w:header="0"/>
        </w:sectPr>
      </w:pPr>
    </w:p>
    <w:bookmarkStart w:id="352" w:name="page353"/>
    <w:bookmarkEnd w:id="352"/>
    <w:p>
      <w:pPr>
        <w:spacing w:after="0" w:line="277" w:lineRule="auto"/>
        <w:rPr>
          <w:sz w:val="20"/>
          <w:szCs w:val="20"/>
          <w:color w:val="auto"/>
        </w:rPr>
      </w:pPr>
      <w:r>
        <w:rPr>
          <w:rFonts w:ascii="Times New Roman" w:cs="Times New Roman" w:eastAsia="Times New Roman" w:hAnsi="Times New Roman"/>
          <w:sz w:val="20"/>
          <w:szCs w:val="20"/>
          <w:color w:val="auto"/>
        </w:rPr>
        <w:t>the 1934 Act. Nothing in this Section 2.4 shall be deemed to affect any right of the corporation to omit a proposal from the corporation’s proxy statement pursuant to Rule 14a-8 (or any successor provision) under the 1934 Act.</w:t>
      </w:r>
    </w:p>
    <w:p>
      <w:pPr>
        <w:spacing w:after="0" w:line="9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Notwithstanding the foregoing provisions of this Section 2.4,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17"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Notice of Stockholders’ Meetings</w:t>
      </w:r>
      <w:r>
        <w:rPr>
          <w:rFonts w:ascii="Times New Roman" w:cs="Times New Roman" w:eastAsia="Times New Roman" w:hAnsi="Times New Roman"/>
          <w:sz w:val="20"/>
          <w:szCs w:val="20"/>
          <w:color w:val="auto"/>
        </w:rPr>
        <w:t>.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17"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The holders of a majority of the voting power of the stock issued and outstanding and entitled to vote at the meeting, present in person or represented by proxy, shall constitute a quorum for the transaction of business at all meetings of the stockholders, unless otherwise required by law, the certificate of incorporation, these bylaws or the rules of any applicable stock exchange. Where a separate vote by a class or series or classes or series is required, a majority of the voting power of the issued and outstanding shares of such class or series or classes or series entitled to vote at the meeting, present in person or represented by proxy, shall constitute a quorum entitled to take action with respect to that vote on that matter, except as otherwise required by law, the certificate of incorporation, these bylaws or the rules of any applicable stock exchange.</w:t>
      </w:r>
    </w:p>
    <w:p>
      <w:pPr>
        <w:spacing w:after="0" w:line="121"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Whether or not a quorum is present at a meeting of stockholders, the chairperson of the meeting shall have power to adjourn the meeting from time to time, without notice other than announcement at the meeting.</w:t>
      </w:r>
    </w:p>
    <w:p>
      <w:pPr>
        <w:spacing w:after="0" w:line="9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Adjourned Meeting; Notice</w:t>
      </w:r>
      <w:r>
        <w:rPr>
          <w:rFonts w:ascii="Times New Roman" w:cs="Times New Roman" w:eastAsia="Times New Roman" w:hAnsi="Times New Roman"/>
          <w:sz w:val="20"/>
          <w:szCs w:val="20"/>
          <w:color w:val="auto"/>
        </w:rPr>
        <w:t>.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21" w:right="339" w:bottom="1440" w:gutter="0" w:footer="0" w:header="0"/>
        </w:sectPr>
      </w:pPr>
    </w:p>
    <w:bookmarkStart w:id="353" w:name="page354"/>
    <w:bookmarkEnd w:id="353"/>
    <w:p>
      <w:pPr>
        <w:jc w:val="both"/>
        <w:spacing w:after="0" w:line="251" w:lineRule="auto"/>
        <w:rPr>
          <w:sz w:val="20"/>
          <w:szCs w:val="20"/>
          <w:color w:val="auto"/>
        </w:rPr>
      </w:pPr>
      <w:r>
        <w:rPr>
          <w:rFonts w:ascii="Times New Roman" w:cs="Times New Roman" w:eastAsia="Times New Roman" w:hAnsi="Times New Roman"/>
          <w:sz w:val="20"/>
          <w:szCs w:val="20"/>
          <w:color w:val="auto"/>
        </w:rPr>
        <w:t>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21" w:lineRule="exact"/>
        <w:rPr>
          <w:sz w:val="20"/>
          <w:szCs w:val="20"/>
          <w:color w:val="auto"/>
        </w:rPr>
      </w:pPr>
    </w:p>
    <w:p>
      <w:pPr>
        <w:jc w:val="both"/>
        <w:ind w:firstLine="597"/>
        <w:spacing w:after="0" w:line="253"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The chairperson of any meeting of stockholders shall determine the order of business and the procedure at the meeting, including such regulation of the manner of voting and the conduct of business. The chairperson of any meeting of stockholders shall be designated by the board of directors; in the absence of such designation, the chairperson of the board, if any, the chief executive officer (in the absence of the chairperson) or the lead independent director (in the absence of the chairperson of the board and the chief executive officer), or in their absence any other executive officer of the corporation, shall serve as chairperson of the stockholder meeting.</w:t>
      </w:r>
    </w:p>
    <w:p>
      <w:pPr>
        <w:spacing w:after="0" w:line="356"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 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05"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Except as may be otherwise provided in the certificate of incorporation, each stockholder shall be entitled to one vote for each share of capital stock held by such stockholder.</w:t>
      </w:r>
    </w:p>
    <w:p>
      <w:pPr>
        <w:spacing w:after="0" w:line="91"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20"/>
          <w:szCs w:val="20"/>
          <w:color w:val="auto"/>
        </w:rPr>
        <w:t>Except as otherwise required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these bylaws or the rules of any applicable stock exchange,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shares of such class or series or classes or series, present in person or represented by proxy, at the meeting and entitled to vote thereon shall be the act of such class or series or classes or series, except as otherwise provided by law, the certificate of incorporation, these bylaws or the rules of any applicable stock exchange.</w:t>
      </w:r>
    </w:p>
    <w:p>
      <w:pPr>
        <w:spacing w:after="0" w:line="121"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u w:val="single" w:color="auto"/>
          <w:color w:val="auto"/>
        </w:rPr>
        <w:t>No Stockholder Action By Written Consent Without A Meeting</w:t>
      </w:r>
      <w:r>
        <w:rPr>
          <w:rFonts w:ascii="Times New Roman" w:cs="Times New Roman" w:eastAsia="Times New Roman" w:hAnsi="Times New Roman"/>
          <w:sz w:val="20"/>
          <w:szCs w:val="20"/>
          <w:color w:val="auto"/>
        </w:rPr>
        <w:t>. Subject to the rights of the holders of the shares of any series of preferred stock or any other class of stock or series thereof that have been expressly granted the right to take action by written consent,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21" w:right="339" w:bottom="1440" w:gutter="0" w:footer="0" w:header="0"/>
        </w:sectPr>
      </w:pPr>
    </w:p>
    <w:bookmarkStart w:id="354" w:name="page355"/>
    <w:bookmarkEnd w:id="354"/>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Record Dates</w:t>
      </w:r>
      <w:r>
        <w:rPr>
          <w:rFonts w:ascii="Times New Roman" w:cs="Times New Roman" w:eastAsia="Times New Roman" w:hAnsi="Times New Roman"/>
          <w:sz w:val="20"/>
          <w:szCs w:val="20"/>
          <w:color w:val="auto"/>
        </w:rPr>
        <w:t>.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19"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05"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14"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19"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Proxies</w:t>
      </w:r>
      <w:r>
        <w:rPr>
          <w:rFonts w:ascii="Times New Roman" w:cs="Times New Roman" w:eastAsia="Times New Roman" w:hAnsi="Times New Roman"/>
          <w:sz w:val="20"/>
          <w:szCs w:val="20"/>
          <w:color w:val="auto"/>
        </w:rPr>
        <w:t>. 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2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List of Stockholders Entitled to Vote</w:t>
      </w:r>
      <w:r>
        <w:rPr>
          <w:rFonts w:ascii="Times New Roman" w:cs="Times New Roman" w:eastAsia="Times New Roman" w:hAnsi="Times New Roman"/>
          <w:sz w:val="20"/>
          <w:szCs w:val="20"/>
          <w:color w:val="auto"/>
        </w:rPr>
        <w:t xml:space="preserve">. The officer who has charge of the stock ledger of the corporation shall prepare and make, at least 10 days before every meeting of stockholders, a complete list of the stockholders entitled to vote at the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if the record date for determining the stockholders entitled to vote is less than 10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21" w:right="339" w:bottom="1440" w:gutter="0" w:footer="0" w:header="0"/>
        </w:sectPr>
      </w:pPr>
    </w:p>
    <w:bookmarkStart w:id="355" w:name="page356"/>
    <w:bookmarkEnd w:id="355"/>
    <w:p>
      <w:pPr>
        <w:jc w:val="both"/>
        <w:spacing w:after="0" w:line="252" w:lineRule="auto"/>
        <w:rPr>
          <w:sz w:val="20"/>
          <w:szCs w:val="20"/>
          <w:color w:val="auto"/>
        </w:rPr>
      </w:pPr>
      <w:r>
        <w:rPr>
          <w:rFonts w:ascii="Times New Roman" w:cs="Times New Roman" w:eastAsia="Times New Roman" w:hAnsi="Times New Roman"/>
          <w:sz w:val="20"/>
          <w:szCs w:val="20"/>
          <w:color w:val="auto"/>
        </w:rPr>
        <w:t>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w:t>
      </w:r>
    </w:p>
    <w:p>
      <w:pPr>
        <w:spacing w:after="0" w:line="2" w:lineRule="exact"/>
        <w:rPr>
          <w:sz w:val="20"/>
          <w:szCs w:val="20"/>
          <w:color w:val="auto"/>
        </w:rPr>
      </w:pPr>
    </w:p>
    <w:p>
      <w:pPr>
        <w:jc w:val="both"/>
        <w:spacing w:after="0" w:line="247" w:lineRule="auto"/>
        <w:tabs>
          <w:tab w:leader="none" w:pos="261"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 reasonably accessible electronic network;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w:t>
      </w:r>
    </w:p>
    <w:p>
      <w:pPr>
        <w:spacing w:after="0" w:line="125"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u w:val="single" w:color="auto"/>
          <w:color w:val="auto"/>
        </w:rPr>
        <w:t>Inspectors of Election</w:t>
      </w:r>
      <w:r>
        <w:rPr>
          <w:rFonts w:ascii="Times New Roman" w:cs="Times New Roman" w:eastAsia="Times New Roman" w:hAnsi="Times New Roman"/>
          <w:sz w:val="20"/>
          <w:szCs w:val="20"/>
          <w:color w:val="auto"/>
        </w:rPr>
        <w:t xml:space="preserve">. Before any meeting of stockholders, the board of directors shall appoint an inspector or inspectors of election to act at the meeting or its adjournment. The number of inspectors shall be either one or three. If any person appointed as inspector fails to appear or fails or refuses to act, then the chairperson of the meeting may, and upon the request of any stockholder or a stockholder’s proxy shall, appoint a person to fill that vacancy;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in any case, if no inspector or alternate is able to act at a meeting of stockholders, the chairperson of the meeting shall appoint at least one inspector to act at the meeting.</w:t>
      </w:r>
    </w:p>
    <w:p>
      <w:pPr>
        <w:spacing w:after="0" w:line="114"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Each inspector, before entering upon the discharge of his or her duties, shall take and sign an oath to execute faithfully the duties of inspector with strict impartiality and according to the best of his or her ability. Such inspectors shall:</w:t>
      </w:r>
    </w:p>
    <w:p>
      <w:pPr>
        <w:spacing w:after="0" w:line="91" w:lineRule="exact"/>
        <w:rPr>
          <w:sz w:val="20"/>
          <w:szCs w:val="20"/>
          <w:color w:val="auto"/>
        </w:rPr>
      </w:pPr>
    </w:p>
    <w:p>
      <w:pPr>
        <w:ind w:firstLine="1194"/>
        <w:spacing w:after="0" w:line="277" w:lineRule="auto"/>
        <w:tabs>
          <w:tab w:leader="none" w:pos="1781"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shares outstanding and the voting power of each, the number of shares represented at the meeting, the existence of a quorum, and the authenticity, validity, and effect of proxies;</w:t>
      </w:r>
    </w:p>
    <w:p>
      <w:pPr>
        <w:spacing w:after="0" w:line="91"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votes, ballots or consents;</w:t>
      </w:r>
    </w:p>
    <w:p>
      <w:pPr>
        <w:spacing w:after="0" w:line="155" w:lineRule="exact"/>
        <w:rPr>
          <w:rFonts w:ascii="Times New Roman" w:cs="Times New Roman" w:eastAsia="Times New Roman" w:hAnsi="Times New Roman"/>
          <w:sz w:val="20"/>
          <w:szCs w:val="20"/>
          <w:color w:val="auto"/>
        </w:rPr>
      </w:pPr>
    </w:p>
    <w:p>
      <w:pPr>
        <w:ind w:left="1800" w:hanging="606"/>
        <w:spacing w:after="0"/>
        <w:tabs>
          <w:tab w:leader="none" w:pos="18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hear and determine all challenges and questions in any way arising in connection with the right to vote;</w:t>
      </w:r>
    </w:p>
    <w:p>
      <w:pPr>
        <w:spacing w:after="0" w:line="15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 and tabulate all votes or consents;</w:t>
      </w:r>
    </w:p>
    <w:p>
      <w:pPr>
        <w:spacing w:after="0" w:line="15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when the polls shall close;</w:t>
      </w:r>
    </w:p>
    <w:p>
      <w:pPr>
        <w:spacing w:after="0" w:line="15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result;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21" w:right="339" w:bottom="1440" w:gutter="0" w:footer="0" w:header="0"/>
        </w:sectPr>
      </w:pPr>
    </w:p>
    <w:bookmarkStart w:id="356" w:name="page357"/>
    <w:bookmarkEnd w:id="356"/>
    <w:p>
      <w:pPr>
        <w:ind w:left="1780" w:hanging="586"/>
        <w:spacing w:after="0"/>
        <w:tabs>
          <w:tab w:leader="none" w:pos="178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any other acts that may be proper to conduct the election or vote with fairness to all stockholders.</w:t>
      </w:r>
    </w:p>
    <w:p>
      <w:pPr>
        <w:spacing w:after="0" w:line="156"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The inspectors of election shall perform their duties impartially, in good faith, to the best of their ability and as expeditiously as is practical. If there are three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10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6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DIRECTORS</w:t>
      </w:r>
    </w:p>
    <w:p>
      <w:pPr>
        <w:spacing w:after="0" w:line="156"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Powers</w:t>
      </w:r>
      <w:r>
        <w:rPr>
          <w:rFonts w:ascii="Times New Roman" w:cs="Times New Roman" w:eastAsia="Times New Roman" w:hAnsi="Times New Roman"/>
          <w:sz w:val="20"/>
          <w:szCs w:val="20"/>
          <w:color w:val="auto"/>
        </w:rPr>
        <w:t>. The business and affairs of the corporation shall be managed by or under the direction of the board of directors, except as may be otherwise provided in the DGCL or the certificate of incorporation.</w:t>
      </w:r>
    </w:p>
    <w:p>
      <w:pPr>
        <w:spacing w:after="0" w:line="91"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Number of Directors</w:t>
      </w:r>
      <w:r>
        <w:rPr>
          <w:rFonts w:ascii="Times New Roman" w:cs="Times New Roman" w:eastAsia="Times New Roman" w:hAnsi="Times New Roman"/>
          <w:sz w:val="20"/>
          <w:szCs w:val="20"/>
          <w:color w:val="auto"/>
        </w:rPr>
        <w:t>. The board of directors shall consist of one or more members, each of whom shall be a natural person. Unless the certificate of incorporation fixes the number of directors, the number of directors shall be determined from time to time by resolution of the board of directors. No reduction of the authorized number of directors shall have the effect of removing any director before that director’s term of office expires.</w:t>
      </w:r>
    </w:p>
    <w:p>
      <w:pPr>
        <w:spacing w:after="0" w:line="114"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Election, Qualification and Term of Office Of Directors</w:t>
      </w:r>
      <w:r>
        <w:rPr>
          <w:rFonts w:ascii="Times New Roman" w:cs="Times New Roman" w:eastAsia="Times New Roman" w:hAnsi="Times New Roman"/>
          <w:sz w:val="20"/>
          <w:szCs w:val="20"/>
          <w:color w:val="auto"/>
        </w:rPr>
        <w:t>. 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14"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In accordance with the provisions of the certificate of incorporation, the directors of the corporation shall be divided into three classes.</w:t>
      </w:r>
    </w:p>
    <w:p>
      <w:pPr>
        <w:spacing w:after="0" w:line="91"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Resignation and Vacancies</w:t>
      </w:r>
      <w:r>
        <w:rPr>
          <w:rFonts w:ascii="Times New Roman" w:cs="Times New Roman" w:eastAsia="Times New Roman" w:hAnsi="Times New Roman"/>
          <w:sz w:val="20"/>
          <w:szCs w:val="20"/>
          <w:color w:val="auto"/>
        </w:rPr>
        <w:t>. 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2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or these bylaws, vacancies and newly created directorships resulting from any increase in the authorized number of directors elected by all of the stockholders having the right to vote as a single class shall be filled only by a majority of the directors then in office, although less than a quorum, or by a sole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21" w:right="339" w:bottom="1440" w:gutter="0" w:footer="0" w:header="0"/>
        </w:sectPr>
      </w:pPr>
    </w:p>
    <w:bookmarkStart w:id="357" w:name="page358"/>
    <w:bookmarkEnd w:id="357"/>
    <w:p>
      <w:pPr>
        <w:jc w:val="both"/>
        <w:spacing w:after="0" w:line="262" w:lineRule="auto"/>
        <w:rPr>
          <w:sz w:val="20"/>
          <w:szCs w:val="20"/>
          <w:color w:val="auto"/>
        </w:rPr>
      </w:pPr>
      <w:r>
        <w:rPr>
          <w:rFonts w:ascii="Times New Roman" w:cs="Times New Roman" w:eastAsia="Times New Roman" w:hAnsi="Times New Roman"/>
          <w:sz w:val="20"/>
          <w:szCs w:val="20"/>
          <w:color w:val="auto"/>
        </w:rPr>
        <w:t>director.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w:t>
      </w:r>
    </w:p>
    <w:p>
      <w:pPr>
        <w:spacing w:after="0" w:line="105"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Delaware Court of Chancery for a decree summarily ordering an election as provided in Section 211 of the DGCL.</w:t>
      </w:r>
    </w:p>
    <w:p>
      <w:pPr>
        <w:spacing w:after="0" w:line="114"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power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19"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Place of Meetings; Meetings By Telephone</w:t>
      </w:r>
      <w:r>
        <w:rPr>
          <w:rFonts w:ascii="Times New Roman" w:cs="Times New Roman" w:eastAsia="Times New Roman" w:hAnsi="Times New Roman"/>
          <w:sz w:val="20"/>
          <w:szCs w:val="20"/>
          <w:color w:val="auto"/>
        </w:rPr>
        <w:t>. The board of directors may hold meetings, both regular and special, either within or outside the State of Delaware.</w:t>
      </w:r>
    </w:p>
    <w:p>
      <w:pPr>
        <w:spacing w:after="0" w:line="91"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14"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Regular Meetings</w:t>
      </w:r>
      <w:r>
        <w:rPr>
          <w:rFonts w:ascii="Times New Roman" w:cs="Times New Roman" w:eastAsia="Times New Roman" w:hAnsi="Times New Roman"/>
          <w:sz w:val="20"/>
          <w:szCs w:val="20"/>
          <w:color w:val="auto"/>
        </w:rPr>
        <w:t>. Regular meetings of the board of directors may be held without notice at such time and at such place as shall from time to time be determined by the board of directors.</w:t>
      </w:r>
    </w:p>
    <w:p>
      <w:pPr>
        <w:spacing w:after="0" w:line="9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Special Meetings; Notice</w:t>
      </w:r>
      <w:r>
        <w:rPr>
          <w:rFonts w:ascii="Times New Roman" w:cs="Times New Roman" w:eastAsia="Times New Roman" w:hAnsi="Times New Roman"/>
          <w:sz w:val="20"/>
          <w:szCs w:val="20"/>
          <w:color w:val="auto"/>
        </w:rPr>
        <w:t>. Special meetings of the board of directors for any purpose or purposes may be called at any time by the chairperson of the board of directors, the chief executive officer, the president, the secretary or a majority of the authorized number of directors, at such times and places as such person or persons shall designate.</w:t>
      </w:r>
    </w:p>
    <w:p>
      <w:pPr>
        <w:spacing w:after="0" w:line="1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Notice of the time and place of special meetings shall be:</w:t>
      </w:r>
    </w:p>
    <w:p>
      <w:pPr>
        <w:spacing w:after="0" w:line="156" w:lineRule="exact"/>
        <w:rPr>
          <w:sz w:val="20"/>
          <w:szCs w:val="20"/>
          <w:color w:val="auto"/>
        </w:rPr>
      </w:pPr>
    </w:p>
    <w:p>
      <w:pPr>
        <w:ind w:left="1780" w:hanging="586"/>
        <w:spacing w:after="0"/>
        <w:tabs>
          <w:tab w:leader="none" w:pos="178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personally by hand, by courier or by telephone;</w:t>
      </w:r>
    </w:p>
    <w:p>
      <w:pPr>
        <w:spacing w:after="0" w:line="15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United States first-class mail, postage prepaid;</w:t>
      </w:r>
    </w:p>
    <w:p>
      <w:pPr>
        <w:spacing w:after="0" w:line="155" w:lineRule="exact"/>
        <w:rPr>
          <w:rFonts w:ascii="Times New Roman" w:cs="Times New Roman" w:eastAsia="Times New Roman" w:hAnsi="Times New Roman"/>
          <w:sz w:val="20"/>
          <w:szCs w:val="20"/>
          <w:color w:val="auto"/>
        </w:rPr>
      </w:pPr>
    </w:p>
    <w:p>
      <w:pPr>
        <w:ind w:left="1800" w:hanging="606"/>
        <w:spacing w:after="0"/>
        <w:tabs>
          <w:tab w:leader="none" w:pos="180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facsimile;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21" w:right="339" w:bottom="1440" w:gutter="0" w:footer="0" w:header="0"/>
        </w:sectPr>
      </w:pPr>
    </w:p>
    <w:bookmarkStart w:id="358" w:name="page359"/>
    <w:bookmarkEnd w:id="358"/>
    <w:p>
      <w:pPr>
        <w:ind w:left="1780" w:hanging="586"/>
        <w:spacing w:after="0"/>
        <w:tabs>
          <w:tab w:leader="none" w:pos="178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electronic mail,</w:t>
      </w:r>
    </w:p>
    <w:p>
      <w:pPr>
        <w:spacing w:after="0" w:line="1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directed to each director at that director’s address, telephone number, facsimile number or electronic mail address, as the case may be, as shown on the corporation’s records.</w:t>
      </w:r>
    </w:p>
    <w:p>
      <w:pPr>
        <w:spacing w:after="0" w:line="91"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14"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Quorum; Voting</w:t>
      </w:r>
      <w:r>
        <w:rPr>
          <w:rFonts w:ascii="Times New Roman" w:cs="Times New Roman" w:eastAsia="Times New Roman" w:hAnsi="Times New Roman"/>
          <w:sz w:val="20"/>
          <w:szCs w:val="20"/>
          <w:color w:val="auto"/>
        </w:rPr>
        <w:t>. 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 A meeting at which a quorum is initially present may continue to transact business notwithstanding the withdrawal of directors, if any action taken is approved by at least a majority of the required quorum for that meeting.</w:t>
      </w:r>
    </w:p>
    <w:p>
      <w:pPr>
        <w:spacing w:after="0" w:line="121"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The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9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05"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Board Action By Written Consent Without A Meeting</w:t>
      </w:r>
      <w:r>
        <w:rPr>
          <w:rFonts w:ascii="Times New Roman" w:cs="Times New Roman" w:eastAsia="Times New Roman" w:hAnsi="Times New Roman"/>
          <w:sz w:val="20"/>
          <w:szCs w:val="20"/>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21" w:right="339" w:bottom="1440" w:gutter="0" w:footer="0" w:header="0"/>
        </w:sectPr>
      </w:pPr>
    </w:p>
    <w:bookmarkStart w:id="359" w:name="page360"/>
    <w:bookmarkEnd w:id="359"/>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Fees and Compensation of Directors</w:t>
      </w:r>
      <w:r>
        <w:rPr>
          <w:rFonts w:ascii="Times New Roman" w:cs="Times New Roman" w:eastAsia="Times New Roman" w:hAnsi="Times New Roman"/>
          <w:sz w:val="20"/>
          <w:szCs w:val="20"/>
          <w:color w:val="auto"/>
        </w:rPr>
        <w:t>. Unless otherwise restricted by the certificate of incorporation or these bylaws, the board of directors shall have the authority to fix the compensation of directors.</w:t>
      </w:r>
    </w:p>
    <w:p>
      <w:pPr>
        <w:spacing w:after="0" w:line="91"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Removal of Directors</w:t>
      </w:r>
      <w:r>
        <w:rPr>
          <w:rFonts w:ascii="Times New Roman" w:cs="Times New Roman" w:eastAsia="Times New Roman" w:hAnsi="Times New Roman"/>
          <w:sz w:val="20"/>
          <w:szCs w:val="20"/>
          <w:color w:val="auto"/>
        </w:rPr>
        <w:t>. A director may be removed from office by the stockholders of the corporation only as provided in the certificate of incorporation. No reduction of the authorized number of directors shall have the effect of removing any director prior to the expiration of such director’s term of office. No reduction of the authorized number of directors shall have the effect of removing any director prior to the expiration of such director’s term of office.</w:t>
      </w:r>
    </w:p>
    <w:p>
      <w:pPr>
        <w:spacing w:after="0" w:line="1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6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COMMITTEES</w:t>
      </w:r>
    </w:p>
    <w:p>
      <w:pPr>
        <w:spacing w:after="0" w:line="156"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Committees of Directors</w:t>
      </w:r>
      <w:r>
        <w:rPr>
          <w:rFonts w:ascii="Times New Roman" w:cs="Times New Roman" w:eastAsia="Times New Roman" w:hAnsi="Times New Roman"/>
          <w:sz w:val="20"/>
          <w:szCs w:val="20"/>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25"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Committee Minutes</w:t>
      </w:r>
      <w:r>
        <w:rPr>
          <w:rFonts w:ascii="Times New Roman" w:cs="Times New Roman" w:eastAsia="Times New Roman" w:hAnsi="Times New Roman"/>
          <w:sz w:val="20"/>
          <w:szCs w:val="20"/>
          <w:color w:val="auto"/>
        </w:rPr>
        <w:t>. Each committee shall keep regular minutes of its meetings and report the same to the board of directors when required.</w:t>
      </w:r>
    </w:p>
    <w:p>
      <w:pPr>
        <w:spacing w:after="0" w:line="91"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Meetings and Action of Committees</w:t>
      </w:r>
      <w:r>
        <w:rPr>
          <w:rFonts w:ascii="Times New Roman" w:cs="Times New Roman" w:eastAsia="Times New Roman" w:hAnsi="Times New Roman"/>
          <w:sz w:val="20"/>
          <w:szCs w:val="20"/>
          <w:color w:val="auto"/>
        </w:rPr>
        <w:t>. Meetings and actions of committees shall be governed by, and held and taken in accordance with, the provisions of:</w:t>
      </w:r>
    </w:p>
    <w:p>
      <w:pPr>
        <w:spacing w:after="0" w:line="91" w:lineRule="exact"/>
        <w:rPr>
          <w:sz w:val="20"/>
          <w:szCs w:val="20"/>
          <w:color w:val="auto"/>
        </w:rPr>
      </w:pPr>
    </w:p>
    <w:p>
      <w:pPr>
        <w:ind w:left="1780" w:hanging="586"/>
        <w:spacing w:after="0"/>
        <w:tabs>
          <w:tab w:leader="none" w:pos="178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3.5 (place of meetings and meetings by telephone);</w:t>
      </w:r>
    </w:p>
    <w:p>
      <w:pPr>
        <w:spacing w:after="0" w:line="15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3.6 (regular meetings);</w:t>
      </w:r>
    </w:p>
    <w:p>
      <w:pPr>
        <w:spacing w:after="0" w:line="155" w:lineRule="exact"/>
        <w:rPr>
          <w:rFonts w:ascii="Times New Roman" w:cs="Times New Roman" w:eastAsia="Times New Roman" w:hAnsi="Times New Roman"/>
          <w:sz w:val="20"/>
          <w:szCs w:val="20"/>
          <w:color w:val="auto"/>
        </w:rPr>
      </w:pPr>
    </w:p>
    <w:p>
      <w:pPr>
        <w:ind w:left="1800" w:hanging="606"/>
        <w:spacing w:after="0"/>
        <w:tabs>
          <w:tab w:leader="none" w:pos="180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3.7 (special meetings and notice);</w:t>
      </w:r>
    </w:p>
    <w:p>
      <w:pPr>
        <w:spacing w:after="0" w:line="15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3.8 (quorum; voting);</w:t>
      </w:r>
    </w:p>
    <w:p>
      <w:pPr>
        <w:spacing w:after="0" w:line="15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7.5 (waiver of notice); and</w:t>
      </w:r>
    </w:p>
    <w:p>
      <w:pPr>
        <w:spacing w:after="0" w:line="15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 (action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21" w:right="339" w:bottom="1440" w:gutter="0" w:footer="0" w:header="0"/>
        </w:sectPr>
      </w:pPr>
    </w:p>
    <w:bookmarkStart w:id="360" w:name="page361"/>
    <w:bookmarkEnd w:id="360"/>
    <w:p>
      <w:pPr>
        <w:spacing w:after="0" w:line="277" w:lineRule="auto"/>
        <w:rPr>
          <w:sz w:val="20"/>
          <w:szCs w:val="20"/>
          <w:color w:val="auto"/>
        </w:rPr>
      </w:pPr>
      <w:r>
        <w:rPr>
          <w:rFonts w:ascii="Times New Roman" w:cs="Times New Roman" w:eastAsia="Times New Roman" w:hAnsi="Times New Roman"/>
          <w:sz w:val="20"/>
          <w:szCs w:val="20"/>
          <w:color w:val="auto"/>
        </w:rPr>
        <w:t>with such changes in the context of those bylaws as are necessary to substitute the committee and its members for the board of directors and its members. However:</w:t>
      </w:r>
    </w:p>
    <w:p>
      <w:pPr>
        <w:spacing w:after="0" w:line="91" w:lineRule="exact"/>
        <w:rPr>
          <w:sz w:val="20"/>
          <w:szCs w:val="20"/>
          <w:color w:val="auto"/>
        </w:rPr>
      </w:pPr>
    </w:p>
    <w:p>
      <w:pPr>
        <w:ind w:firstLine="1194"/>
        <w:spacing w:after="0" w:line="277" w:lineRule="auto"/>
        <w:tabs>
          <w:tab w:leader="none" w:pos="1781"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of regular meetings of committees may be determined either by resolution of the board of directors or by resolution of the committee;</w:t>
      </w:r>
    </w:p>
    <w:p>
      <w:pPr>
        <w:spacing w:after="0" w:line="91"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meetings of committees may also be called by resolution of the board of directors; and</w:t>
      </w:r>
    </w:p>
    <w:p>
      <w:pPr>
        <w:spacing w:after="0" w:line="155" w:lineRule="exact"/>
        <w:rPr>
          <w:rFonts w:ascii="Times New Roman" w:cs="Times New Roman" w:eastAsia="Times New Roman" w:hAnsi="Times New Roman"/>
          <w:sz w:val="20"/>
          <w:szCs w:val="20"/>
          <w:color w:val="auto"/>
        </w:rPr>
      </w:pPr>
    </w:p>
    <w:p>
      <w:pPr>
        <w:ind w:firstLine="1194"/>
        <w:spacing w:after="0" w:line="277" w:lineRule="auto"/>
        <w:tabs>
          <w:tab w:leader="none" w:pos="1792"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special meetings of committees shall also be given to all alternate members, who shall have the right to attend all meetings of the committee.</w:t>
      </w:r>
    </w:p>
    <w:p>
      <w:pPr>
        <w:spacing w:after="0" w:line="91" w:lineRule="exact"/>
        <w:rPr>
          <w:sz w:val="20"/>
          <w:szCs w:val="20"/>
          <w:color w:val="auto"/>
        </w:rPr>
      </w:pPr>
    </w:p>
    <w:p>
      <w:pPr>
        <w:ind w:right="180" w:firstLine="597"/>
        <w:spacing w:after="0" w:line="277" w:lineRule="auto"/>
        <w:rPr>
          <w:sz w:val="20"/>
          <w:szCs w:val="20"/>
          <w:color w:val="auto"/>
        </w:rPr>
      </w:pPr>
      <w:r>
        <w:rPr>
          <w:rFonts w:ascii="Times New Roman" w:cs="Times New Roman" w:eastAsia="Times New Roman" w:hAnsi="Times New Roman"/>
          <w:sz w:val="20"/>
          <w:szCs w:val="20"/>
          <w:color w:val="auto"/>
        </w:rPr>
        <w:t>The board of directors or a committee may adopt rules for the government of any committee not inconsistent with the provisions of these bylaws.</w:t>
      </w:r>
    </w:p>
    <w:p>
      <w:pPr>
        <w:spacing w:after="0" w:line="9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05"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Subcommittees</w:t>
      </w:r>
      <w:r>
        <w:rPr>
          <w:rFonts w:ascii="Times New Roman" w:cs="Times New Roman" w:eastAsia="Times New Roman" w:hAnsi="Times New Roman"/>
          <w:sz w:val="20"/>
          <w:szCs w:val="20"/>
          <w:color w:val="auto"/>
        </w:rPr>
        <w:t>. 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OFFICERS</w:t>
      </w:r>
    </w:p>
    <w:p>
      <w:pPr>
        <w:spacing w:after="0" w:line="156"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Officers</w:t>
      </w:r>
      <w:r>
        <w:rPr>
          <w:rFonts w:ascii="Times New Roman" w:cs="Times New Roman" w:eastAsia="Times New Roman" w:hAnsi="Times New Roman"/>
          <w:sz w:val="20"/>
          <w:szCs w:val="20"/>
          <w:color w:val="auto"/>
        </w:rPr>
        <w:t>. The officers of the corporation shall be a chief executive officer and a secretary. The corporation may also have, at the discretion of the board of directors, a chairperson of the board of directors, a vice chairperson of the board of directors, a president,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14"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Appointment of Officers</w:t>
      </w:r>
      <w:r>
        <w:rPr>
          <w:rFonts w:ascii="Times New Roman" w:cs="Times New Roman" w:eastAsia="Times New Roman" w:hAnsi="Times New Roman"/>
          <w:sz w:val="20"/>
          <w:szCs w:val="20"/>
          <w:color w:val="auto"/>
        </w:rPr>
        <w:t>. The board of directors shall appoint the officers of the corporation, except such officers as may be appointed in accordance with the provisions of Sections 5.3 of these bylaws, subject to the rights, if any, of an officer under any contract of employment.</w:t>
      </w:r>
    </w:p>
    <w:p>
      <w:pPr>
        <w:spacing w:after="0" w:line="105"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Subordinate Officers</w:t>
      </w:r>
      <w:r>
        <w:rPr>
          <w:rFonts w:ascii="Times New Roman" w:cs="Times New Roman" w:eastAsia="Times New Roman" w:hAnsi="Times New Roman"/>
          <w:sz w:val="20"/>
          <w:szCs w:val="20"/>
          <w:color w:val="auto"/>
        </w:rPr>
        <w:t>. 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21" w:right="339" w:bottom="1440" w:gutter="0" w:footer="0" w:header="0"/>
        </w:sectPr>
      </w:pPr>
    </w:p>
    <w:bookmarkStart w:id="361" w:name="page362"/>
    <w:bookmarkEnd w:id="361"/>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Removal and Resignation of Officers</w:t>
      </w:r>
      <w:r>
        <w:rPr>
          <w:rFonts w:ascii="Times New Roman" w:cs="Times New Roman" w:eastAsia="Times New Roman" w:hAnsi="Times New Roman"/>
          <w:sz w:val="20"/>
          <w:szCs w:val="20"/>
          <w:color w:val="auto"/>
        </w:rPr>
        <w:t>. 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14"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14"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Vacancies In Offices</w:t>
      </w:r>
      <w:r>
        <w:rPr>
          <w:rFonts w:ascii="Times New Roman" w:cs="Times New Roman" w:eastAsia="Times New Roman" w:hAnsi="Times New Roman"/>
          <w:sz w:val="20"/>
          <w:szCs w:val="20"/>
          <w:color w:val="auto"/>
        </w:rPr>
        <w:t>. Any vacancy occurring in any office of the corporation shall be filled by the board of directors or as provided in Section 5.3.</w:t>
      </w:r>
    </w:p>
    <w:p>
      <w:pPr>
        <w:spacing w:after="0" w:line="91"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Representation of Shares of Other Entities</w:t>
      </w:r>
      <w:r>
        <w:rPr>
          <w:rFonts w:ascii="Times New Roman" w:cs="Times New Roman" w:eastAsia="Times New Roman" w:hAnsi="Times New Roman"/>
          <w:sz w:val="20"/>
          <w:szCs w:val="20"/>
          <w:color w:val="auto"/>
        </w:rPr>
        <w:t>. The chairperson of the board of directors, the chief executive officer, the president, any vice president, the treasurer, the secretary or assistant secretary of this corporation, or any other person authorized by the board of directors, the chief executive officer, the president or a vice president, is authorized to vote, represent, and exercise on behalf of this corporation all rights incident to any and all shares or other equity interests of any other corporation or corporations or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Authority and Duties of Officers</w:t>
      </w:r>
      <w:r>
        <w:rPr>
          <w:rFonts w:ascii="Times New Roman" w:cs="Times New Roman" w:eastAsia="Times New Roman" w:hAnsi="Times New Roman"/>
          <w:sz w:val="20"/>
          <w:szCs w:val="20"/>
          <w:color w:val="auto"/>
        </w:rPr>
        <w:t>. 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STOCK</w:t>
      </w:r>
    </w:p>
    <w:p>
      <w:pPr>
        <w:spacing w:after="0" w:line="152"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Stock Certificates; Partly Paid Shares</w:t>
      </w:r>
      <w:r>
        <w:rPr>
          <w:rFonts w:ascii="Times New Roman" w:cs="Times New Roman" w:eastAsia="Times New Roman" w:hAnsi="Times New Roman"/>
          <w:sz w:val="20"/>
          <w:szCs w:val="20"/>
          <w:color w:val="auto"/>
        </w:rPr>
        <w:t xml:space="preserve">. The shares of the corporation shall be represented by certificates;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which shall include, without limitation, the chairperson of the board of directors, the vice-chairperson of the board of directors, the president, any vice-president, the treasurer, any assistant treasurer, the secretary and any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21" w:right="339" w:bottom="1440" w:gutter="0" w:footer="0" w:header="0"/>
        </w:sectPr>
      </w:pPr>
    </w:p>
    <w:bookmarkStart w:id="362" w:name="page363"/>
    <w:bookmarkEnd w:id="362"/>
    <w:p>
      <w:pPr>
        <w:jc w:val="both"/>
        <w:spacing w:after="0" w:line="262" w:lineRule="auto"/>
        <w:rPr>
          <w:sz w:val="20"/>
          <w:szCs w:val="20"/>
          <w:color w:val="auto"/>
        </w:rPr>
      </w:pPr>
      <w:r>
        <w:rPr>
          <w:rFonts w:ascii="Times New Roman" w:cs="Times New Roman" w:eastAsia="Times New Roman" w:hAnsi="Times New Roman"/>
          <w:sz w:val="20"/>
          <w:szCs w:val="20"/>
          <w:color w:val="auto"/>
        </w:rPr>
        <w:t>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05"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14" w:lineRule="exact"/>
        <w:rPr>
          <w:sz w:val="20"/>
          <w:szCs w:val="20"/>
          <w:color w:val="auto"/>
        </w:rPr>
      </w:pPr>
    </w:p>
    <w:p>
      <w:pPr>
        <w:jc w:val="both"/>
        <w:ind w:firstLine="597"/>
        <w:spacing w:after="0" w:line="248"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Special Designation On Certificates</w:t>
      </w:r>
      <w:r>
        <w:rPr>
          <w:rFonts w:ascii="Times New Roman" w:cs="Times New Roman" w:eastAsia="Times New Roman" w:hAnsi="Times New Roman"/>
          <w:sz w:val="20"/>
          <w:szCs w:val="20"/>
          <w:color w:val="auto"/>
        </w:rPr>
        <w:t xml:space="preserve">.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6.2 or Sections 151, 156, 202(a) or 218(a)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31"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Lost Certificates</w:t>
      </w:r>
      <w:r>
        <w:rPr>
          <w:rFonts w:ascii="Times New Roman" w:cs="Times New Roman" w:eastAsia="Times New Roman" w:hAnsi="Times New Roman"/>
          <w:sz w:val="20"/>
          <w:szCs w:val="20"/>
          <w:color w:val="auto"/>
        </w:rPr>
        <w:t>. 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21" w:right="339" w:bottom="1440" w:gutter="0" w:footer="0" w:header="0"/>
        </w:sectPr>
      </w:pPr>
    </w:p>
    <w:bookmarkStart w:id="363" w:name="page364"/>
    <w:bookmarkEnd w:id="363"/>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The board of directors, subject to any restrictions contained in the certificate of incorporation or applicable law, may declare and pay dividends upon the shares of the corporation’s capital stock.</w:t>
      </w:r>
    </w:p>
    <w:p>
      <w:pPr>
        <w:spacing w:after="0" w:line="9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05"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Transfer of Stock</w:t>
      </w:r>
      <w:r>
        <w:rPr>
          <w:rFonts w:ascii="Times New Roman" w:cs="Times New Roman" w:eastAsia="Times New Roman" w:hAnsi="Times New Roman"/>
          <w:sz w:val="20"/>
          <w:szCs w:val="20"/>
          <w:color w:val="auto"/>
        </w:rPr>
        <w:t>. Transfers of record of shares of stock of the corporation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114"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Stock Transfer Agreements</w:t>
      </w:r>
      <w:r>
        <w:rPr>
          <w:rFonts w:ascii="Times New Roman" w:cs="Times New Roman" w:eastAsia="Times New Roman" w:hAnsi="Times New Roman"/>
          <w:sz w:val="20"/>
          <w:szCs w:val="20"/>
          <w:color w:val="auto"/>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05"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Registered Stockholders</w:t>
      </w:r>
      <w:r>
        <w:rPr>
          <w:rFonts w:ascii="Times New Roman" w:cs="Times New Roman" w:eastAsia="Times New Roman" w:hAnsi="Times New Roman"/>
          <w:sz w:val="19"/>
          <w:szCs w:val="19"/>
          <w:color w:val="auto"/>
        </w:rPr>
        <w:t>. The corporation:</w:t>
      </w:r>
    </w:p>
    <w:p>
      <w:pPr>
        <w:spacing w:after="0" w:line="156" w:lineRule="exact"/>
        <w:rPr>
          <w:sz w:val="20"/>
          <w:szCs w:val="20"/>
          <w:color w:val="auto"/>
        </w:rPr>
      </w:pPr>
    </w:p>
    <w:p>
      <w:pPr>
        <w:ind w:firstLine="1194"/>
        <w:spacing w:after="0" w:line="277" w:lineRule="auto"/>
        <w:tabs>
          <w:tab w:leader="none" w:pos="1781"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entitled to recognize the exclusive right of a person registered on its books as the owner of shares to receive dividends and to vote as such owner;</w:t>
      </w:r>
    </w:p>
    <w:p>
      <w:pPr>
        <w:spacing w:after="0" w:line="91"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entitled to hold liable for calls and assessments the person registered on its books as the owner of shares; and</w:t>
      </w:r>
    </w:p>
    <w:p>
      <w:pPr>
        <w:spacing w:after="0" w:line="155" w:lineRule="exact"/>
        <w:rPr>
          <w:rFonts w:ascii="Times New Roman" w:cs="Times New Roman" w:eastAsia="Times New Roman" w:hAnsi="Times New Roman"/>
          <w:sz w:val="20"/>
          <w:szCs w:val="20"/>
          <w:color w:val="auto"/>
        </w:rPr>
      </w:pPr>
    </w:p>
    <w:p>
      <w:pPr>
        <w:ind w:firstLine="1194"/>
        <w:spacing w:after="0" w:line="304" w:lineRule="auto"/>
        <w:tabs>
          <w:tab w:leader="none" w:pos="1792"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bound to recognize any equitable or other claim to or interest in such share or shares on the part of another person, whether or not it shall have express or other notice thereof, except, in each case, as otherwise provided by the laws of Delaware.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MANNER OF GIVING NOTICE AND WAIVER</w:t>
      </w:r>
    </w:p>
    <w:p>
      <w:pPr>
        <w:spacing w:after="0" w:line="156"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Notice of Stockholders’ Meetings</w:t>
      </w:r>
      <w:r>
        <w:rPr>
          <w:rFonts w:ascii="Times New Roman" w:cs="Times New Roman" w:eastAsia="Times New Roman" w:hAnsi="Times New Roman"/>
          <w:sz w:val="20"/>
          <w:szCs w:val="20"/>
          <w:color w:val="auto"/>
        </w:rPr>
        <w:t xml:space="preserve">. 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facts stated therein.</w:t>
      </w:r>
    </w:p>
    <w:p>
      <w:pPr>
        <w:spacing w:after="0" w:line="114"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Notice By Electronic Transmission</w:t>
      </w:r>
      <w:r>
        <w:rPr>
          <w:rFonts w:ascii="Times New Roman" w:cs="Times New Roman" w:eastAsia="Times New Roman" w:hAnsi="Times New Roman"/>
          <w:sz w:val="20"/>
          <w:szCs w:val="20"/>
          <w:color w:val="auto"/>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21" w:right="3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20"/>
          <w:szCs w:val="20"/>
          <w:color w:val="auto"/>
        </w:rPr>
        <w:t>Any such consent shall be revocable by the stockholder by written notice to the corporation. Any such consent shall be deemed revoked if:</w:t>
      </w:r>
    </w:p>
    <w:p>
      <w:pPr>
        <w:spacing w:after="0" w:line="156" w:lineRule="exact"/>
        <w:rPr>
          <w:sz w:val="20"/>
          <w:szCs w:val="20"/>
          <w:color w:val="auto"/>
        </w:rPr>
      </w:pPr>
    </w:p>
    <w:p>
      <w:pPr>
        <w:ind w:firstLine="1194"/>
        <w:spacing w:after="0" w:line="277" w:lineRule="auto"/>
        <w:tabs>
          <w:tab w:leader="none" w:pos="1781"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unable to deliver by electronic transmission two consecutive notices given by the corporation in accordance with such consent; and</w:t>
      </w:r>
    </w:p>
    <w:p>
      <w:pPr>
        <w:spacing w:after="0" w:line="91" w:lineRule="exact"/>
        <w:rPr>
          <w:rFonts w:ascii="Times New Roman" w:cs="Times New Roman" w:eastAsia="Times New Roman" w:hAnsi="Times New Roman"/>
          <w:sz w:val="20"/>
          <w:szCs w:val="20"/>
          <w:color w:val="auto"/>
        </w:rPr>
      </w:pPr>
    </w:p>
    <w:p>
      <w:pPr>
        <w:ind w:firstLine="1194"/>
        <w:spacing w:after="0" w:line="277" w:lineRule="auto"/>
        <w:tabs>
          <w:tab w:leader="none" w:pos="1786"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inability becomes known to the secretary or an assistant secretary of the corporation or to the transfer agent, or other person responsible for the giving of notice.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However, the inadvertent failure to treat such inability as a revocation shall not invalidate any meeting or other action.</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Any notice given pursuant to the preceding paragraph shall be deemed given:</w:t>
      </w:r>
    </w:p>
    <w:p>
      <w:pPr>
        <w:spacing w:after="0" w:line="156" w:lineRule="exact"/>
        <w:rPr>
          <w:sz w:val="20"/>
          <w:szCs w:val="20"/>
          <w:color w:val="auto"/>
        </w:rPr>
      </w:pPr>
    </w:p>
    <w:p>
      <w:pPr>
        <w:ind w:left="1780" w:hanging="586"/>
        <w:spacing w:after="0"/>
        <w:tabs>
          <w:tab w:leader="none" w:pos="178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facsimile telecommunication, when directed to a number at which the stockholder has consented to receive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134" w:lineRule="exact"/>
        <w:rPr>
          <w:sz w:val="20"/>
          <w:szCs w:val="20"/>
          <w:color w:val="auto"/>
        </w:rPr>
      </w:pPr>
    </w:p>
    <w:p>
      <w:pPr>
        <w:ind w:left="1780" w:hanging="586"/>
        <w:spacing w:after="0"/>
        <w:tabs>
          <w:tab w:leader="none" w:pos="178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electronic mail, when directed to an electronic mail address at which the stockholder has consented to receive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134" w:lineRule="exact"/>
        <w:rPr>
          <w:sz w:val="20"/>
          <w:szCs w:val="20"/>
          <w:color w:val="auto"/>
        </w:rPr>
      </w:pPr>
    </w:p>
    <w:p>
      <w:pPr>
        <w:ind w:firstLine="1194"/>
        <w:spacing w:after="0" w:line="277" w:lineRule="auto"/>
        <w:tabs>
          <w:tab w:leader="none" w:pos="1792"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 posting on an electronic network together with separate notice to the stockholder of such specific posting, upon the later of (A) such posting and (B) the giving of such separate notice; and</w:t>
      </w:r>
    </w:p>
    <w:p>
      <w:pPr>
        <w:spacing w:after="0" w:line="91"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any other form of electronic transmission, when directed to the stockholder.</w:t>
      </w:r>
    </w:p>
    <w:p>
      <w:pPr>
        <w:spacing w:after="0" w:line="156"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facts stated therein.</w:t>
      </w:r>
    </w:p>
    <w:p>
      <w:pPr>
        <w:spacing w:after="0" w:line="87" w:lineRule="exact"/>
        <w:rPr>
          <w:sz w:val="20"/>
          <w:szCs w:val="20"/>
          <w:color w:val="auto"/>
        </w:rPr>
      </w:pPr>
    </w:p>
    <w:p>
      <w:pPr>
        <w:jc w:val="both"/>
        <w:ind w:firstLine="597"/>
        <w:spacing w:after="0" w:line="264"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color w:val="auto"/>
        </w:rPr>
        <w:t>electronic transmission</w:t>
      </w:r>
      <w:r>
        <w:rPr>
          <w:rFonts w:ascii="Times New Roman" w:cs="Times New Roman" w:eastAsia="Times New Roman" w:hAnsi="Times New Roman"/>
          <w:sz w:val="20"/>
          <w:szCs w:val="20"/>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Notice by a form of electronic transmission shall not apply with respect to Sections 164, 296, 311, 312 or 324 of the DGCL.</w:t>
      </w:r>
    </w:p>
    <w:p>
      <w:pPr>
        <w:spacing w:after="0" w:line="156"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Notice To Stockholders Sharing An Address</w:t>
      </w:r>
      <w:r>
        <w:rPr>
          <w:rFonts w:ascii="Times New Roman" w:cs="Times New Roman" w:eastAsia="Times New Roman" w:hAnsi="Times New Roman"/>
          <w:sz w:val="20"/>
          <w:szCs w:val="20"/>
          <w:color w:val="auto"/>
        </w:rPr>
        <w:t>. 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21" w:right="339" w:bottom="1440" w:gutter="0" w:footer="0" w:header="0"/>
        </w:sectPr>
      </w:pPr>
    </w:p>
    <w:bookmarkStart w:id="365" w:name="page366"/>
    <w:bookmarkEnd w:id="365"/>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Notice To Person With Whom Communication Is Unlawful</w:t>
      </w:r>
      <w:r>
        <w:rPr>
          <w:rFonts w:ascii="Times New Roman" w:cs="Times New Roman" w:eastAsia="Times New Roman" w:hAnsi="Times New Roman"/>
          <w:sz w:val="20"/>
          <w:szCs w:val="20"/>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1"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Waiver of Notice</w:t>
      </w:r>
      <w:r>
        <w:rPr>
          <w:rFonts w:ascii="Times New Roman" w:cs="Times New Roman" w:eastAsia="Times New Roman" w:hAnsi="Times New Roman"/>
          <w:sz w:val="20"/>
          <w:szCs w:val="20"/>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FORUM FOR CERTAIN ACTIONS</w:t>
      </w:r>
    </w:p>
    <w:p>
      <w:pPr>
        <w:spacing w:after="0" w:line="156"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20"/>
          <w:szCs w:val="20"/>
          <w:color w:val="auto"/>
        </w:rPr>
        <w:t>Unless the corporation consents in writing to the selection of an alternative forum, the Court of Chancery of the State of Delaware shall be the sole and exclusive forum for any state law claims for (1) any derivative action or proceeding brought on behalf of the corporation, (2) any action asserting a claim of breach of a fiduciary duty owed by any director, officer or other employee of the corporation to the corporation or the corporation’s stockholders, (3) any action asserting a claim arising pursuant to the DGCL or the corporation’s certificate of incorporation or these bylaws, or (4) any action asserting a claim that is governed by the internal affairs doctrine (the “</w:t>
      </w:r>
      <w:r>
        <w:rPr>
          <w:rFonts w:ascii="Times New Roman" w:cs="Times New Roman" w:eastAsia="Times New Roman" w:hAnsi="Times New Roman"/>
          <w:sz w:val="20"/>
          <w:szCs w:val="20"/>
          <w:b w:val="1"/>
          <w:bCs w:val="1"/>
          <w:color w:val="auto"/>
        </w:rPr>
        <w:t>Delaware Forum Provision</w:t>
      </w:r>
      <w:r>
        <w:rPr>
          <w:rFonts w:ascii="Times New Roman" w:cs="Times New Roman" w:eastAsia="Times New Roman" w:hAnsi="Times New Roman"/>
          <w:sz w:val="20"/>
          <w:szCs w:val="20"/>
          <w:color w:val="auto"/>
        </w:rPr>
        <w:t>”); provided, however, that the Delaware Forum Provision shall not apply to any causes of action arising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or the 1934 Act. Unless the corporation consents in writing to the selection of an alternative forum, the federal district courts of the United States shall be the sole and exclusive forum for resolving any complaint asserting a cause of action arising under the Securities Act. Any person or entity purchasing or otherwise acquiring any interest in shares of capital stock of the corporation shall be deemed to have notice of and consented to the provisions of this bylaw.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21" w:right="339" w:bottom="1440" w:gutter="0" w:footer="0" w:header="0"/>
        </w:sectPr>
      </w:pPr>
    </w:p>
    <w:bookmarkStart w:id="366" w:name="page367"/>
    <w:bookmarkEnd w:id="366"/>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INDEMNIFICATION</w:t>
      </w:r>
    </w:p>
    <w:p>
      <w:pPr>
        <w:spacing w:after="0" w:line="156"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Indemnification of Directors and Officers In Third Party Proceedings</w:t>
      </w:r>
      <w:r>
        <w:rPr>
          <w:rFonts w:ascii="Times New Roman" w:cs="Times New Roman" w:eastAsia="Times New Roman" w:hAnsi="Times New Roman"/>
          <w:sz w:val="20"/>
          <w:szCs w:val="20"/>
          <w:color w:val="auto"/>
        </w:rPr>
        <w:t>. Subject to the other provisions of this Article IX,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21"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Indemnification of Directors and Officers in Actions by or in the Right of the Corporation</w:t>
      </w:r>
      <w:r>
        <w:rPr>
          <w:rFonts w:ascii="Times New Roman" w:cs="Times New Roman" w:eastAsia="Times New Roman" w:hAnsi="Times New Roman"/>
          <w:sz w:val="20"/>
          <w:szCs w:val="20"/>
          <w:color w:val="auto"/>
        </w:rPr>
        <w:t>. Subject to the other provisions of this Article IX,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1" w:lineRule="exact"/>
        <w:rPr>
          <w:sz w:val="20"/>
          <w:szCs w:val="20"/>
          <w:color w:val="auto"/>
        </w:rPr>
      </w:pPr>
    </w:p>
    <w:p>
      <w:pPr>
        <w:jc w:val="both"/>
        <w:ind w:firstLine="597"/>
        <w:spacing w:after="0" w:line="233"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Successful Defense</w:t>
      </w:r>
      <w:r>
        <w:rPr>
          <w:rFonts w:ascii="Times New Roman" w:cs="Times New Roman" w:eastAsia="Times New Roman" w:hAnsi="Times New Roman"/>
          <w:sz w:val="20"/>
          <w:szCs w:val="20"/>
          <w:color w:val="auto"/>
        </w:rPr>
        <w:t>. To the extent that a present or former director or officer of the corporation has been successful on the merits or otherwise in defense of any action, suit or Proceeding described in Section 9.1 or Section 9.2, or in defense of any claim, issue or matter therein, such person shall be indemnified against expenses (including attorneys’ fees) actually and reasonably incurred by such person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17" w:right="339" w:bottom="1440" w:gutter="0" w:footer="0" w:header="0"/>
        </w:sectPr>
      </w:pPr>
    </w:p>
    <w:bookmarkStart w:id="367" w:name="page368"/>
    <w:bookmarkEnd w:id="367"/>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Indemnification of Others</w:t>
      </w:r>
      <w:r>
        <w:rPr>
          <w:rFonts w:ascii="Times New Roman" w:cs="Times New Roman" w:eastAsia="Times New Roman" w:hAnsi="Times New Roman"/>
          <w:sz w:val="20"/>
          <w:szCs w:val="20"/>
          <w:color w:val="auto"/>
        </w:rPr>
        <w:t>. Subject to the other provisions of this Article IX, the corporation shall have power to indemnify its employees and agents to the extent not prohibited by the DGCL or other applicable law. The board of directors shall have the power to delegate to such person or persons as the board shall in its discretion determine the determination of whether employees or agents shall be indemnified.</w:t>
      </w:r>
    </w:p>
    <w:p>
      <w:pPr>
        <w:spacing w:after="0" w:line="114"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Advance Payment of Expenses</w:t>
      </w:r>
      <w:r>
        <w:rPr>
          <w:rFonts w:ascii="Times New Roman" w:cs="Times New Roman" w:eastAsia="Times New Roman" w:hAnsi="Times New Roman"/>
          <w:sz w:val="20"/>
          <w:szCs w:val="20"/>
          <w:color w:val="auto"/>
        </w:rPr>
        <w:t>. Expenses (including attorneys’ fees) actually and reasonably incurred by a current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IX or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claim for which indemnity is excluded pursuant to these bylaws, but shall apply to any Proceeding referenced in Section 9.6(ii) or 9.6(iii) prior to a determination that the person is not entitled to be indemnified by the corporation. The right to advancement of expenses shall not apply to any claim for which indemnity is excluded pursuant to these bylaws, but shall apply to any Proceeding referenced in Section 9.6(ii) or 9.6(iii) prior to a determination that the person is not entitled to be indemnified by the corporation.</w:t>
      </w:r>
    </w:p>
    <w:p>
      <w:pPr>
        <w:spacing w:after="0" w:line="123"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Limitation On Indemnification</w:t>
      </w:r>
      <w:r>
        <w:rPr>
          <w:rFonts w:ascii="Times New Roman" w:cs="Times New Roman" w:eastAsia="Times New Roman" w:hAnsi="Times New Roman"/>
          <w:sz w:val="20"/>
          <w:szCs w:val="20"/>
          <w:color w:val="auto"/>
        </w:rPr>
        <w:t>. Subject to the requirements in Section 9.3 and the DGCL, the corporation shall not be obligated to indemnify any person pursuant to this Article IX in connection with any Proceeding (or any part of any Proceeding):</w:t>
      </w:r>
    </w:p>
    <w:p>
      <w:pPr>
        <w:spacing w:after="0" w:line="91" w:lineRule="exact"/>
        <w:rPr>
          <w:sz w:val="20"/>
          <w:szCs w:val="20"/>
          <w:color w:val="auto"/>
        </w:rPr>
      </w:pPr>
    </w:p>
    <w:p>
      <w:pPr>
        <w:ind w:firstLine="1194"/>
        <w:spacing w:after="0" w:line="277" w:lineRule="auto"/>
        <w:tabs>
          <w:tab w:leader="none" w:pos="1781"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such person under any statute, insurance policy, indemnity provision, vote or otherwise, except with respect to any excess beyond the amount paid;</w:t>
      </w:r>
    </w:p>
    <w:p>
      <w:pPr>
        <w:spacing w:after="0" w:line="91"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6"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05" w:lineRule="exact"/>
        <w:rPr>
          <w:rFonts w:ascii="Times New Roman" w:cs="Times New Roman" w:eastAsia="Times New Roman" w:hAnsi="Times New Roman"/>
          <w:sz w:val="20"/>
          <w:szCs w:val="20"/>
          <w:color w:val="auto"/>
        </w:rPr>
      </w:pPr>
    </w:p>
    <w:p>
      <w:pPr>
        <w:jc w:val="both"/>
        <w:ind w:firstLine="1194"/>
        <w:spacing w:after="0" w:line="252" w:lineRule="auto"/>
        <w:tabs>
          <w:tab w:leader="none" w:pos="1792"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Times New Roman" w:cs="Times New Roman" w:eastAsia="Times New Roman" w:hAnsi="Times New Roman"/>
          <w:sz w:val="20"/>
          <w:szCs w:val="20"/>
          <w:b w:val="1"/>
          <w:bCs w:val="1"/>
          <w:color w:val="auto"/>
        </w:rPr>
        <w:t>Sarbanes-Oxley Act</w:t>
      </w:r>
      <w:r>
        <w:rPr>
          <w:rFonts w:ascii="Times New Roman" w:cs="Times New Roman" w:eastAsia="Times New Roman" w:hAnsi="Times New Roman"/>
          <w:sz w:val="20"/>
          <w:szCs w:val="20"/>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19" w:lineRule="exact"/>
        <w:rPr>
          <w:rFonts w:ascii="Times New Roman" w:cs="Times New Roman" w:eastAsia="Times New Roman" w:hAnsi="Times New Roman"/>
          <w:sz w:val="20"/>
          <w:szCs w:val="20"/>
          <w:color w:val="auto"/>
        </w:rPr>
      </w:pPr>
    </w:p>
    <w:p>
      <w:pPr>
        <w:ind w:firstLine="1194"/>
        <w:spacing w:after="0" w:line="277" w:lineRule="auto"/>
        <w:tabs>
          <w:tab w:leader="none" w:pos="1781"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by such person, including any Proceeding (or any part of any Proceeding) initiated by such person against the corporation or its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21" w:right="339" w:bottom="1440" w:gutter="0" w:footer="0" w:header="0"/>
        </w:sectPr>
      </w:pPr>
    </w:p>
    <w:bookmarkStart w:id="368" w:name="page369"/>
    <w:bookmarkEnd w:id="368"/>
    <w:p>
      <w:pPr>
        <w:jc w:val="both"/>
        <w:spacing w:after="0" w:line="262" w:lineRule="auto"/>
        <w:rPr>
          <w:sz w:val="20"/>
          <w:szCs w:val="20"/>
          <w:color w:val="auto"/>
        </w:rPr>
      </w:pPr>
      <w:r>
        <w:rPr>
          <w:rFonts w:ascii="Times New Roman" w:cs="Times New Roman" w:eastAsia="Times New Roman" w:hAnsi="Times New Roman"/>
          <w:sz w:val="20"/>
          <w:szCs w:val="20"/>
          <w:color w:val="auto"/>
        </w:rPr>
        <w:t>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9.7 or (d) otherwise required by applicable law; or</w:t>
      </w:r>
    </w:p>
    <w:p>
      <w:pPr>
        <w:spacing w:after="0" w:line="101" w:lineRule="exact"/>
        <w:rPr>
          <w:sz w:val="20"/>
          <w:szCs w:val="20"/>
          <w:color w:val="auto"/>
        </w:rPr>
      </w:pPr>
    </w:p>
    <w:p>
      <w:pPr>
        <w:jc w:val="both"/>
        <w:ind w:firstLine="1194"/>
        <w:spacing w:after="0" w:line="252" w:lineRule="auto"/>
        <w:tabs>
          <w:tab w:leader="none" w:pos="1788"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prohibited by applicable law;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any provision or provisions of this Article IX shall be held to be invalid, illegal or unenforceable for any reason whatsoever: (1) the validity, legality and enforceability of the remaining provisions of this Article IX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Article IX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118"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Determination; Claim</w:t>
      </w:r>
      <w:r>
        <w:rPr>
          <w:rFonts w:ascii="Times New Roman" w:cs="Times New Roman" w:eastAsia="Times New Roman" w:hAnsi="Times New Roman"/>
          <w:sz w:val="20"/>
          <w:szCs w:val="20"/>
          <w:color w:val="auto"/>
        </w:rPr>
        <w:t>. If a claim for indemnification or advancement of expenses under this Article IX is not paid in full within 60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Article IX,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21"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Non-Exclusivity of Rights</w:t>
      </w:r>
      <w:r>
        <w:rPr>
          <w:rFonts w:ascii="Times New Roman" w:cs="Times New Roman" w:eastAsia="Times New Roman" w:hAnsi="Times New Roman"/>
          <w:sz w:val="20"/>
          <w:szCs w:val="20"/>
          <w:color w:val="auto"/>
        </w:rPr>
        <w:t>. The indemnification and advancement of expenses provided by, or granted pursuant to, this Article IX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19"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21" w:right="339" w:bottom="1440" w:gutter="0" w:footer="0" w:header="0"/>
        </w:sectPr>
      </w:pPr>
    </w:p>
    <w:bookmarkStart w:id="369" w:name="page370"/>
    <w:bookmarkEnd w:id="369"/>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rights to indemnification and advancement of expenses conferred by this Article IX shall continue as to a person who has ceased to be a director, officer, employee or agent and shall inure to the benefit of the heirs, executors and administrators of such a person.</w:t>
      </w:r>
    </w:p>
    <w:p>
      <w:pPr>
        <w:spacing w:after="0" w:line="105"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Effect of Repeal or Modification</w:t>
      </w:r>
      <w:r>
        <w:rPr>
          <w:rFonts w:ascii="Times New Roman" w:cs="Times New Roman" w:eastAsia="Times New Roman" w:hAnsi="Times New Roman"/>
          <w:sz w:val="20"/>
          <w:szCs w:val="20"/>
          <w:color w:val="auto"/>
        </w:rPr>
        <w:t>. 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10"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 For purposes of this Article IX, references to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For purposes of this Article IX, references to “</w:t>
      </w:r>
      <w:r>
        <w:rPr>
          <w:rFonts w:ascii="Times New Roman" w:cs="Times New Roman" w:eastAsia="Times New Roman" w:hAnsi="Times New Roman"/>
          <w:sz w:val="20"/>
          <w:szCs w:val="20"/>
          <w:b w:val="1"/>
          <w:bCs w:val="1"/>
          <w:color w:val="auto"/>
        </w:rPr>
        <w:t>other enterprises</w:t>
      </w:r>
      <w:r>
        <w:rPr>
          <w:rFonts w:ascii="Times New Roman" w:cs="Times New Roman" w:eastAsia="Times New Roman" w:hAnsi="Times New Roman"/>
          <w:sz w:val="20"/>
          <w:szCs w:val="20"/>
          <w:color w:val="auto"/>
        </w:rPr>
        <w:t>” shall include employee benefit plans; references to “</w:t>
      </w:r>
      <w:r>
        <w:rPr>
          <w:rFonts w:ascii="Times New Roman" w:cs="Times New Roman" w:eastAsia="Times New Roman" w:hAnsi="Times New Roman"/>
          <w:sz w:val="20"/>
          <w:szCs w:val="20"/>
          <w:b w:val="1"/>
          <w:bCs w:val="1"/>
          <w:color w:val="auto"/>
        </w:rPr>
        <w:t>fines</w:t>
      </w:r>
      <w:r>
        <w:rPr>
          <w:rFonts w:ascii="Times New Roman" w:cs="Times New Roman" w:eastAsia="Times New Roman" w:hAnsi="Times New Roman"/>
          <w:sz w:val="20"/>
          <w:szCs w:val="20"/>
          <w:color w:val="auto"/>
        </w:rPr>
        <w:t>” shall include any excise taxes assessed on a person with respect to an employee benefit plan; and references to “</w:t>
      </w:r>
      <w:r>
        <w:rPr>
          <w:rFonts w:ascii="Times New Roman" w:cs="Times New Roman" w:eastAsia="Times New Roman" w:hAnsi="Times New Roman"/>
          <w:sz w:val="20"/>
          <w:szCs w:val="20"/>
          <w:b w:val="1"/>
          <w:bCs w:val="1"/>
          <w:color w:val="auto"/>
        </w:rPr>
        <w:t>serving at the request of the corporation</w:t>
      </w:r>
      <w:r>
        <w:rPr>
          <w:rFonts w:ascii="Times New Roman" w:cs="Times New Roman" w:eastAsia="Times New Roman" w:hAnsi="Times New Roman"/>
          <w:sz w:val="20"/>
          <w:szCs w:val="20"/>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20"/>
          <w:szCs w:val="20"/>
          <w:b w:val="1"/>
          <w:bCs w:val="1"/>
          <w:color w:val="auto"/>
        </w:rPr>
        <w:t>not opposed to the best interests of the corporation</w:t>
      </w:r>
      <w:r>
        <w:rPr>
          <w:rFonts w:ascii="Times New Roman" w:cs="Times New Roman" w:eastAsia="Times New Roman" w:hAnsi="Times New Roman"/>
          <w:sz w:val="20"/>
          <w:szCs w:val="20"/>
          <w:color w:val="auto"/>
        </w:rPr>
        <w:t>” as referred to in this Article IX.</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GENERAL MATTERS</w:t>
      </w:r>
    </w:p>
    <w:p>
      <w:pPr>
        <w:spacing w:after="0" w:line="156"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Execution of Corporate Contracts and Instruments</w:t>
      </w:r>
      <w:r>
        <w:rPr>
          <w:rFonts w:ascii="Times New Roman" w:cs="Times New Roman" w:eastAsia="Times New Roman" w:hAnsi="Times New Roman"/>
          <w:sz w:val="20"/>
          <w:szCs w:val="20"/>
          <w:color w:val="auto"/>
        </w:rPr>
        <w:t>. 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19"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The fiscal year of the corporation shall be fixed by resolution of the board of directors and may be changed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21" w:right="339" w:bottom="1440" w:gutter="0" w:footer="0" w:header="0"/>
        </w:sectPr>
      </w:pPr>
    </w:p>
    <w:bookmarkStart w:id="370" w:name="page371"/>
    <w:bookmarkEnd w:id="370"/>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Seal</w:t>
      </w:r>
      <w:r>
        <w:rPr>
          <w:rFonts w:ascii="Times New Roman" w:cs="Times New Roman" w:eastAsia="Times New Roman" w:hAnsi="Times New Roman"/>
          <w:sz w:val="20"/>
          <w:szCs w:val="20"/>
          <w:color w:val="auto"/>
        </w:rPr>
        <w:t>. The corporation may adopt a corporate seal, which may be altered by the board of directors. The corporation may use the corporate seal by causing it or a facsimile thereof to be impressed or affixed or in any other manner reproduced.</w:t>
      </w:r>
    </w:p>
    <w:p>
      <w:pPr>
        <w:spacing w:after="0" w:line="9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Construction; Definitions</w:t>
      </w:r>
      <w:r>
        <w:rPr>
          <w:rFonts w:ascii="Times New Roman" w:cs="Times New Roman" w:eastAsia="Times New Roman" w:hAnsi="Times New Roman"/>
          <w:sz w:val="20"/>
          <w:szCs w:val="20"/>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includes both a corporation and a natural person.</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AMENDMENTS</w:t>
      </w:r>
    </w:p>
    <w:p>
      <w:pPr>
        <w:spacing w:after="0" w:line="152" w:lineRule="exact"/>
        <w:rPr>
          <w:sz w:val="20"/>
          <w:szCs w:val="20"/>
          <w:color w:val="auto"/>
        </w:rPr>
      </w:pPr>
    </w:p>
    <w:p>
      <w:pPr>
        <w:jc w:val="both"/>
        <w:ind w:firstLine="597"/>
        <w:spacing w:after="0" w:line="258" w:lineRule="auto"/>
        <w:rPr>
          <w:sz w:val="20"/>
          <w:szCs w:val="20"/>
          <w:color w:val="auto"/>
        </w:rPr>
      </w:pPr>
      <w:r>
        <w:rPr>
          <w:rFonts w:ascii="Times New Roman" w:cs="Times New Roman" w:eastAsia="Times New Roman" w:hAnsi="Times New Roman"/>
          <w:sz w:val="20"/>
          <w:szCs w:val="20"/>
          <w:color w:val="auto"/>
        </w:rPr>
        <w:t xml:space="preserve">These bylaws may be adopted, amended or repealed by the stockholders entitled to vote;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affirmative vote of the holders of at least sixty-six and two-thirds percent (66-2/3%) of the total voting power of outstanding voting securities, voting together as a single class, shall be required for the stockholders of the corporation to alter, amend or repeal, or adopt any provision of these bylaws. The board of directors shall also have the power to adopt, amend or repeal bylaws.</w:t>
      </w:r>
    </w:p>
    <w:p>
      <w:pPr>
        <w:spacing w:after="0" w:line="110"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A bylaw amendment adopted by stockholders which specifies the votes that shall be necessary for the election of directors shall not be further amended or repealed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21" w:right="339" w:bottom="1440" w:gutter="0" w:footer="0" w:header="0"/>
        </w:sectPr>
      </w:pPr>
    </w:p>
    <w:bookmarkStart w:id="371" w:name="page372"/>
    <w:bookmarkEnd w:id="371"/>
    <w:p>
      <w:pPr>
        <w:jc w:val="center"/>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 OF BYLAWS</w:t>
      </w:r>
    </w:p>
    <w:p>
      <w:pPr>
        <w:spacing w:after="0" w:line="160" w:lineRule="exact"/>
        <w:rPr>
          <w:sz w:val="20"/>
          <w:szCs w:val="20"/>
          <w:color w:val="auto"/>
        </w:rPr>
      </w:pPr>
    </w:p>
    <w:p>
      <w:pPr>
        <w:ind w:firstLine="597"/>
        <w:spacing w:after="0" w:line="277" w:lineRule="auto"/>
        <w:rPr>
          <w:sz w:val="20"/>
          <w:szCs w:val="20"/>
          <w:color w:val="auto"/>
        </w:rPr>
      </w:pPr>
      <w:r>
        <w:rPr>
          <w:rFonts w:ascii="Times New Roman" w:cs="Times New Roman" w:eastAsia="Times New Roman" w:hAnsi="Times New Roman"/>
          <w:sz w:val="20"/>
          <w:szCs w:val="20"/>
          <w:color w:val="auto"/>
        </w:rPr>
        <w:t>The undersigned hereby certifies that he is the duly elected, qualified, and acting Secretary of ThredUp Inc., a Delaware corporation, and that the foregoing bylaws were amended and restated on __________, 2021 by the corporation’s board of directors.</w:t>
      </w:r>
    </w:p>
    <w:p>
      <w:pPr>
        <w:spacing w:after="0" w:line="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hereunto set his hand this ___ day of 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283210</wp:posOffset>
            </wp:positionV>
            <wp:extent cx="357949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79495" cy="762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Alon Rotem, Secretary</w:t>
      </w:r>
    </w:p>
    <w:p>
      <w:pPr>
        <w:sectPr>
          <w:pgSz w:w="11900" w:h="16838" w:orient="portrait"/>
          <w:cols w:equalWidth="0" w:num="1">
            <w:col w:w="11240"/>
          </w:cols>
          <w:pgMar w:left="320" w:top="1317" w:right="339" w:bottom="1440" w:gutter="0" w:footer="0" w:header="0"/>
        </w:sectPr>
      </w:pPr>
    </w:p>
    <w:bookmarkStart w:id="372" w:name="page373"/>
    <w:bookmarkEnd w:id="372"/>
    <w:p>
      <w:pPr>
        <w:ind w:left="9360"/>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464820</wp:posOffset>
            </wp:positionV>
            <wp:extent cx="7200900" cy="519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0900" cy="519112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1127125</wp:posOffset>
            </wp:positionH>
            <wp:positionV relativeFrom="page">
              <wp:posOffset>657860</wp:posOffset>
            </wp:positionV>
            <wp:extent cx="5293995" cy="70719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293995" cy="707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3"/>
          <w:szCs w:val="23"/>
          <w:b w:val="1"/>
          <w:bCs w:val="1"/>
          <w:color w:val="auto"/>
        </w:rPr>
        <w:t>THREDUP INC.</w:t>
      </w:r>
    </w:p>
    <w:p>
      <w:pPr>
        <w:spacing w:after="0" w:line="20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3"/>
          <w:szCs w:val="23"/>
          <w:b w:val="1"/>
          <w:bCs w:val="1"/>
          <w:color w:val="auto"/>
        </w:rPr>
        <w:t>TENTH AMENDED AND RESTATED</w:t>
      </w:r>
    </w:p>
    <w:p>
      <w:pPr>
        <w:spacing w:after="0" w:line="3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3"/>
          <w:szCs w:val="23"/>
          <w:b w:val="1"/>
          <w:bCs w:val="1"/>
          <w:color w:val="auto"/>
        </w:rPr>
        <w:t>INVESTORS' RIGHTS AGREEMENT</w:t>
      </w:r>
    </w:p>
    <w:p>
      <w:pPr>
        <w:sectPr>
          <w:pgSz w:w="11900" w:h="16838" w:orient="portrait"/>
          <w:cols w:equalWidth="0" w:num="1">
            <w:col w:w="10120"/>
          </w:cols>
          <w:pgMar w:left="1440" w:top="119" w:right="339" w:bottom="1440" w:gutter="0" w:footer="0" w:header="0"/>
        </w:sectPr>
      </w:pPr>
    </w:p>
    <w:bookmarkStart w:id="375" w:name="page376"/>
    <w:bookmarkEnd w:id="375"/>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340" w:type="dxa"/>
            <w:vAlign w:val="bottom"/>
          </w:tcPr>
          <w:p>
            <w:pPr>
              <w:ind w:left="26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620" w:type="dxa"/>
            <w:vAlign w:val="bottom"/>
          </w:tcPr>
          <w:p>
            <w:pPr>
              <w:spacing w:after="0"/>
              <w:rPr>
                <w:sz w:val="22"/>
                <w:szCs w:val="22"/>
                <w:color w:val="auto"/>
              </w:rPr>
            </w:pPr>
          </w:p>
        </w:tc>
      </w:tr>
      <w:tr>
        <w:trPr>
          <w:trHeight w:val="485"/>
        </w:trPr>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6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336"/>
        </w:trPr>
        <w:tc>
          <w:tcPr>
            <w:tcW w:w="68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1.</w:t>
            </w: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Definitions</w:t>
            </w:r>
          </w:p>
        </w:tc>
        <w:tc>
          <w:tcPr>
            <w:tcW w:w="634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36"/>
        </w:trPr>
        <w:tc>
          <w:tcPr>
            <w:tcW w:w="68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2.</w:t>
            </w:r>
          </w:p>
        </w:tc>
        <w:tc>
          <w:tcPr>
            <w:tcW w:w="79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REGISTRATION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2.1</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Demand Registration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2.2</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 Registration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2.3</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Underwriting Requirements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2.4</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Obligations of the Company</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2.5</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Furnish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2.6</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Expenses of Registration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2.7</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Delay of Registration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2.8</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Indemnification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2.9</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Reports Under Exchange Act</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2.10</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Restrictions on Transfer</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2.11</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Limitations on Subsequent Registration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2.12</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Termination of Registration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36"/>
        </w:trPr>
        <w:tc>
          <w:tcPr>
            <w:tcW w:w="68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3.</w:t>
            </w:r>
          </w:p>
        </w:tc>
        <w:tc>
          <w:tcPr>
            <w:tcW w:w="79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Voting Provisions Regarding Board of Directors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3.1</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Size of the Board</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3.2</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Board Composition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3.3</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Failure to Designate a Board Member</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3.4</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Removal of Board Members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3.5</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 Liability for Election of Recommended Directors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3.6</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Grant of Proxy</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3.7</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Termination of Voting Provisions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36"/>
        </w:trPr>
        <w:tc>
          <w:tcPr>
            <w:tcW w:w="68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4.</w:t>
            </w:r>
          </w:p>
        </w:tc>
        <w:tc>
          <w:tcPr>
            <w:tcW w:w="79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Rights of First Refusal and Co-Sale</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4.1</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Special Definitions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4.2</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Right of First Refusal</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4.3</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Right of Co-Sale</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4.4</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Effect of Failure to Comply</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4.5</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Exempted Transfers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4.6</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Termination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36"/>
        </w:trPr>
        <w:tc>
          <w:tcPr>
            <w:tcW w:w="68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5.</w:t>
            </w:r>
          </w:p>
        </w:tc>
        <w:tc>
          <w:tcPr>
            <w:tcW w:w="79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Rights to Future Stock Issuances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5.1</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Right of First Offer</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5.2</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Termination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36"/>
        </w:trPr>
        <w:tc>
          <w:tcPr>
            <w:tcW w:w="68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6.</w:t>
            </w:r>
          </w:p>
        </w:tc>
        <w:tc>
          <w:tcPr>
            <w:tcW w:w="79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Information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6.1</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Delivery of Financial Statements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6.2</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Inspection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6.3</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Termination of Information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86"/>
        </w:trPr>
        <w:tc>
          <w:tcPr>
            <w:tcW w:w="680" w:type="dxa"/>
            <w:vAlign w:val="bottom"/>
          </w:tcPr>
          <w:p>
            <w:pPr>
              <w:spacing w:after="0"/>
              <w:rPr>
                <w:sz w:val="24"/>
                <w:szCs w:val="24"/>
                <w:color w:val="auto"/>
              </w:rPr>
            </w:pPr>
          </w:p>
        </w:tc>
        <w:tc>
          <w:tcPr>
            <w:tcW w:w="15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6.4</w:t>
            </w:r>
          </w:p>
        </w:tc>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Confidentiality</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bl>
    <w:p>
      <w:pPr>
        <w:sectPr>
          <w:pgSz w:w="11900" w:h="16838" w:orient="portrait"/>
          <w:cols w:equalWidth="0" w:num="1">
            <w:col w:w="11220"/>
          </w:cols>
          <w:pgMar w:left="340" w:top="1440" w:right="339" w:bottom="1440" w:gutter="0" w:footer="0" w:header="0"/>
        </w:sectPr>
      </w:pPr>
    </w:p>
    <w:bookmarkStart w:id="376" w:name="page377"/>
    <w:bookmarkEnd w:id="37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680" w:type="dxa"/>
            <w:vAlign w:val="bottom"/>
          </w:tcPr>
          <w:p>
            <w:pPr>
              <w:spacing w:after="0"/>
              <w:rPr>
                <w:sz w:val="22"/>
                <w:szCs w:val="22"/>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6.5</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Publicity</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36"/>
        </w:trPr>
        <w:tc>
          <w:tcPr>
            <w:tcW w:w="68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7.</w:t>
            </w:r>
          </w:p>
        </w:tc>
        <w:tc>
          <w:tcPr>
            <w:tcW w:w="83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Additional Covenants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7.1</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Board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7.2</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 Indemnification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7.3</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Employee Agreements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7.4</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Employee Stock</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7.5</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Lock-Up</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7.6</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Option Grants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7.7</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Insurance</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7.8</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Termination of Covenants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36"/>
        </w:trPr>
        <w:tc>
          <w:tcPr>
            <w:tcW w:w="68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8.</w:t>
            </w:r>
          </w:p>
        </w:tc>
        <w:tc>
          <w:tcPr>
            <w:tcW w:w="83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Drag Along Right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8.1</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Actions to be Taken</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8.2</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Exceptions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8.3</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Restrictions on Sales of Control of the Company</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8.4</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Term</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535"/>
        </w:trPr>
        <w:tc>
          <w:tcPr>
            <w:tcW w:w="68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w w:val="79"/>
              </w:rPr>
              <w:t>9.</w:t>
            </w: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Miscellaneous</w:t>
            </w:r>
          </w:p>
        </w:tc>
        <w:tc>
          <w:tcPr>
            <w:tcW w:w="66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Successors and Assigns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9.2</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Additional Investors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9.3</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Additional Key 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9.4</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Governing Law</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9.5</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Counterparts; Facsimile</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9.6</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Titles and Subtitles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9.7</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9.8</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Amendments and Waivers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9.9</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Severability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9.10</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Delays or Omissions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9.11</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Aggregation of Stock</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9.12</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Entire Agreement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9.13</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Legend on Share Certificates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9.14</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Splits, Stock Dividends,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9.15</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Further Assurances</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9.16</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Acknowledgment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9.17</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Spousal Consent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9.18</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and Restatement of Prior Rights Agreement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86"/>
        </w:trPr>
        <w:tc>
          <w:tcPr>
            <w:tcW w:w="680" w:type="dxa"/>
            <w:vAlign w:val="bottom"/>
          </w:tcPr>
          <w:p>
            <w:pPr>
              <w:spacing w:after="0"/>
              <w:rPr>
                <w:sz w:val="24"/>
                <w:szCs w:val="24"/>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9.19</w:t>
            </w:r>
          </w:p>
        </w:tc>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Waiver of Right of First Offer</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A - Schedule of Investors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B - Schedule of Key Holders</w:t>
      </w:r>
    </w:p>
    <w:p>
      <w:pPr>
        <w:sectPr>
          <w:pgSz w:w="11900" w:h="16838" w:orient="portrait"/>
          <w:cols w:equalWidth="0" w:num="1">
            <w:col w:w="11240"/>
          </w:cols>
          <w:pgMar w:left="320" w:top="1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1240"/>
          </w:cols>
          <w:pgMar w:left="320" w:top="1370" w:right="339" w:bottom="1440" w:gutter="0" w:footer="0" w:header="0"/>
          <w:type w:val="continuous"/>
        </w:sectPr>
      </w:pPr>
    </w:p>
    <w:bookmarkStart w:id="377" w:name="page378"/>
    <w:bookmarkEnd w:id="377"/>
    <w:p>
      <w:pPr>
        <w:ind w:left="3940"/>
        <w:spacing w:after="0"/>
        <w:rPr>
          <w:sz w:val="20"/>
          <w:szCs w:val="20"/>
          <w:color w:val="auto"/>
        </w:rPr>
      </w:pPr>
      <w:r>
        <w:rPr>
          <w:rFonts w:ascii="Times New Roman" w:cs="Times New Roman" w:eastAsia="Times New Roman" w:hAnsi="Times New Roman"/>
          <w:sz w:val="20"/>
          <w:szCs w:val="20"/>
          <w:b w:val="1"/>
          <w:bCs w:val="1"/>
          <w:color w:val="auto"/>
        </w:rPr>
        <w:t>TENTH AMENDED AND RESTATED</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INVESTORS’ RIGHTS AGREEMENT</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THIS TENTH AMENDED AND RESTATED INVESTORS' RIGHTS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as of the 16th day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February, 2021, by and among </w:t>
      </w:r>
      <w:r>
        <w:rPr>
          <w:rFonts w:ascii="Times New Roman" w:cs="Times New Roman" w:eastAsia="Times New Roman" w:hAnsi="Times New Roman"/>
          <w:sz w:val="20"/>
          <w:szCs w:val="20"/>
          <w:b w:val="1"/>
          <w:bCs w:val="1"/>
          <w:color w:val="auto"/>
        </w:rPr>
        <w:t>THREDUP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each holder of the Company’s Series A Preferred Stock listed on </w:t>
      </w:r>
      <w:r>
        <w:rPr>
          <w:rFonts w:ascii="Times New Roman" w:cs="Times New Roman" w:eastAsia="Times New Roman" w:hAnsi="Times New Roman"/>
          <w:sz w:val="20"/>
          <w:szCs w:val="20"/>
          <w:b w:val="1"/>
          <w:bCs w:val="1"/>
          <w:color w:val="auto"/>
        </w:rPr>
        <w:t>SCHEDULE A</w:t>
      </w:r>
      <w:r>
        <w:rPr>
          <w:rFonts w:ascii="Times New Roman" w:cs="Times New Roman" w:eastAsia="Times New Roman" w:hAnsi="Times New Roman"/>
          <w:sz w:val="20"/>
          <w:szCs w:val="20"/>
          <w:color w:val="auto"/>
        </w:rPr>
        <w:t xml:space="preserve"> hereto, each of which is referred to in this Agreement as a “</w:t>
      </w:r>
      <w:r>
        <w:rPr>
          <w:rFonts w:ascii="Times New Roman" w:cs="Times New Roman" w:eastAsia="Times New Roman" w:hAnsi="Times New Roman"/>
          <w:sz w:val="20"/>
          <w:szCs w:val="20"/>
          <w:b w:val="1"/>
          <w:bCs w:val="1"/>
          <w:i w:val="1"/>
          <w:iCs w:val="1"/>
          <w:color w:val="auto"/>
        </w:rPr>
        <w:t>Series A Holder</w:t>
      </w:r>
      <w:r>
        <w:rPr>
          <w:rFonts w:ascii="Times New Roman" w:cs="Times New Roman" w:eastAsia="Times New Roman" w:hAnsi="Times New Roman"/>
          <w:sz w:val="20"/>
          <w:szCs w:val="20"/>
          <w:color w:val="auto"/>
        </w:rPr>
        <w:t>,” each holder of the Company’s Series A-1 Preferred Stock listed on Schedule A hereto, each of which is referred to in this Agreement as a “</w:t>
      </w:r>
      <w:r>
        <w:rPr>
          <w:rFonts w:ascii="Times New Roman" w:cs="Times New Roman" w:eastAsia="Times New Roman" w:hAnsi="Times New Roman"/>
          <w:sz w:val="20"/>
          <w:szCs w:val="20"/>
          <w:b w:val="1"/>
          <w:bCs w:val="1"/>
          <w:i w:val="1"/>
          <w:iCs w:val="1"/>
          <w:color w:val="auto"/>
        </w:rPr>
        <w:t>Series A-1 Holder</w:t>
      </w:r>
      <w:r>
        <w:rPr>
          <w:rFonts w:ascii="Times New Roman" w:cs="Times New Roman" w:eastAsia="Times New Roman" w:hAnsi="Times New Roman"/>
          <w:sz w:val="20"/>
          <w:szCs w:val="20"/>
          <w:color w:val="auto"/>
        </w:rPr>
        <w:t xml:space="preserve">,” each holder of the Company’s Series B Preferred Stock listed on </w:t>
      </w:r>
      <w:r>
        <w:rPr>
          <w:rFonts w:ascii="Times New Roman" w:cs="Times New Roman" w:eastAsia="Times New Roman" w:hAnsi="Times New Roman"/>
          <w:sz w:val="20"/>
          <w:szCs w:val="20"/>
          <w:b w:val="1"/>
          <w:bCs w:val="1"/>
          <w:color w:val="auto"/>
        </w:rPr>
        <w:t>SCHEDULE A</w:t>
      </w:r>
      <w:r>
        <w:rPr>
          <w:rFonts w:ascii="Times New Roman" w:cs="Times New Roman" w:eastAsia="Times New Roman" w:hAnsi="Times New Roman"/>
          <w:sz w:val="20"/>
          <w:szCs w:val="20"/>
          <w:color w:val="auto"/>
        </w:rPr>
        <w:t xml:space="preserve"> hereto, each of which is referred to in this Agreement as a “</w:t>
      </w:r>
      <w:r>
        <w:rPr>
          <w:rFonts w:ascii="Times New Roman" w:cs="Times New Roman" w:eastAsia="Times New Roman" w:hAnsi="Times New Roman"/>
          <w:sz w:val="20"/>
          <w:szCs w:val="20"/>
          <w:b w:val="1"/>
          <w:bCs w:val="1"/>
          <w:i w:val="1"/>
          <w:iCs w:val="1"/>
          <w:color w:val="auto"/>
        </w:rPr>
        <w:t>Series B Holder</w:t>
      </w:r>
      <w:r>
        <w:rPr>
          <w:rFonts w:ascii="Times New Roman" w:cs="Times New Roman" w:eastAsia="Times New Roman" w:hAnsi="Times New Roman"/>
          <w:sz w:val="20"/>
          <w:szCs w:val="20"/>
          <w:color w:val="auto"/>
        </w:rPr>
        <w:t xml:space="preserve">,” each holder of the Company’s Series C Preferred Stock listed on </w:t>
      </w:r>
      <w:r>
        <w:rPr>
          <w:rFonts w:ascii="Times New Roman" w:cs="Times New Roman" w:eastAsia="Times New Roman" w:hAnsi="Times New Roman"/>
          <w:sz w:val="20"/>
          <w:szCs w:val="20"/>
          <w:b w:val="1"/>
          <w:bCs w:val="1"/>
          <w:color w:val="auto"/>
        </w:rPr>
        <w:t>SCHEDULE A</w:t>
      </w:r>
      <w:r>
        <w:rPr>
          <w:rFonts w:ascii="Times New Roman" w:cs="Times New Roman" w:eastAsia="Times New Roman" w:hAnsi="Times New Roman"/>
          <w:sz w:val="20"/>
          <w:szCs w:val="20"/>
          <w:color w:val="auto"/>
        </w:rPr>
        <w:t xml:space="preserve"> hereto, each of which is referred to in this Agreement as a “</w:t>
      </w:r>
      <w:r>
        <w:rPr>
          <w:rFonts w:ascii="Times New Roman" w:cs="Times New Roman" w:eastAsia="Times New Roman" w:hAnsi="Times New Roman"/>
          <w:sz w:val="20"/>
          <w:szCs w:val="20"/>
          <w:b w:val="1"/>
          <w:bCs w:val="1"/>
          <w:i w:val="1"/>
          <w:iCs w:val="1"/>
          <w:color w:val="auto"/>
        </w:rPr>
        <w:t>Series C Holder</w:t>
      </w:r>
      <w:r>
        <w:rPr>
          <w:rFonts w:ascii="Times New Roman" w:cs="Times New Roman" w:eastAsia="Times New Roman" w:hAnsi="Times New Roman"/>
          <w:sz w:val="20"/>
          <w:szCs w:val="20"/>
          <w:color w:val="auto"/>
        </w:rPr>
        <w:t xml:space="preserve">,” each holder of the Company’s Series D Preferred Stock listed on </w:t>
      </w:r>
      <w:r>
        <w:rPr>
          <w:rFonts w:ascii="Times New Roman" w:cs="Times New Roman" w:eastAsia="Times New Roman" w:hAnsi="Times New Roman"/>
          <w:sz w:val="20"/>
          <w:szCs w:val="20"/>
          <w:b w:val="1"/>
          <w:bCs w:val="1"/>
          <w:color w:val="auto"/>
        </w:rPr>
        <w:t>SCHEDULE A</w:t>
      </w:r>
      <w:r>
        <w:rPr>
          <w:rFonts w:ascii="Times New Roman" w:cs="Times New Roman" w:eastAsia="Times New Roman" w:hAnsi="Times New Roman"/>
          <w:sz w:val="20"/>
          <w:szCs w:val="20"/>
          <w:color w:val="auto"/>
        </w:rPr>
        <w:t xml:space="preserve"> hereto, each of which is referred to in this Agreement as a “</w:t>
      </w:r>
      <w:r>
        <w:rPr>
          <w:rFonts w:ascii="Times New Roman" w:cs="Times New Roman" w:eastAsia="Times New Roman" w:hAnsi="Times New Roman"/>
          <w:sz w:val="20"/>
          <w:szCs w:val="20"/>
          <w:b w:val="1"/>
          <w:bCs w:val="1"/>
          <w:i w:val="1"/>
          <w:iCs w:val="1"/>
          <w:color w:val="auto"/>
        </w:rPr>
        <w:t>Series D Holder</w:t>
      </w:r>
      <w:r>
        <w:rPr>
          <w:rFonts w:ascii="Times New Roman" w:cs="Times New Roman" w:eastAsia="Times New Roman" w:hAnsi="Times New Roman"/>
          <w:sz w:val="20"/>
          <w:szCs w:val="20"/>
          <w:color w:val="auto"/>
        </w:rPr>
        <w:t xml:space="preserve">,” each holder of the Company’s Series E Preferred Stock listed on </w:t>
      </w:r>
      <w:r>
        <w:rPr>
          <w:rFonts w:ascii="Times New Roman" w:cs="Times New Roman" w:eastAsia="Times New Roman" w:hAnsi="Times New Roman"/>
          <w:sz w:val="20"/>
          <w:szCs w:val="20"/>
          <w:b w:val="1"/>
          <w:bCs w:val="1"/>
          <w:color w:val="auto"/>
        </w:rPr>
        <w:t xml:space="preserve">SCHEDULE A </w:t>
      </w:r>
      <w:r>
        <w:rPr>
          <w:rFonts w:ascii="Times New Roman" w:cs="Times New Roman" w:eastAsia="Times New Roman" w:hAnsi="Times New Roman"/>
          <w:sz w:val="20"/>
          <w:szCs w:val="20"/>
          <w:color w:val="auto"/>
        </w:rPr>
        <w:t>hereto, each of which is referred to in this Agreement as a “</w:t>
      </w:r>
      <w:r>
        <w:rPr>
          <w:rFonts w:ascii="Times New Roman" w:cs="Times New Roman" w:eastAsia="Times New Roman" w:hAnsi="Times New Roman"/>
          <w:sz w:val="20"/>
          <w:szCs w:val="20"/>
          <w:b w:val="1"/>
          <w:bCs w:val="1"/>
          <w:i w:val="1"/>
          <w:iCs w:val="1"/>
          <w:color w:val="auto"/>
        </w:rPr>
        <w:t>Series E Holder</w:t>
      </w:r>
      <w:r>
        <w:rPr>
          <w:rFonts w:ascii="Times New Roman" w:cs="Times New Roman" w:eastAsia="Times New Roman" w:hAnsi="Times New Roman"/>
          <w:sz w:val="20"/>
          <w:szCs w:val="20"/>
          <w:color w:val="auto"/>
        </w:rPr>
        <w:t>,” each holder of the Company’s Series E-1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Preferred Stock listed on </w:t>
      </w:r>
      <w:r>
        <w:rPr>
          <w:rFonts w:ascii="Times New Roman" w:cs="Times New Roman" w:eastAsia="Times New Roman" w:hAnsi="Times New Roman"/>
          <w:sz w:val="20"/>
          <w:szCs w:val="20"/>
          <w:b w:val="1"/>
          <w:bCs w:val="1"/>
          <w:color w:val="auto"/>
        </w:rPr>
        <w:t>SCHEDULE A</w:t>
      </w:r>
      <w:r>
        <w:rPr>
          <w:rFonts w:ascii="Times New Roman" w:cs="Times New Roman" w:eastAsia="Times New Roman" w:hAnsi="Times New Roman"/>
          <w:sz w:val="20"/>
          <w:szCs w:val="20"/>
          <w:color w:val="auto"/>
        </w:rPr>
        <w:t xml:space="preserve"> hereto, each of which is referred to in this Agreement as a “</w:t>
      </w:r>
      <w:r>
        <w:rPr>
          <w:rFonts w:ascii="Times New Roman" w:cs="Times New Roman" w:eastAsia="Times New Roman" w:hAnsi="Times New Roman"/>
          <w:sz w:val="20"/>
          <w:szCs w:val="20"/>
          <w:b w:val="1"/>
          <w:bCs w:val="1"/>
          <w:i w:val="1"/>
          <w:iCs w:val="1"/>
          <w:color w:val="auto"/>
        </w:rPr>
        <w:t>Series E-1 Holder</w:t>
      </w:r>
      <w:r>
        <w:rPr>
          <w:rFonts w:ascii="Times New Roman" w:cs="Times New Roman" w:eastAsia="Times New Roman" w:hAnsi="Times New Roman"/>
          <w:sz w:val="20"/>
          <w:szCs w:val="20"/>
          <w:color w:val="auto"/>
        </w:rPr>
        <w:t xml:space="preserve">,” each holder of the Company’s Series F Preferred Stock listed on </w:t>
      </w:r>
      <w:r>
        <w:rPr>
          <w:rFonts w:ascii="Times New Roman" w:cs="Times New Roman" w:eastAsia="Times New Roman" w:hAnsi="Times New Roman"/>
          <w:sz w:val="20"/>
          <w:szCs w:val="20"/>
          <w:b w:val="1"/>
          <w:bCs w:val="1"/>
          <w:color w:val="auto"/>
        </w:rPr>
        <w:t>SCHEDULE A</w:t>
      </w:r>
      <w:r>
        <w:rPr>
          <w:rFonts w:ascii="Times New Roman" w:cs="Times New Roman" w:eastAsia="Times New Roman" w:hAnsi="Times New Roman"/>
          <w:sz w:val="20"/>
          <w:szCs w:val="20"/>
          <w:color w:val="auto"/>
        </w:rPr>
        <w:t xml:space="preserve"> hereto, each of which is referred to in this Agreement as a “</w:t>
      </w:r>
      <w:r>
        <w:rPr>
          <w:rFonts w:ascii="Times New Roman" w:cs="Times New Roman" w:eastAsia="Times New Roman" w:hAnsi="Times New Roman"/>
          <w:sz w:val="20"/>
          <w:szCs w:val="20"/>
          <w:b w:val="1"/>
          <w:bCs w:val="1"/>
          <w:i w:val="1"/>
          <w:iCs w:val="1"/>
          <w:color w:val="auto"/>
        </w:rPr>
        <w:t>Series F Holder</w:t>
      </w:r>
      <w:r>
        <w:rPr>
          <w:rFonts w:ascii="Times New Roman" w:cs="Times New Roman" w:eastAsia="Times New Roman" w:hAnsi="Times New Roman"/>
          <w:sz w:val="20"/>
          <w:szCs w:val="20"/>
          <w:color w:val="auto"/>
        </w:rPr>
        <w:t xml:space="preserve">,” and each of the stockholders listed on </w:t>
      </w:r>
      <w:r>
        <w:rPr>
          <w:rFonts w:ascii="Times New Roman" w:cs="Times New Roman" w:eastAsia="Times New Roman" w:hAnsi="Times New Roman"/>
          <w:sz w:val="20"/>
          <w:szCs w:val="20"/>
          <w:b w:val="1"/>
          <w:bCs w:val="1"/>
          <w:color w:val="auto"/>
        </w:rPr>
        <w:t>SCHEDULE B</w:t>
      </w:r>
      <w:r>
        <w:rPr>
          <w:rFonts w:ascii="Times New Roman" w:cs="Times New Roman" w:eastAsia="Times New Roman" w:hAnsi="Times New Roman"/>
          <w:sz w:val="20"/>
          <w:szCs w:val="20"/>
          <w:color w:val="auto"/>
        </w:rPr>
        <w:t xml:space="preserve"> hereto, each of whom is referred to herein as a “</w:t>
      </w:r>
      <w:r>
        <w:rPr>
          <w:rFonts w:ascii="Times New Roman" w:cs="Times New Roman" w:eastAsia="Times New Roman" w:hAnsi="Times New Roman"/>
          <w:sz w:val="20"/>
          <w:szCs w:val="20"/>
          <w:b w:val="1"/>
          <w:bCs w:val="1"/>
          <w:i w:val="1"/>
          <w:iCs w:val="1"/>
          <w:color w:val="auto"/>
        </w:rPr>
        <w:t>Key Holder</w:t>
      </w:r>
      <w:r>
        <w:rPr>
          <w:rFonts w:ascii="Times New Roman" w:cs="Times New Roman" w:eastAsia="Times New Roman" w:hAnsi="Times New Roman"/>
          <w:sz w:val="20"/>
          <w:szCs w:val="20"/>
          <w:color w:val="auto"/>
        </w:rPr>
        <w:t>” (as further defined below).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the Series A Holders, the Series A-1 Holders, the Series B Holders, the Series C Holders, the Series D 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Series E Holders, the Series E-1 Holders and the Series F Holders are parties to a Ninth Amended and Restated Investors’ Rights Agreement, dated December 3, 2020 (the “</w:t>
      </w:r>
      <w:r>
        <w:rPr>
          <w:rFonts w:ascii="Times New Roman" w:cs="Times New Roman" w:eastAsia="Times New Roman" w:hAnsi="Times New Roman"/>
          <w:sz w:val="20"/>
          <w:szCs w:val="20"/>
          <w:b w:val="1"/>
          <w:bCs w:val="1"/>
          <w:i w:val="1"/>
          <w:iCs w:val="1"/>
          <w:color w:val="auto"/>
        </w:rPr>
        <w:t>Prior Rights Agreement</w:t>
      </w:r>
      <w:r>
        <w:rPr>
          <w:rFonts w:ascii="Times New Roman" w:cs="Times New Roman" w:eastAsia="Times New Roman" w:hAnsi="Times New Roman"/>
          <w:sz w:val="20"/>
          <w:szCs w:val="20"/>
          <w:color w:val="auto"/>
        </w:rPr>
        <w:t>”); and</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requisite percentage of the Series A Holders, the Series A-1 Holders, the Series B Holders, the Series C Holders, the Series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 Holders, the Series E Holders, the Series E-1 Holders and the Series F Holders under the Prior Rights Agreement and the Company desire and hereby agree to amend and restate the Prior Rights Agreement and further agree that this Agreement shall govern the rights of the Investors to designate the election of certain members of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in accordance with the terms of this Agreement, to receive certain information from the Company, and to participate in future equity offerings by the Company, and shall govern certain other matters as set forth in this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hereby agree as follows:</w:t>
      </w:r>
    </w:p>
    <w:p>
      <w:pPr>
        <w:spacing w:after="0" w:line="210" w:lineRule="exact"/>
        <w:rPr>
          <w:sz w:val="20"/>
          <w:szCs w:val="20"/>
          <w:color w:val="auto"/>
        </w:rPr>
      </w:pPr>
    </w:p>
    <w:p>
      <w:pPr>
        <w:ind w:left="600" w:hanging="600"/>
        <w:spacing w:after="0"/>
        <w:tabs>
          <w:tab w:leader="none" w:pos="6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w:t>
      </w:r>
    </w:p>
    <w:p>
      <w:pPr>
        <w:spacing w:after="0" w:line="199"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9"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or other fund now or hereafter existing that is controlled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17" w:right="339" w:bottom="1440" w:gutter="0" w:footer="0" w:header="0"/>
        </w:sectPr>
      </w:pPr>
    </w:p>
    <w:bookmarkStart w:id="378" w:name="page379"/>
    <w:bookmarkEnd w:id="378"/>
    <w:p>
      <w:pPr>
        <w:spacing w:after="0" w:line="277" w:lineRule="auto"/>
        <w:rPr>
          <w:sz w:val="20"/>
          <w:szCs w:val="20"/>
          <w:color w:val="auto"/>
        </w:rPr>
      </w:pPr>
      <w:r>
        <w:rPr>
          <w:rFonts w:ascii="Times New Roman" w:cs="Times New Roman" w:eastAsia="Times New Roman" w:hAnsi="Times New Roman"/>
          <w:sz w:val="20"/>
          <w:szCs w:val="20"/>
          <w:color w:val="auto"/>
        </w:rPr>
        <w:t>one or more general partners (or member thereof) or managing members (or member thereof) of, or shares the same management company with, such Person.</w:t>
      </w:r>
    </w:p>
    <w:p>
      <w:pPr>
        <w:spacing w:after="0" w:line="135" w:lineRule="exact"/>
        <w:rPr>
          <w:sz w:val="20"/>
          <w:szCs w:val="20"/>
          <w:color w:val="auto"/>
        </w:rPr>
      </w:pPr>
    </w:p>
    <w:p>
      <w:pPr>
        <w:jc w:val="both"/>
        <w:ind w:firstLine="1194"/>
        <w:spacing w:after="0" w:line="254" w:lineRule="auto"/>
        <w:tabs>
          <w:tab w:leader="none" w:pos="1788"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means (a) shares of Common Stock and Preferred Stock (whether now outstanding or hereafter issued in any context), (b) shares of Common Stock issued or issuable upon conversion of Preferred Stock and (c) shares of Common Stock issued or issuable upon exercise or conversion, as applicable, of stock options, warrants or other convertible securities of the Company, in each case now owned or subsequently acquired by any Key Holder, any Investor, or their respective successors or permitted transferees or assigns. For purposes of the number of shares of Capital Stock held by an Investor or Key Holder (or any other calculation based thereon), all shares of Preferred Stock shall be deemed to have been converted into Common Stock at the then applicable conversion ratio.</w:t>
      </w:r>
    </w:p>
    <w:p>
      <w:pPr>
        <w:spacing w:after="0" w:line="157"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shares of the Company’s common stock, par value $0.0001 per share.</w:t>
      </w:r>
    </w:p>
    <w:p>
      <w:pPr>
        <w:spacing w:after="0" w:line="205" w:lineRule="exact"/>
        <w:rPr>
          <w:rFonts w:ascii="Times New Roman" w:cs="Times New Roman" w:eastAsia="Times New Roman" w:hAnsi="Times New Roman"/>
          <w:sz w:val="20"/>
          <w:szCs w:val="20"/>
          <w:color w:val="auto"/>
        </w:rPr>
      </w:pPr>
    </w:p>
    <w:p>
      <w:pPr>
        <w:jc w:val="both"/>
        <w:ind w:firstLine="1194"/>
        <w:spacing w:after="0" w:line="252" w:lineRule="auto"/>
        <w:tabs>
          <w:tab w:leader="none" w:pos="1788"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Damages</w:t>
      </w:r>
      <w:r>
        <w:rPr>
          <w:rFonts w:ascii="Times New Roman" w:cs="Times New Roman" w:eastAsia="Times New Roman" w:hAnsi="Times New Roman"/>
          <w:sz w:val="20"/>
          <w:szCs w:val="20"/>
          <w:color w:val="auto"/>
        </w:rPr>
        <w:t>” means any loss, damage, or liability (joint or several) to which a party hereto may become subject under the Securities Act, the Exchange Act, or other federal or state law, insofar as such loss, damage,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58"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w:t>
      </w:r>
    </w:p>
    <w:p>
      <w:pPr>
        <w:spacing w:after="0" w:line="3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77" w:lineRule="exact"/>
        <w:rPr>
          <w:rFonts w:ascii="Times New Roman" w:cs="Times New Roman" w:eastAsia="Times New Roman" w:hAnsi="Times New Roman"/>
          <w:sz w:val="20"/>
          <w:szCs w:val="20"/>
          <w:color w:val="auto"/>
        </w:rPr>
      </w:pPr>
    </w:p>
    <w:p>
      <w:pPr>
        <w:jc w:val="both"/>
        <w:ind w:firstLine="1194"/>
        <w:spacing w:after="0" w:line="255" w:lineRule="auto"/>
        <w:tabs>
          <w:tab w:leader="none" w:pos="1792"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Registration</w:t>
      </w:r>
      <w:r>
        <w:rPr>
          <w:rFonts w:ascii="Times New Roman" w:cs="Times New Roman" w:eastAsia="Times New Roman" w:hAnsi="Times New Roman"/>
          <w:sz w:val="20"/>
          <w:szCs w:val="20"/>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59" w:lineRule="exact"/>
        <w:rPr>
          <w:rFonts w:ascii="Times New Roman" w:cs="Times New Roman" w:eastAsia="Times New Roman" w:hAnsi="Times New Roman"/>
          <w:sz w:val="20"/>
          <w:szCs w:val="20"/>
          <w:color w:val="auto"/>
        </w:rPr>
      </w:pPr>
    </w:p>
    <w:p>
      <w:pPr>
        <w:ind w:firstLine="1194"/>
        <w:spacing w:after="0" w:line="283" w:lineRule="auto"/>
        <w:tabs>
          <w:tab w:leader="none" w:pos="1788"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S-1</w:t>
      </w:r>
      <w:r>
        <w:rPr>
          <w:rFonts w:ascii="Times New Roman" w:cs="Times New Roman" w:eastAsia="Times New Roman" w:hAnsi="Times New Roman"/>
          <w:sz w:val="20"/>
          <w:szCs w:val="20"/>
          <w:color w:val="auto"/>
        </w:rPr>
        <w:t>” means such form under the Securities Act as in effect on the date hereof or any successor registration form under the Securities Act subsequently adopted by the SEC.</w:t>
      </w:r>
    </w:p>
    <w:p>
      <w:pPr>
        <w:spacing w:after="0" w:line="129" w:lineRule="exact"/>
        <w:rPr>
          <w:rFonts w:ascii="Times New Roman" w:cs="Times New Roman" w:eastAsia="Times New Roman" w:hAnsi="Times New Roman"/>
          <w:sz w:val="20"/>
          <w:szCs w:val="20"/>
          <w:color w:val="auto"/>
        </w:rPr>
      </w:pPr>
    </w:p>
    <w:p>
      <w:pPr>
        <w:ind w:firstLine="1194"/>
        <w:spacing w:after="0" w:line="283" w:lineRule="auto"/>
        <w:tabs>
          <w:tab w:leader="none" w:pos="1788"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S-3</w:t>
      </w:r>
      <w:r>
        <w:rPr>
          <w:rFonts w:ascii="Times New Roman" w:cs="Times New Roman" w:eastAsia="Times New Roman" w:hAnsi="Times New Roman"/>
          <w:sz w:val="20"/>
          <w:szCs w:val="20"/>
          <w:color w:val="auto"/>
        </w:rPr>
        <w:t>” means such form under the Securities Act as in effect on the date hereof or any registration form under the Securities Act subsequently adopted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21" w:right="3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20"/>
          <w:szCs w:val="20"/>
          <w:color w:val="auto"/>
        </w:rPr>
        <w:t>that permits incorporation of substantial information by reference to other documents filed by the Company with the SEC.</w:t>
      </w:r>
    </w:p>
    <w:p>
      <w:pPr>
        <w:spacing w:after="0" w:line="200" w:lineRule="exact"/>
        <w:rPr>
          <w:sz w:val="20"/>
          <w:szCs w:val="20"/>
          <w:color w:val="auto"/>
        </w:rPr>
      </w:pPr>
    </w:p>
    <w:p>
      <w:pPr>
        <w:ind w:left="1780" w:hanging="586"/>
        <w:spacing w:after="0"/>
        <w:tabs>
          <w:tab w:leader="none" w:pos="178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means any holder of Registrable Securities who is a party to this Agreement.</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Initiating Holders</w:t>
      </w:r>
      <w:r>
        <w:rPr>
          <w:rFonts w:ascii="Times New Roman" w:cs="Times New Roman" w:eastAsia="Times New Roman" w:hAnsi="Times New Roman"/>
          <w:sz w:val="20"/>
          <w:szCs w:val="20"/>
          <w:color w:val="auto"/>
        </w:rPr>
        <w:t>” means, collectively, Holders who properly initiate a registration request under this Agreement.</w:t>
      </w:r>
    </w:p>
    <w:p>
      <w:pPr>
        <w:spacing w:after="0" w:line="205"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8"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Investors</w:t>
      </w:r>
      <w:r>
        <w:rPr>
          <w:rFonts w:ascii="Times New Roman" w:cs="Times New Roman" w:eastAsia="Times New Roman" w:hAnsi="Times New Roman"/>
          <w:sz w:val="20"/>
          <w:szCs w:val="20"/>
          <w:color w:val="auto"/>
        </w:rPr>
        <w:t xml:space="preserve">” means the persons named on </w:t>
      </w:r>
      <w:r>
        <w:rPr>
          <w:rFonts w:ascii="Times New Roman" w:cs="Times New Roman" w:eastAsia="Times New Roman" w:hAnsi="Times New Roman"/>
          <w:sz w:val="20"/>
          <w:szCs w:val="20"/>
          <w:b w:val="1"/>
          <w:bCs w:val="1"/>
          <w:color w:val="auto"/>
        </w:rPr>
        <w:t>Schedule A</w:t>
      </w:r>
      <w:r>
        <w:rPr>
          <w:rFonts w:ascii="Times New Roman" w:cs="Times New Roman" w:eastAsia="Times New Roman" w:hAnsi="Times New Roman"/>
          <w:sz w:val="20"/>
          <w:szCs w:val="20"/>
          <w:color w:val="auto"/>
        </w:rPr>
        <w:t xml:space="preserve"> hereto, each person to whom the rights of an Investor are assigned pursuant to Section 9.1 , each person who hereafter becomes a signatory to this Agreement pursuant to Section 9.2, and any one of them, as the context may require.</w:t>
      </w:r>
    </w:p>
    <w:p>
      <w:pPr>
        <w:spacing w:after="0" w:line="146"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IPO</w:t>
      </w:r>
      <w:r>
        <w:rPr>
          <w:rFonts w:ascii="Times New Roman" w:cs="Times New Roman" w:eastAsia="Times New Roman" w:hAnsi="Times New Roman"/>
          <w:sz w:val="20"/>
          <w:szCs w:val="20"/>
          <w:color w:val="auto"/>
        </w:rPr>
        <w:t>” means the Company’s first underwritten public offering of its Common Stock under the Securities Act.</w:t>
      </w:r>
    </w:p>
    <w:p>
      <w:pPr>
        <w:spacing w:after="0" w:line="205"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1"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Key Holders</w:t>
      </w:r>
      <w:r>
        <w:rPr>
          <w:rFonts w:ascii="Times New Roman" w:cs="Times New Roman" w:eastAsia="Times New Roman" w:hAnsi="Times New Roman"/>
          <w:sz w:val="20"/>
          <w:szCs w:val="20"/>
          <w:color w:val="auto"/>
        </w:rPr>
        <w:t xml:space="preserve">” means the persons named on </w:t>
      </w:r>
      <w:r>
        <w:rPr>
          <w:rFonts w:ascii="Times New Roman" w:cs="Times New Roman" w:eastAsia="Times New Roman" w:hAnsi="Times New Roman"/>
          <w:sz w:val="20"/>
          <w:szCs w:val="20"/>
          <w:b w:val="1"/>
          <w:bCs w:val="1"/>
          <w:color w:val="auto"/>
        </w:rPr>
        <w:t>Schedule B</w:t>
      </w:r>
      <w:r>
        <w:rPr>
          <w:rFonts w:ascii="Times New Roman" w:cs="Times New Roman" w:eastAsia="Times New Roman" w:hAnsi="Times New Roman"/>
          <w:sz w:val="20"/>
          <w:szCs w:val="20"/>
          <w:color w:val="auto"/>
        </w:rPr>
        <w:t xml:space="preserve"> hereto, each person to whom the rights of a Key Holder are assigned pursuant to Section 4.5, each person who hereafter becomes a signatory to this Agreement pursuant to Section 9.1 or 9.3, and any one of them, as the context may require.</w:t>
      </w:r>
    </w:p>
    <w:p>
      <w:pPr>
        <w:spacing w:after="0" w:line="146"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8"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Key Holder Registrable Securities</w:t>
      </w:r>
      <w:r>
        <w:rPr>
          <w:rFonts w:ascii="Times New Roman" w:cs="Times New Roman" w:eastAsia="Times New Roman" w:hAnsi="Times New Roman"/>
          <w:sz w:val="20"/>
          <w:szCs w:val="20"/>
          <w:color w:val="auto"/>
        </w:rPr>
        <w:t>” means (i) the shares of Common Stock held by the Key Holders, and (ii) any Common Stock issued as (or issuable upon the conversion or exercise of any warrant, right, or other security that is issued as) a dividend or other distribution with respect to, or in exchange for or in replacement of such shares.</w:t>
      </w:r>
    </w:p>
    <w:p>
      <w:pPr>
        <w:spacing w:after="0" w:line="146" w:lineRule="exact"/>
        <w:rPr>
          <w:rFonts w:ascii="Times New Roman" w:cs="Times New Roman" w:eastAsia="Times New Roman" w:hAnsi="Times New Roman"/>
          <w:sz w:val="20"/>
          <w:szCs w:val="20"/>
          <w:color w:val="auto"/>
        </w:rPr>
      </w:pPr>
    </w:p>
    <w:p>
      <w:pPr>
        <w:jc w:val="both"/>
        <w:ind w:firstLine="1194"/>
        <w:spacing w:after="0" w:line="249" w:lineRule="auto"/>
        <w:tabs>
          <w:tab w:leader="none" w:pos="1788"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Major Investor</w:t>
      </w:r>
      <w:r>
        <w:rPr>
          <w:rFonts w:ascii="Times New Roman" w:cs="Times New Roman" w:eastAsia="Times New Roman" w:hAnsi="Times New Roman"/>
          <w:sz w:val="20"/>
          <w:szCs w:val="20"/>
          <w:color w:val="auto"/>
        </w:rPr>
        <w:t xml:space="preserve">” means (i) any Series A Holder, Series A-1 Holder, Series B Holder or Series C Holder that, individually or together with such Investor’s Affiliates, holds at least 1,500,000 shares of Preferred Stock (excluding Series D Preferred Stock, Series E Preferred Stock, Series E-1 Preferred Stock, or Series F Preferred Stock) (as adjusted for any stock split, stock dividend, combination, or other recapitalization or reclassification effected after August 27, 2019), (ii) any Series D Holder that, individually or together with such Investor’s Affiliates, holds at least 2,209,163 shares of Series D Preferred Stock (as adjusted for any stock split, stock dividend, combination, or other recapitalization or reclassification effected after August 27, 2019), (iii) any Series E Holder that, individually or together with such Investor’s Affiliates, holds at least 2,588,643 shares of Series E Preferred Stock (as adjusted for any stock split, stock dividend, combination, or other recapitalization or reclassification effected after August 27, 2019), (iv) any Series E-1 Holder that, individually or together with such Investor’s Affiliates, holds at least 798,964 shares of Series E-1 Preferred Stock (as adjusted for any stock split, stock dividend, combination, or other recapitalization or reclassification effected after August 27, 2019), (v) any Series F Holder that, individually or together with such Investor’s Affiliates, holds at least 2,905,329 shares of Series F Preferred Stock (as adjusted for any stock split, stock dividend, combination, or other recapitalization or reclassification effected after August 27, 2019) and (vi) each of the Willett Investors;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Willett Investor sells or transfers any shares of Series F Preferred Stock, other than to another Willett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21" w:right="3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20"/>
          <w:szCs w:val="20"/>
          <w:color w:val="auto"/>
        </w:rPr>
        <w:t>Investor or to an Affiliate of a Willett Investor, no Willett Investor will be deemed a “Major Investor”.</w:t>
      </w:r>
    </w:p>
    <w:p>
      <w:pPr>
        <w:spacing w:after="0" w:line="200" w:lineRule="exact"/>
        <w:rPr>
          <w:sz w:val="20"/>
          <w:szCs w:val="20"/>
          <w:color w:val="auto"/>
        </w:rPr>
      </w:pPr>
    </w:p>
    <w:p>
      <w:pPr>
        <w:jc w:val="both"/>
        <w:ind w:firstLine="1194"/>
        <w:spacing w:after="0" w:line="265" w:lineRule="auto"/>
        <w:tabs>
          <w:tab w:leader="none" w:pos="1788"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New Securities</w:t>
      </w:r>
      <w:r>
        <w:rPr>
          <w:rFonts w:ascii="Times New Roman" w:cs="Times New Roman" w:eastAsia="Times New Roman" w:hAnsi="Times New Roman"/>
          <w:sz w:val="20"/>
          <w:szCs w:val="20"/>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46"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individual, corporation, partnership, trust, limited liability company, association or other entity.</w:t>
      </w:r>
    </w:p>
    <w:p>
      <w:pPr>
        <w:spacing w:after="0" w:line="205" w:lineRule="exact"/>
        <w:rPr>
          <w:rFonts w:ascii="Times New Roman" w:cs="Times New Roman" w:eastAsia="Times New Roman" w:hAnsi="Times New Roman"/>
          <w:sz w:val="20"/>
          <w:szCs w:val="20"/>
          <w:color w:val="auto"/>
        </w:rPr>
      </w:pPr>
    </w:p>
    <w:p>
      <w:pPr>
        <w:ind w:left="1800" w:hanging="606"/>
        <w:spacing w:after="0"/>
        <w:tabs>
          <w:tab w:leader="none" w:pos="180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Directors</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18"/>
          <w:szCs w:val="18"/>
          <w:color w:val="auto"/>
        </w:rPr>
        <w:t>Upfront Designee, Highland Designee, Redpoint Designee and the Trinity Designee.</w:t>
      </w:r>
    </w:p>
    <w:p>
      <w:pPr>
        <w:spacing w:after="0" w:line="205"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9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means, collectively, the Series A Preferred Stock, the Series A-1 Preferred Stock, the Series B Preferred Stock, the Series C Preferred Stock, Series D Preferred Stock, the Series E Preferred Stock, the Series E-1 Preferred Stock and the Series F Preferred Stock.</w:t>
      </w:r>
    </w:p>
    <w:p>
      <w:pPr>
        <w:spacing w:after="0" w:line="146"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Proxy</w:t>
      </w:r>
      <w:r>
        <w:rPr>
          <w:rFonts w:ascii="Times New Roman" w:cs="Times New Roman" w:eastAsia="Times New Roman" w:hAnsi="Times New Roman"/>
          <w:sz w:val="20"/>
          <w:szCs w:val="20"/>
          <w:color w:val="auto"/>
        </w:rPr>
        <w:t>” shall have the meaning set forth in Section 3.6.</w:t>
      </w:r>
    </w:p>
    <w:p>
      <w:pPr>
        <w:spacing w:after="0" w:line="205" w:lineRule="exact"/>
        <w:rPr>
          <w:rFonts w:ascii="Times New Roman" w:cs="Times New Roman" w:eastAsia="Times New Roman" w:hAnsi="Times New Roman"/>
          <w:sz w:val="20"/>
          <w:szCs w:val="20"/>
          <w:color w:val="auto"/>
        </w:rPr>
      </w:pPr>
    </w:p>
    <w:p>
      <w:pPr>
        <w:ind w:firstLine="1194"/>
        <w:spacing w:after="0" w:line="283" w:lineRule="auto"/>
        <w:tabs>
          <w:tab w:leader="none" w:pos="1788"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QPO</w:t>
      </w:r>
      <w:r>
        <w:rPr>
          <w:rFonts w:ascii="Times New Roman" w:cs="Times New Roman" w:eastAsia="Times New Roman" w:hAnsi="Times New Roman"/>
          <w:sz w:val="20"/>
          <w:szCs w:val="20"/>
          <w:color w:val="auto"/>
        </w:rPr>
        <w:t>” means the closing of a firm commitment underwritten public offering under the Securities Act of the Common Stock in connection with which all shares of Preferred Stock are converted to Common Stock.</w:t>
      </w:r>
    </w:p>
    <w:p>
      <w:pPr>
        <w:spacing w:after="0" w:line="129" w:lineRule="exact"/>
        <w:rPr>
          <w:rFonts w:ascii="Times New Roman" w:cs="Times New Roman" w:eastAsia="Times New Roman" w:hAnsi="Times New Roman"/>
          <w:sz w:val="20"/>
          <w:szCs w:val="20"/>
          <w:color w:val="auto"/>
        </w:rPr>
      </w:pPr>
    </w:p>
    <w:p>
      <w:pPr>
        <w:jc w:val="both"/>
        <w:ind w:firstLine="1194"/>
        <w:spacing w:after="0" w:line="251" w:lineRule="auto"/>
        <w:tabs>
          <w:tab w:leader="none" w:pos="1788"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Registrable Securities</w:t>
      </w:r>
      <w:r>
        <w:rPr>
          <w:rFonts w:ascii="Times New Roman" w:cs="Times New Roman" w:eastAsia="Times New Roman" w:hAnsi="Times New Roman"/>
          <w:sz w:val="20"/>
          <w:szCs w:val="20"/>
          <w:color w:val="auto"/>
        </w:rPr>
        <w:t xml:space="preserve">” means (i) the Common Stock issuable or issued upon conversion of the Preferred Stock; (ii) any Common Stock, or any Common Stock issued or issuable (directly or indirectly) upon conversion and/or exercise of any other securities of the Company, acquired by the Investors after August 27, 2019; (iii) the Key Holder Registrable Securities,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Key Holder Registrable Securities shall not be deemed Registrable Securities and the Key Holders shall not be deemed Holders for the purposes of Sections 2.1, 2.11, and 5.1; and (iv) any Common Stock issued as (or issuable upon the conversion or exercise of any warrant, right, or other security that is issued as) a dividend or other distribution with respect to, or in exchange for or in replacement of, the shares referenced in clauses (i), (ii) and (iii) above; excluding in all cases, however, any Registrable Securities sold by a Person in a transaction in which the applicable rights under this Agreement are not assigned pursuant to Section 9.1, and excluding for purposes of Section 2 any shares for which registration rights have terminated pursuant to Section 2.11 of this Agreement.</w:t>
      </w:r>
    </w:p>
    <w:p>
      <w:pPr>
        <w:spacing w:after="0" w:line="162"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2"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Registrable Securities then outstanding</w:t>
      </w:r>
      <w:r>
        <w:rPr>
          <w:rFonts w:ascii="Times New Roman" w:cs="Times New Roman" w:eastAsia="Times New Roman" w:hAnsi="Times New Roman"/>
          <w:sz w:val="20"/>
          <w:szCs w:val="20"/>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46" w:lineRule="exact"/>
        <w:rPr>
          <w:rFonts w:ascii="Times New Roman" w:cs="Times New Roman" w:eastAsia="Times New Roman" w:hAnsi="Times New Roman"/>
          <w:sz w:val="20"/>
          <w:szCs w:val="20"/>
          <w:color w:val="auto"/>
        </w:rPr>
      </w:pPr>
    </w:p>
    <w:p>
      <w:pPr>
        <w:ind w:firstLine="1194"/>
        <w:spacing w:after="0" w:line="283" w:lineRule="auto"/>
        <w:tabs>
          <w:tab w:leader="none" w:pos="1788"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Restated Certificate</w:t>
      </w:r>
      <w:r>
        <w:rPr>
          <w:rFonts w:ascii="Times New Roman" w:cs="Times New Roman" w:eastAsia="Times New Roman" w:hAnsi="Times New Roman"/>
          <w:sz w:val="20"/>
          <w:szCs w:val="20"/>
          <w:color w:val="auto"/>
        </w:rPr>
        <w:t>” means the Company’s Eighth Amended and Restated Certificate of Incorporation, as the same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21" w:right="339" w:bottom="1440" w:gutter="0" w:footer="0" w:header="0"/>
        </w:sectPr>
      </w:pPr>
    </w:p>
    <w:bookmarkStart w:id="381" w:name="page382"/>
    <w:bookmarkEnd w:id="381"/>
    <w:p>
      <w:pPr>
        <w:ind w:left="1200"/>
        <w:spacing w:after="0"/>
        <w:tabs>
          <w:tab w:leader="none" w:pos="1760" w:val="left"/>
        </w:tabs>
        <w:rPr>
          <w:sz w:val="20"/>
          <w:szCs w:val="20"/>
          <w:color w:val="auto"/>
        </w:rPr>
      </w:pPr>
      <w:r>
        <w:rPr>
          <w:rFonts w:ascii="Times New Roman" w:cs="Times New Roman" w:eastAsia="Times New Roman" w:hAnsi="Times New Roman"/>
          <w:sz w:val="20"/>
          <w:szCs w:val="20"/>
          <w:color w:val="auto"/>
        </w:rPr>
        <w:t>(y)</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Securities</w:t>
      </w:r>
      <w:r>
        <w:rPr>
          <w:rFonts w:ascii="Times New Roman" w:cs="Times New Roman" w:eastAsia="Times New Roman" w:hAnsi="Times New Roman"/>
          <w:sz w:val="20"/>
          <w:szCs w:val="20"/>
          <w:color w:val="auto"/>
        </w:rPr>
        <w:t>” means the securities of the Company required to bear the legend set forth in Section 9.13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178" w:lineRule="exact"/>
        <w:rPr>
          <w:sz w:val="20"/>
          <w:szCs w:val="20"/>
          <w:color w:val="auto"/>
        </w:rPr>
      </w:pPr>
    </w:p>
    <w:p>
      <w:pPr>
        <w:ind w:left="1780" w:hanging="586"/>
        <w:spacing w:after="0"/>
        <w:tabs>
          <w:tab w:leader="none" w:pos="178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Securities and Exchange Commission.</w:t>
      </w:r>
    </w:p>
    <w:p>
      <w:pPr>
        <w:spacing w:after="0" w:line="206" w:lineRule="exact"/>
        <w:rPr>
          <w:sz w:val="20"/>
          <w:szCs w:val="20"/>
          <w:color w:val="auto"/>
        </w:rPr>
      </w:pPr>
    </w:p>
    <w:p>
      <w:pPr>
        <w:ind w:left="1780" w:hanging="586"/>
        <w:spacing w:after="0"/>
        <w:tabs>
          <w:tab w:leader="none" w:pos="178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 Rule 144</w:t>
      </w:r>
      <w:r>
        <w:rPr>
          <w:rFonts w:ascii="Times New Roman" w:cs="Times New Roman" w:eastAsia="Times New Roman" w:hAnsi="Times New Roman"/>
          <w:sz w:val="20"/>
          <w:szCs w:val="20"/>
          <w:color w:val="auto"/>
        </w:rPr>
        <w:t>” means Rule 144 promulgated by the SEC under the Securities Act.</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 Rule 145</w:t>
      </w:r>
      <w:r>
        <w:rPr>
          <w:rFonts w:ascii="Times New Roman" w:cs="Times New Roman" w:eastAsia="Times New Roman" w:hAnsi="Times New Roman"/>
          <w:sz w:val="20"/>
          <w:szCs w:val="20"/>
          <w:color w:val="auto"/>
        </w:rPr>
        <w:t>” means Rule 145 promulgated by the SEC under the Securities Act.</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 and the rules and regulations promulgated thereunder.</w:t>
      </w:r>
    </w:p>
    <w:p>
      <w:pPr>
        <w:spacing w:after="0" w:line="217" w:lineRule="exact"/>
        <w:rPr>
          <w:rFonts w:ascii="Times New Roman" w:cs="Times New Roman" w:eastAsia="Times New Roman" w:hAnsi="Times New Roman"/>
          <w:sz w:val="19"/>
          <w:szCs w:val="19"/>
          <w:color w:val="auto"/>
        </w:rPr>
      </w:pPr>
    </w:p>
    <w:p>
      <w:pPr>
        <w:jc w:val="both"/>
        <w:ind w:firstLine="1194"/>
        <w:spacing w:after="0" w:line="265" w:lineRule="auto"/>
        <w:tabs>
          <w:tab w:leader="none" w:pos="1788"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Selling Expenses</w:t>
      </w:r>
      <w:r>
        <w:rPr>
          <w:rFonts w:ascii="Times New Roman" w:cs="Times New Roman" w:eastAsia="Times New Roman" w:hAnsi="Times New Roman"/>
          <w:sz w:val="20"/>
          <w:szCs w:val="20"/>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Section 2.6.</w:t>
      </w:r>
    </w:p>
    <w:p>
      <w:pPr>
        <w:spacing w:after="0" w:line="146"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A Preferred Stock</w:t>
      </w:r>
      <w:r>
        <w:rPr>
          <w:rFonts w:ascii="Times New Roman" w:cs="Times New Roman" w:eastAsia="Times New Roman" w:hAnsi="Times New Roman"/>
          <w:sz w:val="20"/>
          <w:szCs w:val="20"/>
          <w:color w:val="auto"/>
        </w:rPr>
        <w:t>” means shares of the Company’s Series A Preferred Stock, par value $0.0001 per share.</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A-1 Preferred Stock</w:t>
      </w:r>
      <w:r>
        <w:rPr>
          <w:rFonts w:ascii="Times New Roman" w:cs="Times New Roman" w:eastAsia="Times New Roman" w:hAnsi="Times New Roman"/>
          <w:sz w:val="20"/>
          <w:szCs w:val="20"/>
          <w:color w:val="auto"/>
        </w:rPr>
        <w:t>” means shares of the Company’s Series A-1 Preferred Stock, par value $0.0001 per</w:t>
      </w:r>
    </w:p>
    <w:p>
      <w:pPr>
        <w:spacing w:after="0" w:line="3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w:t>
      </w:r>
    </w:p>
    <w:p>
      <w:pPr>
        <w:spacing w:after="0" w:line="177"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B Preferred Stock</w:t>
      </w:r>
      <w:r>
        <w:rPr>
          <w:rFonts w:ascii="Times New Roman" w:cs="Times New Roman" w:eastAsia="Times New Roman" w:hAnsi="Times New Roman"/>
          <w:sz w:val="20"/>
          <w:szCs w:val="20"/>
          <w:color w:val="auto"/>
        </w:rPr>
        <w:t>” means shares of the Company’s Series B Preferred Stock, par value $0.0001 per share.</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C Preferred Stock</w:t>
      </w:r>
      <w:r>
        <w:rPr>
          <w:rFonts w:ascii="Times New Roman" w:cs="Times New Roman" w:eastAsia="Times New Roman" w:hAnsi="Times New Roman"/>
          <w:sz w:val="20"/>
          <w:szCs w:val="20"/>
          <w:color w:val="auto"/>
        </w:rPr>
        <w:t>” means shares of the Company’s Series C Preferred Stock, par value $0.0001 per share.</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D Preferred Stock</w:t>
      </w:r>
      <w:r>
        <w:rPr>
          <w:rFonts w:ascii="Times New Roman" w:cs="Times New Roman" w:eastAsia="Times New Roman" w:hAnsi="Times New Roman"/>
          <w:sz w:val="20"/>
          <w:szCs w:val="20"/>
          <w:color w:val="auto"/>
        </w:rPr>
        <w:t>” means shares of the Company’s Series D Preferred Stock, par value $0.0001 per share.</w:t>
      </w:r>
    </w:p>
    <w:p>
      <w:pPr>
        <w:spacing w:after="0" w:line="205" w:lineRule="exact"/>
        <w:rPr>
          <w:rFonts w:ascii="Times New Roman" w:cs="Times New Roman" w:eastAsia="Times New Roman" w:hAnsi="Times New Roman"/>
          <w:sz w:val="20"/>
          <w:szCs w:val="20"/>
          <w:color w:val="auto"/>
        </w:rPr>
      </w:pPr>
    </w:p>
    <w:p>
      <w:pPr>
        <w:ind w:left="1840" w:hanging="646"/>
        <w:spacing w:after="0"/>
        <w:tabs>
          <w:tab w:leader="none" w:pos="184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E Preferred Stock</w:t>
      </w:r>
      <w:r>
        <w:rPr>
          <w:rFonts w:ascii="Times New Roman" w:cs="Times New Roman" w:eastAsia="Times New Roman" w:hAnsi="Times New Roman"/>
          <w:sz w:val="20"/>
          <w:szCs w:val="20"/>
          <w:color w:val="auto"/>
        </w:rPr>
        <w:t>” means shares of the Company’s Series E Preferred Stock, par value $0.0001 per share.</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Series E-1 Preferred Stock</w:t>
      </w:r>
      <w:r>
        <w:rPr>
          <w:rFonts w:ascii="Times New Roman" w:cs="Times New Roman" w:eastAsia="Times New Roman" w:hAnsi="Times New Roman"/>
          <w:sz w:val="19"/>
          <w:szCs w:val="19"/>
          <w:color w:val="auto"/>
        </w:rPr>
        <w:t>” means shares of the Company’s Series E-1 Preferred Stock, par value $0.0001 per share.</w:t>
      </w:r>
    </w:p>
    <w:p>
      <w:pPr>
        <w:spacing w:after="0" w:line="217" w:lineRule="exact"/>
        <w:rPr>
          <w:rFonts w:ascii="Times New Roman" w:cs="Times New Roman" w:eastAsia="Times New Roman" w:hAnsi="Times New Roman"/>
          <w:sz w:val="19"/>
          <w:szCs w:val="19"/>
          <w:color w:val="auto"/>
        </w:rPr>
      </w:pPr>
    </w:p>
    <w:p>
      <w:pPr>
        <w:ind w:left="1780" w:hanging="586"/>
        <w:spacing w:after="0"/>
        <w:tabs>
          <w:tab w:leader="none" w:pos="178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F Preferred Stock</w:t>
      </w:r>
      <w:r>
        <w:rPr>
          <w:rFonts w:ascii="Times New Roman" w:cs="Times New Roman" w:eastAsia="Times New Roman" w:hAnsi="Times New Roman"/>
          <w:sz w:val="20"/>
          <w:szCs w:val="20"/>
          <w:color w:val="auto"/>
        </w:rPr>
        <w:t>” shall have the meaning set forth in the preamble.</w:t>
      </w:r>
    </w:p>
    <w:p>
      <w:pPr>
        <w:spacing w:after="0" w:line="205"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6"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means any securities of the Company, the holders of which are entitled to vote for members of the Board, including without limitation, all shares of Common Stock, Series A Preferred Stock, Series A-1 Preferred Stock, Series B Preferred Stock, Series C Preferred Stock, Series D Preferred Stock, Series E Preferred Stock, Series E-1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15" w:right="339" w:bottom="1440" w:gutter="0" w:footer="0" w:header="0"/>
        </w:sectPr>
      </w:pPr>
    </w:p>
    <w:bookmarkStart w:id="382" w:name="page383"/>
    <w:bookmarkEnd w:id="382"/>
    <w:p>
      <w:pPr>
        <w:spacing w:after="0" w:line="277" w:lineRule="auto"/>
        <w:rPr>
          <w:sz w:val="20"/>
          <w:szCs w:val="20"/>
          <w:color w:val="auto"/>
        </w:rPr>
      </w:pPr>
      <w:r>
        <w:rPr>
          <w:rFonts w:ascii="Times New Roman" w:cs="Times New Roman" w:eastAsia="Times New Roman" w:hAnsi="Times New Roman"/>
          <w:sz w:val="20"/>
          <w:szCs w:val="20"/>
          <w:color w:val="auto"/>
        </w:rPr>
        <w:t>and Series F Preferred Stock by whatever name called, now owned or subsequently acquired by a Stockholder, however acquired, whether through stock splits, stock dividends, reclassifications, recapitalizations, similar events or otherwise.</w:t>
      </w:r>
    </w:p>
    <w:p>
      <w:pPr>
        <w:spacing w:after="0" w:line="135" w:lineRule="exact"/>
        <w:rPr>
          <w:sz w:val="20"/>
          <w:szCs w:val="20"/>
          <w:color w:val="auto"/>
        </w:rPr>
      </w:pPr>
    </w:p>
    <w:p>
      <w:pPr>
        <w:ind w:left="1780" w:hanging="586"/>
        <w:spacing w:after="0"/>
        <w:tabs>
          <w:tab w:leader="none" w:pos="1780"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Stockholders</w:t>
      </w:r>
      <w:r>
        <w:rPr>
          <w:rFonts w:ascii="Times New Roman" w:cs="Times New Roman" w:eastAsia="Times New Roman" w:hAnsi="Times New Roman"/>
          <w:sz w:val="20"/>
          <w:szCs w:val="20"/>
          <w:color w:val="auto"/>
        </w:rPr>
        <w:t>” means the Investors and the Key Holders.</w:t>
      </w:r>
    </w:p>
    <w:p>
      <w:pPr>
        <w:spacing w:after="0" w:line="205" w:lineRule="exact"/>
        <w:rPr>
          <w:rFonts w:ascii="Times New Roman" w:cs="Times New Roman" w:eastAsia="Times New Roman" w:hAnsi="Times New Roman"/>
          <w:sz w:val="20"/>
          <w:szCs w:val="20"/>
          <w:color w:val="auto"/>
        </w:rPr>
      </w:pPr>
    </w:p>
    <w:p>
      <w:pPr>
        <w:jc w:val="both"/>
        <w:ind w:firstLine="1194"/>
        <w:spacing w:after="0" w:line="285" w:lineRule="auto"/>
        <w:tabs>
          <w:tab w:leader="none" w:pos="1788" w:val="left"/>
        </w:tabs>
        <w:numPr>
          <w:ilvl w:val="1"/>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Willett Investors</w:t>
      </w:r>
      <w:r>
        <w:rPr>
          <w:rFonts w:ascii="Times New Roman" w:cs="Times New Roman" w:eastAsia="Times New Roman" w:hAnsi="Times New Roman"/>
          <w:sz w:val="19"/>
          <w:szCs w:val="19"/>
          <w:color w:val="auto"/>
        </w:rPr>
        <w:t>” means each of (i) 113011 Investment Holdings LLC provided that it holds at least 2,026,396 shares of Series F Preferred and (ii) 63019 Holdings LLC, provided that it holds at least 344,487 shares of Series F Preferred Stock (in each case, as adjusted for any stock split, stock dividend, combination, or other recapitalization or reclassification effected after August 27, 2019).</w:t>
      </w:r>
    </w:p>
    <w:p>
      <w:pPr>
        <w:spacing w:after="0" w:line="132" w:lineRule="exact"/>
        <w:rPr>
          <w:rFonts w:ascii="Times New Roman" w:cs="Times New Roman" w:eastAsia="Times New Roman" w:hAnsi="Times New Roman"/>
          <w:sz w:val="19"/>
          <w:szCs w:val="19"/>
          <w:color w:val="auto"/>
        </w:rPr>
      </w:pPr>
    </w:p>
    <w:p>
      <w:pPr>
        <w:ind w:left="600" w:hanging="600"/>
        <w:spacing w:after="0"/>
        <w:tabs>
          <w:tab w:leader="none" w:pos="60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covenants and agrees as follows:</w:t>
      </w:r>
    </w:p>
    <w:p>
      <w:pPr>
        <w:spacing w:after="0" w:line="209"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Demand Registration</w:t>
      </w:r>
    </w:p>
    <w:p>
      <w:pPr>
        <w:spacing w:after="0" w:line="199" w:lineRule="exact"/>
        <w:rPr>
          <w:rFonts w:ascii="Times New Roman" w:cs="Times New Roman" w:eastAsia="Times New Roman" w:hAnsi="Times New Roman"/>
          <w:sz w:val="20"/>
          <w:szCs w:val="20"/>
          <w:color w:val="auto"/>
        </w:rPr>
      </w:pPr>
    </w:p>
    <w:p>
      <w:pPr>
        <w:jc w:val="both"/>
        <w:ind w:firstLine="1194"/>
        <w:spacing w:after="0" w:line="251" w:lineRule="auto"/>
        <w:tabs>
          <w:tab w:leader="none" w:pos="1789"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Form S-1 Demand</w:t>
      </w:r>
      <w:r>
        <w:rPr>
          <w:rFonts w:ascii="Times New Roman" w:cs="Times New Roman" w:eastAsia="Times New Roman" w:hAnsi="Times New Roman"/>
          <w:sz w:val="20"/>
          <w:szCs w:val="20"/>
          <w:color w:val="auto"/>
        </w:rPr>
        <w:t>. If at any time after one hundred eighty (180) days after the effective date of the registration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statement for the IPO, the Company receives a request from Holders of at least thirty percent (30%) of the Registrable Securities then outstanding and held by Investors that the Company file a Form S-1 registration statement with respect to the Registrable Securities then outstanding, then the Company shall (i) within fifteen (15) days after the date such request is given, give notice thereof (the “</w:t>
      </w:r>
      <w:r>
        <w:rPr>
          <w:rFonts w:ascii="Times New Roman" w:cs="Times New Roman" w:eastAsia="Times New Roman" w:hAnsi="Times New Roman"/>
          <w:sz w:val="20"/>
          <w:szCs w:val="20"/>
          <w:b w:val="1"/>
          <w:bCs w:val="1"/>
          <w:i w:val="1"/>
          <w:iCs w:val="1"/>
          <w:color w:val="auto"/>
        </w:rPr>
        <w:t>Demand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to all Holders other than the Initiating Holders; and (ii) as soon as practicable, and in any event within ninety (90) days after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Section 2.1(c) and Section 2.1(d).</w:t>
      </w:r>
    </w:p>
    <w:p>
      <w:pPr>
        <w:spacing w:after="0" w:line="162" w:lineRule="exact"/>
        <w:rPr>
          <w:rFonts w:ascii="Times New Roman" w:cs="Times New Roman" w:eastAsia="Times New Roman" w:hAnsi="Times New Roman"/>
          <w:sz w:val="20"/>
          <w:szCs w:val="20"/>
          <w:color w:val="auto"/>
        </w:rPr>
      </w:pPr>
    </w:p>
    <w:p>
      <w:pPr>
        <w:jc w:val="both"/>
        <w:ind w:firstLine="1194"/>
        <w:spacing w:after="0" w:line="252" w:lineRule="auto"/>
        <w:tabs>
          <w:tab w:leader="none" w:pos="1788"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Form S-3 Demand</w:t>
      </w:r>
      <w:r>
        <w:rPr>
          <w:rFonts w:ascii="Times New Roman" w:cs="Times New Roman" w:eastAsia="Times New Roman" w:hAnsi="Times New Roman"/>
          <w:sz w:val="20"/>
          <w:szCs w:val="20"/>
          <w:color w:val="auto"/>
        </w:rPr>
        <w:t>. If at any time when it is eligible to use a Form S-3 registration statement, the Company receives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request from Holders of at least ten percent (10%) of the Registrable Securities then outstanding that the Company file a Form S-3 registration statement with respect to outstanding Registrable Securities of such Holders having an anticipated aggregate offering price of at least $1 million, then the Company shall (i) within fifteen (15) days after the date such request is given, give a Demand Notice to all Holders other than the Initiating Holders; and (ii) as soon as practicable, and in any event within sixty (60)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Section 2.1(c) and Section 2.1(d).</w:t>
      </w:r>
    </w:p>
    <w:p>
      <w:pPr>
        <w:spacing w:after="0" w:line="158"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9"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Blackout Periods</w:t>
      </w:r>
      <w:r>
        <w:rPr>
          <w:rFonts w:ascii="Times New Roman" w:cs="Times New Roman" w:eastAsia="Times New Roman" w:hAnsi="Times New Roman"/>
          <w:sz w:val="20"/>
          <w:szCs w:val="20"/>
          <w:color w:val="auto"/>
        </w:rPr>
        <w:t>. Notwithstanding the foregoing obligations, if the Company furnishes to Holders requesting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registration pursuant to this Section 2.1 a certificate signed by the Company’s Chief Executive Officer stating that in the good faith judgment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21" w:right="339" w:bottom="1440" w:gutter="0" w:footer="0" w:header="0"/>
        </w:sectPr>
      </w:pPr>
    </w:p>
    <w:bookmarkStart w:id="383" w:name="page384"/>
    <w:bookmarkEnd w:id="383"/>
    <w:p>
      <w:pPr>
        <w:spacing w:after="0" w:line="258" w:lineRule="auto"/>
        <w:rPr>
          <w:sz w:val="20"/>
          <w:szCs w:val="20"/>
          <w:color w:val="auto"/>
        </w:rPr>
      </w:pPr>
      <w:r>
        <w:rPr>
          <w:rFonts w:ascii="Times New Roman" w:cs="Times New Roman" w:eastAsia="Times New Roman" w:hAnsi="Times New Roman"/>
          <w:sz w:val="20"/>
          <w:szCs w:val="20"/>
          <w:color w:val="auto"/>
        </w:rPr>
        <w:t>Board it would be materially detrimental to the Company and its stockholders for such registration statement to either become effective or remain effective for as long as such registration statement otherwise would be required to remain effective, because such action would</w:t>
      </w:r>
    </w:p>
    <w:p>
      <w:pPr>
        <w:ind w:left="300" w:hanging="300"/>
        <w:spacing w:after="0"/>
        <w:tabs>
          <w:tab w:leader="none" w:pos="30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interfere with a significant acquisition, corporate reorganization, or other similar transaction involving the Company;</w:t>
      </w:r>
    </w:p>
    <w:p>
      <w:pPr>
        <w:spacing w:after="0" w:line="6" w:lineRule="exact"/>
        <w:rPr>
          <w:rFonts w:ascii="Times New Roman" w:cs="Times New Roman" w:eastAsia="Times New Roman" w:hAnsi="Times New Roman"/>
          <w:sz w:val="20"/>
          <w:szCs w:val="20"/>
          <w:color w:val="auto"/>
        </w:rPr>
      </w:pPr>
    </w:p>
    <w:p>
      <w:pPr>
        <w:jc w:val="both"/>
        <w:spacing w:after="0" w:line="248" w:lineRule="auto"/>
        <w:tabs>
          <w:tab w:leader="none" w:pos="304"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may not invoke this right more than twice in any twelve (12) month period; and</w:t>
      </w:r>
      <w:r>
        <w:rPr>
          <w:rFonts w:ascii="Times New Roman" w:cs="Times New Roman" w:eastAsia="Times New Roman" w:hAnsi="Times New Roman"/>
          <w:sz w:val="20"/>
          <w:szCs w:val="20"/>
          <w:i w:val="1"/>
          <w:iCs w:val="1"/>
          <w:color w:val="auto"/>
        </w:rPr>
        <w:t xml:space="preserve"> provided further </w:t>
      </w:r>
      <w:r>
        <w:rPr>
          <w:rFonts w:ascii="Times New Roman" w:cs="Times New Roman" w:eastAsia="Times New Roman" w:hAnsi="Times New Roman"/>
          <w:sz w:val="20"/>
          <w:szCs w:val="20"/>
          <w:color w:val="auto"/>
        </w:rPr>
        <w:t>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shall not register any securities for its own account or that of any other stockholder during such one hundred twenty (120) day period other than an Excluded Registration.</w:t>
      </w:r>
    </w:p>
    <w:p>
      <w:pPr>
        <w:spacing w:after="0" w:line="162" w:lineRule="exact"/>
        <w:rPr>
          <w:rFonts w:ascii="Times New Roman" w:cs="Times New Roman" w:eastAsia="Times New Roman" w:hAnsi="Times New Roman"/>
          <w:sz w:val="20"/>
          <w:szCs w:val="20"/>
          <w:color w:val="auto"/>
        </w:rPr>
      </w:pPr>
    </w:p>
    <w:p>
      <w:pPr>
        <w:jc w:val="both"/>
        <w:ind w:firstLine="1194"/>
        <w:spacing w:after="0" w:line="249" w:lineRule="auto"/>
        <w:tabs>
          <w:tab w:leader="none" w:pos="1788"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Limitations</w:t>
      </w:r>
      <w:r>
        <w:rPr>
          <w:rFonts w:ascii="Times New Roman" w:cs="Times New Roman" w:eastAsia="Times New Roman" w:hAnsi="Times New Roman"/>
          <w:sz w:val="20"/>
          <w:szCs w:val="20"/>
          <w:color w:val="auto"/>
        </w:rPr>
        <w:t>. The Company shall not be obligated to effect, or to take any action to effect, any registration pursuant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Section 2.1(a) (i) during the period that is ninety (90) days before the Company’s good faith estimate of the date of filing of, and ending on a date that is one hundred eighty (180) days after the effective date of, a Company-initiated registration,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is actively employing in good faith commercially reasonable efforts to cause such registration statement to become effective; (ii) after the Company has effected two registrations pursuant to Section 2.1(a); or (iii) if the Initiating Holders propose to dispose of shares of Registrable Securities that may be immediately registered on Form S-3 pursuant to a request made pursuant to Section 2.1(b). The Company shall not be obligated to effect, or to take any action to effect, any registration pursuant to Section 2.1(b) (i) during the period that is sixty (60) days before the Company’s good faith estimate of the date of filing of, and ending on a date that is one hundred eighty (180) days after the effective date of, a Company-initiated registration,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Company is actively employing in good faith commercially reasonable efforts to cause such registration statement to become effective; or (ii) if the Company has effected two registrations pursuant to Section 2.1(b) within the twelve (12) month period immediately preceding the date of such request. A registration shall not be counted as “effected” for purposes of this Section 2.1(d) until such time as the applicable registration statement has been declared effective by the SEC, unless the Initiating Holders withdraw their request for such registration (except for a MAC Withdrawal (as defined below)), elect not to pay the registration expenses therefor, and forfeit their right to one demand registration statement pursuant to Section 2.6, in which case such withdrawn registration statement shall be counted as “effected” for purposes of this Section 2.1(d).</w:t>
      </w:r>
    </w:p>
    <w:p>
      <w:pPr>
        <w:spacing w:after="0" w:line="172"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Company Registration</w:t>
      </w:r>
      <w:r>
        <w:rPr>
          <w:rFonts w:ascii="Times New Roman" w:cs="Times New Roman" w:eastAsia="Times New Roman" w:hAnsi="Times New Roman"/>
          <w:sz w:val="20"/>
          <w:szCs w:val="20"/>
          <w:color w:val="auto"/>
        </w:rPr>
        <w:t>.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Section 2.3, cause to be registered all of the Registrable Securities that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21" w:right="339" w:bottom="1440" w:gutter="0" w:footer="0" w:header="0"/>
        </w:sectPr>
      </w:pPr>
    </w:p>
    <w:bookmarkStart w:id="384" w:name="page385"/>
    <w:bookmarkEnd w:id="384"/>
    <w:p>
      <w:pPr>
        <w:jc w:val="both"/>
        <w:spacing w:after="0" w:line="256" w:lineRule="auto"/>
        <w:rPr>
          <w:sz w:val="20"/>
          <w:szCs w:val="20"/>
          <w:color w:val="auto"/>
        </w:rPr>
      </w:pPr>
      <w:r>
        <w:rPr>
          <w:rFonts w:ascii="Times New Roman" w:cs="Times New Roman" w:eastAsia="Times New Roman" w:hAnsi="Times New Roman"/>
          <w:sz w:val="20"/>
          <w:szCs w:val="20"/>
          <w:color w:val="auto"/>
        </w:rPr>
        <w:t>such Holder has requested to be included in such registration. The Company shall have the right to terminate or withdraw any registration initiated by it under this Section 2.2 before the effective date of such registration, whether or not any Holder has elected to include Registrable Securities in such registration. The expenses (other than Selling Expenses) of such withdrawn registration shall be borne by the Company in accordance with Section 2.6.</w:t>
      </w:r>
    </w:p>
    <w:p>
      <w:pPr>
        <w:spacing w:after="0" w:line="16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Underwriting Requirements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194"/>
        <w:spacing w:after="0" w:line="262" w:lineRule="auto"/>
        <w:tabs>
          <w:tab w:leader="none" w:pos="1789"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pursuant to Section 2.1, the Initiating Holders intend to distribute the Registrable Securities covered by their request by means of an underwriting, they shall so advise the Company as a part of their request made pursuant to Section 2.1,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Section 2.4(e)) enter into an underwriting agreement in customary form with the underwriter(s) selected for such underwriting. Notwithstanding any other provision of this Section 2.3,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number of Registrable Securities held by the Holders to be included in such underwriting (excluding any Key Holder Registrable Securities)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65" w:lineRule="exact"/>
        <w:rPr>
          <w:rFonts w:ascii="Times New Roman" w:cs="Times New Roman" w:eastAsia="Times New Roman" w:hAnsi="Times New Roman"/>
          <w:sz w:val="19"/>
          <w:szCs w:val="19"/>
          <w:color w:val="auto"/>
        </w:rPr>
      </w:pPr>
    </w:p>
    <w:p>
      <w:pPr>
        <w:jc w:val="both"/>
        <w:ind w:firstLine="1194"/>
        <w:spacing w:after="0" w:line="250" w:lineRule="auto"/>
        <w:tabs>
          <w:tab w:leader="none" w:pos="1788"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offering involving an underwriting of shares of the Company’s capital stock pursuant to Section 2.2,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21" w:right="339" w:bottom="1440" w:gutter="0" w:footer="0" w:header="0"/>
        </w:sectPr>
      </w:pPr>
    </w:p>
    <w:bookmarkStart w:id="385" w:name="page386"/>
    <w:bookmarkEnd w:id="385"/>
    <w:p>
      <w:pPr>
        <w:jc w:val="both"/>
        <w:spacing w:after="0" w:line="249" w:lineRule="auto"/>
        <w:rPr>
          <w:sz w:val="20"/>
          <w:szCs w:val="20"/>
          <w:color w:val="auto"/>
        </w:rPr>
      </w:pPr>
      <w:r>
        <w:rPr>
          <w:rFonts w:ascii="Times New Roman" w:cs="Times New Roman" w:eastAsia="Times New Roman" w:hAnsi="Times New Roman"/>
          <w:sz w:val="20"/>
          <w:szCs w:val="20"/>
          <w:color w:val="auto"/>
        </w:rPr>
        <w:t>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or (iii) notwithstanding (ii) above, any Registrable Securities which are not Key Holder Registrable Securities be excluded from such underwriting unless all Key Holder Registrable Securities are first excluded from such offering.</w:t>
      </w:r>
    </w:p>
    <w:p>
      <w:pPr>
        <w:spacing w:after="0" w:line="175"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Obligations of the Company</w:t>
      </w:r>
      <w:r>
        <w:rPr>
          <w:rFonts w:ascii="Times New Roman" w:cs="Times New Roman" w:eastAsia="Times New Roman" w:hAnsi="Times New Roman"/>
          <w:sz w:val="20"/>
          <w:szCs w:val="20"/>
          <w:color w:val="auto"/>
        </w:rPr>
        <w:t>. Whenever required under this Section 2 to effect the registration of any Registrable Securities, the Company shall, as expeditiously as reasonably possible:</w:t>
      </w:r>
    </w:p>
    <w:p>
      <w:pPr>
        <w:spacing w:after="0" w:line="141" w:lineRule="exact"/>
        <w:rPr>
          <w:sz w:val="20"/>
          <w:szCs w:val="20"/>
          <w:color w:val="auto"/>
        </w:rPr>
      </w:pPr>
    </w:p>
    <w:p>
      <w:pPr>
        <w:jc w:val="both"/>
        <w:ind w:firstLine="1194"/>
        <w:spacing w:after="0" w:line="250" w:lineRule="auto"/>
        <w:tabs>
          <w:tab w:leader="none" w:pos="1789"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or (ii) in the case of any registration of Registrable Securities on Form S-3 that are intended to be offered on a continuous or delayed basis, subject to compliance with applicable SEC rules, such one hundred twenty (120) day period shall be extended, if necessary, to keep the registration statement effective until all such Registrable Securities are sold;</w:t>
      </w:r>
    </w:p>
    <w:p>
      <w:pPr>
        <w:spacing w:after="0" w:line="170"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8"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55"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9"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21" w:right="339" w:bottom="1440" w:gutter="0" w:footer="0" w:header="0"/>
        </w:sectPr>
      </w:pPr>
    </w:p>
    <w:bookmarkStart w:id="386" w:name="page387"/>
    <w:bookmarkEnd w:id="386"/>
    <w:p>
      <w:pPr>
        <w:jc w:val="both"/>
        <w:ind w:firstLine="1194"/>
        <w:spacing w:after="0" w:line="256" w:lineRule="auto"/>
        <w:tabs>
          <w:tab w:leader="none" w:pos="1788"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63" w:lineRule="exact"/>
        <w:rPr>
          <w:rFonts w:ascii="Times New Roman" w:cs="Times New Roman" w:eastAsia="Times New Roman" w:hAnsi="Times New Roman"/>
          <w:sz w:val="20"/>
          <w:szCs w:val="20"/>
          <w:color w:val="auto"/>
        </w:rPr>
      </w:pPr>
    </w:p>
    <w:p>
      <w:pPr>
        <w:ind w:firstLine="1194"/>
        <w:spacing w:after="0" w:line="277" w:lineRule="auto"/>
        <w:tabs>
          <w:tab w:leader="none" w:pos="1789"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underwritten public offering, enter into and perform its obligations under an underwriting agreement, in usual and customary form, with the underwriter(s) of such offering;</w:t>
      </w:r>
    </w:p>
    <w:p>
      <w:pPr>
        <w:spacing w:after="0" w:line="141"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92"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55" w:lineRule="exact"/>
        <w:rPr>
          <w:rFonts w:ascii="Times New Roman" w:cs="Times New Roman" w:eastAsia="Times New Roman" w:hAnsi="Times New Roman"/>
          <w:sz w:val="20"/>
          <w:szCs w:val="20"/>
          <w:color w:val="auto"/>
        </w:rPr>
      </w:pPr>
    </w:p>
    <w:p>
      <w:pPr>
        <w:ind w:firstLine="1194"/>
        <w:spacing w:after="0" w:line="277" w:lineRule="auto"/>
        <w:tabs>
          <w:tab w:leader="none" w:pos="1788"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41" w:lineRule="exact"/>
        <w:rPr>
          <w:rFonts w:ascii="Times New Roman" w:cs="Times New Roman" w:eastAsia="Times New Roman" w:hAnsi="Times New Roman"/>
          <w:sz w:val="20"/>
          <w:szCs w:val="20"/>
          <w:color w:val="auto"/>
        </w:rPr>
      </w:pPr>
    </w:p>
    <w:p>
      <w:pPr>
        <w:ind w:firstLine="1194"/>
        <w:spacing w:after="0" w:line="277" w:lineRule="auto"/>
        <w:tabs>
          <w:tab w:leader="none" w:pos="1788"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1" w:lineRule="exact"/>
        <w:rPr>
          <w:rFonts w:ascii="Times New Roman" w:cs="Times New Roman" w:eastAsia="Times New Roman" w:hAnsi="Times New Roman"/>
          <w:sz w:val="20"/>
          <w:szCs w:val="20"/>
          <w:color w:val="auto"/>
        </w:rPr>
      </w:pPr>
    </w:p>
    <w:p>
      <w:pPr>
        <w:ind w:firstLine="1194"/>
        <w:spacing w:after="0" w:line="277" w:lineRule="auto"/>
        <w:tabs>
          <w:tab w:leader="none" w:pos="1781"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such registration statement becomes effective, notify each selling Holder of any request by the SEC that the Company amend or supplement such registration statement or prospectus.</w:t>
      </w:r>
    </w:p>
    <w:p>
      <w:pPr>
        <w:spacing w:after="0" w:line="141"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Furnish Information</w:t>
      </w:r>
      <w:r>
        <w:rPr>
          <w:rFonts w:ascii="Times New Roman" w:cs="Times New Roman" w:eastAsia="Times New Roman" w:hAnsi="Times New Roman"/>
          <w:sz w:val="20"/>
          <w:szCs w:val="20"/>
          <w:color w:val="auto"/>
        </w:rPr>
        <w:t>. It shall be a condition precedent to the obligations of the Company to take any action pursuant to this Section 2 with respect to the Registrable Securities of any selling Holder that such Holder shall furnish to the Company in writing such information regarding itself, the Registrable Securities held by it, and the intended method of disposition of such securities as is reasonably required to effect the registration of such Holder’s Registrable Securities.</w:t>
      </w:r>
    </w:p>
    <w:p>
      <w:pPr>
        <w:spacing w:after="0" w:line="164"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Expenses of Registration</w:t>
      </w:r>
      <w:r>
        <w:rPr>
          <w:rFonts w:ascii="Times New Roman" w:cs="Times New Roman" w:eastAsia="Times New Roman" w:hAnsi="Times New Roman"/>
          <w:sz w:val="20"/>
          <w:szCs w:val="20"/>
          <w:color w:val="auto"/>
        </w:rPr>
        <w:t>. All expenses (other than Selling Expenses) incurred in connection with registrations, filings, or qualifications pursuant to Section 2, including all registration, filing, and qualification fees; printers’ and accounting fees; fees and disbursements of counsel for the Company; and the reasonable fees and disbursements of one counsel for the selling Holders (“</w:t>
      </w:r>
      <w:r>
        <w:rPr>
          <w:rFonts w:ascii="Times New Roman" w:cs="Times New Roman" w:eastAsia="Times New Roman" w:hAnsi="Times New Roman"/>
          <w:sz w:val="20"/>
          <w:szCs w:val="20"/>
          <w:b w:val="1"/>
          <w:bCs w:val="1"/>
          <w:i w:val="1"/>
          <w:iCs w:val="1"/>
          <w:color w:val="auto"/>
        </w:rPr>
        <w:t>Selling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Holder Counsel</w:t>
      </w:r>
      <w:r>
        <w:rPr>
          <w:rFonts w:ascii="Times New Roman" w:cs="Times New Roman" w:eastAsia="Times New Roman" w:hAnsi="Times New Roman"/>
          <w:sz w:val="20"/>
          <w:szCs w:val="20"/>
          <w:color w:val="auto"/>
        </w:rPr>
        <w:t>”), shall be borne and paid by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shall not be required to pay for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expenses of any registration proceeding begun pursuant to Section 2.1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21" w:right="339" w:bottom="1440" w:gutter="0" w:footer="0" w:header="0"/>
        </w:sectPr>
      </w:pPr>
    </w:p>
    <w:bookmarkStart w:id="387" w:name="page388"/>
    <w:bookmarkEnd w:id="387"/>
    <w:p>
      <w:pPr>
        <w:jc w:val="both"/>
        <w:spacing w:after="0" w:line="252" w:lineRule="auto"/>
        <w:rPr>
          <w:sz w:val="20"/>
          <w:szCs w:val="20"/>
          <w:color w:val="auto"/>
        </w:rPr>
      </w:pPr>
      <w:r>
        <w:rPr>
          <w:rFonts w:ascii="Times New Roman" w:cs="Times New Roman" w:eastAsia="Times New Roman" w:hAnsi="Times New Roman"/>
          <w:sz w:val="20"/>
          <w:szCs w:val="20"/>
          <w:color w:val="auto"/>
        </w:rPr>
        <w:t>Section 2.1(a) or Section 2.1(b), as the case may be. In addition,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(a “</w:t>
      </w:r>
      <w:r>
        <w:rPr>
          <w:rFonts w:ascii="Times New Roman" w:cs="Times New Roman" w:eastAsia="Times New Roman" w:hAnsi="Times New Roman"/>
          <w:sz w:val="20"/>
          <w:szCs w:val="20"/>
          <w:b w:val="1"/>
          <w:bCs w:val="1"/>
          <w:i w:val="1"/>
          <w:iCs w:val="1"/>
          <w:color w:val="auto"/>
        </w:rPr>
        <w:t>MAC Withdrawal</w:t>
      </w:r>
      <w:r>
        <w:rPr>
          <w:rFonts w:ascii="Times New Roman" w:cs="Times New Roman" w:eastAsia="Times New Roman" w:hAnsi="Times New Roman"/>
          <w:sz w:val="20"/>
          <w:szCs w:val="20"/>
          <w:color w:val="auto"/>
        </w:rPr>
        <w:t>”), then the Holders shall not be required to pay any of such expenses and shall not forfeit their right to one registration pursuant to Section 2.1(a) or Section 2.1(b). All Selling Expenses relating to Registrable Securities registered pursuant to this Section 2 shall be borne and paid by the Holders pro rata on the basis of the number of Registrable Securities registered on their behalf.</w:t>
      </w:r>
    </w:p>
    <w:p>
      <w:pPr>
        <w:spacing w:after="0" w:line="169"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Delay of Registration</w:t>
      </w:r>
      <w:r>
        <w:rPr>
          <w:rFonts w:ascii="Times New Roman" w:cs="Times New Roman" w:eastAsia="Times New Roman" w:hAnsi="Times New Roman"/>
          <w:sz w:val="20"/>
          <w:szCs w:val="20"/>
          <w:color w:val="auto"/>
        </w:rPr>
        <w:t>. No Holder shall have any right to obtain or seek an injunction restraining or otherwise delaying any registration pursuant to this Agreement as the result of any controversy that might arise with respect to the interpretation or implementation of this Section 2.</w:t>
      </w:r>
    </w:p>
    <w:p>
      <w:pPr>
        <w:spacing w:after="0" w:line="155"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If any Registrable Securities are included in a registration statement under this Section 2:</w:t>
      </w:r>
    </w:p>
    <w:p>
      <w:pPr>
        <w:spacing w:after="0" w:line="206" w:lineRule="exact"/>
        <w:rPr>
          <w:sz w:val="20"/>
          <w:szCs w:val="20"/>
          <w:color w:val="auto"/>
        </w:rPr>
      </w:pPr>
    </w:p>
    <w:p>
      <w:pPr>
        <w:jc w:val="both"/>
        <w:ind w:firstLine="1194"/>
        <w:spacing w:after="0" w:line="249" w:lineRule="auto"/>
        <w:tabs>
          <w:tab w:leader="none" w:pos="1789"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defending any claim or proceeding from which Damages may result, as such expenses are incurred;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indemnity agreement contained in this Section 2.8(a)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75" w:lineRule="exact"/>
        <w:rPr>
          <w:rFonts w:ascii="Times New Roman" w:cs="Times New Roman" w:eastAsia="Times New Roman" w:hAnsi="Times New Roman"/>
          <w:sz w:val="20"/>
          <w:szCs w:val="20"/>
          <w:color w:val="auto"/>
        </w:rPr>
      </w:pPr>
    </w:p>
    <w:p>
      <w:pPr>
        <w:jc w:val="both"/>
        <w:ind w:firstLine="1194"/>
        <w:spacing w:after="0" w:line="251" w:lineRule="auto"/>
        <w:tabs>
          <w:tab w:leader="none" w:pos="1788"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21" w:right="339" w:bottom="1440" w:gutter="0" w:footer="0" w:header="0"/>
        </w:sectPr>
      </w:pPr>
    </w:p>
    <w:bookmarkStart w:id="388" w:name="page389"/>
    <w:bookmarkEnd w:id="38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with defending any claim or proceeding from which Damages may result, as such expenses are incurred;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indemnity agreement contained in this Section 2.8(b)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in no event shall the aggregate amounts payable by any Holder by way of indemnity or contribution under Sections 2.8(b) and 2.8(d) exceed the net proceeds from the offering received by such Holder (including net of any Selling Expenses paid by such Holder), except in the case of fraud or willful misconduct by such Holder.</w:t>
      </w:r>
    </w:p>
    <w:p>
      <w:pPr>
        <w:spacing w:after="0" w:line="167" w:lineRule="exact"/>
        <w:rPr>
          <w:sz w:val="20"/>
          <w:szCs w:val="20"/>
          <w:color w:val="auto"/>
        </w:rPr>
      </w:pPr>
    </w:p>
    <w:p>
      <w:pPr>
        <w:jc w:val="both"/>
        <w:ind w:firstLine="1194"/>
        <w:spacing w:after="0" w:line="249" w:lineRule="auto"/>
        <w:tabs>
          <w:tab w:leader="none" w:pos="1789"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by an indemnified party under this Section 2.8 of notice of the commencement of any action (including any governmental action) for which a party may be entitled to indemnification hereunder, such indemnified party will, if a claim in respect thereof is to be made against any indemnifying party under this Section 2.8,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2.8, to the extent that such failure materially prejudices the indemnifying party’s ability to defend such action.</w:t>
      </w:r>
    </w:p>
    <w:p>
      <w:pPr>
        <w:spacing w:after="0" w:line="172"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just and equitable contribution to joint liability under the Securities Act in any case in which either</w:t>
      </w:r>
    </w:p>
    <w:p>
      <w:pPr>
        <w:spacing w:after="0" w:line="28" w:lineRule="exact"/>
        <w:rPr>
          <w:rFonts w:ascii="Times New Roman" w:cs="Times New Roman" w:eastAsia="Times New Roman" w:hAnsi="Times New Roman"/>
          <w:sz w:val="20"/>
          <w:szCs w:val="20"/>
          <w:color w:val="auto"/>
        </w:rPr>
      </w:pPr>
    </w:p>
    <w:p>
      <w:pPr>
        <w:jc w:val="both"/>
        <w:spacing w:after="0" w:line="247" w:lineRule="auto"/>
        <w:tabs>
          <w:tab w:leader="none" w:pos="277"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otherwise entitled to indemnification hereunder makes a claim for indemnification pursuant to this Section 2.8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2.8 provides for indemnification in such case, or (ii) contribution under the Securities Act may be required on the part of any party hereto for which indemnification is provided under this Section 2.8,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17" w:right="339" w:bottom="1440" w:gutter="0" w:footer="0" w:header="0"/>
        </w:sectPr>
      </w:pPr>
    </w:p>
    <w:bookmarkStart w:id="389" w:name="page390"/>
    <w:bookmarkEnd w:id="389"/>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omission;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in no event shall a Holder’s liability pursuant to this Section 2.8(d), when combined with the amounts paid or payable by such Holder pursuant to Section 2.8(b), exceed the proceeds from the offering received by such Holder (net of any Selling Expenses paid by such Holder), except in the case of willful misconduct or fraud by such Holder</w:t>
      </w:r>
    </w:p>
    <w:p>
      <w:pPr>
        <w:spacing w:after="0" w:line="152" w:lineRule="exact"/>
        <w:rPr>
          <w:sz w:val="20"/>
          <w:szCs w:val="20"/>
          <w:color w:val="auto"/>
        </w:rPr>
      </w:pPr>
    </w:p>
    <w:p>
      <w:pPr>
        <w:jc w:val="both"/>
        <w:ind w:firstLine="1194"/>
        <w:spacing w:after="0" w:line="262" w:lineRule="auto"/>
        <w:tabs>
          <w:tab w:leader="none" w:pos="1789"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superseded by an underwriting agreement entered into in connection with the underwritten public offering, the obligations of the Company and Holders under this Section 2.8 shall survive the completion of any offering of Registrable Securities in a registration under this Section 2, and otherwise shall survive the termination of this Agreement.</w:t>
      </w:r>
    </w:p>
    <w:p>
      <w:pPr>
        <w:spacing w:after="0" w:line="155"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Reports Under Exchange Act</w:t>
      </w:r>
      <w:r>
        <w:rPr>
          <w:rFonts w:ascii="Times New Roman" w:cs="Times New Roman" w:eastAsia="Times New Roman" w:hAnsi="Times New Roman"/>
          <w:sz w:val="20"/>
          <w:szCs w:val="20"/>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55" w:lineRule="exact"/>
        <w:rPr>
          <w:sz w:val="20"/>
          <w:szCs w:val="20"/>
          <w:color w:val="auto"/>
        </w:rPr>
      </w:pPr>
    </w:p>
    <w:p>
      <w:pPr>
        <w:ind w:firstLine="1194"/>
        <w:spacing w:after="0" w:line="277" w:lineRule="auto"/>
        <w:tabs>
          <w:tab w:leader="none" w:pos="1789"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41"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8"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55" w:lineRule="exact"/>
        <w:rPr>
          <w:rFonts w:ascii="Times New Roman" w:cs="Times New Roman" w:eastAsia="Times New Roman" w:hAnsi="Times New Roman"/>
          <w:sz w:val="20"/>
          <w:szCs w:val="20"/>
          <w:color w:val="auto"/>
        </w:rPr>
      </w:pPr>
    </w:p>
    <w:p>
      <w:pPr>
        <w:jc w:val="both"/>
        <w:ind w:firstLine="1194"/>
        <w:spacing w:after="0" w:line="271" w:lineRule="auto"/>
        <w:tabs>
          <w:tab w:leader="none" w:pos="1789" w:val="left"/>
        </w:tabs>
        <w:numPr>
          <w:ilvl w:val="1"/>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 to any Holder, so long as the Holder owns any Registrable Securities, forthwith upon request (i) to the extent accurate, a written statement by the Company that it has complied with the reporting requirements of SEC Rule 144 (at any time after ninety</w:t>
      </w:r>
    </w:p>
    <w:p>
      <w:pPr>
        <w:spacing w:after="0" w:line="1" w:lineRule="exact"/>
        <w:rPr>
          <w:rFonts w:ascii="Times New Roman" w:cs="Times New Roman" w:eastAsia="Times New Roman" w:hAnsi="Times New Roman"/>
          <w:sz w:val="19"/>
          <w:szCs w:val="19"/>
          <w:color w:val="auto"/>
        </w:rPr>
      </w:pPr>
    </w:p>
    <w:p>
      <w:pPr>
        <w:jc w:val="both"/>
        <w:spacing w:after="0" w:line="248" w:lineRule="auto"/>
        <w:tabs>
          <w:tab w:leader="none" w:pos="392"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69"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Restrictions on Transfer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17" w:right="339" w:bottom="1440" w:gutter="0" w:footer="0" w:header="0"/>
        </w:sectPr>
      </w:pPr>
    </w:p>
    <w:bookmarkStart w:id="390" w:name="page391"/>
    <w:bookmarkEnd w:id="390"/>
    <w:p>
      <w:pPr>
        <w:jc w:val="both"/>
        <w:ind w:firstLine="1194"/>
        <w:spacing w:after="0" w:line="252" w:lineRule="auto"/>
        <w:tabs>
          <w:tab w:leader="none" w:pos="1789"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68" w:lineRule="exact"/>
        <w:rPr>
          <w:rFonts w:ascii="Times New Roman" w:cs="Times New Roman" w:eastAsia="Times New Roman" w:hAnsi="Times New Roman"/>
          <w:sz w:val="20"/>
          <w:szCs w:val="20"/>
          <w:color w:val="auto"/>
        </w:rPr>
      </w:pPr>
    </w:p>
    <w:p>
      <w:pPr>
        <w:jc w:val="both"/>
        <w:ind w:firstLine="1194"/>
        <w:spacing w:after="0" w:line="248" w:lineRule="auto"/>
        <w:tabs>
          <w:tab w:leader="none" w:pos="1788"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holder of each certificate representing Restricted Securities, by acceptance thereof, agrees to comply in all respects with the provisions of this Section 2.10.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transferee agrees in writing to be subject to the terms of this Section 2.10. Each certificate or instrument evidencing the Restricted Securities transferred as above provided shall bear, except if such transfer is made pursuant to SEC Rule 144, the appropriate restrictive legend set forth in Section 9.13, except that such certificate shall not bear such restrictive legend if, in the opinion of counsel for such Holder and the Company, such legend is not required in order to establish compliance with any provisions of the Securities Act.</w:t>
      </w:r>
    </w:p>
    <w:p>
      <w:pPr>
        <w:spacing w:after="0" w:line="177"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Limitations on Subsequent Registration Rights</w:t>
      </w:r>
      <w:r>
        <w:rPr>
          <w:rFonts w:ascii="Times New Roman" w:cs="Times New Roman" w:eastAsia="Times New Roman" w:hAnsi="Times New Roman"/>
          <w:sz w:val="20"/>
          <w:szCs w:val="20"/>
          <w:color w:val="auto"/>
        </w:rPr>
        <w:t>. From and after the date of this Agreement, the Company shall not, without the prior written consent of the Holders holding at least a majority of the then outstanding Registrable Securities then held by all Holders (excluding any Key Holder Registrable Securities), enter into any agreement with any holder or prospective holder of any securities of the Company that would allow such holder or prospective holder (a) to include any of such securities in any registration filed under Section 2.1 or Section 2.2 hereof, unless under the terms of such agreement, such holder or prospective holder may include such securities in any such registration only to the extent that the inclusion of such securities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21" w:right="33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20"/>
          <w:szCs w:val="20"/>
          <w:color w:val="auto"/>
        </w:rPr>
        <w:t>not reduce the amount of the Registrable Securities of the Holders that are included or (b) to demand registration of their securities.</w:t>
      </w:r>
    </w:p>
    <w:p>
      <w:pPr>
        <w:spacing w:after="0" w:line="206"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Termination of Registration Rights</w:t>
      </w:r>
      <w:r>
        <w:rPr>
          <w:rFonts w:ascii="Times New Roman" w:cs="Times New Roman" w:eastAsia="Times New Roman" w:hAnsi="Times New Roman"/>
          <w:sz w:val="20"/>
          <w:szCs w:val="20"/>
          <w:color w:val="auto"/>
        </w:rPr>
        <w:t>. The right of any Holder to request registration or inclusion of Registrable Securities in any registration pursuant to Section 2.1 or Section 2.2 shall (a) not apply at any time when all of such Holder’s Registrable Securities could be sold without restriction under SEC Rule 144 and (b) terminate upon the earliest to occur of (i) the closing of a Deemed Liquidation Event (as defined in the Restated Certificate) or (ii) the fifth anniversary of a QPO.</w:t>
      </w:r>
    </w:p>
    <w:p>
      <w:pPr>
        <w:spacing w:after="0" w:line="164" w:lineRule="exact"/>
        <w:rPr>
          <w:sz w:val="20"/>
          <w:szCs w:val="20"/>
          <w:color w:val="auto"/>
        </w:rPr>
      </w:pPr>
    </w:p>
    <w:p>
      <w:pPr>
        <w:ind w:left="600" w:hanging="600"/>
        <w:spacing w:after="0"/>
        <w:tabs>
          <w:tab w:leader="none" w:pos="60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Provisions Regarding Board of Directors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Size of the Board</w:t>
      </w:r>
      <w:r>
        <w:rPr>
          <w:rFonts w:ascii="Times New Roman" w:cs="Times New Roman" w:eastAsia="Times New Roman" w:hAnsi="Times New Roman"/>
          <w:sz w:val="20"/>
          <w:szCs w:val="20"/>
          <w:color w:val="auto"/>
        </w:rPr>
        <w:t>. Each Stockholder agrees to vote, or cause to be voted, all Shares owned by such Stockholder, or over which such Stockholder has voting control, from time to time and at all times, in whatever manner as shall be necessary to ensure that the size of the Board shall be set and remain at eleven (11) directors.</w:t>
      </w:r>
    </w:p>
    <w:p>
      <w:pPr>
        <w:spacing w:after="0" w:line="155"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Board Composition</w:t>
      </w:r>
      <w:r>
        <w:rPr>
          <w:rFonts w:ascii="Times New Roman" w:cs="Times New Roman" w:eastAsia="Times New Roman" w:hAnsi="Times New Roman"/>
          <w:sz w:val="20"/>
          <w:szCs w:val="20"/>
          <w:color w:val="auto"/>
        </w:rPr>
        <w:t>. Each Stockholder agrees to vote, or cause to be voted, all Shares owned by such Stockholder, or over which such Stockholder has voting control, from time to time and at all times, in whatever manner as shall be necessary to ensure that at each annual or special meeting of stockholders at which an election of directors is held or pursuant to any written consent of the stockholders, the following persons shall be elected to the Board:</w:t>
      </w:r>
    </w:p>
    <w:p>
      <w:pPr>
        <w:spacing w:after="0" w:line="164" w:lineRule="exact"/>
        <w:rPr>
          <w:sz w:val="20"/>
          <w:szCs w:val="20"/>
          <w:color w:val="auto"/>
        </w:rPr>
      </w:pPr>
    </w:p>
    <w:p>
      <w:pPr>
        <w:ind w:left="1780" w:hanging="586"/>
        <w:spacing w:after="0"/>
        <w:tabs>
          <w:tab w:leader="none" w:pos="178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5" w:lineRule="exact"/>
        <w:rPr>
          <w:rFonts w:ascii="Times New Roman" w:cs="Times New Roman" w:eastAsia="Times New Roman" w:hAnsi="Times New Roman"/>
          <w:sz w:val="20"/>
          <w:szCs w:val="20"/>
          <w:color w:val="auto"/>
        </w:rPr>
      </w:pPr>
    </w:p>
    <w:p>
      <w:pPr>
        <w:jc w:val="both"/>
        <w:ind w:firstLine="1194"/>
        <w:spacing w:after="0" w:line="254" w:lineRule="auto"/>
        <w:tabs>
          <w:tab w:leader="none" w:pos="1788"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One individual designated by the holders of a majority of the then-outstanding shares of Series D Preferred Stock, voting as a separate series on an as-converted to Common Stock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Upfront (as defined below) shall designate this individual so long as Upfront and its Affiliates continue to own beneficially at least 2,750,000 shares of Series D Preferred Stock, which number is subject to appropriate adjustment for all stock splits, dividends, combinations, recapitalizations and the like, which individual shall initially be Greg Bettinelli (the “</w:t>
      </w:r>
      <w:r>
        <w:rPr>
          <w:rFonts w:ascii="Times New Roman" w:cs="Times New Roman" w:eastAsia="Times New Roman" w:hAnsi="Times New Roman"/>
          <w:sz w:val="20"/>
          <w:szCs w:val="20"/>
          <w:b w:val="1"/>
          <w:bCs w:val="1"/>
          <w:i w:val="1"/>
          <w:iCs w:val="1"/>
          <w:color w:val="auto"/>
        </w:rPr>
        <w:t>Upfront Designee</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jc w:val="both"/>
        <w:ind w:firstLine="1194"/>
        <w:spacing w:after="0" w:line="254" w:lineRule="auto"/>
        <w:tabs>
          <w:tab w:leader="none" w:pos="1789"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One individual designated by the holders of a majority of the then-outstanding shares of Series C Preferred Stock, voting as a separate series on an as-converted to Common Stock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Highland (as defined below) shall designate this individual so long as Highland and its Affiliates continue to own beneficially at least 1,500,000 shares of Series C Preferred Stock, which number is subject to appropriate adjustment for all stock splits, dividends, combinations, recapitalizations and the like, which individual shall initially be Dan Nova (the “</w:t>
      </w:r>
      <w:r>
        <w:rPr>
          <w:rFonts w:ascii="Times New Roman" w:cs="Times New Roman" w:eastAsia="Times New Roman" w:hAnsi="Times New Roman"/>
          <w:sz w:val="20"/>
          <w:szCs w:val="20"/>
          <w:b w:val="1"/>
          <w:bCs w:val="1"/>
          <w:i w:val="1"/>
          <w:iCs w:val="1"/>
          <w:color w:val="auto"/>
        </w:rPr>
        <w:t>Highland Designee</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jc w:val="both"/>
        <w:ind w:firstLine="1194"/>
        <w:spacing w:after="0" w:line="256" w:lineRule="auto"/>
        <w:tabs>
          <w:tab w:leader="none" w:pos="1788"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One individual designated by the holders of a majority of the then-outstanding shares of Series B Preferred Stock, voting as a separate series on an as-converted to Common Stock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Redpoint (as defined below) shall designate this individual so long as Redpoint and its Affiliates continue to own beneficially at least 1,500,000 shares of Series B Preferred Stock, which number is subject to appropriate adjustment for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21" w:right="339" w:bottom="1440" w:gutter="0" w:footer="0" w:header="0"/>
        </w:sectPr>
      </w:pPr>
    </w:p>
    <w:bookmarkStart w:id="392" w:name="page393"/>
    <w:bookmarkEnd w:id="392"/>
    <w:p>
      <w:pPr>
        <w:spacing w:after="0" w:line="283" w:lineRule="auto"/>
        <w:rPr>
          <w:sz w:val="20"/>
          <w:szCs w:val="20"/>
          <w:color w:val="auto"/>
        </w:rPr>
      </w:pPr>
      <w:r>
        <w:rPr>
          <w:rFonts w:ascii="Times New Roman" w:cs="Times New Roman" w:eastAsia="Times New Roman" w:hAnsi="Times New Roman"/>
          <w:sz w:val="20"/>
          <w:szCs w:val="20"/>
          <w:color w:val="auto"/>
        </w:rPr>
        <w:t>stock splits, dividends, combinations, recapitalizations and the like, which individual shall initially be Timothy Haley (the “</w:t>
      </w:r>
      <w:r>
        <w:rPr>
          <w:rFonts w:ascii="Times New Roman" w:cs="Times New Roman" w:eastAsia="Times New Roman" w:hAnsi="Times New Roman"/>
          <w:sz w:val="20"/>
          <w:szCs w:val="20"/>
          <w:b w:val="1"/>
          <w:bCs w:val="1"/>
          <w:i w:val="1"/>
          <w:iCs w:val="1"/>
          <w:color w:val="auto"/>
        </w:rPr>
        <w:t>Redpoint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Designee</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jc w:val="both"/>
        <w:ind w:firstLine="1194"/>
        <w:spacing w:after="0" w:line="254" w:lineRule="auto"/>
        <w:tabs>
          <w:tab w:leader="none" w:pos="1789"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One individual designated by the holders of a majority of the then-outstanding shares of Series A-1 Preferred Stock, voting as a separate series on an as-converted to Common Stock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Trinity (as defined below) shall designate this individual so long as Trinity and its Affiliates continue to own beneficially at least 1,500,000 shares of Series A-1 Preferred Stock, which number is subject to appropriate adjustment for all stock splits, dividends, combinations, recapitalizations and the like, which individual shall initially be Patricia E. Nakache (the “</w:t>
      </w:r>
      <w:r>
        <w:rPr>
          <w:rFonts w:ascii="Times New Roman" w:cs="Times New Roman" w:eastAsia="Times New Roman" w:hAnsi="Times New Roman"/>
          <w:sz w:val="20"/>
          <w:szCs w:val="20"/>
          <w:b w:val="1"/>
          <w:bCs w:val="1"/>
          <w:i w:val="1"/>
          <w:iCs w:val="1"/>
          <w:color w:val="auto"/>
        </w:rPr>
        <w:t>Trinity Designee</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jc w:val="both"/>
        <w:ind w:firstLine="1194"/>
        <w:spacing w:after="0" w:line="250" w:lineRule="auto"/>
        <w:tabs>
          <w:tab w:leader="none" w:pos="1792"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individuals designated by the holders of a majority of the then-outstanding shares of Common Stock, voting as a separate series, one of which directors shall be designated by the holders of a majority of the Shares held by Key Holders, which board seat shall initially be Paula Sutter, and one of which directors shall be the Company’s Chief Executive Officer (the “</w:t>
      </w:r>
      <w:r>
        <w:rPr>
          <w:rFonts w:ascii="Times New Roman" w:cs="Times New Roman" w:eastAsia="Times New Roman" w:hAnsi="Times New Roman"/>
          <w:sz w:val="20"/>
          <w:szCs w:val="20"/>
          <w:b w:val="1"/>
          <w:bCs w:val="1"/>
          <w:i w:val="1"/>
          <w:iCs w:val="1"/>
          <w:color w:val="auto"/>
        </w:rPr>
        <w:t>CEO Director</w:t>
      </w:r>
      <w:r>
        <w:rPr>
          <w:rFonts w:ascii="Times New Roman" w:cs="Times New Roman" w:eastAsia="Times New Roman" w:hAnsi="Times New Roman"/>
          <w:sz w:val="20"/>
          <w:szCs w:val="20"/>
          <w:color w:val="auto"/>
        </w:rPr>
        <w:t xml:space="preserve">”), which individual shall initially be James G. Reinhart,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for any reason the CEO Director shall cease to serve as the Company’s Chief Executive Officer, Stockholders holding shares of Common Stock shall promptly vote their respective shares (i) to remove the former Chief Executive Officer from the Board if such person has not resigned as a member of the Board and (ii) to elect such person’s replacement as Chief Executive Officer of the Company as appointed by the Board (excluding such former CEO Director) as the new CEO Director;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if at any time there is no incumbent Chief Executive Officer, then the CEO Director shall be an individual designated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holders of a majority of the then-outstanding shares of Common Stock;</w:t>
      </w:r>
    </w:p>
    <w:p>
      <w:pPr>
        <w:spacing w:after="0" w:line="170" w:lineRule="exact"/>
        <w:rPr>
          <w:rFonts w:ascii="Times New Roman" w:cs="Times New Roman" w:eastAsia="Times New Roman" w:hAnsi="Times New Roman"/>
          <w:sz w:val="20"/>
          <w:szCs w:val="20"/>
          <w:color w:val="auto"/>
        </w:rPr>
      </w:pPr>
    </w:p>
    <w:p>
      <w:pPr>
        <w:jc w:val="both"/>
        <w:ind w:firstLine="1194"/>
        <w:spacing w:after="0" w:line="256" w:lineRule="auto"/>
        <w:tabs>
          <w:tab w:leader="none" w:pos="1788"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Five individuals not otherwise an Affiliate of the Company or of any Investor to be designated by the holders of a majority of the then-outstanding shares of Common Stock and approved by the holders of a majority of the then outstanding shares of Preferred Stock (in each case, voting together as a single class on an as-converted to Common Stock basis) which shall initially be Jack Lazar, Norman Matthews, Ian Friedman, Mandy Ginsberg and Marcie Vu.</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To the extent that any of clauses (a) through (g) above shall not be applicable, any member of the Board who would otherwise have been designated in accordance with the terms thereof shall instead be voted upon by all the stockholders of the Company entitled to vote thereon in accordance with, and pursuant to, the Restated Certificate.</w:t>
      </w:r>
    </w:p>
    <w:p>
      <w:pPr>
        <w:spacing w:after="0" w:line="155"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Failure to Designate a Board Member</w:t>
      </w:r>
      <w:r>
        <w:rPr>
          <w:rFonts w:ascii="Times New Roman" w:cs="Times New Roman" w:eastAsia="Times New Roman" w:hAnsi="Times New Roman"/>
          <w:sz w:val="20"/>
          <w:szCs w:val="20"/>
          <w:color w:val="auto"/>
        </w:rPr>
        <w:t>. In the absence of any designation from the Persons or groups with the right to designate a director as specified above, the director previously designated by them and then serving shall be reelected if still eligible to serve as provided herein.</w:t>
      </w:r>
    </w:p>
    <w:p>
      <w:pPr>
        <w:spacing w:after="0" w:line="155"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Removal of Board Members</w:t>
      </w:r>
      <w:r>
        <w:rPr>
          <w:rFonts w:ascii="Times New Roman" w:cs="Times New Roman" w:eastAsia="Times New Roman" w:hAnsi="Times New Roman"/>
          <w:sz w:val="20"/>
          <w:szCs w:val="20"/>
          <w:color w:val="auto"/>
        </w:rPr>
        <w:t>. Each Stockholder also agrees to vote, or cause to be voted, all Shares owned by such Stockholder, or over which such Stockholder has voting control, from time to time and at all times, in whatever manner as shall be necessary to ensure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15" w:right="339" w:bottom="1440" w:gutter="0" w:footer="0" w:header="0"/>
        </w:sectPr>
      </w:pPr>
    </w:p>
    <w:bookmarkStart w:id="393" w:name="page394"/>
    <w:bookmarkEnd w:id="393"/>
    <w:p>
      <w:pPr>
        <w:jc w:val="both"/>
        <w:ind w:firstLine="1194"/>
        <w:spacing w:after="0" w:line="256" w:lineRule="auto"/>
        <w:tabs>
          <w:tab w:leader="none" w:pos="1789"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elected pursuant to Sections 3.2 or 3.3 of this Agreement may be removed from office unless (i) such removal is directed or approved by the affirmative vote of the Person, or of the holders of at least a majority of the shares of stock, entitled under Section 3.2 to designate such director, or (ii) the Person(s) originally entitled to designate or approve such director, or occupy such Board seat, pursuant to Section 3.2 is no longer so entitled to designate or approve such director or occupy such Board seat;</w:t>
      </w:r>
    </w:p>
    <w:p>
      <w:pPr>
        <w:spacing w:after="0" w:line="163" w:lineRule="exact"/>
        <w:rPr>
          <w:rFonts w:ascii="Times New Roman" w:cs="Times New Roman" w:eastAsia="Times New Roman" w:hAnsi="Times New Roman"/>
          <w:sz w:val="20"/>
          <w:szCs w:val="20"/>
          <w:color w:val="auto"/>
        </w:rPr>
      </w:pPr>
    </w:p>
    <w:p>
      <w:pPr>
        <w:ind w:firstLine="1194"/>
        <w:spacing w:after="0" w:line="277" w:lineRule="auto"/>
        <w:tabs>
          <w:tab w:leader="none" w:pos="1788"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vacancies created by the resignation, removal or death of a director elected pursuant to Sections 3.2 or 3.3 shall be filled pursuant to the provisions of this Section 3; and</w:t>
      </w:r>
    </w:p>
    <w:p>
      <w:pPr>
        <w:spacing w:after="0" w:line="141" w:lineRule="exact"/>
        <w:rPr>
          <w:rFonts w:ascii="Times New Roman" w:cs="Times New Roman" w:eastAsia="Times New Roman" w:hAnsi="Times New Roman"/>
          <w:sz w:val="20"/>
          <w:szCs w:val="20"/>
          <w:color w:val="auto"/>
        </w:rPr>
      </w:pPr>
    </w:p>
    <w:p>
      <w:pPr>
        <w:ind w:firstLine="1194"/>
        <w:spacing w:after="0" w:line="277" w:lineRule="auto"/>
        <w:tabs>
          <w:tab w:leader="none" w:pos="1789"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any party entitled to designate a director as provided in this Section 3 to remove such director, such director shall be removed.</w:t>
      </w:r>
    </w:p>
    <w:p>
      <w:pPr>
        <w:spacing w:after="0" w:line="141" w:lineRule="exact"/>
        <w:rPr>
          <w:sz w:val="20"/>
          <w:szCs w:val="20"/>
          <w:color w:val="auto"/>
        </w:rPr>
      </w:pPr>
    </w:p>
    <w:p>
      <w:pPr>
        <w:jc w:val="both"/>
        <w:ind w:firstLine="597"/>
        <w:spacing w:after="0" w:line="304" w:lineRule="auto"/>
        <w:rPr>
          <w:sz w:val="20"/>
          <w:szCs w:val="20"/>
          <w:color w:val="auto"/>
        </w:rPr>
      </w:pPr>
      <w:r>
        <w:rPr>
          <w:rFonts w:ascii="Times New Roman" w:cs="Times New Roman" w:eastAsia="Times New Roman" w:hAnsi="Times New Roman"/>
          <w:sz w:val="19"/>
          <w:szCs w:val="19"/>
          <w:color w:val="auto"/>
        </w:rPr>
        <w:t>All Stockholders agree to execute any written consents required to perform the obligations of this Agreement, and the Company agrees at the request of any party entitled to designate directors to call a special meeting of stockholders for the purpose of electing directors.</w:t>
      </w:r>
    </w:p>
    <w:p>
      <w:pPr>
        <w:spacing w:after="0" w:line="118"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No Liability for Election of Recommended Directors</w:t>
      </w:r>
      <w:r>
        <w:rPr>
          <w:rFonts w:ascii="Times New Roman" w:cs="Times New Roman" w:eastAsia="Times New Roman" w:hAnsi="Times New Roman"/>
          <w:sz w:val="20"/>
          <w:szCs w:val="20"/>
          <w:color w:val="auto"/>
        </w:rPr>
        <w:t>. No Stockholder, nor any Affiliate of any Stockholder, shall have any liability as a result of designating a person for election as a director for any act or omission by such designated person in his or her capacity as a director of the Company, nor shall any Stockholder have any liability as a result of voting for any such designee in accordance with the provisions of this Agreement.</w:t>
      </w:r>
    </w:p>
    <w:p>
      <w:pPr>
        <w:spacing w:after="0" w:line="164"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Grant of Proxy</w:t>
      </w:r>
      <w:r>
        <w:rPr>
          <w:rFonts w:ascii="Times New Roman" w:cs="Times New Roman" w:eastAsia="Times New Roman" w:hAnsi="Times New Roman"/>
          <w:sz w:val="20"/>
          <w:szCs w:val="20"/>
          <w:color w:val="auto"/>
        </w:rPr>
        <w:t>. Upon the failure of any party to this Agreement to vote such party’s Shares in accordance with the terms of this Agreement within five days of the Company’s written request for such vote, such party hereby appoints and constitutes the Company as the attorney and proxy of such party with the full power of substitution and resubstitution, to the full extent of such party’s rights, with respect to all voting capital stock of the Company owned by such Stockholder, which proxy (the “</w:t>
      </w:r>
      <w:r>
        <w:rPr>
          <w:rFonts w:ascii="Times New Roman" w:cs="Times New Roman" w:eastAsia="Times New Roman" w:hAnsi="Times New Roman"/>
          <w:sz w:val="20"/>
          <w:szCs w:val="20"/>
          <w:b w:val="1"/>
          <w:bCs w:val="1"/>
          <w:i w:val="1"/>
          <w:iCs w:val="1"/>
          <w:color w:val="auto"/>
        </w:rPr>
        <w:t>Proxy</w:t>
      </w:r>
      <w:r>
        <w:rPr>
          <w:rFonts w:ascii="Times New Roman" w:cs="Times New Roman" w:eastAsia="Times New Roman" w:hAnsi="Times New Roman"/>
          <w:sz w:val="20"/>
          <w:szCs w:val="20"/>
          <w:color w:val="auto"/>
        </w:rPr>
        <w:t>”) shall be irrevocable until this Agreement terminates pursuant to its terms or this Section 3.6 is amended to remove such party’s grant of proxy in accordance with Section 9.8, to vote all shares of capital stock then held by such party in the manner provided in Sections 3 and 8. The parties agree that the Proxy is coupled with an interest and is given to secure the performance of each party’s duties under this Agreement.</w:t>
      </w:r>
    </w:p>
    <w:p>
      <w:pPr>
        <w:spacing w:after="0" w:line="170"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Termination of Voting Provisions</w:t>
      </w:r>
      <w:r>
        <w:rPr>
          <w:rFonts w:ascii="Times New Roman" w:cs="Times New Roman" w:eastAsia="Times New Roman" w:hAnsi="Times New Roman"/>
          <w:sz w:val="20"/>
          <w:szCs w:val="20"/>
          <w:color w:val="auto"/>
        </w:rPr>
        <w:t>. The covenants set forth in this Section 3, except for Section 3.5, shall terminate and be of no further force or effect (i) immediately before the consummation of a QPO or (ii) upon a Deemed Liquidation Event, whichever event occurs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21" w:right="339" w:bottom="1440" w:gutter="0" w:footer="0" w:header="0"/>
        </w:sectPr>
      </w:pPr>
    </w:p>
    <w:bookmarkStart w:id="394" w:name="page395"/>
    <w:bookmarkEnd w:id="394"/>
    <w:p>
      <w:pPr>
        <w:ind w:left="600" w:hanging="600"/>
        <w:spacing w:after="0"/>
        <w:tabs>
          <w:tab w:leader="none" w:pos="600"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of First Refusal and Co-Sale</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Special Definitions</w:t>
      </w:r>
      <w:r>
        <w:rPr>
          <w:rFonts w:ascii="Times New Roman" w:cs="Times New Roman" w:eastAsia="Times New Roman" w:hAnsi="Times New Roman"/>
          <w:sz w:val="20"/>
          <w:szCs w:val="20"/>
          <w:color w:val="auto"/>
        </w:rPr>
        <w:t>. For purposes of this Section 4, the following definitions shall apply:</w:t>
      </w:r>
    </w:p>
    <w:p>
      <w:pPr>
        <w:spacing w:after="0" w:line="199" w:lineRule="exact"/>
        <w:rPr>
          <w:rFonts w:ascii="Times New Roman" w:cs="Times New Roman" w:eastAsia="Times New Roman" w:hAnsi="Times New Roman"/>
          <w:sz w:val="20"/>
          <w:szCs w:val="20"/>
          <w:color w:val="auto"/>
        </w:rPr>
      </w:pPr>
    </w:p>
    <w:p>
      <w:pPr>
        <w:ind w:firstLine="1194"/>
        <w:spacing w:after="0" w:line="283" w:lineRule="auto"/>
        <w:tabs>
          <w:tab w:leader="none" w:pos="1789"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Notice</w:t>
      </w:r>
      <w:r>
        <w:rPr>
          <w:rFonts w:ascii="Times New Roman" w:cs="Times New Roman" w:eastAsia="Times New Roman" w:hAnsi="Times New Roman"/>
          <w:sz w:val="20"/>
          <w:szCs w:val="20"/>
          <w:color w:val="auto"/>
        </w:rPr>
        <w:t>” means written notice from the Company notifying the Selling Holders that the Company intends to exercise its Right of First Refusal as to some or all of the Transfer Stock with respect to any Proposed Transfer.</w:t>
      </w:r>
    </w:p>
    <w:p>
      <w:pPr>
        <w:spacing w:after="0" w:line="129"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8"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Investor Notice</w:t>
      </w:r>
      <w:r>
        <w:rPr>
          <w:rFonts w:ascii="Times New Roman" w:cs="Times New Roman" w:eastAsia="Times New Roman" w:hAnsi="Times New Roman"/>
          <w:sz w:val="20"/>
          <w:szCs w:val="20"/>
          <w:color w:val="auto"/>
        </w:rPr>
        <w:t>” means written notice from a Major Investor notifying the Company and the Selling Holder that such Major Investor intends to exercise its Secondary Refusal Right as to a portion of the Transfer Stock with respect to any Proposed Transfer.</w:t>
      </w:r>
    </w:p>
    <w:p>
      <w:pPr>
        <w:spacing w:after="0" w:line="146" w:lineRule="exact"/>
        <w:rPr>
          <w:rFonts w:ascii="Times New Roman" w:cs="Times New Roman" w:eastAsia="Times New Roman" w:hAnsi="Times New Roman"/>
          <w:sz w:val="20"/>
          <w:szCs w:val="20"/>
          <w:color w:val="auto"/>
        </w:rPr>
      </w:pPr>
    </w:p>
    <w:p>
      <w:pPr>
        <w:ind w:firstLine="1194"/>
        <w:spacing w:after="0" w:line="283" w:lineRule="auto"/>
        <w:tabs>
          <w:tab w:leader="none" w:pos="1789"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Proposed Transfer</w:t>
      </w:r>
      <w:r>
        <w:rPr>
          <w:rFonts w:ascii="Times New Roman" w:cs="Times New Roman" w:eastAsia="Times New Roman" w:hAnsi="Times New Roman"/>
          <w:sz w:val="20"/>
          <w:szCs w:val="20"/>
          <w:color w:val="auto"/>
        </w:rPr>
        <w:t>” means any assignment, sale, offer to sell, pledge, mortgage, hypothecation, encumbrance, disposition of or any other like transfer or encumbering of any Transfer Stock (or any interest therein) proposed by any of the Key Holders.</w:t>
      </w:r>
    </w:p>
    <w:p>
      <w:pPr>
        <w:spacing w:after="0" w:line="129"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Proposed Transfer Notice</w:t>
      </w:r>
      <w:r>
        <w:rPr>
          <w:rFonts w:ascii="Times New Roman" w:cs="Times New Roman" w:eastAsia="Times New Roman" w:hAnsi="Times New Roman"/>
          <w:sz w:val="20"/>
          <w:szCs w:val="20"/>
          <w:color w:val="auto"/>
        </w:rPr>
        <w:t>” means written notice from a Key Holder setting forth the terms and conditions of a</w:t>
      </w:r>
    </w:p>
    <w:p>
      <w:pPr>
        <w:spacing w:after="0" w:line="3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Transfer.</w:t>
      </w:r>
    </w:p>
    <w:p>
      <w:pPr>
        <w:spacing w:after="0" w:line="177"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Prospective Transferee</w:t>
      </w:r>
      <w:r>
        <w:rPr>
          <w:rFonts w:ascii="Times New Roman" w:cs="Times New Roman" w:eastAsia="Times New Roman" w:hAnsi="Times New Roman"/>
          <w:sz w:val="20"/>
          <w:szCs w:val="20"/>
          <w:color w:val="auto"/>
        </w:rPr>
        <w:t>” means any person to whom a Key Holder proposes to make a Proposed Transfer.</w:t>
      </w:r>
    </w:p>
    <w:p>
      <w:pPr>
        <w:spacing w:after="0" w:line="205" w:lineRule="exact"/>
        <w:rPr>
          <w:rFonts w:ascii="Times New Roman" w:cs="Times New Roman" w:eastAsia="Times New Roman" w:hAnsi="Times New Roman"/>
          <w:sz w:val="20"/>
          <w:szCs w:val="20"/>
          <w:color w:val="auto"/>
        </w:rPr>
      </w:pPr>
    </w:p>
    <w:p>
      <w:pPr>
        <w:ind w:firstLine="1194"/>
        <w:spacing w:after="0" w:line="283" w:lineRule="auto"/>
        <w:tabs>
          <w:tab w:leader="none" w:pos="1792"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Right of Co-Sale</w:t>
      </w:r>
      <w:r>
        <w:rPr>
          <w:rFonts w:ascii="Times New Roman" w:cs="Times New Roman" w:eastAsia="Times New Roman" w:hAnsi="Times New Roman"/>
          <w:sz w:val="20"/>
          <w:szCs w:val="20"/>
          <w:color w:val="auto"/>
        </w:rPr>
        <w:t>” means the right, but not an obligation, of a Major Investor to participate in a Proposed Transfer proposed by any Key Holder on the terms and conditions specified in the Proposed Transfer Notice.</w:t>
      </w:r>
    </w:p>
    <w:p>
      <w:pPr>
        <w:spacing w:after="0" w:line="129" w:lineRule="exact"/>
        <w:rPr>
          <w:rFonts w:ascii="Times New Roman" w:cs="Times New Roman" w:eastAsia="Times New Roman" w:hAnsi="Times New Roman"/>
          <w:sz w:val="20"/>
          <w:szCs w:val="20"/>
          <w:color w:val="auto"/>
        </w:rPr>
      </w:pPr>
    </w:p>
    <w:p>
      <w:pPr>
        <w:ind w:firstLine="1194"/>
        <w:spacing w:after="0" w:line="283" w:lineRule="auto"/>
        <w:tabs>
          <w:tab w:leader="none" w:pos="1788"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Right of First Refusal</w:t>
      </w:r>
      <w:r>
        <w:rPr>
          <w:rFonts w:ascii="Times New Roman" w:cs="Times New Roman" w:eastAsia="Times New Roman" w:hAnsi="Times New Roman"/>
          <w:sz w:val="20"/>
          <w:szCs w:val="20"/>
          <w:color w:val="auto"/>
        </w:rPr>
        <w:t>” means the right, but not an obligation, of the Company to purchase some or all of the Transfer Stock with respect to a Proposed Transfer, on the terms and conditions specified in the Proposed Transfer Notice.</w:t>
      </w:r>
    </w:p>
    <w:p>
      <w:pPr>
        <w:spacing w:after="0" w:line="129"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8"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Secondary Notice</w:t>
      </w:r>
      <w:r>
        <w:rPr>
          <w:rFonts w:ascii="Times New Roman" w:cs="Times New Roman" w:eastAsia="Times New Roman" w:hAnsi="Times New Roman"/>
          <w:sz w:val="20"/>
          <w:szCs w:val="20"/>
          <w:color w:val="auto"/>
        </w:rPr>
        <w:t>” means written notice from the Company notifying the Major Investors and the Selling Holder that the Company does not intend to exercise its Right of First Refusal as to all shares of Transfer Stock with respect to any Proposed Transfer.</w:t>
      </w:r>
    </w:p>
    <w:p>
      <w:pPr>
        <w:spacing w:after="0" w:line="146" w:lineRule="exact"/>
        <w:rPr>
          <w:rFonts w:ascii="Times New Roman" w:cs="Times New Roman" w:eastAsia="Times New Roman" w:hAnsi="Times New Roman"/>
          <w:sz w:val="20"/>
          <w:szCs w:val="20"/>
          <w:color w:val="auto"/>
        </w:rPr>
      </w:pPr>
    </w:p>
    <w:p>
      <w:pPr>
        <w:jc w:val="both"/>
        <w:ind w:firstLine="1194"/>
        <w:spacing w:after="0" w:line="265" w:lineRule="auto"/>
        <w:tabs>
          <w:tab w:leader="none" w:pos="1781"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Secondary Refusal Right</w:t>
      </w:r>
      <w:r>
        <w:rPr>
          <w:rFonts w:ascii="Times New Roman" w:cs="Times New Roman" w:eastAsia="Times New Roman" w:hAnsi="Times New Roman"/>
          <w:sz w:val="20"/>
          <w:szCs w:val="20"/>
          <w:color w:val="auto"/>
        </w:rPr>
        <w:t>” means the right, but not an obligation, of each Major Investor to purchase up to its pro rata portion (based upon the total number of shares of Capital Stock then held by all Major Investors on a fully diluted basis) of any Transfer Stock not purchased pursuant to the Right of First Refusal, on the terms and conditions specified in the Proposed Transfer Notice.</w:t>
      </w:r>
    </w:p>
    <w:p>
      <w:pPr>
        <w:spacing w:after="0" w:line="146" w:lineRule="exact"/>
        <w:rPr>
          <w:rFonts w:ascii="Times New Roman" w:cs="Times New Roman" w:eastAsia="Times New Roman" w:hAnsi="Times New Roman"/>
          <w:sz w:val="20"/>
          <w:szCs w:val="20"/>
          <w:color w:val="auto"/>
        </w:rPr>
      </w:pPr>
    </w:p>
    <w:p>
      <w:pPr>
        <w:ind w:firstLine="1194"/>
        <w:spacing w:after="0" w:line="283" w:lineRule="auto"/>
        <w:tabs>
          <w:tab w:leader="none" w:pos="1781"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Stock</w:t>
      </w:r>
      <w:r>
        <w:rPr>
          <w:rFonts w:ascii="Times New Roman" w:cs="Times New Roman" w:eastAsia="Times New Roman" w:hAnsi="Times New Roman"/>
          <w:sz w:val="20"/>
          <w:szCs w:val="20"/>
          <w:color w:val="auto"/>
        </w:rPr>
        <w:t>” means shares of Capital Stock owned by a Key Holder, or issued to a Key Holder after August 27, 2019 (including, without limitation, in connection with any stock split, stock dividend, recapitalization, reorganization, or the like).</w:t>
      </w:r>
    </w:p>
    <w:p>
      <w:pPr>
        <w:spacing w:after="0" w:line="129" w:lineRule="exact"/>
        <w:rPr>
          <w:rFonts w:ascii="Times New Roman" w:cs="Times New Roman" w:eastAsia="Times New Roman" w:hAnsi="Times New Roman"/>
          <w:sz w:val="20"/>
          <w:szCs w:val="20"/>
          <w:color w:val="auto"/>
        </w:rPr>
      </w:pPr>
    </w:p>
    <w:p>
      <w:pPr>
        <w:ind w:firstLine="1194"/>
        <w:spacing w:after="0" w:line="283" w:lineRule="auto"/>
        <w:tabs>
          <w:tab w:leader="none" w:pos="1788"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Undersubscription Notice</w:t>
      </w:r>
      <w:r>
        <w:rPr>
          <w:rFonts w:ascii="Times New Roman" w:cs="Times New Roman" w:eastAsia="Times New Roman" w:hAnsi="Times New Roman"/>
          <w:sz w:val="20"/>
          <w:szCs w:val="20"/>
          <w:color w:val="auto"/>
        </w:rPr>
        <w:t>” means written notice from a Major Investor notifying the Company and the Selling Holder that such Major Investor intends to exercise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21" w:right="339" w:bottom="1440" w:gutter="0" w:footer="0" w:header="0"/>
        </w:sectPr>
      </w:pPr>
    </w:p>
    <w:bookmarkStart w:id="395" w:name="page396"/>
    <w:bookmarkEnd w:id="395"/>
    <w:p>
      <w:pPr>
        <w:spacing w:after="0" w:line="277" w:lineRule="auto"/>
        <w:rPr>
          <w:sz w:val="20"/>
          <w:szCs w:val="20"/>
          <w:color w:val="auto"/>
        </w:rPr>
      </w:pPr>
      <w:r>
        <w:rPr>
          <w:rFonts w:ascii="Times New Roman" w:cs="Times New Roman" w:eastAsia="Times New Roman" w:hAnsi="Times New Roman"/>
          <w:sz w:val="20"/>
          <w:szCs w:val="20"/>
          <w:color w:val="auto"/>
        </w:rPr>
        <w:t>option to purchase all or any portion of the Transfer Stock not purchased pursuant to the Right of First Refusal or the Secondary Refusal Right.</w:t>
      </w:r>
    </w:p>
    <w:p>
      <w:pPr>
        <w:spacing w:after="0" w:line="14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Right of First Refusal</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1194"/>
        <w:spacing w:after="0" w:line="265" w:lineRule="auto"/>
        <w:tabs>
          <w:tab w:leader="none" w:pos="1789"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Grant</w:t>
      </w:r>
      <w:r>
        <w:rPr>
          <w:rFonts w:ascii="Times New Roman" w:cs="Times New Roman" w:eastAsia="Times New Roman" w:hAnsi="Times New Roman"/>
          <w:sz w:val="20"/>
          <w:szCs w:val="20"/>
          <w:color w:val="auto"/>
        </w:rPr>
        <w:t>. Subject to the terms of Sections 4.5 and 4.6 below, each Key Holder hereby unconditionally and irrevocably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grants to the Company a Right of First Refusal to purchase all or any portion of Transfer Stock that such Key Holder may propose to transfer in a Proposed Transfer, at the same price and on the same terms and conditions as those offered to the Prospective Transferee.</w:t>
      </w:r>
    </w:p>
    <w:p>
      <w:pPr>
        <w:spacing w:after="0" w:line="146" w:lineRule="exact"/>
        <w:rPr>
          <w:rFonts w:ascii="Times New Roman" w:cs="Times New Roman" w:eastAsia="Times New Roman" w:hAnsi="Times New Roman"/>
          <w:sz w:val="20"/>
          <w:szCs w:val="20"/>
          <w:color w:val="auto"/>
        </w:rPr>
      </w:pPr>
    </w:p>
    <w:p>
      <w:pPr>
        <w:jc w:val="both"/>
        <w:ind w:firstLine="1194"/>
        <w:spacing w:after="0" w:line="254" w:lineRule="auto"/>
        <w:tabs>
          <w:tab w:leader="none" w:pos="178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Each Key Holder proposing to make a Proposed Transfer (each a “</w:t>
      </w:r>
      <w:r>
        <w:rPr>
          <w:rFonts w:ascii="Times New Roman" w:cs="Times New Roman" w:eastAsia="Times New Roman" w:hAnsi="Times New Roman"/>
          <w:sz w:val="20"/>
          <w:szCs w:val="20"/>
          <w:b w:val="1"/>
          <w:bCs w:val="1"/>
          <w:i w:val="1"/>
          <w:iCs w:val="1"/>
          <w:color w:val="auto"/>
        </w:rPr>
        <w:t>Selling Holder</w:t>
      </w:r>
      <w:r>
        <w:rPr>
          <w:rFonts w:ascii="Times New Roman" w:cs="Times New Roman" w:eastAsia="Times New Roman" w:hAnsi="Times New Roman"/>
          <w:sz w:val="20"/>
          <w:szCs w:val="20"/>
          <w:color w:val="auto"/>
        </w:rPr>
        <w:t>”) must deliver a Proposed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Transfer Notice to the Company and each Major Investor not later than forty-five (45) days prior to the consummation of such Proposed Transfer. Such Proposed Transfer Notice shall contain the material terms and conditions (including price and form of consideration) of the Proposed Transfer and the identity of the Prospective Transferee. To exercise its Right of First Refusal under this Section 4, the Company must deliver a Company Notice to the Selling Holder (with a copy to each Major Investor) within ten (10) days after delivery of the Proposed Transfer Notice.</w:t>
      </w:r>
    </w:p>
    <w:p>
      <w:pPr>
        <w:spacing w:after="0" w:line="157" w:lineRule="exact"/>
        <w:rPr>
          <w:rFonts w:ascii="Times New Roman" w:cs="Times New Roman" w:eastAsia="Times New Roman" w:hAnsi="Times New Roman"/>
          <w:sz w:val="20"/>
          <w:szCs w:val="20"/>
          <w:color w:val="auto"/>
        </w:rPr>
      </w:pPr>
    </w:p>
    <w:p>
      <w:pPr>
        <w:jc w:val="both"/>
        <w:ind w:firstLine="1194"/>
        <w:spacing w:after="0" w:line="252" w:lineRule="auto"/>
        <w:tabs>
          <w:tab w:leader="none" w:pos="1789"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Grant of Secondary Refusal Right to Major Investors</w:t>
      </w:r>
      <w:r>
        <w:rPr>
          <w:rFonts w:ascii="Times New Roman" w:cs="Times New Roman" w:eastAsia="Times New Roman" w:hAnsi="Times New Roman"/>
          <w:sz w:val="20"/>
          <w:szCs w:val="20"/>
          <w:color w:val="auto"/>
        </w:rPr>
        <w:t>. Subject to the terms of Sections 4.5 and 4.6 below,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Selling Holder hereby unconditionally and irrevocably grants to the Major Investors a Secondary Refusal Right to purchase all or any portion of the Transfer Stock not purchased by the Company pursuant to the Right of First Refusal, as provided in this Section 4.2(c). If the Company does not intend to exercise its Right of Refusal with respect to all Transfer Stock subject to a Proposed Transfer, the Company must deliver a Secondary Notice to the Selling Holder and to each Major Investor to that effect no later than ten (10) days after the Selling Holder delivers the Proposed Transfer Notice to the Company. To exercise its Secondary Refusal Right, a Major Investor must deliver an Investor Notice to the Selling Holder and the Company within ten (10) days after the Company’s deadline for its delivery of the Secondary Notice as provided in the preceding sentence.</w:t>
      </w:r>
    </w:p>
    <w:p>
      <w:pPr>
        <w:spacing w:after="0" w:line="158" w:lineRule="exact"/>
        <w:rPr>
          <w:rFonts w:ascii="Times New Roman" w:cs="Times New Roman" w:eastAsia="Times New Roman" w:hAnsi="Times New Roman"/>
          <w:sz w:val="20"/>
          <w:szCs w:val="20"/>
          <w:color w:val="auto"/>
        </w:rPr>
      </w:pPr>
    </w:p>
    <w:p>
      <w:pPr>
        <w:jc w:val="both"/>
        <w:ind w:firstLine="1194"/>
        <w:spacing w:after="0" w:line="250" w:lineRule="auto"/>
        <w:tabs>
          <w:tab w:leader="none" w:pos="178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Undersubscription of Transfer Stock</w:t>
      </w:r>
      <w:r>
        <w:rPr>
          <w:rFonts w:ascii="Times New Roman" w:cs="Times New Roman" w:eastAsia="Times New Roman" w:hAnsi="Times New Roman"/>
          <w:sz w:val="20"/>
          <w:szCs w:val="20"/>
          <w:color w:val="auto"/>
        </w:rPr>
        <w:t>. If options to purchase have been exercised by the Company and the Major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Investors with respect to some but not all of the Transfer Stock by the end of the 10-day period specified in the last sentence of Section 4.2(c) (the “</w:t>
      </w:r>
      <w:r>
        <w:rPr>
          <w:rFonts w:ascii="Times New Roman" w:cs="Times New Roman" w:eastAsia="Times New Roman" w:hAnsi="Times New Roman"/>
          <w:sz w:val="20"/>
          <w:szCs w:val="20"/>
          <w:b w:val="1"/>
          <w:bCs w:val="1"/>
          <w:i w:val="1"/>
          <w:iCs w:val="1"/>
          <w:color w:val="auto"/>
        </w:rPr>
        <w:t>Investor Notice Period</w:t>
      </w:r>
      <w:r>
        <w:rPr>
          <w:rFonts w:ascii="Times New Roman" w:cs="Times New Roman" w:eastAsia="Times New Roman" w:hAnsi="Times New Roman"/>
          <w:sz w:val="20"/>
          <w:szCs w:val="20"/>
          <w:color w:val="auto"/>
        </w:rPr>
        <w:t>”), then the Company shall, immediately after the expiration of the Investor Notice Period, send written notice (the “</w:t>
      </w:r>
      <w:r>
        <w:rPr>
          <w:rFonts w:ascii="Times New Roman" w:cs="Times New Roman" w:eastAsia="Times New Roman" w:hAnsi="Times New Roman"/>
          <w:sz w:val="20"/>
          <w:szCs w:val="20"/>
          <w:b w:val="1"/>
          <w:bCs w:val="1"/>
          <w:i w:val="1"/>
          <w:iCs w:val="1"/>
          <w:color w:val="auto"/>
        </w:rPr>
        <w:t>Company Undersubscription Notice</w:t>
      </w:r>
      <w:r>
        <w:rPr>
          <w:rFonts w:ascii="Times New Roman" w:cs="Times New Roman" w:eastAsia="Times New Roman" w:hAnsi="Times New Roman"/>
          <w:sz w:val="20"/>
          <w:szCs w:val="20"/>
          <w:color w:val="auto"/>
        </w:rPr>
        <w:t>”) to those Major Investors who fully exercised their Secondary Refusal Right within the Investor Notice Period (the “</w:t>
      </w:r>
      <w:r>
        <w:rPr>
          <w:rFonts w:ascii="Times New Roman" w:cs="Times New Roman" w:eastAsia="Times New Roman" w:hAnsi="Times New Roman"/>
          <w:sz w:val="20"/>
          <w:szCs w:val="20"/>
          <w:b w:val="1"/>
          <w:bCs w:val="1"/>
          <w:i w:val="1"/>
          <w:iCs w:val="1"/>
          <w:color w:val="auto"/>
        </w:rPr>
        <w:t>Exercising Investors</w:t>
      </w:r>
      <w:r>
        <w:rPr>
          <w:rFonts w:ascii="Times New Roman" w:cs="Times New Roman" w:eastAsia="Times New Roman" w:hAnsi="Times New Roman"/>
          <w:sz w:val="20"/>
          <w:szCs w:val="20"/>
          <w:color w:val="auto"/>
        </w:rPr>
        <w:t>”) (with a copy to the Selling Holder). Each Exercising Investor shall, subject to the provisions of this Section 4.2(d), have an additional option to purchase all or any part of the balance of any such remaining unsubscribed shares of Transfer Stock on the terms and conditions set forth in the Proposed Transfer Notice. To exercise such option, an Exercising Investor must deliver an Undersubscription Notice to the Selling Holder and the Company within ten (10) days after the expiration of the Investor Notice Period. In the event there are two or more such Exercising Investors that choose to exercise the last-mentioned option for a total number of remaining shares in excess of the number available,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21" w:right="339" w:bottom="1440" w:gutter="0" w:footer="0" w:header="0"/>
        </w:sectPr>
      </w:pPr>
    </w:p>
    <w:bookmarkStart w:id="396" w:name="page397"/>
    <w:bookmarkEnd w:id="396"/>
    <w:p>
      <w:pPr>
        <w:jc w:val="both"/>
        <w:spacing w:after="0" w:line="254" w:lineRule="auto"/>
        <w:rPr>
          <w:sz w:val="20"/>
          <w:szCs w:val="20"/>
          <w:color w:val="auto"/>
        </w:rPr>
      </w:pPr>
      <w:r>
        <w:rPr>
          <w:rFonts w:ascii="Times New Roman" w:cs="Times New Roman" w:eastAsia="Times New Roman" w:hAnsi="Times New Roman"/>
          <w:sz w:val="20"/>
          <w:szCs w:val="20"/>
          <w:color w:val="auto"/>
        </w:rPr>
        <w:t>shares available for purchase under this Section 4.2(d) shall be allocated to such Exercising Investors pro rata based on the number of shares of Transfer Stock such Exercising Investors have elected to purchase pursuant to the Secondary Refusal Right (without giving effect to any shares of Transfer Stock that any such Exercising Investor has elected to purchase pursuant to the Company Undersubscription Notice). If the options to purchase the remaining shares are exercised in full by the Exercising Investors, the Company shall immediately notify all of the Exercising Investors and the Selling Holder of that fact.</w:t>
      </w:r>
    </w:p>
    <w:p>
      <w:pPr>
        <w:spacing w:after="0" w:line="158" w:lineRule="exact"/>
        <w:rPr>
          <w:sz w:val="20"/>
          <w:szCs w:val="20"/>
          <w:color w:val="auto"/>
        </w:rPr>
      </w:pPr>
    </w:p>
    <w:p>
      <w:pPr>
        <w:jc w:val="both"/>
        <w:ind w:firstLine="1194"/>
        <w:spacing w:after="0" w:line="252" w:lineRule="auto"/>
        <w:tabs>
          <w:tab w:leader="none" w:pos="1789"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Consideration; Closing</w:t>
      </w:r>
      <w:r>
        <w:rPr>
          <w:rFonts w:ascii="Times New Roman" w:cs="Times New Roman" w:eastAsia="Times New Roman" w:hAnsi="Times New Roman"/>
          <w:sz w:val="20"/>
          <w:szCs w:val="20"/>
          <w:color w:val="auto"/>
        </w:rPr>
        <w:t>. If the consideration proposed to be paid for the Transfer Stock is in property, services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non-cash consideration, the fair market value of the consideration shall be as determined in good faith by the Board and as set forth in the Company Notice. If the Company or any Major Investor cannot for any reason pay for the Transfer Stock in the same form of non-cash consideration, the Company or such Major Investor may pay the cash value equivalent thereof, as determined in good faith by the Board and as set forth in the Company Notice. The closing of the purchase of Transfer Stock by the Company and the Major Investors shall take place, and all payments from the Company and the Major Investors shall have been delivered to the Selling Holder, by the later of (i) the date specified in the Proposed Transfer Notice as the intended date of the Proposed Transfer and (ii) forty-five (45) days after delivery of the Proposed Transfer Notice.</w:t>
      </w:r>
    </w:p>
    <w:p>
      <w:pPr>
        <w:spacing w:after="0" w:line="165"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Right of Co-Sale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1194"/>
        <w:spacing w:after="0" w:line="252" w:lineRule="auto"/>
        <w:tabs>
          <w:tab w:leader="none" w:pos="1789"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Exercise of Right</w:t>
      </w:r>
      <w:r>
        <w:rPr>
          <w:rFonts w:ascii="Times New Roman" w:cs="Times New Roman" w:eastAsia="Times New Roman" w:hAnsi="Times New Roman"/>
          <w:sz w:val="20"/>
          <w:szCs w:val="20"/>
          <w:color w:val="auto"/>
        </w:rPr>
        <w:t>. If any Transfer Stock proposed to be transferred by a Selling Holder is not purchased pursuant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Section 4.2 above and thereafter is to be sold to a Prospective Transferee, each Major Investor may elect to exercise its Right of Co-Sale and participate on a pro rata basis in the Proposed Transfer as set forth in Section 4.3(b) below and otherwise on the same terms and conditions specified in the Proposed Transfer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 Major Investor wishes to sell Preferred Stock, the price set forth in the Proposed Transfer Notice shall be appropriately adjusted based on the conversion ratio of the Preferred Stock into Common Stock). Each Major Investor who desires to exercise its Right of Co-Sale must give the Selling Holder (with a copy to the Company) written notice to that effect within fifteen (15) days after the deadline for delivery of the Secondary Notice described above, and upon giving such notice such Major Investor shall be deemed to have effectively exercised the Right of Co-Sale.</w:t>
      </w:r>
    </w:p>
    <w:p>
      <w:pPr>
        <w:spacing w:after="0" w:line="158" w:lineRule="exact"/>
        <w:rPr>
          <w:rFonts w:ascii="Times New Roman" w:cs="Times New Roman" w:eastAsia="Times New Roman" w:hAnsi="Times New Roman"/>
          <w:sz w:val="20"/>
          <w:szCs w:val="20"/>
          <w:color w:val="auto"/>
        </w:rPr>
      </w:pPr>
    </w:p>
    <w:p>
      <w:pPr>
        <w:jc w:val="both"/>
        <w:ind w:firstLine="1194"/>
        <w:spacing w:after="0" w:line="252" w:lineRule="auto"/>
        <w:tabs>
          <w:tab w:leader="none" w:pos="1788"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Shares Includable</w:t>
      </w:r>
      <w:r>
        <w:rPr>
          <w:rFonts w:ascii="Times New Roman" w:cs="Times New Roman" w:eastAsia="Times New Roman" w:hAnsi="Times New Roman"/>
          <w:sz w:val="20"/>
          <w:szCs w:val="20"/>
          <w:color w:val="auto"/>
        </w:rPr>
        <w:t>. Each Major Investor who timely exercises such Investor’s Right of Co-Sale by delivering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written notice provided for above in Section 4.3(a) may include in the Proposed Transfer all or any part of such Major Investor’s Capital Stock equal to the product obtained by multiplying (i) the aggregate number of shares of Transfer Stock subject to the Proposed Transfer (excluding shares purchased by the Company or the Major Investors pursuant to the Right of First Refusal or the Secondary Refusal Right) by (ii) a fraction, the numerator of which is the number of shares of Capital Stock owned by such Major Investor immediately before consummation of the Proposed Transfer and the denominator of which is the total number of shares of Capital Stock owned, in the aggregate, by all Major Investors immediately prior to the consummation of the Proposed Transfer, plus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21" w:right="339" w:bottom="1440" w:gutter="0" w:footer="0" w:header="0"/>
        </w:sectPr>
      </w:pPr>
    </w:p>
    <w:bookmarkStart w:id="397" w:name="page398"/>
    <w:bookmarkEnd w:id="397"/>
    <w:p>
      <w:pPr>
        <w:jc w:val="both"/>
        <w:spacing w:after="0" w:line="262" w:lineRule="auto"/>
        <w:rPr>
          <w:sz w:val="20"/>
          <w:szCs w:val="20"/>
          <w:color w:val="auto"/>
        </w:rPr>
      </w:pPr>
      <w:r>
        <w:rPr>
          <w:rFonts w:ascii="Times New Roman" w:cs="Times New Roman" w:eastAsia="Times New Roman" w:hAnsi="Times New Roman"/>
          <w:sz w:val="20"/>
          <w:szCs w:val="20"/>
          <w:color w:val="auto"/>
        </w:rPr>
        <w:t>Transfer Stock held by the Selling Holder. To the extent one or more of the Major Investors exercise such right of participation in accordance with the terms and conditions set forth herein, the number of shares of Transfer Stock that the Selling Holder may sell in the Proposed Transfer shall be correspondingly reduced.</w:t>
      </w:r>
    </w:p>
    <w:p>
      <w:pPr>
        <w:spacing w:after="0" w:line="149" w:lineRule="exact"/>
        <w:rPr>
          <w:sz w:val="20"/>
          <w:szCs w:val="20"/>
          <w:color w:val="auto"/>
        </w:rPr>
      </w:pPr>
    </w:p>
    <w:p>
      <w:pPr>
        <w:jc w:val="both"/>
        <w:ind w:firstLine="1194"/>
        <w:spacing w:after="0" w:line="265" w:lineRule="auto"/>
        <w:tabs>
          <w:tab w:leader="none" w:pos="1789"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Delivery of Certificates</w:t>
      </w:r>
      <w:r>
        <w:rPr>
          <w:rFonts w:ascii="Times New Roman" w:cs="Times New Roman" w:eastAsia="Times New Roman" w:hAnsi="Times New Roman"/>
          <w:sz w:val="20"/>
          <w:szCs w:val="20"/>
          <w:color w:val="auto"/>
        </w:rPr>
        <w:t>. Each Major Investor shall effect its participation in the Proposed Transfer by delivering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Selling Holder, no later than fifteen (15) days after such Major Investor’s exercise of the Right of Co-Sale, one or more stock certificates, properly endorsed for transfer to the Prospective Transferee, representing:</w:t>
      </w:r>
    </w:p>
    <w:p>
      <w:pPr>
        <w:spacing w:after="0" w:line="152" w:lineRule="exact"/>
        <w:rPr>
          <w:rFonts w:ascii="Times New Roman" w:cs="Times New Roman" w:eastAsia="Times New Roman" w:hAnsi="Times New Roman"/>
          <w:sz w:val="20"/>
          <w:szCs w:val="20"/>
          <w:color w:val="auto"/>
        </w:rPr>
      </w:pPr>
    </w:p>
    <w:p>
      <w:pPr>
        <w:ind w:left="2380" w:hanging="589"/>
        <w:spacing w:after="0"/>
        <w:tabs>
          <w:tab w:leader="none" w:pos="2380"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Common Stock that such Major Investor elects to include in the Proposed Transfer; or</w:t>
      </w:r>
    </w:p>
    <w:p>
      <w:pPr>
        <w:spacing w:after="0" w:line="205" w:lineRule="exact"/>
        <w:rPr>
          <w:rFonts w:ascii="Times New Roman" w:cs="Times New Roman" w:eastAsia="Times New Roman" w:hAnsi="Times New Roman"/>
          <w:sz w:val="20"/>
          <w:szCs w:val="20"/>
          <w:color w:val="auto"/>
        </w:rPr>
      </w:pPr>
    </w:p>
    <w:p>
      <w:pPr>
        <w:jc w:val="both"/>
        <w:ind w:firstLine="1791"/>
        <w:spacing w:after="0" w:line="254" w:lineRule="auto"/>
        <w:tabs>
          <w:tab w:leader="none" w:pos="2383"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number of shares of Preferred Stock that is at such time convertible into the number of shares of Common Stock that such Major Investor elects to include in the Proposed Transfer;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Prospective Transferee objects to the delivery of convertible Preferred Stock in lieu of Common Stock, such Major Investor shall first convert the Preferred Stock into Common Stock and deliver Common Stock as provided above. The Company agrees to make any such conversion concurrent with and contingent upon the actual transfer of such shares to the Prospective Transferee.</w:t>
      </w:r>
    </w:p>
    <w:p>
      <w:pPr>
        <w:spacing w:after="0" w:line="158" w:lineRule="exact"/>
        <w:rPr>
          <w:rFonts w:ascii="Times New Roman" w:cs="Times New Roman" w:eastAsia="Times New Roman" w:hAnsi="Times New Roman"/>
          <w:sz w:val="20"/>
          <w:szCs w:val="20"/>
          <w:color w:val="auto"/>
        </w:rPr>
      </w:pPr>
    </w:p>
    <w:p>
      <w:pPr>
        <w:jc w:val="both"/>
        <w:ind w:firstLine="1194"/>
        <w:spacing w:after="0" w:line="259" w:lineRule="auto"/>
        <w:tabs>
          <w:tab w:leader="none" w:pos="1788"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Purchase Agreement</w:t>
      </w:r>
      <w:r>
        <w:rPr>
          <w:rFonts w:ascii="Times New Roman" w:cs="Times New Roman" w:eastAsia="Times New Roman" w:hAnsi="Times New Roman"/>
          <w:sz w:val="20"/>
          <w:szCs w:val="20"/>
          <w:color w:val="auto"/>
        </w:rPr>
        <w:t>. The parties hereby agree that the terms and conditions of any sale pursuant to this Section 4.3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be memorialized in, and governed by, a written purchase and sale agreement with customary terms and provisions for such a transaction and the parties further covenant and agree to enter into such an agreement as a condition precedent to any sale or other transfer pursuant to this Section 4.3.</w:t>
      </w:r>
    </w:p>
    <w:p>
      <w:pPr>
        <w:spacing w:after="0" w:line="152" w:lineRule="exact"/>
        <w:rPr>
          <w:rFonts w:ascii="Times New Roman" w:cs="Times New Roman" w:eastAsia="Times New Roman" w:hAnsi="Times New Roman"/>
          <w:sz w:val="20"/>
          <w:szCs w:val="20"/>
          <w:color w:val="auto"/>
        </w:rPr>
      </w:pPr>
    </w:p>
    <w:p>
      <w:pPr>
        <w:jc w:val="both"/>
        <w:ind w:firstLine="1194"/>
        <w:spacing w:after="0" w:line="251" w:lineRule="auto"/>
        <w:tabs>
          <w:tab w:leader="none" w:pos="1789"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Deliveries</w:t>
      </w:r>
      <w:r>
        <w:rPr>
          <w:rFonts w:ascii="Times New Roman" w:cs="Times New Roman" w:eastAsia="Times New Roman" w:hAnsi="Times New Roman"/>
          <w:sz w:val="20"/>
          <w:szCs w:val="20"/>
          <w:color w:val="auto"/>
        </w:rPr>
        <w:t>. Each stock certificate a Major Investor delivers to the Selling Holder pursuant to Section 4.3(c) above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 transferred to the Prospective Transferee against payment therefor in consummation of the sale of the Transfer Stock pursuant to the terms and conditions specified in the Proposed Transfer Notice and the purchase and sale agreement, and the Selling Holder shall concurrently therewith remit or direct payment to each Major Investor the portion of the sale proceeds to which such Major Investor is entitled by reason of its participation in such sale. If any Prospective Transferee or Transferees refuse(s) to purchase securities subject to the Right of Co-Sale from any Major Investor exercising its Right of Co-Sale hereunder, no Key Holder may sell any Transfer Stock to such Prospective Transferee or Transferees unless and until, simultaneously with such sale, such Key Holder purchases all securities subject to the Right of Co-Sale from such Major Investor on the same terms and conditions (including the proposed purchase price) as set forth in the Proposed Transfer Notice.</w:t>
      </w:r>
    </w:p>
    <w:p>
      <w:pPr>
        <w:spacing w:after="0" w:line="162" w:lineRule="exact"/>
        <w:rPr>
          <w:rFonts w:ascii="Times New Roman" w:cs="Times New Roman" w:eastAsia="Times New Roman" w:hAnsi="Times New Roman"/>
          <w:sz w:val="20"/>
          <w:szCs w:val="20"/>
          <w:color w:val="auto"/>
        </w:rPr>
      </w:pPr>
    </w:p>
    <w:p>
      <w:pPr>
        <w:jc w:val="both"/>
        <w:ind w:firstLine="1194"/>
        <w:spacing w:after="0" w:line="259" w:lineRule="auto"/>
        <w:tabs>
          <w:tab w:leader="none" w:pos="179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Additional Compliance</w:t>
      </w:r>
      <w:r>
        <w:rPr>
          <w:rFonts w:ascii="Times New Roman" w:cs="Times New Roman" w:eastAsia="Times New Roman" w:hAnsi="Times New Roman"/>
          <w:sz w:val="20"/>
          <w:szCs w:val="20"/>
          <w:color w:val="auto"/>
        </w:rPr>
        <w:t>. If any Proposed Transfer is not consummated within forty-five (45) days after receipt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Proposed Transfer Notice by the Company, the Key Holders proposing the Proposed Transfer may not sell any Transfer Stock unless they first comply in full with each provision of this Section 4. The exercise or election not to exercise any right by any Major Investor hereunder shall not adversely affect its right to participate in any other sales of Transfer Stock subject to this Section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21" w:right="339" w:bottom="1440" w:gutter="0" w:footer="0" w:header="0"/>
        </w:sectPr>
      </w:pPr>
    </w:p>
    <w:bookmarkStart w:id="398" w:name="page399"/>
    <w:bookmarkEnd w:id="398"/>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Effect of Failure to Comply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1194"/>
        <w:spacing w:after="0" w:line="252" w:lineRule="auto"/>
        <w:tabs>
          <w:tab w:leader="none" w:pos="1789"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Transfer Void; Equitable Relief</w:t>
      </w:r>
      <w:r>
        <w:rPr>
          <w:rFonts w:ascii="Times New Roman" w:cs="Times New Roman" w:eastAsia="Times New Roman" w:hAnsi="Times New Roman"/>
          <w:sz w:val="20"/>
          <w:szCs w:val="20"/>
          <w:color w:val="auto"/>
        </w:rPr>
        <w:t>. Any Proposed Transfer not made in compliance with the requirements of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shall be null and void ab initio, shall not be recorded on the books of the Company or its transfer agent and shall not be recognized by the Company. Each party hereto acknowledges and agrees that any breach of this Agreement would result in substantial harm to the other parties hereto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without limitation, seeking specific performance or the rescission of purchases, sales and other transfers of Transfer Stock not made in strict compliance with this Agreement).</w:t>
      </w:r>
    </w:p>
    <w:p>
      <w:pPr>
        <w:spacing w:after="0" w:line="163" w:lineRule="exact"/>
        <w:rPr>
          <w:rFonts w:ascii="Times New Roman" w:cs="Times New Roman" w:eastAsia="Times New Roman" w:hAnsi="Times New Roman"/>
          <w:sz w:val="20"/>
          <w:szCs w:val="20"/>
          <w:color w:val="auto"/>
        </w:rPr>
      </w:pPr>
    </w:p>
    <w:p>
      <w:pPr>
        <w:jc w:val="both"/>
        <w:ind w:firstLine="1194"/>
        <w:spacing w:after="0" w:line="254" w:lineRule="auto"/>
        <w:tabs>
          <w:tab w:leader="none" w:pos="17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Violation of First Refusal Right</w:t>
      </w:r>
      <w:r>
        <w:rPr>
          <w:rFonts w:ascii="Times New Roman" w:cs="Times New Roman" w:eastAsia="Times New Roman" w:hAnsi="Times New Roman"/>
          <w:sz w:val="20"/>
          <w:szCs w:val="20"/>
          <w:color w:val="auto"/>
        </w:rPr>
        <w:t>. If any Key Holder becomes obligated to sell any Transfer Stock to the Company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Major Investor under this Agreement and fails to deliver such Transfer Stock in accordance with the terms of this Agreement, the Company and/or such Major Investor may, at its option, in addition to all other remedies it may have, send to such Key Holder the purchase price for such Transfer Stock as is herein specified and transfer to the name of the Company or such Major Investor (or request that the Company effect such transfer in the name of a Major Investor) on the Company’s books the certificate or certificates representing the Transfer Stock to be sold.</w:t>
      </w:r>
    </w:p>
    <w:p>
      <w:pPr>
        <w:spacing w:after="0" w:line="157" w:lineRule="exact"/>
        <w:rPr>
          <w:rFonts w:ascii="Times New Roman" w:cs="Times New Roman" w:eastAsia="Times New Roman" w:hAnsi="Times New Roman"/>
          <w:sz w:val="20"/>
          <w:szCs w:val="20"/>
          <w:color w:val="auto"/>
        </w:rPr>
      </w:pPr>
    </w:p>
    <w:p>
      <w:pPr>
        <w:jc w:val="both"/>
        <w:ind w:firstLine="1194"/>
        <w:spacing w:after="0" w:line="252" w:lineRule="auto"/>
        <w:tabs>
          <w:tab w:leader="none" w:pos="1789"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Violation of Co-Sale Right</w:t>
      </w:r>
      <w:r>
        <w:rPr>
          <w:rFonts w:ascii="Times New Roman" w:cs="Times New Roman" w:eastAsia="Times New Roman" w:hAnsi="Times New Roman"/>
          <w:sz w:val="20"/>
          <w:szCs w:val="20"/>
          <w:color w:val="auto"/>
        </w:rPr>
        <w:t>. If any Key Holder purports to sell any Transfer Stock in contravention of the Right of Co-Sale (a “</w:t>
      </w:r>
      <w:r>
        <w:rPr>
          <w:rFonts w:ascii="Times New Roman" w:cs="Times New Roman" w:eastAsia="Times New Roman" w:hAnsi="Times New Roman"/>
          <w:sz w:val="20"/>
          <w:szCs w:val="20"/>
          <w:b w:val="1"/>
          <w:bCs w:val="1"/>
          <w:i w:val="1"/>
          <w:iCs w:val="1"/>
          <w:color w:val="auto"/>
        </w:rPr>
        <w:t>Prohibited Transfer</w:t>
      </w:r>
      <w:r>
        <w:rPr>
          <w:rFonts w:ascii="Times New Roman" w:cs="Times New Roman" w:eastAsia="Times New Roman" w:hAnsi="Times New Roman"/>
          <w:sz w:val="20"/>
          <w:szCs w:val="20"/>
          <w:color w:val="auto"/>
        </w:rPr>
        <w:t>”), each Major Investor who desires to exercise its Right of Co-Sale under Section 4.3 may, in addition to such remedies as may be available by law, in equity or hereunder, require such Key Holder to purchase from such Major Investor the type and number of shares of Capital Stock that such Major Investor would have been entitled to sell to the Prospective Transferee under Section 4.3 had the Prohibited Transfer been effected pursuant to and in compliance with the terms of Section 4.3. The sale will be made on the same terms and subject to the same conditions as would have applied had the Key Holder not made the Prohibited Transfer, except that the sale (including, without limitation, the delivery of the purchase price) must be made within ninety (90) days after the Investor learns of the Prohibited Transfer, as opposed to the timeframe proscribed in Section 4.3.</w:t>
      </w:r>
    </w:p>
    <w:p>
      <w:pPr>
        <w:spacing w:after="0" w:line="165"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Exempted Transfers</w:t>
      </w:r>
      <w:r>
        <w:rPr>
          <w:rFonts w:ascii="Times New Roman" w:cs="Times New Roman" w:eastAsia="Times New Roman" w:hAnsi="Times New Roman"/>
          <w:sz w:val="20"/>
          <w:szCs w:val="20"/>
          <w:color w:val="auto"/>
        </w:rPr>
        <w:t>. Notwithstanding the foregoing or anything to the contrary herein, the provisions of Sections 4.2 and 4.3 shall not apply (a) upon a transfer of Transfer Stock by a Key Holder made for bona fide estate planning purposes, either during his or her lifetime or on death by will or intestacy to his or her spouse, child (natural or adopted), or any other direct lineal descendant of such Key Holder (or his or her spouse) (all of the foregoing collectively referred to as “</w:t>
      </w:r>
      <w:r>
        <w:rPr>
          <w:rFonts w:ascii="Times New Roman" w:cs="Times New Roman" w:eastAsia="Times New Roman" w:hAnsi="Times New Roman"/>
          <w:sz w:val="20"/>
          <w:szCs w:val="20"/>
          <w:b w:val="1"/>
          <w:bCs w:val="1"/>
          <w:i w:val="1"/>
          <w:iCs w:val="1"/>
          <w:color w:val="auto"/>
        </w:rPr>
        <w:t>family members</w:t>
      </w:r>
      <w:r>
        <w:rPr>
          <w:rFonts w:ascii="Times New Roman" w:cs="Times New Roman" w:eastAsia="Times New Roman" w:hAnsi="Times New Roman"/>
          <w:sz w:val="20"/>
          <w:szCs w:val="20"/>
          <w:color w:val="auto"/>
        </w:rPr>
        <w:t>”), or any custodian or trustee of any trust, partnership or limited liability company for the benefit of, or the ownership interests of which are owned wholly by, such Key Holder or any such family members; (b) to any sale of Transfer Stock in connection with a QPO; (c) to a transfer of Transfer Stock by a Holder which in the aggregate, over the term of this Agreement, amounts to no more than 7.5% of the Shares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21" w:right="339" w:bottom="1440" w:gutter="0" w:footer="0" w:header="0"/>
        </w:sectPr>
      </w:pPr>
    </w:p>
    <w:bookmarkStart w:id="399" w:name="page400"/>
    <w:bookmarkEnd w:id="399"/>
    <w:p>
      <w:pPr>
        <w:jc w:val="both"/>
        <w:spacing w:after="0" w:line="251" w:lineRule="auto"/>
        <w:rPr>
          <w:sz w:val="20"/>
          <w:szCs w:val="20"/>
          <w:color w:val="auto"/>
        </w:rPr>
      </w:pPr>
      <w:r>
        <w:rPr>
          <w:rFonts w:ascii="Times New Roman" w:cs="Times New Roman" w:eastAsia="Times New Roman" w:hAnsi="Times New Roman"/>
          <w:sz w:val="20"/>
          <w:szCs w:val="20"/>
          <w:color w:val="auto"/>
        </w:rPr>
        <w:t>such Holder; (d) to any bona fide gift of Transfer Stock to any charitable organization described in Section 501(c)(3) of the Internal Revenue Code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xml:space="preserve">”); or (e) to a transfer of Transfer Stock by one or more Key Holders pursuant to the Tender Offer (as defined in the Purchase Agreement, as may be amended from time to time) approved by the Board of Directors;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solely in the case of clauses (a), (c) and (d) the Key Holder shall deliver prior written notice to the Major Investors of such pledge, gift or transfer and such shares of Transfer Stock shall at all times remain subject to the terms and restrictions set forth in this Agreement and such transferee shall, as a condition to such issuance, deliver a counterpart signature page to this Agreement as confirmation that such transferee shall be bound by all the terms and conditions of this Agreement as a Key Holder (but only with respect to the securities so transferred to the transferee), including the obligations of a Key Holder with respect to Proposed Transfers of such Transfer Stock pursuant to Section 4.</w:t>
      </w:r>
    </w:p>
    <w:p>
      <w:pPr>
        <w:spacing w:after="0" w:line="166"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 provisions of Section 4 shall terminate and be of no further force or effect upon (and shall not apply in connection with) (i) the consummation of a QPO or (ii) upon a Deemed Liquidation Event, whichever event occurs first.</w:t>
      </w:r>
    </w:p>
    <w:p>
      <w:pPr>
        <w:spacing w:after="0" w:line="141" w:lineRule="exact"/>
        <w:rPr>
          <w:sz w:val="20"/>
          <w:szCs w:val="20"/>
          <w:color w:val="auto"/>
        </w:rPr>
      </w:pPr>
    </w:p>
    <w:p>
      <w:pPr>
        <w:ind w:left="600" w:hanging="600"/>
        <w:spacing w:after="0"/>
        <w:tabs>
          <w:tab w:leader="none" w:pos="60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to Future Stock Issuances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Right of First Offer</w:t>
      </w:r>
      <w:r>
        <w:rPr>
          <w:rFonts w:ascii="Times New Roman" w:cs="Times New Roman" w:eastAsia="Times New Roman" w:hAnsi="Times New Roman"/>
          <w:sz w:val="20"/>
          <w:szCs w:val="20"/>
          <w:color w:val="auto"/>
        </w:rPr>
        <w:t>. Subject to the terms and conditions of this Section 5.1 and applicable securities laws, if the Company proposes to offer or sell any New Securities, the Company shall first offer such New Securities to each Major Investor. A Major Investor shall be entitled to apportion the right of first offer hereby granted to it among itself and its Affiliates in such proportions as it deems appropriate.</w:t>
      </w:r>
    </w:p>
    <w:p>
      <w:pPr>
        <w:spacing w:after="0" w:line="158" w:lineRule="exact"/>
        <w:rPr>
          <w:sz w:val="20"/>
          <w:szCs w:val="20"/>
          <w:color w:val="auto"/>
        </w:rPr>
      </w:pPr>
    </w:p>
    <w:p>
      <w:pPr>
        <w:jc w:val="both"/>
        <w:ind w:firstLine="1194"/>
        <w:spacing w:after="0" w:line="265" w:lineRule="auto"/>
        <w:tabs>
          <w:tab w:leader="none" w:pos="1789"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give notice (the “</w:t>
      </w:r>
      <w:r>
        <w:rPr>
          <w:rFonts w:ascii="Times New Roman" w:cs="Times New Roman" w:eastAsia="Times New Roman" w:hAnsi="Times New Roman"/>
          <w:sz w:val="20"/>
          <w:szCs w:val="20"/>
          <w:b w:val="1"/>
          <w:bCs w:val="1"/>
          <w:i w:val="1"/>
          <w:iCs w:val="1"/>
          <w:color w:val="auto"/>
        </w:rPr>
        <w:t>Offer Notice</w:t>
      </w:r>
      <w:r>
        <w:rPr>
          <w:rFonts w:ascii="Times New Roman" w:cs="Times New Roman" w:eastAsia="Times New Roman" w:hAnsi="Times New Roman"/>
          <w:sz w:val="20"/>
          <w:szCs w:val="20"/>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52" w:lineRule="exact"/>
        <w:rPr>
          <w:rFonts w:ascii="Times New Roman" w:cs="Times New Roman" w:eastAsia="Times New Roman" w:hAnsi="Times New Roman"/>
          <w:sz w:val="20"/>
          <w:szCs w:val="20"/>
          <w:color w:val="auto"/>
        </w:rPr>
      </w:pPr>
    </w:p>
    <w:p>
      <w:pPr>
        <w:jc w:val="both"/>
        <w:ind w:firstLine="1194"/>
        <w:spacing w:after="0" w:line="249" w:lineRule="auto"/>
        <w:tabs>
          <w:tab w:leader="none" w:pos="1788"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issued and held, or issuable (directly or indirectly) upon conversion and/or exercise, as applicable, of the Preferred Stock and any other Capital Stock then held, by such Major Investor bears to the total Common Stock then outstanding (assuming full conversion and/or exercise, as applicable, of all Preferred Stock and any other Capital Stock). At the expiration of such twenty (20) day period, the Company shall promptly notify each Major Investor that elects to purchase or acquire all the shares available to it (each, a “</w:t>
      </w:r>
      <w:r>
        <w:rPr>
          <w:rFonts w:ascii="Times New Roman" w:cs="Times New Roman" w:eastAsia="Times New Roman" w:hAnsi="Times New Roman"/>
          <w:sz w:val="20"/>
          <w:szCs w:val="20"/>
          <w:b w:val="1"/>
          <w:bCs w:val="1"/>
          <w:i w:val="1"/>
          <w:iCs w:val="1"/>
          <w:color w:val="auto"/>
        </w:rPr>
        <w:t>Fully Exercising Investor</w:t>
      </w:r>
      <w:r>
        <w:rPr>
          <w:rFonts w:ascii="Times New Roman" w:cs="Times New Roman" w:eastAsia="Times New Roman" w:hAnsi="Times New Roman"/>
          <w:sz w:val="20"/>
          <w:szCs w:val="20"/>
          <w:color w:val="auto"/>
        </w:rPr>
        <w:t>”)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21" w:right="339" w:bottom="1440" w:gutter="0" w:footer="0" w:header="0"/>
        </w:sectPr>
      </w:pPr>
    </w:p>
    <w:bookmarkStart w:id="400" w:name="page401"/>
    <w:bookmarkEnd w:id="400"/>
    <w:p>
      <w:pPr>
        <w:jc w:val="both"/>
        <w:spacing w:after="0" w:line="256" w:lineRule="auto"/>
        <w:rPr>
          <w:sz w:val="20"/>
          <w:szCs w:val="20"/>
          <w:color w:val="auto"/>
        </w:rPr>
      </w:pPr>
      <w:r>
        <w:rPr>
          <w:rFonts w:ascii="Times New Roman" w:cs="Times New Roman" w:eastAsia="Times New Roman" w:hAnsi="Times New Roman"/>
          <w:sz w:val="20"/>
          <w:szCs w:val="20"/>
          <w:color w:val="auto"/>
        </w:rPr>
        <w:t>Capital Stock then held, by such Fully Exercising Investor bears to the Common Stock issued and held, or issuable (directly or indirectly) upon conversion and/or exercise, as applicable, of the Preferred Stock and any other Capital Stock then held, by all Fully Exercising Investors who wish to purchase such unsubscribed shares. The closing of any sale pursuant to this Section 5.1(b) shall occur within the later of ninety (90) days of the date that the Offer Notice is given and the date of initial sale of New Securities pursuant to Section 5.1(c).</w:t>
      </w:r>
    </w:p>
    <w:p>
      <w:pPr>
        <w:spacing w:after="0" w:line="164" w:lineRule="exact"/>
        <w:rPr>
          <w:sz w:val="20"/>
          <w:szCs w:val="20"/>
          <w:color w:val="auto"/>
        </w:rPr>
      </w:pPr>
    </w:p>
    <w:p>
      <w:pPr>
        <w:jc w:val="both"/>
        <w:ind w:firstLine="1194"/>
        <w:spacing w:after="0" w:line="252" w:lineRule="auto"/>
        <w:tabs>
          <w:tab w:leader="none" w:pos="1789"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during the one hundred twenty (120) day period following the expiration of the periods provided in Section 5.1(b), offer and sell the portion of New Securities, which were not purchased or acquired as provided in Section 5.1(b),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Section 5.1.</w:t>
      </w:r>
    </w:p>
    <w:p>
      <w:pPr>
        <w:spacing w:after="0" w:line="168"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8"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first offer in this Section 5.1 shall not be applicable to (i) Exempted Securities (as defined in the Restated Certificate), (ii) shares of Common Stock issued in the IPO and (iii) shares of Series F Preferred Stock issued pursuant to the Purchase Agreement.</w:t>
      </w:r>
    </w:p>
    <w:p>
      <w:pPr>
        <w:spacing w:after="0" w:line="155" w:lineRule="exact"/>
        <w:rPr>
          <w:sz w:val="20"/>
          <w:szCs w:val="20"/>
          <w:color w:val="auto"/>
        </w:rPr>
      </w:pPr>
    </w:p>
    <w:p>
      <w:pPr>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 covenants set forth in Section 5.1 shall terminate and be of no further force or effect (i) immediately before the consummation of a QPO or (ii) upon a Deemed Liquidation Event, whichever event occurs first.</w:t>
      </w:r>
    </w:p>
    <w:p>
      <w:pPr>
        <w:spacing w:after="0" w:line="141" w:lineRule="exact"/>
        <w:rPr>
          <w:sz w:val="20"/>
          <w:szCs w:val="20"/>
          <w:color w:val="auto"/>
        </w:rPr>
      </w:pPr>
    </w:p>
    <w:p>
      <w:pPr>
        <w:ind w:left="600" w:hanging="600"/>
        <w:spacing w:after="0"/>
        <w:tabs>
          <w:tab w:leader="none" w:pos="60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Rights</w:t>
      </w:r>
    </w:p>
    <w:p>
      <w:pPr>
        <w:spacing w:after="0" w:line="205"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Delivery of Financial Statements</w:t>
      </w:r>
      <w:r>
        <w:rPr>
          <w:rFonts w:ascii="Times New Roman" w:cs="Times New Roman" w:eastAsia="Times New Roman" w:hAnsi="Times New Roman"/>
          <w:sz w:val="20"/>
          <w:szCs w:val="20"/>
          <w:color w:val="auto"/>
        </w:rPr>
        <w:t>. The Company shall deliver to each Major Investor:</w:t>
      </w:r>
    </w:p>
    <w:p>
      <w:pPr>
        <w:spacing w:after="0" w:line="205" w:lineRule="exact"/>
        <w:rPr>
          <w:rFonts w:ascii="Times New Roman" w:cs="Times New Roman" w:eastAsia="Times New Roman" w:hAnsi="Times New Roman"/>
          <w:sz w:val="20"/>
          <w:szCs w:val="20"/>
          <w:color w:val="auto"/>
        </w:rPr>
      </w:pPr>
    </w:p>
    <w:p>
      <w:pPr>
        <w:jc w:val="both"/>
        <w:ind w:firstLine="1194"/>
        <w:spacing w:after="0" w:line="254" w:lineRule="auto"/>
        <w:tabs>
          <w:tab w:leader="none" w:pos="1789"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within one hundred twenty (120) days after the end of each fiscal year of the Company, (i) an audited balance sheet as of the end of such year, (ii) audited statements of income and of cash flows for such year, and (iii) an audited statement of stockholders’ equity as of the end of such year. Such yearend financial reports to be in reasonable detail, prepared in accordance with generally accepted accounting principles (“</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and audited and certified by independent public accountants of nationally recognized standing selected by the Company;</w:t>
      </w:r>
    </w:p>
    <w:p>
      <w:pPr>
        <w:spacing w:after="0" w:line="164"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8"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within forty five (45) days after the end of each of the first three (3) quarters of each fiscal year of the Company, unaudited statements of income and of cash flows for such fiscal quarter, and an unaudited balance sheet as of the end of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21" w:right="339" w:bottom="1440" w:gutter="0" w:footer="0" w:header="0"/>
        </w:sectPr>
      </w:pPr>
    </w:p>
    <w:bookmarkStart w:id="401" w:name="page402"/>
    <w:bookmarkEnd w:id="401"/>
    <w:p>
      <w:pPr>
        <w:ind w:firstLine="1194"/>
        <w:spacing w:after="0" w:line="277" w:lineRule="auto"/>
        <w:tabs>
          <w:tab w:leader="none" w:pos="1789"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within thirty (30) days of the end of each month, an unaudited income statement and statement of cash flows for such month, and an unaudited balance sheet as of the end of such month;</w:t>
      </w:r>
    </w:p>
    <w:p>
      <w:pPr>
        <w:spacing w:after="0" w:line="141"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8"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sixty (60) days before the end of each fiscal year, a budget and business plan for the next fiscal year (collectively, the “</w:t>
      </w:r>
      <w:r>
        <w:rPr>
          <w:rFonts w:ascii="Times New Roman" w:cs="Times New Roman" w:eastAsia="Times New Roman" w:hAnsi="Times New Roman"/>
          <w:sz w:val="20"/>
          <w:szCs w:val="20"/>
          <w:b w:val="1"/>
          <w:bCs w:val="1"/>
          <w:i w:val="1"/>
          <w:iCs w:val="1"/>
          <w:color w:val="auto"/>
        </w:rPr>
        <w:t>Budget</w:t>
      </w:r>
      <w:r>
        <w:rPr>
          <w:rFonts w:ascii="Times New Roman" w:cs="Times New Roman" w:eastAsia="Times New Roman" w:hAnsi="Times New Roman"/>
          <w:sz w:val="20"/>
          <w:szCs w:val="20"/>
          <w:color w:val="auto"/>
        </w:rPr>
        <w:t>”), approved by the Board (including at least one of the Preferred Directors) and prepared on a monthly basis;</w:t>
      </w:r>
    </w:p>
    <w:p>
      <w:pPr>
        <w:spacing w:after="0" w:line="155" w:lineRule="exact"/>
        <w:rPr>
          <w:rFonts w:ascii="Times New Roman" w:cs="Times New Roman" w:eastAsia="Times New Roman" w:hAnsi="Times New Roman"/>
          <w:sz w:val="20"/>
          <w:szCs w:val="20"/>
          <w:color w:val="auto"/>
        </w:rPr>
      </w:pPr>
    </w:p>
    <w:p>
      <w:pPr>
        <w:jc w:val="both"/>
        <w:ind w:firstLine="1194"/>
        <w:spacing w:after="0" w:line="254" w:lineRule="auto"/>
        <w:tabs>
          <w:tab w:leader="none" w:pos="1789"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other information relating to the financial condition, business, prospects, or corporate affairs of the Company as any Major Investor may from time to time reasonably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shall not be obligated under this Section 6(e) to provide information (i) that the Company reasonably determines in good faith to be a trade secret or confidential information (unless covered by an enforceable confidentiality agreement, in form acceptable to the Company) or (ii) the disclosure of which would adversely affect the attorney-client privilege between the Company and its counsel.</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anything else in this Section 6 to the contrary, the Company may cease providing the information set forth in this Section 6 during the period starting with the date thirty (30) days before the Company’s good-faith estimate of the date of filing of a registration statement if it reasonably concludes it must do so to comply with the SEC rules applicable to such registration statement and related offering; provided, however, that the Company’s covenants under this Section 6 shall be reinstated at such time as the Company is no longer actively employing its commercially reasonable efforts to cause such registration statement to become effective.</w:t>
      </w:r>
    </w:p>
    <w:p>
      <w:pPr>
        <w:spacing w:after="0" w:line="164"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Inspection Rights</w:t>
      </w:r>
      <w:r>
        <w:rPr>
          <w:rFonts w:ascii="Times New Roman" w:cs="Times New Roman" w:eastAsia="Times New Roman" w:hAnsi="Times New Roman"/>
          <w:sz w:val="20"/>
          <w:szCs w:val="20"/>
          <w:color w:val="auto"/>
        </w:rPr>
        <w:t>.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provided, however, that the Company shall not be obligated pursuant to this Section 6.2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69"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u w:val="single" w:color="auto"/>
          <w:color w:val="auto"/>
        </w:rPr>
        <w:t>Termination of Information Rights</w:t>
      </w:r>
      <w:r>
        <w:rPr>
          <w:rFonts w:ascii="Times New Roman" w:cs="Times New Roman" w:eastAsia="Times New Roman" w:hAnsi="Times New Roman"/>
          <w:sz w:val="20"/>
          <w:szCs w:val="20"/>
          <w:color w:val="auto"/>
        </w:rPr>
        <w:t>. The covenants set forth in Section 6 shall terminate and be of no further force or effect</w:t>
      </w:r>
    </w:p>
    <w:p>
      <w:pPr>
        <w:spacing w:after="0" w:line="28" w:lineRule="exact"/>
        <w:rPr>
          <w:sz w:val="20"/>
          <w:szCs w:val="20"/>
          <w:color w:val="auto"/>
        </w:rPr>
      </w:pPr>
    </w:p>
    <w:p>
      <w:pPr>
        <w:spacing w:after="0" w:line="254" w:lineRule="auto"/>
        <w:tabs>
          <w:tab w:leader="none" w:pos="247"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the consummation of a QPO, (ii) when the Company first becomes subject to the periodic reporting requirements of Section 12(g) or 15(d) of the Exchange Act, or (iii) upon a Deemed Liquidation Event, whichever event occurs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21" w:right="339" w:bottom="1440" w:gutter="0" w:footer="0" w:header="0"/>
        </w:sectPr>
      </w:pPr>
    </w:p>
    <w:bookmarkStart w:id="402" w:name="page403"/>
    <w:bookmarkEnd w:id="402"/>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w:t>
      </w:r>
    </w:p>
    <w:p>
      <w:pPr>
        <w:spacing w:after="0" w:line="1" w:lineRule="exact"/>
        <w:rPr>
          <w:sz w:val="20"/>
          <w:szCs w:val="20"/>
          <w:color w:val="auto"/>
        </w:rPr>
      </w:pPr>
    </w:p>
    <w:p>
      <w:pPr>
        <w:jc w:val="both"/>
        <w:spacing w:after="0" w:line="247" w:lineRule="auto"/>
        <w:tabs>
          <w:tab w:leader="none" w:pos="276"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known or becomes known to the public in general (other than as a result of a breach of this Section 6.4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Section 6.4; (iii) 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(iv) as may otherwise be required by law,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the Investor promptly notifies the Company of such disclosure and takes reasonable steps to minimize the extent of any such required disclosure; or (v) with respect to Highland and Upfront, to its limited partners, prospective limited partners or otherwise in the ordinary course of business of Highland or Upfront, as applicable.</w:t>
      </w:r>
    </w:p>
    <w:p>
      <w:pPr>
        <w:spacing w:after="0" w:line="174"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Publicity</w:t>
      </w:r>
      <w:r>
        <w:rPr>
          <w:rFonts w:ascii="Times New Roman" w:cs="Times New Roman" w:eastAsia="Times New Roman" w:hAnsi="Times New Roman"/>
          <w:sz w:val="20"/>
          <w:szCs w:val="20"/>
          <w:color w:val="auto"/>
        </w:rPr>
        <w:t>. The Company will not issue any press release or make any public announcement regarding Willett Investors’ investment in the Company without the prior written consent of Willett Investors. Notwithstanding the foregoing, the Company may, without the prior consent of Willett Investors, (a) if Willett Investors’ investment in the Company has been publicly disclosed by or with the prior consent of Willett Investors, from then-forward confirm and/or disclose in public and non-public communications that Willett Investors has invested in the Company, without disclosing the terms or amount of such investment, or (b) disclose the terms and/or amount of Willett Investors’ investment (i) to a bona fide potential investor in or acquirer of the Company in connection with such potential investor’s or acquirer’s due diligence process, so long as such potential investor or acquirer has entered into a non-disclosure agreement or (ii) as required by law, rule, regulation or listing standard to do so.</w:t>
      </w:r>
    </w:p>
    <w:p>
      <w:pPr>
        <w:spacing w:after="0" w:line="166" w:lineRule="exact"/>
        <w:rPr>
          <w:sz w:val="20"/>
          <w:szCs w:val="20"/>
          <w:color w:val="auto"/>
        </w:rPr>
      </w:pPr>
    </w:p>
    <w:p>
      <w:pPr>
        <w:ind w:left="600" w:hanging="600"/>
        <w:spacing w:after="0"/>
        <w:tabs>
          <w:tab w:leader="none" w:pos="600"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Covenants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Board Matters</w:t>
      </w:r>
      <w:r>
        <w:rPr>
          <w:rFonts w:ascii="Times New Roman" w:cs="Times New Roman" w:eastAsia="Times New Roman" w:hAnsi="Times New Roman"/>
          <w:sz w:val="20"/>
          <w:szCs w:val="20"/>
          <w:color w:val="auto"/>
        </w:rPr>
        <w:t>. The Company shall reimburse the nonemployee directors for all reasonable out-of-pocket and documented travel expenses incurred (consistent with the Company’s travel policy) in connection with attending meetings of the Board.</w:t>
      </w:r>
    </w:p>
    <w:p>
      <w:pPr>
        <w:spacing w:after="0" w:line="141"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Successor Indemnification</w:t>
      </w:r>
      <w:r>
        <w:rPr>
          <w:rFonts w:ascii="Times New Roman" w:cs="Times New Roman" w:eastAsia="Times New Roman" w:hAnsi="Times New Roman"/>
          <w:sz w:val="20"/>
          <w:szCs w:val="20"/>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21" w:right="339" w:bottom="1440" w:gutter="0" w:footer="0" w:header="0"/>
        </w:sectPr>
      </w:pPr>
    </w:p>
    <w:bookmarkStart w:id="403" w:name="page404"/>
    <w:bookmarkEnd w:id="403"/>
    <w:p>
      <w:pPr>
        <w:jc w:val="both"/>
        <w:spacing w:after="0" w:line="277" w:lineRule="auto"/>
        <w:rPr>
          <w:sz w:val="20"/>
          <w:szCs w:val="20"/>
          <w:color w:val="auto"/>
        </w:rPr>
      </w:pPr>
      <w:r>
        <w:rPr>
          <w:rFonts w:ascii="Times New Roman" w:cs="Times New Roman" w:eastAsia="Times New Roman" w:hAnsi="Times New Roman"/>
          <w:sz w:val="20"/>
          <w:szCs w:val="20"/>
          <w:color w:val="auto"/>
        </w:rPr>
        <w:t>immediately before such transaction, whether such obligations are contained in the Company’s Bylaws, its Restated Certificate, or elsewhere, as the case may be.</w:t>
      </w:r>
    </w:p>
    <w:p>
      <w:pPr>
        <w:spacing w:after="0" w:line="141" w:lineRule="exact"/>
        <w:rPr>
          <w:sz w:val="20"/>
          <w:szCs w:val="20"/>
          <w:color w:val="auto"/>
        </w:rPr>
      </w:pPr>
    </w:p>
    <w:p>
      <w:pPr>
        <w:jc w:val="both"/>
        <w:ind w:firstLine="597"/>
        <w:spacing w:after="0" w:line="259"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Employee Agreements</w:t>
      </w:r>
      <w:r>
        <w:rPr>
          <w:rFonts w:ascii="Times New Roman" w:cs="Times New Roman" w:eastAsia="Times New Roman" w:hAnsi="Times New Roman"/>
          <w:sz w:val="20"/>
          <w:szCs w:val="20"/>
          <w:color w:val="auto"/>
        </w:rPr>
        <w:t>. The Company will cause each person now or hereafter employed by it or by any subsidiary (or engaged by the Company or any subsidiary as a consultant/independent contractor) with access to confidential information and/or trade secrets to enter into a nondisclosure, non-solicitation and proprietary rights assignment agreement, substantially in the form approved by the Board.</w:t>
      </w:r>
    </w:p>
    <w:p>
      <w:pPr>
        <w:spacing w:after="0" w:line="400"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Employee Stock</w:t>
      </w:r>
      <w:r>
        <w:rPr>
          <w:rFonts w:ascii="Times New Roman" w:cs="Times New Roman" w:eastAsia="Times New Roman" w:hAnsi="Times New Roman"/>
          <w:sz w:val="20"/>
          <w:szCs w:val="20"/>
          <w:color w:val="auto"/>
        </w:rPr>
        <w:t>. Unless otherwise approved by the Board, including the affirmative vote or written consent of the Preferred Directors, all future employees and consultants of the Company who purchase, receive options to purchase, or receive awards of shares of the Company’s capital stock after August 27, 2019 shall be required to execute restricted stock or option agreements, as applicable, providing for vesting of shares over a four (4) year period, with the first twenty-five percent (25%) of such shares vesting following twelve</w:t>
      </w:r>
    </w:p>
    <w:p>
      <w:pPr>
        <w:spacing w:after="0" w:line="2" w:lineRule="exact"/>
        <w:rPr>
          <w:sz w:val="20"/>
          <w:szCs w:val="20"/>
          <w:color w:val="auto"/>
        </w:rPr>
      </w:pPr>
    </w:p>
    <w:p>
      <w:pPr>
        <w:ind w:left="400" w:hanging="400"/>
        <w:spacing w:after="0"/>
        <w:tabs>
          <w:tab w:leader="none" w:pos="40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of continued employment or service, and the remaining shares vesting in equal monthly installments over the following three</w:t>
      </w:r>
    </w:p>
    <w:p>
      <w:pPr>
        <w:spacing w:after="0" w:line="6" w:lineRule="exact"/>
        <w:rPr>
          <w:rFonts w:ascii="Times New Roman" w:cs="Times New Roman" w:eastAsia="Times New Roman" w:hAnsi="Times New Roman"/>
          <w:sz w:val="20"/>
          <w:szCs w:val="20"/>
          <w:color w:val="auto"/>
        </w:rPr>
      </w:pPr>
    </w:p>
    <w:p>
      <w:pPr>
        <w:jc w:val="both"/>
        <w:spacing w:after="0" w:line="250" w:lineRule="auto"/>
        <w:tabs>
          <w:tab w:leader="none" w:pos="28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In addition, unless otherwise approved by the Board, including the affirmative vote or written consent of the Preferred Directors, the Company shall retain a “right of first refusal” on employee transfers until the IPO and shall have the right to repurchase unvested shares at cost upon termination of service of a holder of restricted stock.</w:t>
      </w:r>
    </w:p>
    <w:p>
      <w:pPr>
        <w:spacing w:after="0" w:line="168"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Lock-Up</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1194"/>
        <w:spacing w:after="0" w:line="249" w:lineRule="auto"/>
        <w:tabs>
          <w:tab w:leader="none" w:pos="1789"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Agreement to Lock-Up</w:t>
      </w:r>
      <w:r>
        <w:rPr>
          <w:rFonts w:ascii="Times New Roman" w:cs="Times New Roman" w:eastAsia="Times New Roman" w:hAnsi="Times New Roman"/>
          <w:sz w:val="20"/>
          <w:szCs w:val="20"/>
          <w:color w:val="auto"/>
        </w:rPr>
        <w:t>. Each Stockholder hereby agrees that it will not, without the prior written consent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managing underwriter, during the period commencing on the date of the final prospectus relating to a registration by the Company of the sale of shares of Common Stock or any other equity securities of the Company under the Securities Act and ending on the date specified by the Company and the managing underwriter (such period not to exceed l80 days) (a) lend, offer, pledge, sell, contract to sell, sell any option or contract to purchase, purchase any option or contract to sell, grant any option, right or warrant to purchase, or otherwise transfer or dispose of, directly or indirectly, any shares of Capital Stock held immediately prior to the effectiveness of the registration statement for such registration or (b) enter into any swap or other arrangement that transfers to another, in whole or in part, any of the economic consequences of ownership of the Capital Stock, whether any such transaction described in clause (a) or (b) above is to be settled by delivery of Capital Stock or other securities, in cash or otherwise. Any discretionary waiver or termination of the above restrictions by the Company or representatives of the underwriters shall apply to the Investors, pro rata, based on the number of shares of Capital Stock held. The foregoing provisions of this Section 7.5 shall not apply to the sale of any shares of Capital Stock to an underwriter pursuant to an underwriting agreement, and shall only be applicable to the Stockholders if all officers, directors and holders of more than one percent (1%) of the outstanding Common Stock (after giving effect to the conversion into Common Stock of all outstanding Preferred Stock) enter into similar agreements. The underwriters in connection with any registered offering for which this Section 7.5 applies are intended third party beneficiaries of this Section 7.5 and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21" w:right="339" w:bottom="1440" w:gutter="0" w:footer="0" w:header="0"/>
        </w:sectPr>
      </w:pPr>
    </w:p>
    <w:bookmarkStart w:id="404" w:name="page405"/>
    <w:bookmarkEnd w:id="404"/>
    <w:p>
      <w:pPr>
        <w:jc w:val="both"/>
        <w:spacing w:after="0" w:line="262" w:lineRule="auto"/>
        <w:rPr>
          <w:sz w:val="20"/>
          <w:szCs w:val="20"/>
          <w:color w:val="auto"/>
        </w:rPr>
      </w:pPr>
      <w:r>
        <w:rPr>
          <w:rFonts w:ascii="Times New Roman" w:cs="Times New Roman" w:eastAsia="Times New Roman" w:hAnsi="Times New Roman"/>
          <w:sz w:val="20"/>
          <w:szCs w:val="20"/>
          <w:color w:val="auto"/>
        </w:rPr>
        <w:t>right, power and authority to enforce the provisions hereof as though they were a party hereto. Each Stockholder further agrees to execute such agreements as may be reasonably requested by the underwriters in any registered offering for which this Section 7.5 or that are consistent with this Section 7.5 or that are necessary to give further effect thereto.</w:t>
      </w:r>
    </w:p>
    <w:p>
      <w:pPr>
        <w:spacing w:after="0" w:line="149" w:lineRule="exact"/>
        <w:rPr>
          <w:sz w:val="20"/>
          <w:szCs w:val="20"/>
          <w:color w:val="auto"/>
        </w:rPr>
      </w:pPr>
    </w:p>
    <w:p>
      <w:pPr>
        <w:jc w:val="both"/>
        <w:ind w:firstLine="1194"/>
        <w:spacing w:after="0" w:line="265" w:lineRule="auto"/>
        <w:tabs>
          <w:tab w:leader="none" w:pos="1788"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Stop Transfer Instructions</w:t>
      </w:r>
      <w:r>
        <w:rPr>
          <w:rFonts w:ascii="Times New Roman" w:cs="Times New Roman" w:eastAsia="Times New Roman" w:hAnsi="Times New Roman"/>
          <w:sz w:val="20"/>
          <w:szCs w:val="20"/>
          <w:color w:val="auto"/>
        </w:rPr>
        <w:t>. In order to enforce the foregoing covenant, the Company may impose stop-transfer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instructions with respect to the shares of Capital Stock of each Stockholder (and transferees and assignees thereof) until the end of such restricted period.</w:t>
      </w:r>
    </w:p>
    <w:p>
      <w:pPr>
        <w:spacing w:after="0" w:line="153"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Stock Option Grants</w:t>
      </w:r>
      <w:r>
        <w:rPr>
          <w:rFonts w:ascii="Times New Roman" w:cs="Times New Roman" w:eastAsia="Times New Roman" w:hAnsi="Times New Roman"/>
          <w:sz w:val="20"/>
          <w:szCs w:val="20"/>
          <w:color w:val="auto"/>
        </w:rPr>
        <w:t>. The Company will (i) obtain a third party valuation report for use by the Board in determining the fair market value of the Common Stock on the date of grant of any stock options and (ii) take any action necessary to make sure that all options comply with or are exempt from Section 409A of the Code and its applicable Treasury Regulations, including (without limitation) amending the exercise price of any outstanding options and obtaining the consent of each affected optionee to such amendment to ensure that the exercise price of each option is not below the fair market value of the Common Stock on each option’s date of grant.</w:t>
      </w:r>
    </w:p>
    <w:p>
      <w:pPr>
        <w:spacing w:after="0" w:line="164"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As of the Initial Closing (as defined in the Purchase Agreement) the Company shall maintain, from financially sound and reputable insurers, Directors and Officers liability insurance in an amount and on terms and conditions satisfactory to the Board (including the Upfront Designee), and will use commercially reasonable efforts to cause such insurance policy to be maintained until such time as the Board (including the Upfront Designee) determines that such insurance should be discontinued. The insurance policy shall not be cancelable by the Company without prior approval by the Board (including the approval of the Upfront Designee).</w:t>
      </w:r>
    </w:p>
    <w:p>
      <w:pPr>
        <w:spacing w:after="0" w:line="164"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Termination of Covenants</w:t>
      </w:r>
      <w:r>
        <w:rPr>
          <w:rFonts w:ascii="Times New Roman" w:cs="Times New Roman" w:eastAsia="Times New Roman" w:hAnsi="Times New Roman"/>
          <w:sz w:val="20"/>
          <w:szCs w:val="20"/>
          <w:color w:val="auto"/>
        </w:rPr>
        <w:t>. The covenants set forth in this Section 7, except for Sections 7.2 and 7.5, shall terminate and be of no further force or effect (i) immediately before the consummation of a QPO, (ii) when the Company first becomes subject to the periodic reporting requirements of Section 12(g) or 15(d) of the Exchange Act, or (iii) upon a Deemed Liquidation Event, whichever event occurs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21" w:right="339" w:bottom="1440" w:gutter="0" w:footer="0" w:header="0"/>
        </w:sectPr>
      </w:pPr>
    </w:p>
    <w:bookmarkStart w:id="405" w:name="page406"/>
    <w:bookmarkEnd w:id="405"/>
    <w:p>
      <w:pPr>
        <w:ind w:left="600" w:hanging="600"/>
        <w:spacing w:after="0"/>
        <w:tabs>
          <w:tab w:leader="none" w:pos="60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Drag Along Right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Actions to be Taken</w:t>
      </w:r>
      <w:r>
        <w:rPr>
          <w:rFonts w:ascii="Times New Roman" w:cs="Times New Roman" w:eastAsia="Times New Roman" w:hAnsi="Times New Roman"/>
          <w:sz w:val="20"/>
          <w:szCs w:val="20"/>
          <w:color w:val="auto"/>
        </w:rPr>
        <w:t>. In the event that the Board, the holders of a majority of the then outstanding shares of Common Stock (excluding Common Stock issued or issuable upon conversion of Preferred Stock) and the holders of a majority of the then outstanding shares of Preferred Stock (collectively, the “</w:t>
      </w:r>
      <w:r>
        <w:rPr>
          <w:rFonts w:ascii="Times New Roman" w:cs="Times New Roman" w:eastAsia="Times New Roman" w:hAnsi="Times New Roman"/>
          <w:sz w:val="20"/>
          <w:szCs w:val="20"/>
          <w:b w:val="1"/>
          <w:bCs w:val="1"/>
          <w:i w:val="1"/>
          <w:iCs w:val="1"/>
          <w:color w:val="auto"/>
        </w:rPr>
        <w:t>Requisite Parties</w:t>
      </w:r>
      <w:r>
        <w:rPr>
          <w:rFonts w:ascii="Times New Roman" w:cs="Times New Roman" w:eastAsia="Times New Roman" w:hAnsi="Times New Roman"/>
          <w:sz w:val="20"/>
          <w:szCs w:val="20"/>
          <w:color w:val="auto"/>
        </w:rPr>
        <w:t>”) approve a transaction or series of related transactions (a) in which a Person, or a group of related Persons, acquires from stockholders of the Company shares representing more than fifty percent (50%) of the outstanding voting power of the Company (a “</w:t>
      </w:r>
      <w:r>
        <w:rPr>
          <w:rFonts w:ascii="Times New Roman" w:cs="Times New Roman" w:eastAsia="Times New Roman" w:hAnsi="Times New Roman"/>
          <w:sz w:val="20"/>
          <w:szCs w:val="20"/>
          <w:b w:val="1"/>
          <w:bCs w:val="1"/>
          <w:i w:val="1"/>
          <w:iCs w:val="1"/>
          <w:color w:val="auto"/>
        </w:rPr>
        <w:t>Stock Sale</w:t>
      </w:r>
      <w:r>
        <w:rPr>
          <w:rFonts w:ascii="Times New Roman" w:cs="Times New Roman" w:eastAsia="Times New Roman" w:hAnsi="Times New Roman"/>
          <w:sz w:val="20"/>
          <w:szCs w:val="20"/>
          <w:color w:val="auto"/>
        </w:rPr>
        <w:t>”) or (b) that qualifies as a Deemed Liquidation Event (any such transaction or series of related transactions are referred to herein as a “</w:t>
      </w:r>
      <w:r>
        <w:rPr>
          <w:rFonts w:ascii="Times New Roman" w:cs="Times New Roman" w:eastAsia="Times New Roman" w:hAnsi="Times New Roman"/>
          <w:sz w:val="20"/>
          <w:szCs w:val="20"/>
          <w:b w:val="1"/>
          <w:bCs w:val="1"/>
          <w:i w:val="1"/>
          <w:iCs w:val="1"/>
          <w:color w:val="auto"/>
        </w:rPr>
        <w:t>Sale of the Company</w:t>
      </w:r>
      <w:r>
        <w:rPr>
          <w:rFonts w:ascii="Times New Roman" w:cs="Times New Roman" w:eastAsia="Times New Roman" w:hAnsi="Times New Roman"/>
          <w:sz w:val="20"/>
          <w:szCs w:val="20"/>
          <w:color w:val="auto"/>
        </w:rPr>
        <w:t>”), then each Stockholder hereby agrees with respect to all Shares which it own(s) or over which it otherwise exercises voting or dispositive authority:</w:t>
      </w:r>
    </w:p>
    <w:p>
      <w:pPr>
        <w:spacing w:after="0" w:line="170" w:lineRule="exact"/>
        <w:rPr>
          <w:sz w:val="20"/>
          <w:szCs w:val="20"/>
          <w:color w:val="auto"/>
        </w:rPr>
      </w:pPr>
    </w:p>
    <w:p>
      <w:pPr>
        <w:jc w:val="both"/>
        <w:ind w:firstLine="1194"/>
        <w:spacing w:after="0" w:line="256" w:lineRule="auto"/>
        <w:tabs>
          <w:tab w:leader="none" w:pos="1789"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such transaction is to be brought to a vote at a stockholder meeting, after receiving proper notice of any meeting of stockholders of the Company, to vote on the approval of a Sale of the Company, to be present, in person or by proxy, as a holder of shares of voting securities, at all such meetings and be counted for the purposes of determining the presence of a quorum at such meetings;</w:t>
      </w:r>
    </w:p>
    <w:p>
      <w:pPr>
        <w:spacing w:after="0" w:line="163" w:lineRule="exact"/>
        <w:rPr>
          <w:rFonts w:ascii="Times New Roman" w:cs="Times New Roman" w:eastAsia="Times New Roman" w:hAnsi="Times New Roman"/>
          <w:sz w:val="20"/>
          <w:szCs w:val="20"/>
          <w:color w:val="auto"/>
        </w:rPr>
      </w:pPr>
    </w:p>
    <w:p>
      <w:pPr>
        <w:jc w:val="both"/>
        <w:ind w:firstLine="1194"/>
        <w:spacing w:after="0" w:line="256" w:lineRule="auto"/>
        <w:tabs>
          <w:tab w:leader="none" w:pos="1788"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(in person, by proxy or by action by written consent, as applicable) all Shares in favor of, and adopt, such Sale of the Company (together with any related amendment to the Restated Certificate required in order to implement such Sale of the Company) and in opposition to any and all other proposals that could delay or impair the ability of the Company to consummate such Sale of the Company;</w:t>
      </w:r>
    </w:p>
    <w:p>
      <w:pPr>
        <w:spacing w:after="0" w:line="163" w:lineRule="exact"/>
        <w:rPr>
          <w:rFonts w:ascii="Times New Roman" w:cs="Times New Roman" w:eastAsia="Times New Roman" w:hAnsi="Times New Roman"/>
          <w:sz w:val="20"/>
          <w:szCs w:val="20"/>
          <w:color w:val="auto"/>
        </w:rPr>
      </w:pPr>
    </w:p>
    <w:p>
      <w:pPr>
        <w:ind w:firstLine="1194"/>
        <w:spacing w:after="0" w:line="277" w:lineRule="auto"/>
        <w:tabs>
          <w:tab w:leader="none" w:pos="1789"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refrain from exercising any dissenters’ rights or rights of appraisal under applicable law at any time with respect to such Sale of the Company;</w:t>
      </w:r>
    </w:p>
    <w:p>
      <w:pPr>
        <w:spacing w:after="0" w:line="141"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8"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deposit, and to cause its Affiliates not to deposit, except as provided in this Agreement, any Shares owned by such Stockholder or Affiliate in a voting trust or subject any Shares to any arrangement or agreement with respect to the voting of such Shares, unless specifically requested to do so by the acquiror in connection with the Sale of the Company;</w:t>
      </w:r>
    </w:p>
    <w:p>
      <w:pPr>
        <w:spacing w:after="0" w:line="155" w:lineRule="exact"/>
        <w:rPr>
          <w:rFonts w:ascii="Times New Roman" w:cs="Times New Roman" w:eastAsia="Times New Roman" w:hAnsi="Times New Roman"/>
          <w:sz w:val="20"/>
          <w:szCs w:val="20"/>
          <w:color w:val="auto"/>
        </w:rPr>
      </w:pPr>
    </w:p>
    <w:p>
      <w:pPr>
        <w:jc w:val="both"/>
        <w:ind w:firstLine="1194"/>
        <w:spacing w:after="0" w:line="254" w:lineRule="auto"/>
        <w:tabs>
          <w:tab w:leader="none" w:pos="1789"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execute and deliver all related documentation and take such other action in support of the Sale of the Company as shall reasonably be requested by the Company,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 and</w:t>
      </w:r>
    </w:p>
    <w:p>
      <w:pPr>
        <w:spacing w:after="0" w:line="164" w:lineRule="exact"/>
        <w:rPr>
          <w:rFonts w:ascii="Times New Roman" w:cs="Times New Roman" w:eastAsia="Times New Roman" w:hAnsi="Times New Roman"/>
          <w:sz w:val="20"/>
          <w:szCs w:val="20"/>
          <w:color w:val="auto"/>
        </w:rPr>
      </w:pPr>
    </w:p>
    <w:p>
      <w:pPr>
        <w:ind w:firstLine="1194"/>
        <w:spacing w:after="0" w:line="277" w:lineRule="auto"/>
        <w:tabs>
          <w:tab w:leader="none" w:pos="1792"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Sale of the Company is structured as a Stock Sale, each Stockholder shall agree to sell his, her or its Shares on the terms and conditions approved by the Requisite Parties; and</w:t>
      </w:r>
    </w:p>
    <w:p>
      <w:pPr>
        <w:spacing w:after="0" w:line="141" w:lineRule="exact"/>
        <w:rPr>
          <w:rFonts w:ascii="Times New Roman" w:cs="Times New Roman" w:eastAsia="Times New Roman" w:hAnsi="Times New Roman"/>
          <w:sz w:val="20"/>
          <w:szCs w:val="20"/>
          <w:color w:val="auto"/>
        </w:rPr>
      </w:pPr>
    </w:p>
    <w:p>
      <w:pPr>
        <w:ind w:firstLine="1194"/>
        <w:spacing w:after="0" w:line="277" w:lineRule="auto"/>
        <w:tabs>
          <w:tab w:leader="none" w:pos="1788"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stockholders representing Requisite Parties, in connection with such Sale of the Company, appoint a stockholder representative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21" w:right="339" w:bottom="1440" w:gutter="0" w:footer="0" w:header="0"/>
        </w:sectPr>
      </w:pPr>
    </w:p>
    <w:bookmarkStart w:id="406" w:name="page407"/>
    <w:bookmarkEnd w:id="406"/>
    <w:p>
      <w:pPr>
        <w:jc w:val="both"/>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Stockholder Representative</w:t>
      </w:r>
      <w:r>
        <w:rPr>
          <w:rFonts w:ascii="Times New Roman" w:cs="Times New Roman" w:eastAsia="Times New Roman" w:hAnsi="Times New Roman"/>
          <w:sz w:val="20"/>
          <w:szCs w:val="20"/>
          <w:color w:val="auto"/>
        </w:rPr>
        <w:t>”) with respect to matters affecting the Stockholders under the applicable definitive transaction agreements following consummation of such Sale of the Company, (x) to consent to (i) the appointment of such Stockholder Representative, (ii) 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 and (y) not to assert any claim or commence any suit against the Stockholder Representative or any other Stockholder with respect to any action or inaction taken or failed to be taken by the Stockholder Representative in connection with its service as the Stockholder Representative, absent fraud or willful misconduct.</w:t>
      </w:r>
    </w:p>
    <w:p>
      <w:pPr>
        <w:spacing w:after="0" w:line="165"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Exceptions</w:t>
      </w:r>
      <w:r>
        <w:rPr>
          <w:rFonts w:ascii="Times New Roman" w:cs="Times New Roman" w:eastAsia="Times New Roman" w:hAnsi="Times New Roman"/>
          <w:sz w:val="20"/>
          <w:szCs w:val="20"/>
          <w:color w:val="auto"/>
        </w:rPr>
        <w:t>. Notwithstanding the foregoing, a Stockholder will not be required to comply with Section 8.1 above in connection with any proposed Sale of the Company (the “</w:t>
      </w:r>
      <w:r>
        <w:rPr>
          <w:rFonts w:ascii="Times New Roman" w:cs="Times New Roman" w:eastAsia="Times New Roman" w:hAnsi="Times New Roman"/>
          <w:sz w:val="20"/>
          <w:szCs w:val="20"/>
          <w:b w:val="1"/>
          <w:bCs w:val="1"/>
          <w:i w:val="1"/>
          <w:iCs w:val="1"/>
          <w:color w:val="auto"/>
        </w:rPr>
        <w:t>Proposed Sale</w:t>
      </w:r>
      <w:r>
        <w:rPr>
          <w:rFonts w:ascii="Times New Roman" w:cs="Times New Roman" w:eastAsia="Times New Roman" w:hAnsi="Times New Roman"/>
          <w:sz w:val="20"/>
          <w:szCs w:val="20"/>
          <w:color w:val="auto"/>
        </w:rPr>
        <w:t>”) unless:</w:t>
      </w:r>
    </w:p>
    <w:p>
      <w:pPr>
        <w:spacing w:after="0" w:line="141" w:lineRule="exact"/>
        <w:rPr>
          <w:sz w:val="20"/>
          <w:szCs w:val="20"/>
          <w:color w:val="auto"/>
        </w:rPr>
      </w:pPr>
    </w:p>
    <w:p>
      <w:pPr>
        <w:jc w:val="both"/>
        <w:ind w:firstLine="1194"/>
        <w:spacing w:after="0" w:line="250" w:lineRule="auto"/>
        <w:tabs>
          <w:tab w:leader="none" w:pos="1789"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representations and warranties to be made by such Stockholder in connection with the Proposed Sale are limited to representations and warranties related to authority, ownership and the ability to convey title to such Stockholder’s Shares, including, without limitation,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acquiror and are enforceable against the Stockholder in accordance with their respective terms and</w:t>
      </w:r>
    </w:p>
    <w:p>
      <w:pPr>
        <w:spacing w:after="0" w:line="3" w:lineRule="exact"/>
        <w:rPr>
          <w:rFonts w:ascii="Times New Roman" w:cs="Times New Roman" w:eastAsia="Times New Roman" w:hAnsi="Times New Roman"/>
          <w:sz w:val="20"/>
          <w:szCs w:val="20"/>
          <w:color w:val="auto"/>
        </w:rPr>
      </w:pPr>
    </w:p>
    <w:p>
      <w:pPr>
        <w:jc w:val="both"/>
        <w:spacing w:after="0" w:line="250" w:lineRule="auto"/>
        <w:tabs>
          <w:tab w:leader="none" w:pos="369"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and delivery of documents to be entered into in connection with the transaction, nor the performance of the Stockholder’s obligations thereunder, will cause a breach or violation of the terms of any agreement, law or judgment, order or decree of any court or governmental agency by which such Stockholder is subject or bound;</w:t>
      </w:r>
    </w:p>
    <w:p>
      <w:pPr>
        <w:spacing w:after="0" w:line="167" w:lineRule="exact"/>
        <w:rPr>
          <w:rFonts w:ascii="Times New Roman" w:cs="Times New Roman" w:eastAsia="Times New Roman" w:hAnsi="Times New Roman"/>
          <w:sz w:val="20"/>
          <w:szCs w:val="20"/>
          <w:color w:val="auto"/>
        </w:rPr>
      </w:pPr>
    </w:p>
    <w:p>
      <w:pPr>
        <w:ind w:firstLine="1194"/>
        <w:spacing w:after="0" w:line="277" w:lineRule="auto"/>
        <w:tabs>
          <w:tab w:leader="none" w:pos="1788"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 is not required to agree (unless such Stockholder is a Company officer or employee) to any covenant not to compete in connection with the Proposed Sale;</w:t>
      </w:r>
    </w:p>
    <w:p>
      <w:pPr>
        <w:spacing w:after="0" w:line="141" w:lineRule="exact"/>
        <w:rPr>
          <w:rFonts w:ascii="Times New Roman" w:cs="Times New Roman" w:eastAsia="Times New Roman" w:hAnsi="Times New Roman"/>
          <w:sz w:val="20"/>
          <w:szCs w:val="20"/>
          <w:color w:val="auto"/>
        </w:rPr>
      </w:pPr>
    </w:p>
    <w:p>
      <w:pPr>
        <w:jc w:val="both"/>
        <w:ind w:firstLine="1194"/>
        <w:spacing w:after="0" w:line="256" w:lineRule="auto"/>
        <w:tabs>
          <w:tab w:leader="none" w:pos="1789"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 shall not be liable for the inaccuracy of any representation or warranty made by any other Person in connection with the Proposed Sale, other than the Company (except to the extent that funds may be paid out of an escrow established to cover breach of representations, warranties and covenants of the Company as well as breach by any stockholder of any identical representations, warranties and covenants provided by all stockholders);</w:t>
      </w:r>
    </w:p>
    <w:p>
      <w:pPr>
        <w:spacing w:after="0" w:line="163"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8"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liability for indemnification, if any, of such Stockholder in the Proposed Sale and for the inaccuracy of any representations and warranties made by the Company in connection with such Proposed Sale, is several and not joint with any other person (except to the extent that funds may be paid out of an escrow established to cover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15" w:right="339" w:bottom="1440" w:gutter="0" w:footer="0" w:header="0"/>
        </w:sectPr>
      </w:pPr>
    </w:p>
    <w:bookmarkStart w:id="407" w:name="page408"/>
    <w:bookmarkEnd w:id="407"/>
    <w:p>
      <w:pPr>
        <w:jc w:val="both"/>
        <w:spacing w:after="0" w:line="256" w:lineRule="auto"/>
        <w:rPr>
          <w:sz w:val="20"/>
          <w:szCs w:val="20"/>
          <w:color w:val="auto"/>
        </w:rPr>
      </w:pPr>
      <w:r>
        <w:rPr>
          <w:rFonts w:ascii="Times New Roman" w:cs="Times New Roman" w:eastAsia="Times New Roman" w:hAnsi="Times New Roman"/>
          <w:sz w:val="20"/>
          <w:szCs w:val="20"/>
          <w:color w:val="auto"/>
        </w:rPr>
        <w:t>representations, warranties and covenants of the Company as well as breach by any stockholder of any identical representations, warranties and covenants provided by all stockholders), and subject to the provisions of the Restated Certificate related to the allocation of the escrow is pro rata in proportion to the amount of consideration paid to such Stockholder in connection with such Proposed Sale (in accordance with the provisions of the Restate Certificate);</w:t>
      </w:r>
    </w:p>
    <w:p>
      <w:pPr>
        <w:spacing w:after="0" w:line="164" w:lineRule="exact"/>
        <w:rPr>
          <w:sz w:val="20"/>
          <w:szCs w:val="20"/>
          <w:color w:val="auto"/>
        </w:rPr>
      </w:pPr>
    </w:p>
    <w:p>
      <w:pPr>
        <w:jc w:val="both"/>
        <w:ind w:firstLine="1194"/>
        <w:spacing w:after="0" w:line="254" w:lineRule="auto"/>
        <w:tabs>
          <w:tab w:leader="none" w:pos="1789"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shall be limited to such Stockholder’s applicable share (determined based on the respective proceeds payable to each Stockholder in connection with such Proposed Sale in accordance with the provisions of the Restated Certificate) of a negotiated aggregate indemnification amount that applies equally to all Stockholders but that in no event exceeds the amount of consideration paid to such Stockholder in connection with such Proposed Sale, except with respect to claims related to fraud by such Stockholder, the liability for which need not be limited as to such Stockholder;</w:t>
      </w:r>
    </w:p>
    <w:p>
      <w:pPr>
        <w:spacing w:after="0" w:line="164"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92" w:val="left"/>
        </w:tabs>
        <w:numPr>
          <w:ilvl w:val="0"/>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consummation of the Proposed Sale, (i) each holder of each class or series of the Company’s stock will receive the same form of consideration for their shares of such class or series as is received by other holders in respect of their shares of such same class or series of stock,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unless waived in accordance with the terms of the Restated Certificate and as may be required by law,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Restated Certificate in effect immediately prior to the Proposed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that, notwithstanding the foregoing, if the consideration to be paid in exchange for the Shares 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Company may cause to be paid to any such Stockholder in lieu thereof, against surrender of the Shares which would have otherwise been sold by such Stockholder, an amount in cash equal to the fair value (as determined in good faith by the Board) of the securities which such Stockholder would otherwise receive as of the date of the issuance of such securities in exchange for the Shares; and</w:t>
      </w:r>
    </w:p>
    <w:p>
      <w:pPr>
        <w:spacing w:after="0" w:line="163" w:lineRule="exact"/>
        <w:rPr>
          <w:rFonts w:ascii="Times New Roman" w:cs="Times New Roman" w:eastAsia="Times New Roman" w:hAnsi="Times New Roman"/>
          <w:sz w:val="19"/>
          <w:szCs w:val="19"/>
          <w:color w:val="auto"/>
        </w:rPr>
      </w:pPr>
    </w:p>
    <w:p>
      <w:pPr>
        <w:jc w:val="both"/>
        <w:ind w:firstLine="1194"/>
        <w:spacing w:after="0" w:line="256" w:lineRule="auto"/>
        <w:tabs>
          <w:tab w:leader="none" w:pos="1788"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8.2(f) above, requiring the same form of consideration to be available to the holders of any single class or series of capital stock, if any holders of a series or class of capital stock of the Company are given an option as to the form and amount of consideration to be received as a result of the Proposed Sale, all holders of such series or class of capital stock will be given the same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nothing in this clause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21" w:right="339" w:bottom="1440" w:gutter="0" w:footer="0" w:header="0"/>
        </w:sectPr>
      </w:pPr>
    </w:p>
    <w:bookmarkStart w:id="408" w:name="page409"/>
    <w:bookmarkEnd w:id="408"/>
    <w:p>
      <w:pPr>
        <w:jc w:val="both"/>
        <w:spacing w:after="0" w:line="277" w:lineRule="auto"/>
        <w:rPr>
          <w:sz w:val="20"/>
          <w:szCs w:val="20"/>
          <w:color w:val="auto"/>
        </w:rPr>
      </w:pPr>
      <w:r>
        <w:rPr>
          <w:rFonts w:ascii="Times New Roman" w:cs="Times New Roman" w:eastAsia="Times New Roman" w:hAnsi="Times New Roman"/>
          <w:sz w:val="20"/>
          <w:szCs w:val="20"/>
          <w:color w:val="auto"/>
        </w:rPr>
        <w:t>shall entitle any Stockholder to receive any form of consideration that such Stockholder would be ineligible to receive as a result of such Stockholder’s failure to satisfy any condition, requirement or limitation that is generally applicable to the Company’s stockholders.</w:t>
      </w:r>
    </w:p>
    <w:p>
      <w:pPr>
        <w:spacing w:after="0" w:line="141"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Restrictions on Sales of Control of the Company</w:t>
      </w:r>
      <w:r>
        <w:rPr>
          <w:rFonts w:ascii="Times New Roman" w:cs="Times New Roman" w:eastAsia="Times New Roman" w:hAnsi="Times New Roman"/>
          <w:sz w:val="20"/>
          <w:szCs w:val="20"/>
          <w:color w:val="auto"/>
        </w:rPr>
        <w:t>. No Stockholder shall be a party to any Stock Sale unless all holders of Preferred Stock are allowed to participate in such transaction and the consideration received pursuant to such transaction is allocated among the parties thereto in the manner specified in the Restated Certificate immediately prior to the Stock Sale (as if such transaction were a Deemed Liquidation Event), unless the holders of a majority of the Preferred Stock, voting together as a single class and not as a separate series and on an as-converted to Common Stock basis, otherwise approve.</w:t>
      </w:r>
    </w:p>
    <w:p>
      <w:pPr>
        <w:spacing w:after="0" w:line="164"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The provisions contained in this Section 8 shall be effective as of August 27, 2019 and shall continue in effect until and shall terminate upon the earliest to occur of: (a) a QPO; (b) the consummation of a Sale of the Company and distribution of proceeds to or escrow for the benefit of the Stockholders in accordance with the Restated Certificate,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provisions of Section 8 will continue after the closing of any Sale of the Company to the extent necessary to enforce them with respect to such Sale of the Company; and (c) termination of this Agreement in accordance with Section 9.8 below.</w:t>
      </w:r>
    </w:p>
    <w:p>
      <w:pPr>
        <w:spacing w:after="0" w:line="164" w:lineRule="exact"/>
        <w:rPr>
          <w:sz w:val="20"/>
          <w:szCs w:val="20"/>
          <w:color w:val="auto"/>
        </w:rPr>
      </w:pPr>
    </w:p>
    <w:p>
      <w:pPr>
        <w:ind w:left="600" w:hanging="600"/>
        <w:spacing w:after="0"/>
        <w:tabs>
          <w:tab w:leader="none" w:pos="60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auto"/>
        </w:rPr>
      </w:pPr>
    </w:p>
    <w:p>
      <w:pPr>
        <w:jc w:val="both"/>
        <w:ind w:firstLine="1194"/>
        <w:spacing w:after="0" w:line="256" w:lineRule="auto"/>
        <w:tabs>
          <w:tab w:leader="none" w:pos="1789"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of this Agreement shall inure to the benefit of and be binding upon the respective successors and permitted assigns of the parties.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w:t>
      </w:r>
    </w:p>
    <w:p>
      <w:pPr>
        <w:spacing w:after="0" w:line="163" w:lineRule="exact"/>
        <w:rPr>
          <w:rFonts w:ascii="Times New Roman" w:cs="Times New Roman" w:eastAsia="Times New Roman" w:hAnsi="Times New Roman"/>
          <w:sz w:val="20"/>
          <w:szCs w:val="20"/>
          <w:color w:val="auto"/>
        </w:rPr>
      </w:pPr>
    </w:p>
    <w:p>
      <w:pPr>
        <w:jc w:val="both"/>
        <w:ind w:firstLine="1194"/>
        <w:spacing w:after="0" w:line="254" w:lineRule="auto"/>
        <w:tabs>
          <w:tab w:leader="none" w:pos="1788"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successor or permitted assignee of any Holder, including any Prospective Transferee who purchases shares of Transfer Stock in accordance with Section 4, shall deliver to the Company and the Investors, as a condition to any transfer or assignment, a counterpart signature page hereto pursuant to which such successor or permitted assignee shall confirm their agreement to be subject to and bound by all of the provisions set forth in this Agreement that were applicable to the predecessor or assignor of such successor or permitted assignee.</w:t>
      </w:r>
    </w:p>
    <w:p>
      <w:pPr>
        <w:spacing w:after="0" w:line="164" w:lineRule="exact"/>
        <w:rPr>
          <w:rFonts w:ascii="Times New Roman" w:cs="Times New Roman" w:eastAsia="Times New Roman" w:hAnsi="Times New Roman"/>
          <w:sz w:val="20"/>
          <w:szCs w:val="20"/>
          <w:color w:val="auto"/>
        </w:rPr>
      </w:pPr>
    </w:p>
    <w:p>
      <w:pPr>
        <w:jc w:val="both"/>
        <w:ind w:firstLine="1194"/>
        <w:spacing w:after="0" w:line="252" w:lineRule="auto"/>
        <w:tabs>
          <w:tab w:leader="none" w:pos="1789"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the Investors hereunder are not assignable without the Company’s written consent (which shall not be unreasonably withheld, delayed or conditioned), except (i) by an Investor to any Affiliate or (ii) to an assignee or transferee who acquires at least 500,000 shares of Capital Stock (as adjusted for any stock combination, stock split, stock dividend, recapitalization or other similar transaction) or all of such Investors shares of Capital Stock, it being acknowledged and agreed that any such assignment, including an assignment contemplated by the preceding clauses (i) or (ii) shall be subject to and conditioned upon any such assignee’s delivery to the Company and the other Investors of a counterpart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21" w:right="339" w:bottom="1440" w:gutter="0" w:footer="0" w:header="0"/>
        </w:sectPr>
      </w:pPr>
    </w:p>
    <w:bookmarkStart w:id="409" w:name="page410"/>
    <w:bookmarkEnd w:id="409"/>
    <w:p>
      <w:pPr>
        <w:spacing w:after="0" w:line="277" w:lineRule="auto"/>
        <w:rPr>
          <w:sz w:val="20"/>
          <w:szCs w:val="20"/>
          <w:color w:val="auto"/>
        </w:rPr>
      </w:pPr>
      <w:r>
        <w:rPr>
          <w:rFonts w:ascii="Times New Roman" w:cs="Times New Roman" w:eastAsia="Times New Roman" w:hAnsi="Times New Roman"/>
          <w:sz w:val="20"/>
          <w:szCs w:val="20"/>
          <w:color w:val="auto"/>
        </w:rPr>
        <w:t>hereto pursuant to which such assignee shall confirm their agreement to be subject to and bound by all of the provisions set forth in this Agreement that were applicable to the assignor of such assignee.</w:t>
      </w:r>
    </w:p>
    <w:p>
      <w:pPr>
        <w:spacing w:after="0" w:line="141" w:lineRule="exact"/>
        <w:rPr>
          <w:sz w:val="20"/>
          <w:szCs w:val="20"/>
          <w:color w:val="auto"/>
        </w:rPr>
      </w:pPr>
    </w:p>
    <w:p>
      <w:pPr>
        <w:ind w:firstLine="1194"/>
        <w:spacing w:after="0" w:line="277" w:lineRule="auto"/>
        <w:tabs>
          <w:tab w:leader="none" w:pos="1788"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and obligations of the Key Holders hereunder may not be assigned except in connection with a transfer of Transfer Stock in accordance with the provisions set forth in this Agreement.</w:t>
      </w:r>
    </w:p>
    <w:p>
      <w:pPr>
        <w:spacing w:after="0" w:line="141"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and obligations of the Company hereunder may not be assigned under any circumstances.</w:t>
      </w:r>
    </w:p>
    <w:p>
      <w:pPr>
        <w:spacing w:after="0" w:line="206"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Additional Investors</w:t>
      </w:r>
      <w:r>
        <w:rPr>
          <w:rFonts w:ascii="Times New Roman" w:cs="Times New Roman" w:eastAsia="Times New Roman" w:hAnsi="Times New Roman"/>
          <w:sz w:val="20"/>
          <w:szCs w:val="20"/>
          <w:color w:val="auto"/>
        </w:rPr>
        <w:t>. Notwithstanding anything to the contrary contained herein, if the Company issues additional shares of the Company’s Series F Preferred Stock after August 27, 2019, whether pursuant to the Purchase Agreement or otherwise, any purchaser of such shares of Series 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69" w:lineRule="exact"/>
        <w:rPr>
          <w:sz w:val="20"/>
          <w:szCs w:val="20"/>
          <w:color w:val="auto"/>
        </w:rPr>
      </w:pPr>
    </w:p>
    <w:p>
      <w:pPr>
        <w:jc w:val="both"/>
        <w:ind w:firstLine="597"/>
        <w:spacing w:after="0" w:line="267"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Additional Key Holders</w:t>
      </w:r>
      <w:r>
        <w:rPr>
          <w:rFonts w:ascii="Times New Roman" w:cs="Times New Roman" w:eastAsia="Times New Roman" w:hAnsi="Times New Roman"/>
          <w:sz w:val="19"/>
          <w:szCs w:val="19"/>
          <w:color w:val="auto"/>
        </w:rPr>
        <w:t>. In the event that after the date of this Agreement, the Company issues shares of Common Stock, or options to purchase Common Stock, to any employee or consultant, which shares or options would collectively constitute with respect to such employee or consultant (taking into account all shares of Common Stock, options and other purchase rights held by such employee or consultant) one percent (1%) or more of the Company’s then outstanding Common Stock (treating for this purpose all shares of Common Stock issuable upon exercise of or conversion of outstanding options, warrants or convertible securities, as if exercised or converted), the Company shall, as a condition to such issuance, cause such employee or consultant to execute a counterpart signature page hereto as a Key Holder, and such person shall thereby be bound by, and subject to, all the terms and provisions of this Agreement applicable to a Key Holder.</w:t>
      </w:r>
    </w:p>
    <w:p>
      <w:pPr>
        <w:spacing w:after="0" w:line="153"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any controversy arising out of or relating to this Agreement shall be governed by and construed in accordance with the laws of the State of Delaware, without regard to conflict of law principles that would result in the application of any law other than the law of the State of Delaware.</w:t>
      </w:r>
    </w:p>
    <w:p>
      <w:pPr>
        <w:spacing w:after="0" w:line="155"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Counterparts; Facsimile</w:t>
      </w:r>
      <w:r>
        <w:rPr>
          <w:rFonts w:ascii="Times New Roman" w:cs="Times New Roman" w:eastAsia="Times New Roman" w:hAnsi="Times New Roman"/>
          <w:sz w:val="20"/>
          <w:szCs w:val="20"/>
          <w:color w:val="auto"/>
        </w:rPr>
        <w:t>. This Agreement may be executed in two or more counterparts, each of which shall be deemed an original, but all of which together shall constitute one and the same instrument. This Agreement may also be executed and delivered by facsimile signature and in two or more counterparts, each of which shall be deemed an original, but all of which together shall constitute one and the same instrument.</w:t>
      </w:r>
    </w:p>
    <w:p>
      <w:pPr>
        <w:spacing w:after="0" w:line="164"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Titles and Subtitles</w:t>
      </w:r>
      <w:r>
        <w:rPr>
          <w:rFonts w:ascii="Times New Roman" w:cs="Times New Roman" w:eastAsia="Times New Roman" w:hAnsi="Times New Roman"/>
          <w:sz w:val="20"/>
          <w:szCs w:val="20"/>
          <w:color w:val="auto"/>
        </w:rPr>
        <w:t>. The titles and subtitles used in this Agreement are for convenience only and are not to be considered in construing or interpreting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21" w:right="339" w:bottom="1440" w:gutter="0" w:footer="0" w:header="0"/>
        </w:sectPr>
      </w:pPr>
    </w:p>
    <w:bookmarkStart w:id="410" w:name="page411"/>
    <w:bookmarkEnd w:id="410"/>
    <w:p>
      <w:pPr>
        <w:jc w:val="both"/>
        <w:ind w:firstLine="597"/>
        <w:spacing w:after="0" w:line="262" w:lineRule="auto"/>
        <w:rPr>
          <w:sz w:val="20"/>
          <w:szCs w:val="20"/>
          <w:color w:val="auto"/>
        </w:rPr>
      </w:pPr>
      <w:r>
        <w:rPr>
          <w:rFonts w:ascii="Times New Roman" w:cs="Times New Roman" w:eastAsia="Times New Roman" w:hAnsi="Times New Roman"/>
          <w:sz w:val="19"/>
          <w:szCs w:val="19"/>
          <w:color w:val="auto"/>
        </w:rPr>
        <w:t xml:space="preserve">9.7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9"/>
          <w:szCs w:val="19"/>
          <w:b w:val="1"/>
          <w:bCs w:val="1"/>
          <w:color w:val="auto"/>
        </w:rPr>
        <w:t>SCHEDULE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color w:val="auto"/>
        </w:rPr>
        <w:t>SCHEDULE B</w:t>
      </w:r>
      <w:r>
        <w:rPr>
          <w:rFonts w:ascii="Times New Roman" w:cs="Times New Roman" w:eastAsia="Times New Roman" w:hAnsi="Times New Roman"/>
          <w:sz w:val="19"/>
          <w:szCs w:val="19"/>
          <w:color w:val="auto"/>
        </w:rPr>
        <w:t xml:space="preserve"> (as applicable) hereto, or to the principal office of the Company and to the attention of the Chief Executive Officer, in the case of the Company, or to such email address, facsimile number, or address as subsequently modified by ten</w:t>
      </w:r>
    </w:p>
    <w:p>
      <w:pPr>
        <w:spacing w:after="0" w:line="5" w:lineRule="exact"/>
        <w:rPr>
          <w:sz w:val="20"/>
          <w:szCs w:val="20"/>
          <w:color w:val="auto"/>
        </w:rPr>
      </w:pPr>
    </w:p>
    <w:p>
      <w:pPr>
        <w:jc w:val="both"/>
        <w:spacing w:after="0" w:line="248" w:lineRule="auto"/>
        <w:tabs>
          <w:tab w:leader="none" w:pos="396"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advance written notice given in accordance with this Section 9.7 If notice is given to the Company, a copy shall also be sent to Goodwin Procter LLP, 135 Commonwealth Ave. Menlo Park, CA 94025, Attn: Caine Moss, Esq. and if notice is given to the Investors, a copy shall also be sent to Gibson, Dunn &amp; Crutcher LLP, Attn: Richard J. Birns, 200 Park Avenue, New York, New York 10166, Cooley LLP, Attn: David R. Young, 1333 2nd Street, Suite 400, Santa Monica, California 90401 and Wilmer Cutler Pickering Hale and Dorr LLP, Attn: Peter Buckland, 950 Page Mill Road, Palo Alto, California 94304.</w:t>
      </w:r>
    </w:p>
    <w:p>
      <w:pPr>
        <w:spacing w:after="0" w:line="171"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This Agreement may be amended or terminated and the observance of any term hereof may be waived (either generally or in a particular instance and either retroactively or prospectively) only by a written instrument executed by (a) the Company; (b) the Key Holders holding a majority of the shares of Capital Stock then held by the Key Holders who are then providing services to the Company as officers, employees or consultants; and (c) the holders of a majority of the shares of Common Stock issued or issuable upon conversion of the shares of Preferred Stock held by the Investors (voting as a single class and not as separate series and on an as-converted to Common Stock basis). Notwithstanding the foregoing:</w:t>
      </w:r>
    </w:p>
    <w:p>
      <w:pPr>
        <w:spacing w:after="0" w:line="169" w:lineRule="exact"/>
        <w:rPr>
          <w:sz w:val="20"/>
          <w:szCs w:val="20"/>
          <w:color w:val="auto"/>
        </w:rPr>
      </w:pPr>
    </w:p>
    <w:p>
      <w:pPr>
        <w:jc w:val="both"/>
        <w:ind w:firstLine="1194"/>
        <w:spacing w:after="0" w:line="262" w:lineRule="auto"/>
        <w:tabs>
          <w:tab w:leader="none" w:pos="1789"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not be amended or terminated and the observance of any term of this Agreement may not be waived with respect to any Investor or Key Holder without the written consent of such Investor or Key Holder unless such amendment, termination or waiver applies to all Investors or Key Holders, as the case may be, in the same fashion;</w:t>
      </w:r>
    </w:p>
    <w:p>
      <w:pPr>
        <w:spacing w:after="0" w:line="15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Key Holders shall not be required for any amendment or waiver if such amendment or waiver either</w:t>
      </w:r>
    </w:p>
    <w:p>
      <w:pPr>
        <w:spacing w:after="0" w:line="39" w:lineRule="exact"/>
        <w:rPr>
          <w:rFonts w:ascii="Times New Roman" w:cs="Times New Roman" w:eastAsia="Times New Roman" w:hAnsi="Times New Roman"/>
          <w:sz w:val="19"/>
          <w:szCs w:val="19"/>
          <w:color w:val="auto"/>
        </w:rPr>
      </w:pPr>
    </w:p>
    <w:p>
      <w:pPr>
        <w:spacing w:after="0" w:line="254" w:lineRule="auto"/>
        <w:tabs>
          <w:tab w:leader="none" w:pos="337"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directly applicable to the rights of the Key Holders hereunder or (B) does not adversely affect the rights of the Key Holders in a manner that is different than the effect on the rights of the other parties hereto;</w:t>
      </w:r>
    </w:p>
    <w:p>
      <w:pPr>
        <w:spacing w:after="0" w:line="159" w:lineRule="exact"/>
        <w:rPr>
          <w:rFonts w:ascii="Times New Roman" w:cs="Times New Roman" w:eastAsia="Times New Roman" w:hAnsi="Times New Roman"/>
          <w:sz w:val="20"/>
          <w:szCs w:val="20"/>
          <w:color w:val="auto"/>
        </w:rPr>
      </w:pPr>
    </w:p>
    <w:p>
      <w:pPr>
        <w:ind w:firstLine="1194"/>
        <w:spacing w:after="0" w:line="281" w:lineRule="auto"/>
        <w:tabs>
          <w:tab w:leader="none" w:pos="1789" w:val="left"/>
        </w:tabs>
        <w:numPr>
          <w:ilvl w:val="1"/>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SCHEDULES A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B </w:t>
      </w:r>
      <w:r>
        <w:rPr>
          <w:rFonts w:ascii="Times New Roman" w:cs="Times New Roman" w:eastAsia="Times New Roman" w:hAnsi="Times New Roman"/>
          <w:sz w:val="20"/>
          <w:szCs w:val="20"/>
          <w:color w:val="auto"/>
        </w:rPr>
        <w:t>hereto may be amended by the Company from time to time to add additional Investors or Key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Holders pursuant to Sections 9.2 and 9.3, respectively, without the consent of the other parties hereto;</w:t>
      </w:r>
    </w:p>
    <w:p>
      <w:pPr>
        <w:spacing w:after="0" w:line="137"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hereof may be waived by the waiving party on such party’s own behalf, without the consent of any</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21" w:right="339" w:bottom="1440" w:gutter="0" w:footer="0" w:header="0"/>
        </w:sectPr>
      </w:pPr>
    </w:p>
    <w:bookmarkStart w:id="411" w:name="page412"/>
    <w:bookmarkEnd w:id="411"/>
    <w:p>
      <w:pPr>
        <w:ind w:left="1780" w:hanging="586"/>
        <w:spacing w:after="0"/>
        <w:tabs>
          <w:tab w:leader="none" w:pos="1780"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5" w:lineRule="exact"/>
        <w:rPr>
          <w:rFonts w:ascii="Times New Roman" w:cs="Times New Roman" w:eastAsia="Times New Roman" w:hAnsi="Times New Roman"/>
          <w:sz w:val="20"/>
          <w:szCs w:val="20"/>
          <w:color w:val="auto"/>
        </w:rPr>
      </w:pPr>
    </w:p>
    <w:p>
      <w:pPr>
        <w:ind w:left="1800" w:hanging="606"/>
        <w:spacing w:after="0"/>
        <w:tabs>
          <w:tab w:leader="none" w:pos="1800"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3.2(b), 3.4 and 9.8(f) of this Agreement shall not be amended or waived without the written consent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Upfront;</w:t>
      </w:r>
    </w:p>
    <w:p>
      <w:pPr>
        <w:spacing w:after="0" w:line="184" w:lineRule="exact"/>
        <w:rPr>
          <w:sz w:val="20"/>
          <w:szCs w:val="20"/>
          <w:color w:val="auto"/>
        </w:rPr>
      </w:pPr>
    </w:p>
    <w:p>
      <w:pPr>
        <w:ind w:left="1780" w:hanging="586"/>
        <w:spacing w:after="0"/>
        <w:tabs>
          <w:tab w:leader="none" w:pos="1780"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3.2(c), 3.4 and 9.8(g) of this Agreement shall not be amended or waived without the written consent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Highland;</w:t>
      </w:r>
    </w:p>
    <w:p>
      <w:pPr>
        <w:spacing w:after="0" w:line="184" w:lineRule="exact"/>
        <w:rPr>
          <w:sz w:val="20"/>
          <w:szCs w:val="20"/>
          <w:color w:val="auto"/>
        </w:rPr>
      </w:pPr>
    </w:p>
    <w:p>
      <w:pPr>
        <w:ind w:left="1780" w:hanging="586"/>
        <w:spacing w:after="0"/>
        <w:tabs>
          <w:tab w:leader="none" w:pos="178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3.2(d), 3.4 and 9.8(h) of this Agreement shall not be amended or waived without the written consent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Redpoint;</w:t>
      </w:r>
    </w:p>
    <w:p>
      <w:pPr>
        <w:spacing w:after="0" w:line="184" w:lineRule="exact"/>
        <w:rPr>
          <w:sz w:val="20"/>
          <w:szCs w:val="20"/>
          <w:color w:val="auto"/>
        </w:rPr>
      </w:pPr>
    </w:p>
    <w:p>
      <w:pPr>
        <w:ind w:left="1780" w:hanging="586"/>
        <w:spacing w:after="0"/>
        <w:tabs>
          <w:tab w:leader="none" w:pos="1780"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3.2(e), 3.4 and 9.8(i) of this Agreement shall not be amended or waived without the written consent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Trinity;</w:t>
      </w:r>
    </w:p>
    <w:p>
      <w:pPr>
        <w:spacing w:after="0" w:line="184" w:lineRule="exact"/>
        <w:rPr>
          <w:sz w:val="20"/>
          <w:szCs w:val="20"/>
          <w:color w:val="auto"/>
        </w:rPr>
      </w:pPr>
    </w:p>
    <w:p>
      <w:pPr>
        <w:ind w:firstLine="1194"/>
        <w:spacing w:after="0" w:line="277" w:lineRule="auto"/>
        <w:tabs>
          <w:tab w:leader="none" w:pos="1781"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3.2(f) and 9.8(j) of this Agreement shall not be amended or waived without the written consent of the holders of at least a majority of the then-outstanding shares of Common Stock.; and</w:t>
      </w:r>
    </w:p>
    <w:p>
      <w:pPr>
        <w:spacing w:after="0" w:line="141"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6.5 and 9.8(k) of this Agreement shall not be amended or waived without the written consent of Willett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shall give prompt written notice of any amendment, termination or waiver hereunder to any party that did not consent in writing thereto. Any amendment, termination or waiver effected in accordance with this Section 9.8 shall be binding on each party and all of such party’s successors and permitted assigns, whether or not any such party, successor or assignee entered into or approved such amendment, termination or waiver.</w:t>
      </w:r>
    </w:p>
    <w:p>
      <w:pPr>
        <w:spacing w:after="0" w:line="164"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hereof shall in no way affect the validity or enforceability of any other provision.</w:t>
      </w:r>
    </w:p>
    <w:p>
      <w:pPr>
        <w:spacing w:after="0" w:line="141"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Delays or Omissions</w:t>
      </w:r>
      <w:r>
        <w:rPr>
          <w:rFonts w:ascii="Times New Roman" w:cs="Times New Roman" w:eastAsia="Times New Roman" w:hAnsi="Times New Roman"/>
          <w:sz w:val="20"/>
          <w:szCs w:val="20"/>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previously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66"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Aggregation of Stock</w:t>
      </w:r>
      <w:r>
        <w:rPr>
          <w:rFonts w:ascii="Times New Roman" w:cs="Times New Roman" w:eastAsia="Times New Roman" w:hAnsi="Times New Roman"/>
          <w:sz w:val="20"/>
          <w:szCs w:val="20"/>
          <w:color w:val="auto"/>
        </w:rPr>
        <w:t>. All shares of Capital Stock held or acquired by a Stockholder and/or its Affiliates shall be aggregated together for the purpose of determining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21" w:right="339" w:bottom="1440" w:gutter="0" w:footer="0" w:header="0"/>
        </w:sectPr>
      </w:pPr>
    </w:p>
    <w:bookmarkStart w:id="412" w:name="page413"/>
    <w:bookmarkEnd w:id="412"/>
    <w:p>
      <w:pPr>
        <w:jc w:val="both"/>
        <w:spacing w:after="0" w:line="277" w:lineRule="auto"/>
        <w:rPr>
          <w:sz w:val="20"/>
          <w:szCs w:val="20"/>
          <w:color w:val="auto"/>
        </w:rPr>
      </w:pPr>
      <w:r>
        <w:rPr>
          <w:rFonts w:ascii="Times New Roman" w:cs="Times New Roman" w:eastAsia="Times New Roman" w:hAnsi="Times New Roman"/>
          <w:sz w:val="20"/>
          <w:szCs w:val="20"/>
          <w:color w:val="auto"/>
        </w:rPr>
        <w:t>availability of any rights under this Agreement, and such Affiliated persons may apportion such rights as among themselves in any manner they deem appropriate.</w:t>
      </w:r>
    </w:p>
    <w:p>
      <w:pPr>
        <w:spacing w:after="0" w:line="141"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55"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 xml:space="preserve">9.13 </w:t>
      </w:r>
      <w:r>
        <w:rPr>
          <w:rFonts w:ascii="Times New Roman" w:cs="Times New Roman" w:eastAsia="Times New Roman" w:hAnsi="Times New Roman"/>
          <w:sz w:val="20"/>
          <w:szCs w:val="20"/>
          <w:u w:val="single" w:color="auto"/>
          <w:color w:val="auto"/>
        </w:rPr>
        <w:t>Legend on Share Certificates</w:t>
      </w:r>
      <w:r>
        <w:rPr>
          <w:rFonts w:ascii="Times New Roman" w:cs="Times New Roman" w:eastAsia="Times New Roman" w:hAnsi="Times New Roman"/>
          <w:sz w:val="20"/>
          <w:szCs w:val="20"/>
          <w:color w:val="auto"/>
        </w:rPr>
        <w:t>. Each certificate representing any Capital Stock issued after the date hereof shall be endorsed by the Company with a legend reading substantially as follows: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“THE SHARES EVIDENCED HEREBY ARE SUBJECT TO AN INVESTORS’ RIGHTS AGREEMENT, AS MAY BE AMENDED FROM TIME TO TIME, (A COPY OF WHICH MAY BE OBTAINED UPON WRITTEN REQUEST FROM THE COMPANY), AND BY ACCEPTING ANY INTEREST IN SUCH SHARES THE PERSON ACCEPTING SUCH INTEREST SHALL BE DEEMED TO AGREE TO AND SHALL BECOME BOUND BY ALL THE PROVISIONS OF THAT INVESTORS’ RIGHTS AGREEMENT, INCLUDING CERTAIN RESTRICTIONS ON TRANSFER AND OWNERSHIP SET FORTH THEREIN.”</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by its execution of this Agreement, agrees that it will cause the certificates evidencing the Capital Stock issued after the date hereof to bear the legend required by this Section 9.13 of this Agreement, and it shall supply, free of charge, a copy of this Agreement to any holder of a certificate evidencing Capital Stock upon written request from such holder to the Company at its principal office. The parties to this Agreement do hereby agree that the failure to cause the certificates evidencing the Capital Stock to bear the legend required by this Section 9.13 herein and/or the failure of the Company to supply, free of charge, a copy of this Agreement as provided hereunder shall not affect the validity or enforcement of this Agreement.</w:t>
      </w:r>
    </w:p>
    <w:p>
      <w:pPr>
        <w:spacing w:after="0" w:line="165"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color w:val="auto"/>
        </w:rPr>
        <w:t xml:space="preserve">9.14 </w:t>
      </w:r>
      <w:r>
        <w:rPr>
          <w:rFonts w:ascii="Times New Roman" w:cs="Times New Roman" w:eastAsia="Times New Roman" w:hAnsi="Times New Roman"/>
          <w:sz w:val="20"/>
          <w:szCs w:val="20"/>
          <w:u w:val="single" w:color="auto"/>
          <w:color w:val="auto"/>
        </w:rPr>
        <w:t>Stock Splits, Stock Dividends, etc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All references to numbers of shares in this Agreement shall be appropriately adjusted to reflect any stock dividend, split, combination or other recapitalization affecting the Capital Stock occurring after the date of this Agreement.</w:t>
      </w:r>
    </w:p>
    <w:p>
      <w:pPr>
        <w:spacing w:after="0" w:line="137"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9.15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58" w:lineRule="exact"/>
        <w:rPr>
          <w:sz w:val="20"/>
          <w:szCs w:val="20"/>
          <w:color w:val="auto"/>
        </w:rPr>
      </w:pPr>
    </w:p>
    <w:p>
      <w:pPr>
        <w:jc w:val="both"/>
        <w:ind w:firstLine="597"/>
        <w:spacing w:after="0" w:line="255" w:lineRule="auto"/>
        <w:rPr>
          <w:sz w:val="20"/>
          <w:szCs w:val="20"/>
          <w:color w:val="auto"/>
        </w:rPr>
      </w:pPr>
      <w:r>
        <w:rPr>
          <w:rFonts w:ascii="Times New Roman" w:cs="Times New Roman" w:eastAsia="Times New Roman" w:hAnsi="Times New Roman"/>
          <w:sz w:val="20"/>
          <w:szCs w:val="20"/>
          <w:color w:val="auto"/>
        </w:rPr>
        <w:t xml:space="preserve">9.16 </w:t>
      </w: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The Company acknowledges that Upfront Ventures IV, L.P. (“</w:t>
      </w:r>
      <w:r>
        <w:rPr>
          <w:rFonts w:ascii="Times New Roman" w:cs="Times New Roman" w:eastAsia="Times New Roman" w:hAnsi="Times New Roman"/>
          <w:sz w:val="20"/>
          <w:szCs w:val="20"/>
          <w:b w:val="1"/>
          <w:bCs w:val="1"/>
          <w:i w:val="1"/>
          <w:iCs w:val="1"/>
          <w:color w:val="auto"/>
        </w:rPr>
        <w:t>Upfront</w:t>
      </w:r>
      <w:r>
        <w:rPr>
          <w:rFonts w:ascii="Times New Roman" w:cs="Times New Roman" w:eastAsia="Times New Roman" w:hAnsi="Times New Roman"/>
          <w:sz w:val="20"/>
          <w:szCs w:val="20"/>
          <w:color w:val="auto"/>
        </w:rPr>
        <w:t>”), Highland Capital Partners (“</w:t>
      </w:r>
      <w:r>
        <w:rPr>
          <w:rFonts w:ascii="Times New Roman" w:cs="Times New Roman" w:eastAsia="Times New Roman" w:hAnsi="Times New Roman"/>
          <w:sz w:val="20"/>
          <w:szCs w:val="20"/>
          <w:b w:val="1"/>
          <w:bCs w:val="1"/>
          <w:i w:val="1"/>
          <w:iCs w:val="1"/>
          <w:color w:val="auto"/>
        </w:rPr>
        <w:t>Highland</w:t>
      </w:r>
      <w:r>
        <w:rPr>
          <w:rFonts w:ascii="Times New Roman" w:cs="Times New Roman" w:eastAsia="Times New Roman" w:hAnsi="Times New Roman"/>
          <w:sz w:val="20"/>
          <w:szCs w:val="20"/>
          <w:color w:val="auto"/>
        </w:rPr>
        <w:t>”), Trinity Ventures X, L.P. (“</w:t>
      </w:r>
      <w:r>
        <w:rPr>
          <w:rFonts w:ascii="Times New Roman" w:cs="Times New Roman" w:eastAsia="Times New Roman" w:hAnsi="Times New Roman"/>
          <w:sz w:val="20"/>
          <w:szCs w:val="20"/>
          <w:b w:val="1"/>
          <w:bCs w:val="1"/>
          <w:i w:val="1"/>
          <w:iCs w:val="1"/>
          <w:color w:val="auto"/>
        </w:rPr>
        <w:t>Trinity</w:t>
      </w:r>
      <w:r>
        <w:rPr>
          <w:rFonts w:ascii="Times New Roman" w:cs="Times New Roman" w:eastAsia="Times New Roman" w:hAnsi="Times New Roman"/>
          <w:sz w:val="20"/>
          <w:szCs w:val="20"/>
          <w:color w:val="auto"/>
        </w:rPr>
        <w:t>”), Redpoint Ventures IV, L.P. (“</w:t>
      </w:r>
      <w:r>
        <w:rPr>
          <w:rFonts w:ascii="Times New Roman" w:cs="Times New Roman" w:eastAsia="Times New Roman" w:hAnsi="Times New Roman"/>
          <w:sz w:val="20"/>
          <w:szCs w:val="20"/>
          <w:b w:val="1"/>
          <w:bCs w:val="1"/>
          <w:i w:val="1"/>
          <w:iCs w:val="1"/>
          <w:color w:val="auto"/>
        </w:rPr>
        <w:t>Redpoint</w:t>
      </w:r>
      <w:r>
        <w:rPr>
          <w:rFonts w:ascii="Times New Roman" w:cs="Times New Roman" w:eastAsia="Times New Roman" w:hAnsi="Times New Roman"/>
          <w:sz w:val="20"/>
          <w:szCs w:val="20"/>
          <w:color w:val="auto"/>
        </w:rPr>
        <w:t>”), Global Private Opportunities Partners II LP (“</w:t>
      </w:r>
      <w:r>
        <w:rPr>
          <w:rFonts w:ascii="Times New Roman" w:cs="Times New Roman" w:eastAsia="Times New Roman" w:hAnsi="Times New Roman"/>
          <w:sz w:val="20"/>
          <w:szCs w:val="20"/>
          <w:b w:val="1"/>
          <w:bCs w:val="1"/>
          <w:i w:val="1"/>
          <w:iCs w:val="1"/>
          <w:color w:val="auto"/>
        </w:rPr>
        <w:t>GPOP</w:t>
      </w:r>
      <w:r>
        <w:rPr>
          <w:rFonts w:ascii="Times New Roman" w:cs="Times New Roman" w:eastAsia="Times New Roman" w:hAnsi="Times New Roman"/>
          <w:sz w:val="20"/>
          <w:szCs w:val="20"/>
          <w:color w:val="auto"/>
        </w:rPr>
        <w:t>”), Willett Investors, and Park West Investors Master Fund, Limited and Park West Partners International, Limited (collectively, “</w:t>
      </w:r>
      <w:r>
        <w:rPr>
          <w:rFonts w:ascii="Times New Roman" w:cs="Times New Roman" w:eastAsia="Times New Roman" w:hAnsi="Times New Roman"/>
          <w:sz w:val="20"/>
          <w:szCs w:val="20"/>
          <w:b w:val="1"/>
          <w:bCs w:val="1"/>
          <w:i w:val="1"/>
          <w:iCs w:val="1"/>
          <w:color w:val="auto"/>
        </w:rPr>
        <w:t>Park West</w:t>
      </w:r>
      <w:r>
        <w:rPr>
          <w:rFonts w:ascii="Times New Roman" w:cs="Times New Roman" w:eastAsia="Times New Roman" w:hAnsi="Times New Roman"/>
          <w:sz w:val="20"/>
          <w:szCs w:val="20"/>
          <w:color w:val="auto"/>
        </w:rPr>
        <w:t>”) are each in the business of venture capital investing and therefore reviews the business plans and related proprietary information of many enterprises, including enterprises which may have products or services which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321" w:right="339" w:bottom="1440" w:gutter="0" w:footer="0" w:header="0"/>
        </w:sectPr>
      </w:pPr>
    </w:p>
    <w:bookmarkStart w:id="413" w:name="page414"/>
    <w:bookmarkEnd w:id="413"/>
    <w:p>
      <w:pPr>
        <w:jc w:val="both"/>
        <w:spacing w:after="0" w:line="262" w:lineRule="auto"/>
        <w:rPr>
          <w:sz w:val="20"/>
          <w:szCs w:val="20"/>
          <w:color w:val="auto"/>
        </w:rPr>
      </w:pPr>
      <w:r>
        <w:rPr>
          <w:rFonts w:ascii="Times New Roman" w:cs="Times New Roman" w:eastAsia="Times New Roman" w:hAnsi="Times New Roman"/>
          <w:sz w:val="20"/>
          <w:szCs w:val="20"/>
          <w:color w:val="auto"/>
        </w:rPr>
        <w:t>directly or indirectly with those of the Company. Nothing in this Agreement shall preclude or in any way restrict Upfront, Highland, Trinity, Redpoint, GPOP, Willett Investors, or Park West from investing or participating in any particular enterprise whether or not such enterprise has products or services which compete with those of the Company.</w:t>
      </w:r>
    </w:p>
    <w:p>
      <w:pPr>
        <w:spacing w:after="0" w:line="155"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9.17 </w:t>
      </w:r>
      <w:r>
        <w:rPr>
          <w:rFonts w:ascii="Times New Roman" w:cs="Times New Roman" w:eastAsia="Times New Roman" w:hAnsi="Times New Roman"/>
          <w:sz w:val="20"/>
          <w:szCs w:val="20"/>
          <w:u w:val="single" w:color="auto"/>
          <w:color w:val="auto"/>
        </w:rPr>
        <w:t>Spousal Consent</w:t>
      </w:r>
      <w:r>
        <w:rPr>
          <w:rFonts w:ascii="Times New Roman" w:cs="Times New Roman" w:eastAsia="Times New Roman" w:hAnsi="Times New Roman"/>
          <w:sz w:val="20"/>
          <w:szCs w:val="20"/>
          <w:color w:val="auto"/>
        </w:rPr>
        <w:t xml:space="preserve">. If any individual Stockholder is married on the date of this Agreement, such Stockholder’s spouse shall execute and deliver to the Company a consent of spouse in the form of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hereto (“</w:t>
      </w:r>
      <w:r>
        <w:rPr>
          <w:rFonts w:ascii="Times New Roman" w:cs="Times New Roman" w:eastAsia="Times New Roman" w:hAnsi="Times New Roman"/>
          <w:sz w:val="20"/>
          <w:szCs w:val="20"/>
          <w:b w:val="1"/>
          <w:bCs w:val="1"/>
          <w:i w:val="1"/>
          <w:iCs w:val="1"/>
          <w:color w:val="auto"/>
        </w:rPr>
        <w:t>Consent of Spouse</w:t>
      </w:r>
      <w:r>
        <w:rPr>
          <w:rFonts w:ascii="Times New Roman" w:cs="Times New Roman" w:eastAsia="Times New Roman" w:hAnsi="Times New Roman"/>
          <w:sz w:val="20"/>
          <w:szCs w:val="20"/>
          <w:color w:val="auto"/>
        </w:rPr>
        <w:t>”), effective on the date hereof. Notwithstanding the execution and delivery thereof, such consent shall not be deemed to confer or convey to the spouse any rights in such Stockholder’s Shares that do not otherwise exist by operation of law or the agreement of the parties. If any individual Stockholder should marry or remarry subsequent to the date of this Agreement, such Stockholder shall within thirty (30) days thereafter obtain his/her new spouse’s acknowledgement of and consent to the existence and binding effect of all restrictions contained in this Agreement by causing such spouse to execute and deliver a Consent of Spouse acknowledging the restrictions and obligations contained in this Agreement and agreeing and consenting to the same.</w:t>
      </w:r>
    </w:p>
    <w:p>
      <w:pPr>
        <w:spacing w:after="0" w:line="166"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9.18 </w:t>
      </w:r>
      <w:r>
        <w:rPr>
          <w:rFonts w:ascii="Times New Roman" w:cs="Times New Roman" w:eastAsia="Times New Roman" w:hAnsi="Times New Roman"/>
          <w:sz w:val="20"/>
          <w:szCs w:val="20"/>
          <w:u w:val="single" w:color="auto"/>
          <w:color w:val="auto"/>
        </w:rPr>
        <w:t>Amendment and Restatement of Prior Rights Agreement</w:t>
      </w:r>
      <w:r>
        <w:rPr>
          <w:rFonts w:ascii="Times New Roman" w:cs="Times New Roman" w:eastAsia="Times New Roman" w:hAnsi="Times New Roman"/>
          <w:sz w:val="20"/>
          <w:szCs w:val="20"/>
          <w:color w:val="auto"/>
        </w:rPr>
        <w:t>. The Prior Rights Agreement is hereby amended and superseded in its entirety and restated herein. Such amendment and restatement is effective upon the execution of this Agreement by the Company and the parties required for an amendment pursuant to Section 9.8 of the Prior Rights Agreement. Upon such execution, all provisions of, rights granted and covenants made in the Prior Rights Agreement are hereby waived, released and superseded in their entirety by the provisions hereof and shall have no further force or effect.</w:t>
      </w:r>
    </w:p>
    <w:p>
      <w:pPr>
        <w:spacing w:after="0" w:line="164"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9.19 </w:t>
      </w:r>
      <w:r>
        <w:rPr>
          <w:rFonts w:ascii="Times New Roman" w:cs="Times New Roman" w:eastAsia="Times New Roman" w:hAnsi="Times New Roman"/>
          <w:sz w:val="20"/>
          <w:szCs w:val="20"/>
          <w:u w:val="single" w:color="auto"/>
          <w:color w:val="auto"/>
        </w:rPr>
        <w:t>Waiver of Right of First Offer</w:t>
      </w:r>
      <w:r>
        <w:rPr>
          <w:rFonts w:ascii="Times New Roman" w:cs="Times New Roman" w:eastAsia="Times New Roman" w:hAnsi="Times New Roman"/>
          <w:sz w:val="20"/>
          <w:szCs w:val="20"/>
          <w:color w:val="auto"/>
        </w:rPr>
        <w:t>. By executing this Agreement, each Major Investor that is a party to the Prior Rights Agreement hereby waives the right to notice and right of first offer granted under Section 5 of the Prior Rights Agreement with respect to the sale and issuance of shares of Series F Preferred Stock pursuant to the Purchase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21" w:right="33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date first written above.</w:t>
      </w:r>
    </w:p>
    <w:p>
      <w:pPr>
        <w:spacing w:after="0" w:line="2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309" w:lineRule="exact"/>
        <w:rPr>
          <w:sz w:val="20"/>
          <w:szCs w:val="20"/>
          <w:color w:val="auto"/>
        </w:rPr>
      </w:pPr>
    </w:p>
    <w:p>
      <w:pPr>
        <w:ind w:left="5160"/>
        <w:spacing w:after="0"/>
        <w:tabs>
          <w:tab w:leader="none" w:pos="5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27940</wp:posOffset>
            </wp:positionV>
            <wp:extent cx="31369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36900" cy="7620"/>
                    </a:xfrm>
                    <a:prstGeom prst="rect">
                      <a:avLst/>
                    </a:prstGeom>
                    <a:noFill/>
                  </pic:spPr>
                </pic:pic>
              </a:graphicData>
            </a:graphic>
          </wp:anchor>
        </w:drawing>
      </w:r>
    </w:p>
    <w:p>
      <w:pPr>
        <w:spacing w:after="0" w:line="49" w:lineRule="exact"/>
        <w:rPr>
          <w:sz w:val="20"/>
          <w:szCs w:val="20"/>
          <w:color w:val="auto"/>
        </w:rPr>
      </w:pPr>
    </w:p>
    <w:p>
      <w:pPr>
        <w:ind w:left="5820"/>
        <w:spacing w:after="0"/>
        <w:tabs>
          <w:tab w:leader="none" w:pos="682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James G. Reinhart</w:t>
      </w:r>
    </w:p>
    <w:p>
      <w:pPr>
        <w:spacing w:after="0" w:line="68" w:lineRule="exact"/>
        <w:rPr>
          <w:sz w:val="20"/>
          <w:szCs w:val="20"/>
          <w:color w:val="auto"/>
        </w:rPr>
      </w:pPr>
    </w:p>
    <w:p>
      <w:pPr>
        <w:ind w:left="5820"/>
        <w:spacing w:after="0"/>
        <w:tabs>
          <w:tab w:leader="none" w:pos="68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CEO</w:t>
      </w:r>
    </w:p>
    <w:p>
      <w:pPr>
        <w:spacing w:after="0" w:line="3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Address:</w:t>
      </w:r>
    </w:p>
    <w:p>
      <w:pPr>
        <w:spacing w:after="0" w:line="3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969 Broadway</w:t>
      </w:r>
    </w:p>
    <w:p>
      <w:pPr>
        <w:spacing w:after="0" w:line="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Suite 200</w:t>
      </w:r>
    </w:p>
    <w:p>
      <w:pPr>
        <w:spacing w:after="0" w:line="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Oakland, CA 94607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9539"/>
          </w:cols>
          <w:pgMar w:left="920" w:top="1317" w:right="1440"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1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3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GLOBAL PRIVATE OPPORTUNITIES PARTNERS II LP</w:t>
      </w:r>
    </w:p>
    <w:p>
      <w:pPr>
        <w:spacing w:after="0" w:line="200" w:lineRule="exact"/>
        <w:rPr>
          <w:sz w:val="20"/>
          <w:szCs w:val="20"/>
          <w:color w:val="auto"/>
        </w:rPr>
      </w:pPr>
    </w:p>
    <w:p>
      <w:pPr>
        <w:spacing w:after="0" w:line="2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GS Investment Strategies, LLC, its investment manager</w:t>
      </w:r>
    </w:p>
    <w:p>
      <w:pPr>
        <w:spacing w:after="0" w:line="200" w:lineRule="exact"/>
        <w:rPr>
          <w:sz w:val="20"/>
          <w:szCs w:val="20"/>
          <w:color w:val="auto"/>
        </w:rPr>
      </w:pPr>
    </w:p>
    <w:p>
      <w:pPr>
        <w:spacing w:after="0" w:line="254" w:lineRule="exact"/>
        <w:rPr>
          <w:sz w:val="20"/>
          <w:szCs w:val="20"/>
          <w:color w:val="auto"/>
        </w:rPr>
      </w:pPr>
    </w:p>
    <w:p>
      <w:pPr>
        <w:ind w:left="4540"/>
        <w:spacing w:after="0"/>
        <w:tabs>
          <w:tab w:leader="none" w:pos="5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Sami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Sami Ahmad</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50" w:lineRule="exact"/>
        <w:rPr>
          <w:sz w:val="20"/>
          <w:szCs w:val="20"/>
          <w:color w:val="auto"/>
        </w:rPr>
      </w:pPr>
    </w:p>
    <w:p>
      <w:pPr>
        <w:ind w:left="4540"/>
        <w:spacing w:after="0" w:line="281" w:lineRule="auto"/>
        <w:rPr>
          <w:sz w:val="20"/>
          <w:szCs w:val="20"/>
          <w:color w:val="auto"/>
        </w:rPr>
      </w:pPr>
      <w:r>
        <w:rPr>
          <w:rFonts w:ascii="Times New Roman" w:cs="Times New Roman" w:eastAsia="Times New Roman" w:hAnsi="Times New Roman"/>
          <w:sz w:val="20"/>
          <w:szCs w:val="20"/>
          <w:b w:val="1"/>
          <w:bCs w:val="1"/>
          <w:color w:val="auto"/>
        </w:rPr>
        <w:t>GLOBAL PRIVATE OPPORTUNITIES PARTNERS II OFFSHORE HOLDINGS LP</w:t>
      </w:r>
    </w:p>
    <w:p>
      <w:pPr>
        <w:spacing w:after="0" w:line="3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GS Investment Strategies, LLC, its investment advisor</w:t>
      </w:r>
    </w:p>
    <w:p>
      <w:pPr>
        <w:spacing w:after="0" w:line="305" w:lineRule="exact"/>
        <w:rPr>
          <w:sz w:val="20"/>
          <w:szCs w:val="20"/>
          <w:color w:val="auto"/>
        </w:rPr>
      </w:pPr>
    </w:p>
    <w:p>
      <w:pPr>
        <w:ind w:left="4540"/>
        <w:spacing w:after="0"/>
        <w:tabs>
          <w:tab w:leader="none" w:pos="5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Sami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Sami Ahmad</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3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Address:</w:t>
      </w:r>
    </w:p>
    <w:p>
      <w:pPr>
        <w:spacing w:after="0" w:line="3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c/o GS Investment Strategies LLC</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200 West Street,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Floor</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New York, NY 10282</w:t>
      </w:r>
    </w:p>
    <w:p>
      <w:pPr>
        <w:spacing w:after="0" w:line="3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Attention: Sami Ahmad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440"/>
          </w:cols>
          <w:pgMar w:left="920" w:top="1317" w:right="53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3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HIGHLAND CAPITAL PARTNERS VII LIMITED PARTNERSHIP</w:t>
      </w:r>
    </w:p>
    <w:p>
      <w:pPr>
        <w:spacing w:after="0" w:line="200" w:lineRule="exact"/>
        <w:rPr>
          <w:sz w:val="20"/>
          <w:szCs w:val="20"/>
          <w:color w:val="auto"/>
        </w:rPr>
      </w:pPr>
    </w:p>
    <w:p>
      <w:pPr>
        <w:spacing w:after="0" w:line="258" w:lineRule="exact"/>
        <w:rPr>
          <w:sz w:val="20"/>
          <w:szCs w:val="20"/>
          <w:color w:val="auto"/>
        </w:rPr>
      </w:pPr>
    </w:p>
    <w:p>
      <w:pPr>
        <w:ind w:left="4540" w:right="280"/>
        <w:spacing w:after="0" w:line="277" w:lineRule="auto"/>
        <w:rPr>
          <w:sz w:val="20"/>
          <w:szCs w:val="20"/>
          <w:color w:val="auto"/>
        </w:rPr>
      </w:pPr>
      <w:r>
        <w:rPr>
          <w:rFonts w:ascii="Times New Roman" w:cs="Times New Roman" w:eastAsia="Times New Roman" w:hAnsi="Times New Roman"/>
          <w:sz w:val="20"/>
          <w:szCs w:val="20"/>
          <w:color w:val="auto"/>
        </w:rPr>
        <w:t>By: Highland Management Partners VII Limited Partnership, its General Partner</w:t>
      </w: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Highland Management Partners VII, LLC,</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54"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Authorized Manager</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HIGHLAND CAPITAL PARTNERS VII-B LIMITED PARTNERSHIP</w:t>
      </w:r>
    </w:p>
    <w:p>
      <w:pPr>
        <w:spacing w:after="0" w:line="309" w:lineRule="exact"/>
        <w:rPr>
          <w:sz w:val="20"/>
          <w:szCs w:val="20"/>
          <w:color w:val="auto"/>
        </w:rPr>
      </w:pPr>
    </w:p>
    <w:p>
      <w:pPr>
        <w:ind w:left="4540" w:right="320"/>
        <w:spacing w:after="0" w:line="277" w:lineRule="auto"/>
        <w:rPr>
          <w:sz w:val="20"/>
          <w:szCs w:val="20"/>
          <w:color w:val="auto"/>
        </w:rPr>
      </w:pPr>
      <w:r>
        <w:rPr>
          <w:rFonts w:ascii="Times New Roman" w:cs="Times New Roman" w:eastAsia="Times New Roman" w:hAnsi="Times New Roman"/>
          <w:sz w:val="20"/>
          <w:szCs w:val="20"/>
          <w:color w:val="auto"/>
        </w:rPr>
        <w:t>By:Highland Management Partners VII Limited Partnership, its General Partner</w:t>
      </w: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Highland Management Partners VII, LLC,</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54"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Authorized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20"/>
          </w:cols>
          <w:pgMar w:left="920" w:top="1317" w:right="3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HIGHLAND CAPITAL PARTNERS VII-C LIMITED PARTNERSHIP</w:t>
      </w:r>
    </w:p>
    <w:p>
      <w:pPr>
        <w:spacing w:after="0" w:line="309" w:lineRule="exact"/>
        <w:rPr>
          <w:sz w:val="20"/>
          <w:szCs w:val="20"/>
          <w:color w:val="auto"/>
        </w:rPr>
      </w:pPr>
    </w:p>
    <w:p>
      <w:pPr>
        <w:ind w:left="4540" w:right="220"/>
        <w:spacing w:after="0" w:line="277" w:lineRule="auto"/>
        <w:rPr>
          <w:sz w:val="20"/>
          <w:szCs w:val="20"/>
          <w:color w:val="auto"/>
        </w:rPr>
      </w:pPr>
      <w:r>
        <w:rPr>
          <w:rFonts w:ascii="Times New Roman" w:cs="Times New Roman" w:eastAsia="Times New Roman" w:hAnsi="Times New Roman"/>
          <w:sz w:val="20"/>
          <w:szCs w:val="20"/>
          <w:color w:val="auto"/>
        </w:rPr>
        <w:t>By: Highland Management Partners VII Limited Partnership, its General Partner</w:t>
      </w: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Highland Management Partners VII, LLC,</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05"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Authorized Manager</w:t>
      </w:r>
    </w:p>
    <w:p>
      <w:pPr>
        <w:spacing w:after="0" w:line="3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HIGHLAND ENTREPRENEURS' FUND VII LIMITED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PARTNERSHIP</w:t>
      </w:r>
    </w:p>
    <w:p>
      <w:pPr>
        <w:spacing w:after="0" w:line="283" w:lineRule="exact"/>
        <w:rPr>
          <w:sz w:val="20"/>
          <w:szCs w:val="20"/>
          <w:color w:val="auto"/>
        </w:rPr>
      </w:pPr>
    </w:p>
    <w:p>
      <w:pPr>
        <w:ind w:left="4540" w:right="220"/>
        <w:spacing w:after="0" w:line="277" w:lineRule="auto"/>
        <w:rPr>
          <w:sz w:val="20"/>
          <w:szCs w:val="20"/>
          <w:color w:val="auto"/>
        </w:rPr>
      </w:pPr>
      <w:r>
        <w:rPr>
          <w:rFonts w:ascii="Times New Roman" w:cs="Times New Roman" w:eastAsia="Times New Roman" w:hAnsi="Times New Roman"/>
          <w:sz w:val="20"/>
          <w:szCs w:val="20"/>
          <w:color w:val="auto"/>
        </w:rPr>
        <w:t>By: Highland Management Partners VII Limited Partnership, its General Partner</w:t>
      </w: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Highland Management Partners VII, LLC,</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05"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Authorized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20"/>
          </w:cols>
          <w:pgMar w:left="920" w:top="1317" w:right="3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HIGHLAND CAPITAL PARTNERS VIII LIMITED PARTNERSHIP</w:t>
      </w:r>
    </w:p>
    <w:p>
      <w:pPr>
        <w:spacing w:after="0" w:line="200" w:lineRule="exact"/>
        <w:rPr>
          <w:sz w:val="20"/>
          <w:szCs w:val="20"/>
          <w:color w:val="auto"/>
        </w:rPr>
      </w:pPr>
    </w:p>
    <w:p>
      <w:pPr>
        <w:spacing w:after="0" w:line="246" w:lineRule="exact"/>
        <w:rPr>
          <w:sz w:val="20"/>
          <w:szCs w:val="20"/>
          <w:color w:val="auto"/>
        </w:rPr>
      </w:pPr>
    </w:p>
    <w:p>
      <w:pPr>
        <w:ind w:left="4540" w:right="200"/>
        <w:spacing w:after="0" w:line="264" w:lineRule="auto"/>
        <w:rPr>
          <w:sz w:val="20"/>
          <w:szCs w:val="20"/>
          <w:color w:val="auto"/>
        </w:rPr>
      </w:pPr>
      <w:r>
        <w:rPr>
          <w:rFonts w:ascii="Times New Roman" w:cs="Times New Roman" w:eastAsia="Times New Roman" w:hAnsi="Times New Roman"/>
          <w:sz w:val="20"/>
          <w:szCs w:val="20"/>
          <w:color w:val="auto"/>
        </w:rPr>
        <w:t>By: Highland Management Partners VIII Limited Partnership, its sole General Partner</w:t>
      </w:r>
    </w:p>
    <w:p>
      <w:pPr>
        <w:spacing w:after="0" w:line="141" w:lineRule="exact"/>
        <w:rPr>
          <w:sz w:val="20"/>
          <w:szCs w:val="20"/>
          <w:color w:val="auto"/>
        </w:rPr>
      </w:pPr>
    </w:p>
    <w:p>
      <w:pPr>
        <w:ind w:left="4540" w:right="480"/>
        <w:spacing w:after="0" w:line="264" w:lineRule="auto"/>
        <w:rPr>
          <w:sz w:val="20"/>
          <w:szCs w:val="20"/>
          <w:color w:val="auto"/>
        </w:rPr>
      </w:pPr>
      <w:r>
        <w:rPr>
          <w:rFonts w:ascii="Times New Roman" w:cs="Times New Roman" w:eastAsia="Times New Roman" w:hAnsi="Times New Roman"/>
          <w:sz w:val="20"/>
          <w:szCs w:val="20"/>
          <w:color w:val="auto"/>
        </w:rPr>
        <w:t>By: Highland Management Partners VIII Limited, its sole General Partner</w:t>
      </w:r>
    </w:p>
    <w:p>
      <w:pPr>
        <w:spacing w:after="0" w:line="200" w:lineRule="exact"/>
        <w:rPr>
          <w:sz w:val="20"/>
          <w:szCs w:val="20"/>
          <w:color w:val="auto"/>
        </w:rPr>
      </w:pPr>
    </w:p>
    <w:p>
      <w:pPr>
        <w:spacing w:after="0" w:line="202"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Dan Nova</w:t>
      </w:r>
    </w:p>
    <w:p>
      <w:pPr>
        <w:spacing w:after="0" w:line="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3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HIGHLAND CAPITAL PARTNERS VIII-B LIMITED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PARTNERSHIP</w:t>
      </w:r>
    </w:p>
    <w:p>
      <w:pPr>
        <w:spacing w:after="0" w:line="171" w:lineRule="exact"/>
        <w:rPr>
          <w:sz w:val="20"/>
          <w:szCs w:val="20"/>
          <w:color w:val="auto"/>
        </w:rPr>
      </w:pPr>
    </w:p>
    <w:p>
      <w:pPr>
        <w:ind w:left="4540" w:right="200"/>
        <w:spacing w:after="0" w:line="264" w:lineRule="auto"/>
        <w:rPr>
          <w:sz w:val="20"/>
          <w:szCs w:val="20"/>
          <w:color w:val="auto"/>
        </w:rPr>
      </w:pPr>
      <w:r>
        <w:rPr>
          <w:rFonts w:ascii="Times New Roman" w:cs="Times New Roman" w:eastAsia="Times New Roman" w:hAnsi="Times New Roman"/>
          <w:sz w:val="20"/>
          <w:szCs w:val="20"/>
          <w:color w:val="auto"/>
        </w:rPr>
        <w:t>By: Highland Management Partners VIII Limited Partnership, its sole General Partner</w:t>
      </w:r>
    </w:p>
    <w:p>
      <w:pPr>
        <w:spacing w:after="0" w:line="141" w:lineRule="exact"/>
        <w:rPr>
          <w:sz w:val="20"/>
          <w:szCs w:val="20"/>
          <w:color w:val="auto"/>
        </w:rPr>
      </w:pPr>
    </w:p>
    <w:p>
      <w:pPr>
        <w:ind w:left="4540" w:right="480"/>
        <w:spacing w:after="0" w:line="264" w:lineRule="auto"/>
        <w:rPr>
          <w:sz w:val="20"/>
          <w:szCs w:val="20"/>
          <w:color w:val="auto"/>
        </w:rPr>
      </w:pPr>
      <w:r>
        <w:rPr>
          <w:rFonts w:ascii="Times New Roman" w:cs="Times New Roman" w:eastAsia="Times New Roman" w:hAnsi="Times New Roman"/>
          <w:sz w:val="20"/>
          <w:szCs w:val="20"/>
          <w:color w:val="auto"/>
        </w:rPr>
        <w:t>By: Highland Management Partners VIII Limited, its sole General Partner</w:t>
      </w:r>
    </w:p>
    <w:p>
      <w:pPr>
        <w:spacing w:after="0" w:line="200" w:lineRule="exact"/>
        <w:rPr>
          <w:sz w:val="20"/>
          <w:szCs w:val="20"/>
          <w:color w:val="auto"/>
        </w:rPr>
      </w:pPr>
    </w:p>
    <w:p>
      <w:pPr>
        <w:spacing w:after="0" w:line="202"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Dan Nova</w:t>
      </w:r>
    </w:p>
    <w:p>
      <w:pPr>
        <w:spacing w:after="0" w:line="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3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HIGHLAND CAPITAL PARTNERS VIII-C LIMITED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PARTNERSHIP</w:t>
      </w:r>
    </w:p>
    <w:p>
      <w:pPr>
        <w:spacing w:after="0" w:line="171" w:lineRule="exact"/>
        <w:rPr>
          <w:sz w:val="20"/>
          <w:szCs w:val="20"/>
          <w:color w:val="auto"/>
        </w:rPr>
      </w:pPr>
    </w:p>
    <w:p>
      <w:pPr>
        <w:ind w:left="4540" w:right="200"/>
        <w:spacing w:after="0" w:line="264" w:lineRule="auto"/>
        <w:rPr>
          <w:sz w:val="20"/>
          <w:szCs w:val="20"/>
          <w:color w:val="auto"/>
        </w:rPr>
      </w:pPr>
      <w:r>
        <w:rPr>
          <w:rFonts w:ascii="Times New Roman" w:cs="Times New Roman" w:eastAsia="Times New Roman" w:hAnsi="Times New Roman"/>
          <w:sz w:val="20"/>
          <w:szCs w:val="20"/>
          <w:color w:val="auto"/>
        </w:rPr>
        <w:t>By: Highland Management Partners VIII Limited Partnership, its sole General Partner</w:t>
      </w:r>
    </w:p>
    <w:p>
      <w:pPr>
        <w:spacing w:after="0" w:line="141" w:lineRule="exact"/>
        <w:rPr>
          <w:sz w:val="20"/>
          <w:szCs w:val="20"/>
          <w:color w:val="auto"/>
        </w:rPr>
      </w:pPr>
    </w:p>
    <w:p>
      <w:pPr>
        <w:ind w:left="4540" w:right="480"/>
        <w:spacing w:after="0" w:line="264" w:lineRule="auto"/>
        <w:rPr>
          <w:sz w:val="20"/>
          <w:szCs w:val="20"/>
          <w:color w:val="auto"/>
        </w:rPr>
      </w:pPr>
      <w:r>
        <w:rPr>
          <w:rFonts w:ascii="Times New Roman" w:cs="Times New Roman" w:eastAsia="Times New Roman" w:hAnsi="Times New Roman"/>
          <w:sz w:val="20"/>
          <w:szCs w:val="20"/>
          <w:color w:val="auto"/>
        </w:rPr>
        <w:t>By: Highland Management Partners VIII Limited, its sole General Partner</w:t>
      </w:r>
    </w:p>
    <w:p>
      <w:pPr>
        <w:spacing w:after="0" w:line="200" w:lineRule="exact"/>
        <w:rPr>
          <w:sz w:val="20"/>
          <w:szCs w:val="20"/>
          <w:color w:val="auto"/>
        </w:rPr>
      </w:pPr>
    </w:p>
    <w:p>
      <w:pPr>
        <w:spacing w:after="0" w:line="202"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Dan Nova</w:t>
      </w:r>
    </w:p>
    <w:p>
      <w:pPr>
        <w:spacing w:after="0" w:line="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500"/>
          </w:cols>
          <w:pgMar w:left="920" w:top="1317" w:right="47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156" w:lineRule="exact"/>
        <w:rPr>
          <w:sz w:val="20"/>
          <w:szCs w:val="20"/>
          <w:color w:val="auto"/>
        </w:rPr>
      </w:pPr>
    </w:p>
    <w:tbl>
      <w:tblPr>
        <w:tblLayout w:type="fixed"/>
        <w:tblInd w:w="3500" w:type="dxa"/>
        <w:tblCellMar>
          <w:top w:w="0" w:type="dxa"/>
          <w:left w:w="0" w:type="dxa"/>
          <w:bottom w:w="0" w:type="dxa"/>
          <w:right w:w="0" w:type="dxa"/>
        </w:tblCellMar>
      </w:tblPr>
      <w:tr>
        <w:trPr>
          <w:trHeight w:val="263"/>
        </w:trPr>
        <w:tc>
          <w:tcPr>
            <w:tcW w:w="1740" w:type="dxa"/>
            <w:vAlign w:val="bottom"/>
          </w:tcPr>
          <w:p>
            <w:pPr>
              <w:spacing w:after="0"/>
              <w:rPr>
                <w:sz w:val="22"/>
                <w:szCs w:val="22"/>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INVESTORS:</w:t>
            </w:r>
          </w:p>
        </w:tc>
      </w:tr>
      <w:tr>
        <w:trPr>
          <w:trHeight w:val="535"/>
        </w:trPr>
        <w:tc>
          <w:tcPr>
            <w:tcW w:w="174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REDPOINT VENTURES IV, L.P.</w:t>
            </w:r>
            <w:r>
              <w:rPr>
                <w:rFonts w:ascii="Times New Roman" w:cs="Times New Roman" w:eastAsia="Times New Roman" w:hAnsi="Times New Roman"/>
                <w:sz w:val="20"/>
                <w:szCs w:val="20"/>
                <w:color w:val="auto"/>
              </w:rPr>
              <w:t>, by its</w:t>
            </w:r>
          </w:p>
        </w:tc>
      </w:tr>
      <w:tr>
        <w:trPr>
          <w:trHeight w:val="286"/>
        </w:trPr>
        <w:tc>
          <w:tcPr>
            <w:tcW w:w="174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286"/>
        </w:trPr>
        <w:tc>
          <w:tcPr>
            <w:tcW w:w="174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Redpoint Ventures IV, LLC</w:t>
            </w:r>
          </w:p>
        </w:tc>
      </w:tr>
      <w:tr>
        <w:trPr>
          <w:trHeight w:val="684"/>
        </w:trPr>
        <w:tc>
          <w:tcPr>
            <w:tcW w:w="174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REDPOINT ASSOCIATES IV, LLC, as</w:t>
            </w:r>
          </w:p>
        </w:tc>
      </w:tr>
      <w:tr>
        <w:trPr>
          <w:trHeight w:val="286"/>
        </w:trPr>
        <w:tc>
          <w:tcPr>
            <w:tcW w:w="174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nominee</w:t>
            </w:r>
          </w:p>
        </w:tc>
      </w:tr>
      <w:tr>
        <w:trPr>
          <w:trHeight w:val="692"/>
        </w:trPr>
        <w:tc>
          <w:tcPr>
            <w:tcW w:w="174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Timothy Haley</w:t>
            </w:r>
          </w:p>
        </w:tc>
      </w:tr>
      <w:tr>
        <w:trPr>
          <w:trHeight w:val="271"/>
        </w:trPr>
        <w:tc>
          <w:tcPr>
            <w:tcW w:w="1740" w:type="dxa"/>
            <w:vAlign w:val="bottom"/>
          </w:tcPr>
          <w:p>
            <w:pPr>
              <w:spacing w:after="0"/>
              <w:rPr>
                <w:sz w:val="23"/>
                <w:szCs w:val="23"/>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Timothy Haley, Managing Director</w:t>
            </w:r>
          </w:p>
        </w:tc>
      </w:tr>
      <w:tr>
        <w:trPr>
          <w:trHeight w:val="523"/>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Address:</w:t>
            </w: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3000 Sand Hill Road</w:t>
            </w:r>
          </w:p>
        </w:tc>
      </w:tr>
      <w:tr>
        <w:trPr>
          <w:trHeight w:val="286"/>
        </w:trPr>
        <w:tc>
          <w:tcPr>
            <w:tcW w:w="174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Building 2, Suite 290</w:t>
            </w:r>
          </w:p>
        </w:tc>
      </w:tr>
      <w:tr>
        <w:trPr>
          <w:trHeight w:val="286"/>
        </w:trPr>
        <w:tc>
          <w:tcPr>
            <w:tcW w:w="174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Menlo Park, CA 94025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7" w:right="33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9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UPFRONT IV ANCILLARY, L.P.</w:t>
      </w:r>
    </w:p>
    <w:p>
      <w:pPr>
        <w:spacing w:after="0" w:line="200" w:lineRule="exact"/>
        <w:rPr>
          <w:sz w:val="20"/>
          <w:szCs w:val="20"/>
          <w:color w:val="auto"/>
        </w:rPr>
      </w:pPr>
    </w:p>
    <w:p>
      <w:pPr>
        <w:spacing w:after="0" w:line="2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Upfront GP IV Ancillary, L.P., its general partner</w:t>
      </w:r>
    </w:p>
    <w:p>
      <w:pPr>
        <w:spacing w:after="0" w:line="305"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20"/>
          <w:szCs w:val="20"/>
          <w:color w:val="auto"/>
        </w:rPr>
        <w:t>By: Upfront Ventures Management, Inc., its general partner</w:t>
      </w:r>
    </w:p>
    <w:p>
      <w:pPr>
        <w:spacing w:after="0" w:line="305" w:lineRule="exact"/>
        <w:rPr>
          <w:sz w:val="20"/>
          <w:szCs w:val="20"/>
          <w:color w:val="auto"/>
        </w:rPr>
      </w:pPr>
    </w:p>
    <w:tbl>
      <w:tblPr>
        <w:tblLayout w:type="fixed"/>
        <w:tblInd w:w="4580" w:type="dxa"/>
        <w:tblCellMar>
          <w:top w:w="0" w:type="dxa"/>
          <w:left w:w="0" w:type="dxa"/>
          <w:bottom w:w="0" w:type="dxa"/>
          <w:right w:w="0" w:type="dxa"/>
        </w:tblCellMar>
      </w:tblPr>
      <w:tr>
        <w:trPr>
          <w:trHeight w:val="2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Chief Operating Partner</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UPFRONT IV, L.P.</w:t>
      </w:r>
    </w:p>
    <w:p>
      <w:pPr>
        <w:spacing w:after="0" w:line="200" w:lineRule="exact"/>
        <w:rPr>
          <w:sz w:val="20"/>
          <w:szCs w:val="20"/>
          <w:color w:val="auto"/>
        </w:rPr>
      </w:pPr>
    </w:p>
    <w:p>
      <w:pPr>
        <w:spacing w:after="0" w:line="2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Upfront GP IV, L.P., its general partner</w:t>
      </w:r>
    </w:p>
    <w:p>
      <w:pPr>
        <w:spacing w:after="0" w:line="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Upfront Ventures Management, Inc., its general partner</w:t>
      </w:r>
    </w:p>
    <w:p>
      <w:pPr>
        <w:spacing w:after="0" w:line="200" w:lineRule="exact"/>
        <w:rPr>
          <w:sz w:val="20"/>
          <w:szCs w:val="20"/>
          <w:color w:val="auto"/>
        </w:rPr>
      </w:pPr>
    </w:p>
    <w:p>
      <w:pPr>
        <w:spacing w:after="0" w:line="254" w:lineRule="exact"/>
        <w:rPr>
          <w:sz w:val="20"/>
          <w:szCs w:val="20"/>
          <w:color w:val="auto"/>
        </w:rPr>
      </w:pPr>
    </w:p>
    <w:tbl>
      <w:tblPr>
        <w:tblLayout w:type="fixed"/>
        <w:tblInd w:w="4580" w:type="dxa"/>
        <w:tblCellMar>
          <w:top w:w="0" w:type="dxa"/>
          <w:left w:w="0" w:type="dxa"/>
          <w:bottom w:w="0" w:type="dxa"/>
          <w:right w:w="0" w:type="dxa"/>
        </w:tblCellMar>
      </w:tblPr>
      <w:tr>
        <w:trPr>
          <w:trHeight w:val="2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Chief Operating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7" w:right="3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1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9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UPFRONT OPPORTUNITY FUND I, L.P.</w:t>
      </w:r>
    </w:p>
    <w:p>
      <w:pPr>
        <w:spacing w:after="0" w:line="29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Upfront Opportunity Fund GP I, LLC,</w:t>
      </w:r>
    </w:p>
    <w:p>
      <w:pPr>
        <w:spacing w:after="0" w:line="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Upfront Ventures Management, LLC,</w:t>
      </w:r>
    </w:p>
    <w:p>
      <w:pPr>
        <w:spacing w:after="0" w:line="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0" w:lineRule="exact"/>
        <w:rPr>
          <w:sz w:val="20"/>
          <w:szCs w:val="20"/>
          <w:color w:val="auto"/>
        </w:rPr>
      </w:pPr>
    </w:p>
    <w:p>
      <w:pPr>
        <w:spacing w:after="0" w:line="354" w:lineRule="exact"/>
        <w:rPr>
          <w:sz w:val="20"/>
          <w:szCs w:val="20"/>
          <w:color w:val="auto"/>
        </w:rPr>
      </w:pPr>
    </w:p>
    <w:tbl>
      <w:tblPr>
        <w:tblLayout w:type="fixed"/>
        <w:tblInd w:w="4220" w:type="dxa"/>
        <w:tblCellMar>
          <w:top w:w="0" w:type="dxa"/>
          <w:left w:w="0" w:type="dxa"/>
          <w:bottom w:w="0" w:type="dxa"/>
          <w:right w:w="0" w:type="dxa"/>
        </w:tblCellMar>
      </w:tblPr>
      <w:tr>
        <w:trPr>
          <w:trHeight w:val="2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Chief Operating Partner</w:t>
            </w:r>
          </w:p>
        </w:tc>
      </w:tr>
    </w:tbl>
    <w:p>
      <w:pPr>
        <w:spacing w:after="0" w:line="24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UPFRONT OPPORTUNITY FUND II, L.P.</w:t>
      </w:r>
    </w:p>
    <w:p>
      <w:pPr>
        <w:spacing w:after="0" w:line="3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Upfront Opportunity Fund GP II, LLC,</w:t>
      </w:r>
    </w:p>
    <w:p>
      <w:pPr>
        <w:spacing w:after="0" w:line="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Upfront Ventures Management, LLC,</w:t>
      </w:r>
    </w:p>
    <w:p>
      <w:pPr>
        <w:spacing w:after="0" w:line="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0" w:lineRule="exact"/>
        <w:rPr>
          <w:sz w:val="20"/>
          <w:szCs w:val="20"/>
          <w:color w:val="auto"/>
        </w:rPr>
      </w:pPr>
    </w:p>
    <w:p>
      <w:pPr>
        <w:spacing w:after="0" w:line="354" w:lineRule="exact"/>
        <w:rPr>
          <w:sz w:val="20"/>
          <w:szCs w:val="20"/>
          <w:color w:val="auto"/>
        </w:rPr>
      </w:pPr>
    </w:p>
    <w:tbl>
      <w:tblPr>
        <w:tblLayout w:type="fixed"/>
        <w:tblInd w:w="4220" w:type="dxa"/>
        <w:tblCellMar>
          <w:top w:w="0" w:type="dxa"/>
          <w:left w:w="0" w:type="dxa"/>
          <w:bottom w:w="0" w:type="dxa"/>
          <w:right w:w="0" w:type="dxa"/>
        </w:tblCellMar>
      </w:tblPr>
      <w:tr>
        <w:trPr>
          <w:trHeight w:val="2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Chief Operating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7" w:right="3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1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UPFRONT GROWTH I, L.P.</w:t>
      </w:r>
    </w:p>
    <w:p>
      <w:pPr>
        <w:spacing w:after="0" w:line="200" w:lineRule="exact"/>
        <w:rPr>
          <w:sz w:val="20"/>
          <w:szCs w:val="20"/>
          <w:color w:val="auto"/>
        </w:rPr>
      </w:pPr>
    </w:p>
    <w:p>
      <w:pPr>
        <w:spacing w:after="0" w:line="3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Upfront Growth GP I, LLC,</w:t>
      </w:r>
    </w:p>
    <w:p>
      <w:pPr>
        <w:spacing w:after="0" w:line="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Upfront Ventures Management, LLC,</w:t>
      </w:r>
    </w:p>
    <w:p>
      <w:pPr>
        <w:spacing w:after="0" w:line="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305" w:lineRule="exact"/>
        <w:rPr>
          <w:sz w:val="20"/>
          <w:szCs w:val="20"/>
          <w:color w:val="auto"/>
        </w:rPr>
      </w:pPr>
    </w:p>
    <w:tbl>
      <w:tblPr>
        <w:tblLayout w:type="fixed"/>
        <w:tblInd w:w="4220" w:type="dxa"/>
        <w:tblCellMar>
          <w:top w:w="0" w:type="dxa"/>
          <w:left w:w="0" w:type="dxa"/>
          <w:bottom w:w="0" w:type="dxa"/>
          <w:right w:w="0" w:type="dxa"/>
        </w:tblCellMar>
      </w:tblPr>
      <w:tr>
        <w:trPr>
          <w:trHeight w:val="2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Chief Operating Partner</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20"/>
          <w:szCs w:val="20"/>
          <w:b w:val="1"/>
          <w:bCs w:val="1"/>
          <w:color w:val="auto"/>
        </w:rPr>
        <w:t>UPFRONT GROWTH II, L.P.</w:t>
      </w:r>
    </w:p>
    <w:p>
      <w:pPr>
        <w:spacing w:after="0" w:line="200" w:lineRule="exact"/>
        <w:rPr>
          <w:sz w:val="20"/>
          <w:szCs w:val="20"/>
          <w:color w:val="auto"/>
        </w:rPr>
      </w:pPr>
    </w:p>
    <w:p>
      <w:pPr>
        <w:spacing w:after="0" w:line="3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Upfront Growth GP II, LLC,</w:t>
      </w:r>
    </w:p>
    <w:p>
      <w:pPr>
        <w:spacing w:after="0" w:line="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Upfront Ventures Management, LLC,</w:t>
      </w:r>
    </w:p>
    <w:p>
      <w:pPr>
        <w:spacing w:after="0" w:line="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0" w:lineRule="exact"/>
        <w:rPr>
          <w:sz w:val="20"/>
          <w:szCs w:val="20"/>
          <w:color w:val="auto"/>
        </w:rPr>
      </w:pPr>
    </w:p>
    <w:p>
      <w:pPr>
        <w:spacing w:after="0" w:line="354" w:lineRule="exact"/>
        <w:rPr>
          <w:sz w:val="20"/>
          <w:szCs w:val="20"/>
          <w:color w:val="auto"/>
        </w:rPr>
      </w:pPr>
    </w:p>
    <w:tbl>
      <w:tblPr>
        <w:tblLayout w:type="fixed"/>
        <w:tblInd w:w="4220" w:type="dxa"/>
        <w:tblCellMar>
          <w:top w:w="0" w:type="dxa"/>
          <w:left w:w="0" w:type="dxa"/>
          <w:bottom w:w="0" w:type="dxa"/>
          <w:right w:w="0" w:type="dxa"/>
        </w:tblCellMar>
      </w:tblPr>
      <w:tr>
        <w:trPr>
          <w:trHeight w:val="2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Stuart Lander</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Chief Operating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7" w:right="3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1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00" w:lineRule="exact"/>
        <w:rPr>
          <w:sz w:val="20"/>
          <w:szCs w:val="20"/>
          <w:color w:val="auto"/>
        </w:rPr>
      </w:pPr>
    </w:p>
    <w:p>
      <w:pPr>
        <w:spacing w:after="0" w:line="25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TRINITY VENTURES X, L.P.</w:t>
      </w:r>
    </w:p>
    <w:p>
      <w:pPr>
        <w:spacing w:after="0" w:line="3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BY: TRINITY TVL X, LLC,</w:t>
      </w:r>
    </w:p>
    <w:p>
      <w:pPr>
        <w:spacing w:after="0" w:line="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54"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Nina C. Labatt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Nina C. Labatt, Management Member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TRINITY X SIDE-BY-SIDE FUND, L.P.</w:t>
      </w:r>
    </w:p>
    <w:p>
      <w:pPr>
        <w:spacing w:after="0" w:line="3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BY: TRINITY TVL X, LLC,</w:t>
      </w:r>
    </w:p>
    <w:p>
      <w:pPr>
        <w:spacing w:after="0" w:line="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54"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Nina C. Labatt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Nina C. Labatt, Management Member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b w:val="1"/>
          <w:bCs w:val="1"/>
          <w:color w:val="auto"/>
        </w:rPr>
        <w:t xml:space="preserve">TRINITY X ENTREPRENEURS’ FUND, L.P., </w:t>
      </w:r>
      <w:r>
        <w:rPr>
          <w:rFonts w:ascii="Times New Roman" w:cs="Times New Roman" w:eastAsia="Times New Roman" w:hAnsi="Times New Roman"/>
          <w:sz w:val="15"/>
          <w:szCs w:val="15"/>
          <w:b w:val="1"/>
          <w:bCs w:val="1"/>
          <w:color w:val="auto"/>
        </w:rPr>
        <w:t>DELAWARE</w:t>
      </w:r>
    </w:p>
    <w:p>
      <w:pPr>
        <w:spacing w:after="0" w:line="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LIMITED PARTNERSHIP</w:t>
      </w:r>
    </w:p>
    <w:p>
      <w:pPr>
        <w:spacing w:after="0" w:line="2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BY: TRINITY TVL X, LLC,</w:t>
      </w:r>
    </w:p>
    <w:p>
      <w:pPr>
        <w:spacing w:after="0" w:line="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54"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20"/>
          <w:szCs w:val="20"/>
          <w:color w:val="auto"/>
        </w:rPr>
        <w:t>By:</w:t>
        <w:tab/>
        <w:t>/s/ Nina C. Labatt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27940</wp:posOffset>
            </wp:positionV>
            <wp:extent cx="350837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08375" cy="7620"/>
                    </a:xfrm>
                    <a:prstGeom prst="rect">
                      <a:avLst/>
                    </a:prstGeom>
                    <a:noFill/>
                  </pic:spPr>
                </pic:pic>
              </a:graphicData>
            </a:graphic>
          </wp:anchor>
        </w:drawing>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Nina C. Labatt, Management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140"/>
          </w:cols>
          <w:pgMar w:left="920" w:top="1317" w:right="83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written above.</w:t>
      </w:r>
    </w:p>
    <w:p>
      <w:pPr>
        <w:spacing w:after="0" w:line="3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KEY HOLDERS:</w:t>
      </w:r>
    </w:p>
    <w:p>
      <w:pPr>
        <w:spacing w:after="0" w:line="200" w:lineRule="exact"/>
        <w:rPr>
          <w:sz w:val="20"/>
          <w:szCs w:val="20"/>
          <w:color w:val="auto"/>
        </w:rPr>
      </w:pPr>
    </w:p>
    <w:p>
      <w:pPr>
        <w:spacing w:after="0" w:line="25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James Reinhart as Trustee of the Costanoa 2017 Trust dated May 5 2017</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James Reinhart as Trustee of the Costanoa 2018 Trust dated October 2, 2018</w:t>
      </w:r>
    </w:p>
    <w:p>
      <w:pPr>
        <w:spacing w:after="0" w:line="305" w:lineRule="exact"/>
        <w:rPr>
          <w:sz w:val="20"/>
          <w:szCs w:val="20"/>
          <w:color w:val="auto"/>
        </w:rPr>
      </w:pPr>
    </w:p>
    <w:p>
      <w:pPr>
        <w:ind w:left="4420" w:right="260"/>
        <w:spacing w:after="0" w:line="277" w:lineRule="auto"/>
        <w:rPr>
          <w:sz w:val="20"/>
          <w:szCs w:val="20"/>
          <w:color w:val="auto"/>
        </w:rPr>
      </w:pPr>
      <w:r>
        <w:rPr>
          <w:rFonts w:ascii="Times New Roman" w:cs="Times New Roman" w:eastAsia="Times New Roman" w:hAnsi="Times New Roman"/>
          <w:sz w:val="20"/>
          <w:szCs w:val="20"/>
          <w:color w:val="auto"/>
        </w:rPr>
        <w:t>James Reinhart and Michele Reinhart as Trustees of the Costanoa Family Trust dated July 22 2015 as amended</w:t>
      </w: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27940</wp:posOffset>
            </wp:positionV>
            <wp:extent cx="396684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66845" cy="7620"/>
                    </a:xfrm>
                    <a:prstGeom prst="rect">
                      <a:avLst/>
                    </a:prstGeom>
                    <a:noFill/>
                  </pic:spPr>
                </pic:pic>
              </a:graphicData>
            </a:graphic>
          </wp:anchor>
        </w:drawing>
      </w:r>
    </w:p>
    <w:p>
      <w:pPr>
        <w:spacing w:after="0" w:line="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James Reinhart, Trustee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27940</wp:posOffset>
            </wp:positionV>
            <wp:extent cx="396684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66845" cy="7620"/>
                    </a:xfrm>
                    <a:prstGeom prst="rect">
                      <a:avLst/>
                    </a:prstGeom>
                    <a:noFill/>
                  </pic:spPr>
                </pic:pic>
              </a:graphicData>
            </a:graphic>
          </wp:anchor>
        </w:drawing>
      </w:r>
    </w:p>
    <w:p>
      <w:pPr>
        <w:spacing w:after="0" w:line="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James Reinhart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520"/>
          </w:cols>
          <w:pgMar w:left="920" w:top="1317" w:right="45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and agree to be bound by the terms hereof as a Key Holder.</w:t>
      </w: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KEY HOLDERS:</w:t>
      </w:r>
    </w:p>
    <w:p>
      <w:pPr>
        <w:spacing w:after="0" w:line="3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EDWARD ALBANESE</w:t>
      </w:r>
    </w:p>
    <w:p>
      <w:pPr>
        <w:spacing w:after="0" w:line="309" w:lineRule="exact"/>
        <w:rPr>
          <w:sz w:val="20"/>
          <w:szCs w:val="20"/>
          <w:color w:val="auto"/>
        </w:rPr>
      </w:pPr>
    </w:p>
    <w:tbl>
      <w:tblPr>
        <w:tblLayout w:type="fixed"/>
        <w:tblInd w:w="4420" w:type="dxa"/>
        <w:tblCellMar>
          <w:top w:w="0" w:type="dxa"/>
          <w:left w:w="0" w:type="dxa"/>
          <w:bottom w:w="0" w:type="dxa"/>
          <w:right w:w="0" w:type="dxa"/>
        </w:tblCellMar>
      </w:tblPr>
      <w:tr>
        <w:trPr>
          <w:trHeight w:val="2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Edward Albanese</w:t>
            </w:r>
          </w:p>
        </w:tc>
      </w:tr>
      <w:tr>
        <w:trPr>
          <w:trHeight w:val="27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February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7" w:right="3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and agree to be bound by the terms hereof as a Key Holder.</w:t>
      </w: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KEY HOLDERS:</w:t>
      </w:r>
    </w:p>
    <w:p>
      <w:pPr>
        <w:spacing w:after="0" w:line="3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GALE MCCLUSKEY</w:t>
      </w:r>
    </w:p>
    <w:p>
      <w:pPr>
        <w:spacing w:after="0" w:line="309" w:lineRule="exact"/>
        <w:rPr>
          <w:sz w:val="20"/>
          <w:szCs w:val="20"/>
          <w:color w:val="auto"/>
        </w:rPr>
      </w:pPr>
    </w:p>
    <w:tbl>
      <w:tblPr>
        <w:tblLayout w:type="fixed"/>
        <w:tblInd w:w="4420" w:type="dxa"/>
        <w:tblCellMar>
          <w:top w:w="0" w:type="dxa"/>
          <w:left w:w="0" w:type="dxa"/>
          <w:bottom w:w="0" w:type="dxa"/>
          <w:right w:w="0" w:type="dxa"/>
        </w:tblCellMar>
      </w:tblPr>
      <w:tr>
        <w:trPr>
          <w:trHeight w:val="2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Gale McCluskey</w:t>
            </w:r>
          </w:p>
        </w:tc>
      </w:tr>
      <w:tr>
        <w:trPr>
          <w:trHeight w:val="27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February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7" w:right="33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and agree to be bound by the terms hereof as a Key Holder.</w:t>
      </w: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KEY HOLDERS:</w:t>
      </w:r>
    </w:p>
    <w:p>
      <w:pPr>
        <w:spacing w:after="0" w:line="3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AMY GAFFNEY</w:t>
      </w:r>
    </w:p>
    <w:p>
      <w:pPr>
        <w:spacing w:after="0" w:line="309" w:lineRule="exact"/>
        <w:rPr>
          <w:sz w:val="20"/>
          <w:szCs w:val="20"/>
          <w:color w:val="auto"/>
        </w:rPr>
      </w:pPr>
    </w:p>
    <w:tbl>
      <w:tblPr>
        <w:tblLayout w:type="fixed"/>
        <w:tblInd w:w="4420" w:type="dxa"/>
        <w:tblCellMar>
          <w:top w:w="0" w:type="dxa"/>
          <w:left w:w="0" w:type="dxa"/>
          <w:bottom w:w="0" w:type="dxa"/>
          <w:right w:w="0" w:type="dxa"/>
        </w:tblCellMar>
      </w:tblPr>
      <w:tr>
        <w:trPr>
          <w:trHeight w:val="2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Amy Gaffney</w:t>
            </w:r>
          </w:p>
        </w:tc>
      </w:tr>
      <w:tr>
        <w:trPr>
          <w:trHeight w:val="27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February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7" w:right="33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and agree to be bound by the terms hereof as a Key Holder.</w:t>
      </w: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KEY HOLDERS:</w:t>
      </w: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PETER REINHART</w:t>
      </w:r>
    </w:p>
    <w:p>
      <w:pPr>
        <w:spacing w:after="0" w:line="309" w:lineRule="exact"/>
        <w:rPr>
          <w:sz w:val="20"/>
          <w:szCs w:val="20"/>
          <w:color w:val="auto"/>
        </w:rPr>
      </w:pPr>
    </w:p>
    <w:tbl>
      <w:tblPr>
        <w:tblLayout w:type="fixed"/>
        <w:tblInd w:w="4420" w:type="dxa"/>
        <w:tblCellMar>
          <w:top w:w="0" w:type="dxa"/>
          <w:left w:w="0" w:type="dxa"/>
          <w:bottom w:w="0" w:type="dxa"/>
          <w:right w:w="0" w:type="dxa"/>
        </w:tblCellMar>
      </w:tblPr>
      <w:tr>
        <w:trPr>
          <w:trHeight w:val="2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Peter Reinhart</w:t>
            </w:r>
          </w:p>
        </w:tc>
      </w:tr>
      <w:tr>
        <w:trPr>
          <w:trHeight w:val="27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February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6" w:right="33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and agree to be bound by the terms hereof as a Key Holder.</w:t>
      </w: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KEY HOLDERS:</w:t>
      </w:r>
    </w:p>
    <w:p>
      <w:pPr>
        <w:spacing w:after="0" w:line="301" w:lineRule="exact"/>
        <w:rPr>
          <w:sz w:val="20"/>
          <w:szCs w:val="20"/>
          <w:color w:val="auto"/>
        </w:rPr>
      </w:pPr>
    </w:p>
    <w:p>
      <w:pPr>
        <w:ind w:left="4420" w:right="240"/>
        <w:spacing w:after="0" w:line="273" w:lineRule="auto"/>
        <w:rPr>
          <w:sz w:val="20"/>
          <w:szCs w:val="20"/>
          <w:color w:val="auto"/>
        </w:rPr>
      </w:pPr>
      <w:r>
        <w:rPr>
          <w:rFonts w:ascii="Times New Roman" w:cs="Times New Roman" w:eastAsia="Times New Roman" w:hAnsi="Times New Roman"/>
          <w:sz w:val="19"/>
          <w:szCs w:val="19"/>
          <w:b w:val="1"/>
          <w:bCs w:val="1"/>
          <w:color w:val="auto"/>
        </w:rPr>
        <w:t>JORDAN PARK TRUST COMPANY LLC, TRUSTEE OF THE COSTANOA 2021 IRREVOCABLE TRUST DATED FEBRUARY 26</w:t>
      </w:r>
      <w:r>
        <w:rPr>
          <w:rFonts w:ascii="Times New Roman" w:cs="Times New Roman" w:eastAsia="Times New Roman" w:hAnsi="Times New Roman"/>
          <w:sz w:val="19"/>
          <w:szCs w:val="19"/>
          <w:color w:val="auto"/>
        </w:rPr>
        <w:t>,</w:t>
      </w:r>
    </w:p>
    <w:p>
      <w:pPr>
        <w:spacing w:after="0" w:line="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2021</w:t>
      </w:r>
      <w:r>
        <w:rPr>
          <w:rFonts w:ascii="Times New Roman" w:cs="Times New Roman" w:eastAsia="Times New Roman" w:hAnsi="Times New Roman"/>
          <w:sz w:val="16"/>
          <w:szCs w:val="16"/>
          <w:b w:val="1"/>
          <w:bCs w:val="1"/>
          <w:color w:val="auto"/>
        </w:rPr>
        <w:t>, BY ITS DULY AUTHORIZED REPRESENTATIVE</w:t>
      </w:r>
      <w:r>
        <w:rPr>
          <w:rFonts w:ascii="Times New Roman" w:cs="Times New Roman" w:eastAsia="Times New Roman" w:hAnsi="Times New Roman"/>
          <w:sz w:val="20"/>
          <w:szCs w:val="20"/>
          <w:b w:val="1"/>
          <w:bCs w:val="1"/>
          <w:color w:val="auto"/>
        </w:rPr>
        <w:t>:</w:t>
      </w:r>
    </w:p>
    <w:p>
      <w:pPr>
        <w:spacing w:after="0" w:line="283" w:lineRule="exact"/>
        <w:rPr>
          <w:sz w:val="20"/>
          <w:szCs w:val="20"/>
          <w:color w:val="auto"/>
        </w:rPr>
      </w:pPr>
    </w:p>
    <w:tbl>
      <w:tblPr>
        <w:tblLayout w:type="fixed"/>
        <w:tblInd w:w="4420" w:type="dxa"/>
        <w:tblCellMar>
          <w:top w:w="0" w:type="dxa"/>
          <w:left w:w="0" w:type="dxa"/>
          <w:bottom w:w="0" w:type="dxa"/>
          <w:right w:w="0" w:type="dxa"/>
        </w:tblCellMar>
      </w:tblPr>
      <w:tr>
        <w:trPr>
          <w:trHeight w:val="26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Katie M. Bullen</w:t>
            </w:r>
          </w:p>
        </w:tc>
      </w:tr>
      <w:tr>
        <w:trPr>
          <w:trHeight w:val="27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February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7" w:right="33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and agree to be bound by the terms hereof as a Key Holder.</w:t>
      </w: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KEY HOLDERS:</w:t>
      </w:r>
    </w:p>
    <w:p>
      <w:pPr>
        <w:spacing w:after="0" w:line="301" w:lineRule="exact"/>
        <w:rPr>
          <w:sz w:val="20"/>
          <w:szCs w:val="20"/>
          <w:color w:val="auto"/>
        </w:rPr>
      </w:pPr>
    </w:p>
    <w:p>
      <w:pPr>
        <w:ind w:left="4420" w:right="100"/>
        <w:spacing w:after="0" w:line="281" w:lineRule="auto"/>
        <w:rPr>
          <w:sz w:val="20"/>
          <w:szCs w:val="20"/>
          <w:color w:val="auto"/>
        </w:rPr>
      </w:pPr>
      <w:r>
        <w:rPr>
          <w:rFonts w:ascii="Times New Roman" w:cs="Times New Roman" w:eastAsia="Times New Roman" w:hAnsi="Times New Roman"/>
          <w:sz w:val="20"/>
          <w:szCs w:val="20"/>
          <w:b w:val="1"/>
          <w:bCs w:val="1"/>
          <w:color w:val="auto"/>
        </w:rPr>
        <w:t>JAMES REINHART AND MICHELE REINHART AS TRUSTEES OF THE COSTANOA 2017 IRREVOCABLE GST TRUST</w:t>
      </w:r>
    </w:p>
    <w:p>
      <w:pPr>
        <w:spacing w:after="0" w:line="237" w:lineRule="exact"/>
        <w:rPr>
          <w:sz w:val="20"/>
          <w:szCs w:val="20"/>
          <w:color w:val="auto"/>
        </w:rPr>
      </w:pPr>
    </w:p>
    <w:tbl>
      <w:tblPr>
        <w:tblLayout w:type="fixed"/>
        <w:tblInd w:w="4420" w:type="dxa"/>
        <w:tblCellMar>
          <w:top w:w="0" w:type="dxa"/>
          <w:left w:w="0" w:type="dxa"/>
          <w:bottom w:w="0" w:type="dxa"/>
          <w:right w:w="0" w:type="dxa"/>
        </w:tblCellMar>
      </w:tblPr>
      <w:tr>
        <w:trPr>
          <w:trHeight w:val="2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James Reinhart</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James Reinhart</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Trustee</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26, 2021</w:t>
            </w:r>
          </w:p>
        </w:tc>
      </w:tr>
      <w:tr>
        <w:trPr>
          <w:trHeight w:val="54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Michele Reinhart</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Michele Reinhart</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Trustee</w:t>
            </w:r>
          </w:p>
        </w:tc>
      </w:t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February 26,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SIGNATURE PAGE TO</w:t>
      </w:r>
    </w:p>
    <w:p>
      <w:pPr>
        <w:spacing w:after="0" w:line="1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3"/>
          <w:szCs w:val="13"/>
          <w:color w:val="auto"/>
        </w:rPr>
        <w:t>TENTH AMENDED AND RESTATED INVESTORS RIGHTS AGREEMENT</w:t>
      </w:r>
    </w:p>
    <w:p>
      <w:pPr>
        <w:sectPr>
          <w:pgSz w:w="11900" w:h="16838" w:orient="portrait"/>
          <w:cols w:equalWidth="0" w:num="1">
            <w:col w:w="10640"/>
          </w:cols>
          <w:pgMar w:left="920" w:top="1317" w:right="339" w:bottom="1440" w:gutter="0" w:footer="0" w:header="0"/>
        </w:sectPr>
      </w:pPr>
    </w:p>
    <w:bookmarkStart w:id="431" w:name="page432"/>
    <w:bookmarkEnd w:id="431"/>
    <w:tbl>
      <w:tblPr>
        <w:tblLayout w:type="fixed"/>
        <w:tblInd w:w="10" w:type="dxa"/>
        <w:tblCellMar>
          <w:top w:w="0" w:type="dxa"/>
          <w:left w:w="0" w:type="dxa"/>
          <w:bottom w:w="0" w:type="dxa"/>
          <w:right w:w="0" w:type="dxa"/>
        </w:tblCellMar>
      </w:tblPr>
      <w:tr>
        <w:trPr>
          <w:trHeight w:val="263"/>
        </w:trPr>
        <w:tc>
          <w:tcPr>
            <w:tcW w:w="4860" w:type="dxa"/>
            <w:vAlign w:val="bottom"/>
          </w:tcPr>
          <w:p>
            <w:pPr>
              <w:spacing w:after="0"/>
              <w:rPr>
                <w:sz w:val="22"/>
                <w:szCs w:val="22"/>
                <w:color w:val="auto"/>
              </w:rPr>
            </w:pPr>
          </w:p>
        </w:tc>
        <w:tc>
          <w:tcPr>
            <w:tcW w:w="6400" w:type="dxa"/>
            <w:vAlign w:val="bottom"/>
            <w:gridSpan w:val="2"/>
          </w:tcPr>
          <w:p>
            <w:pPr>
              <w:jc w:val="center"/>
              <w:ind w:right="4780"/>
              <w:spacing w:after="0"/>
              <w:rPr>
                <w:sz w:val="20"/>
                <w:szCs w:val="20"/>
                <w:color w:val="auto"/>
              </w:rPr>
            </w:pPr>
            <w:r>
              <w:rPr>
                <w:rFonts w:ascii="Times New Roman" w:cs="Times New Roman" w:eastAsia="Times New Roman" w:hAnsi="Times New Roman"/>
                <w:sz w:val="20"/>
                <w:szCs w:val="20"/>
                <w:b w:val="1"/>
                <w:bCs w:val="1"/>
                <w:color w:val="auto"/>
                <w:w w:val="98"/>
              </w:rPr>
              <w:t>SCHEDULE A</w:t>
            </w:r>
          </w:p>
        </w:tc>
      </w:tr>
      <w:tr>
        <w:trPr>
          <w:trHeight w:val="436"/>
        </w:trPr>
        <w:tc>
          <w:tcPr>
            <w:tcW w:w="4860" w:type="dxa"/>
            <w:vAlign w:val="bottom"/>
          </w:tcPr>
          <w:p>
            <w:pPr>
              <w:spacing w:after="0"/>
              <w:rPr>
                <w:sz w:val="24"/>
                <w:szCs w:val="24"/>
                <w:color w:val="auto"/>
              </w:rPr>
            </w:pPr>
          </w:p>
        </w:tc>
        <w:tc>
          <w:tcPr>
            <w:tcW w:w="6400" w:type="dxa"/>
            <w:vAlign w:val="bottom"/>
            <w:gridSpan w:val="2"/>
          </w:tcPr>
          <w:p>
            <w:pPr>
              <w:jc w:val="center"/>
              <w:ind w:right="4760"/>
              <w:spacing w:after="0"/>
              <w:rPr>
                <w:sz w:val="20"/>
                <w:szCs w:val="20"/>
                <w:color w:val="auto"/>
              </w:rPr>
            </w:pPr>
            <w:r>
              <w:rPr>
                <w:rFonts w:ascii="Times New Roman" w:cs="Times New Roman" w:eastAsia="Times New Roman" w:hAnsi="Times New Roman"/>
                <w:sz w:val="20"/>
                <w:szCs w:val="20"/>
                <w:b w:val="1"/>
                <w:bCs w:val="1"/>
                <w:color w:val="auto"/>
                <w:w w:val="98"/>
              </w:rPr>
              <w:t>INVESTORS</w:t>
            </w:r>
          </w:p>
        </w:tc>
      </w:tr>
      <w:tr>
        <w:trPr>
          <w:trHeight w:val="214"/>
        </w:trPr>
        <w:tc>
          <w:tcPr>
            <w:tcW w:w="48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r>
      <w:tr>
        <w:trPr>
          <w:trHeight w:val="241"/>
        </w:trPr>
        <w:tc>
          <w:tcPr>
            <w:tcW w:w="48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9"/>
              </w:rPr>
              <w:t>GLOBAL PRIVATE OPPORTUNITIES PARTNERS II LP</w:t>
            </w:r>
          </w:p>
        </w:tc>
        <w:tc>
          <w:tcPr>
            <w:tcW w:w="78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GLOBAL PRIVATE OPPORTUNITIES PARTNERS II OFFSHORE</w:t>
            </w:r>
          </w:p>
        </w:tc>
      </w:tr>
      <w:tr>
        <w:trPr>
          <w:trHeight w:val="267"/>
        </w:trPr>
        <w:tc>
          <w:tcPr>
            <w:tcW w:w="4860" w:type="dxa"/>
            <w:vAlign w:val="bottom"/>
            <w:tcBorders>
              <w:left w:val="single" w:sz="8" w:color="auto"/>
              <w:bottom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HOLDINGS LP</w:t>
            </w:r>
          </w:p>
        </w:tc>
      </w:tr>
      <w:tr>
        <w:trPr>
          <w:trHeight w:val="279"/>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UPFRONT OPPORTUNITY FUND II, L.P.</w:t>
            </w:r>
          </w:p>
        </w:tc>
        <w:tc>
          <w:tcPr>
            <w:tcW w:w="78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UPFRONT OPPORTUNITY FUND I, L.P.</w:t>
            </w:r>
          </w:p>
        </w:tc>
      </w:tr>
      <w:tr>
        <w:trPr>
          <w:trHeight w:val="279"/>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UPFRONT GROWTH I, L.P.</w:t>
            </w:r>
          </w:p>
        </w:tc>
        <w:tc>
          <w:tcPr>
            <w:tcW w:w="78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UPFRONT GROWTH II, L.P.</w:t>
            </w:r>
          </w:p>
        </w:tc>
      </w:tr>
      <w:tr>
        <w:trPr>
          <w:trHeight w:val="279"/>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UPFRONT VENTURES IV, L.P.</w:t>
            </w:r>
          </w:p>
        </w:tc>
        <w:tc>
          <w:tcPr>
            <w:tcW w:w="78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FOUNDER COLLECTIVE, L.P.</w:t>
            </w:r>
          </w:p>
        </w:tc>
      </w:tr>
      <w:tr>
        <w:trPr>
          <w:trHeight w:val="279"/>
        </w:trPr>
        <w:tc>
          <w:tcPr>
            <w:tcW w:w="5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w w:val="99"/>
              </w:rPr>
              <w:t>HIGHLAND CAPITAL PARTNERS VII LIMITED PARTNERSHIP</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FOUNDER COLLECTIVE ENTREPRENEURS' FUND, LLC</w:t>
            </w:r>
          </w:p>
        </w:tc>
      </w:tr>
      <w:tr>
        <w:trPr>
          <w:trHeight w:val="248"/>
        </w:trPr>
        <w:tc>
          <w:tcPr>
            <w:tcW w:w="48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HIGHLAND CAPITAL PARTNERS VII-B LIMITED</w:t>
            </w:r>
          </w:p>
        </w:tc>
        <w:tc>
          <w:tcPr>
            <w:tcW w:w="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HIGH LINE VENTURE PARTNERS, LLC</w:t>
            </w:r>
          </w:p>
        </w:tc>
      </w:tr>
      <w:tr>
        <w:trPr>
          <w:trHeight w:val="267"/>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PARTNERSHIP</w:t>
            </w:r>
          </w:p>
        </w:tc>
        <w:tc>
          <w:tcPr>
            <w:tcW w:w="7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spacing w:after="0"/>
              <w:rPr>
                <w:sz w:val="23"/>
                <w:szCs w:val="23"/>
                <w:color w:val="auto"/>
              </w:rPr>
            </w:pPr>
          </w:p>
        </w:tc>
      </w:tr>
      <w:tr>
        <w:trPr>
          <w:trHeight w:val="248"/>
        </w:trPr>
        <w:tc>
          <w:tcPr>
            <w:tcW w:w="48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HIGHLAND CAPITAL PARTNERS VII-C LIMITED</w:t>
            </w:r>
          </w:p>
        </w:tc>
        <w:tc>
          <w:tcPr>
            <w:tcW w:w="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BOJANGLES TRUST 2004</w:t>
            </w:r>
          </w:p>
        </w:tc>
      </w:tr>
      <w:tr>
        <w:trPr>
          <w:trHeight w:val="267"/>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PARTNERSHIP</w:t>
            </w:r>
          </w:p>
        </w:tc>
        <w:tc>
          <w:tcPr>
            <w:tcW w:w="7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spacing w:after="0"/>
              <w:rPr>
                <w:sz w:val="23"/>
                <w:szCs w:val="23"/>
                <w:color w:val="auto"/>
              </w:rPr>
            </w:pPr>
          </w:p>
        </w:tc>
      </w:tr>
      <w:tr>
        <w:trPr>
          <w:trHeight w:val="248"/>
        </w:trPr>
        <w:tc>
          <w:tcPr>
            <w:tcW w:w="48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HIGHLAND ENTREPRENEURS' FUND VII LIMITED</w:t>
            </w:r>
          </w:p>
        </w:tc>
        <w:tc>
          <w:tcPr>
            <w:tcW w:w="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GALE &amp; VINCE MCCLUSKEY</w:t>
            </w:r>
          </w:p>
        </w:tc>
      </w:tr>
      <w:tr>
        <w:trPr>
          <w:trHeight w:val="267"/>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PARTNERSHIP</w:t>
            </w:r>
          </w:p>
        </w:tc>
        <w:tc>
          <w:tcPr>
            <w:tcW w:w="7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spacing w:after="0"/>
              <w:rPr>
                <w:sz w:val="23"/>
                <w:szCs w:val="23"/>
                <w:color w:val="auto"/>
              </w:rPr>
            </w:pPr>
          </w:p>
        </w:tc>
      </w:tr>
      <w:tr>
        <w:trPr>
          <w:trHeight w:val="248"/>
        </w:trPr>
        <w:tc>
          <w:tcPr>
            <w:tcW w:w="48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HIGHLAND CAPITAL PARTNERS VIII LIMITED</w:t>
            </w:r>
          </w:p>
        </w:tc>
        <w:tc>
          <w:tcPr>
            <w:tcW w:w="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NEXTVIEW VENTURES LLC</w:t>
            </w:r>
          </w:p>
        </w:tc>
      </w:tr>
      <w:tr>
        <w:trPr>
          <w:trHeight w:val="267"/>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PARTNERSHIP</w:t>
            </w:r>
          </w:p>
        </w:tc>
        <w:tc>
          <w:tcPr>
            <w:tcW w:w="7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spacing w:after="0"/>
              <w:rPr>
                <w:sz w:val="23"/>
                <w:szCs w:val="23"/>
                <w:color w:val="auto"/>
              </w:rPr>
            </w:pPr>
          </w:p>
        </w:tc>
      </w:tr>
      <w:tr>
        <w:trPr>
          <w:trHeight w:val="248"/>
        </w:trPr>
        <w:tc>
          <w:tcPr>
            <w:tcW w:w="48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HIGHLAND CAPITAL PARTNERS VIII-B LIMITED</w:t>
            </w:r>
          </w:p>
        </w:tc>
        <w:tc>
          <w:tcPr>
            <w:tcW w:w="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NETPRICE.COM, LTD</w:t>
            </w:r>
          </w:p>
        </w:tc>
      </w:tr>
      <w:tr>
        <w:trPr>
          <w:trHeight w:val="267"/>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PARTNERSHIP</w:t>
            </w:r>
          </w:p>
        </w:tc>
        <w:tc>
          <w:tcPr>
            <w:tcW w:w="7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spacing w:after="0"/>
              <w:rPr>
                <w:sz w:val="23"/>
                <w:szCs w:val="23"/>
                <w:color w:val="auto"/>
              </w:rPr>
            </w:pPr>
          </w:p>
        </w:tc>
      </w:tr>
      <w:tr>
        <w:trPr>
          <w:trHeight w:val="248"/>
        </w:trPr>
        <w:tc>
          <w:tcPr>
            <w:tcW w:w="48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HIGHLAND CAPITAL PARTNERS VIII-C LIMITED</w:t>
            </w:r>
          </w:p>
        </w:tc>
        <w:tc>
          <w:tcPr>
            <w:tcW w:w="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CAROLYN HOMER</w:t>
            </w:r>
          </w:p>
        </w:tc>
      </w:tr>
      <w:tr>
        <w:trPr>
          <w:trHeight w:val="267"/>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PARTNERSHIP</w:t>
            </w:r>
          </w:p>
        </w:tc>
        <w:tc>
          <w:tcPr>
            <w:tcW w:w="780" w:type="dxa"/>
            <w:vAlign w:val="bottom"/>
            <w:tcBorders>
              <w:bottom w:val="single" w:sz="8" w:color="auto"/>
              <w:right w:val="single" w:sz="8" w:color="auto"/>
            </w:tcBorders>
          </w:tcPr>
          <w:p>
            <w:pPr>
              <w:spacing w:after="0"/>
              <w:rPr>
                <w:sz w:val="23"/>
                <w:szCs w:val="23"/>
                <w:color w:val="auto"/>
              </w:rPr>
            </w:pPr>
          </w:p>
        </w:tc>
        <w:tc>
          <w:tcPr>
            <w:tcW w:w="5620" w:type="dxa"/>
            <w:vAlign w:val="bottom"/>
            <w:tcBorders>
              <w:bottom w:val="single" w:sz="8" w:color="auto"/>
              <w:right w:val="single" w:sz="8" w:color="auto"/>
            </w:tcBorders>
          </w:tcPr>
          <w:p>
            <w:pPr>
              <w:spacing w:after="0"/>
              <w:rPr>
                <w:sz w:val="23"/>
                <w:szCs w:val="23"/>
                <w:color w:val="auto"/>
              </w:rPr>
            </w:pPr>
          </w:p>
        </w:tc>
      </w:tr>
      <w:tr>
        <w:trPr>
          <w:trHeight w:val="279"/>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REDPOINT VENTURES IV, L.P.</w:t>
            </w:r>
          </w:p>
        </w:tc>
        <w:tc>
          <w:tcPr>
            <w:tcW w:w="78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CHRISTINE AND ERIC KUECHERER</w:t>
            </w:r>
          </w:p>
        </w:tc>
      </w:tr>
      <w:tr>
        <w:trPr>
          <w:trHeight w:val="279"/>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REDPOINT ASSOCIATES IV, LLC</w:t>
            </w:r>
          </w:p>
        </w:tc>
        <w:tc>
          <w:tcPr>
            <w:tcW w:w="78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ESTATE OF LEE LUBIN</w:t>
            </w:r>
          </w:p>
        </w:tc>
      </w:tr>
      <w:tr>
        <w:trPr>
          <w:trHeight w:val="279"/>
        </w:trPr>
        <w:tc>
          <w:tcPr>
            <w:tcW w:w="48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TRINITY VENTURES X, L.P.</w:t>
            </w:r>
          </w:p>
        </w:tc>
        <w:tc>
          <w:tcPr>
            <w:tcW w:w="78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JOHN AND CORNELIA HUME</w:t>
            </w:r>
          </w:p>
        </w:tc>
      </w:tr>
    </w:tbl>
    <w:p>
      <w:pPr>
        <w:sectPr>
          <w:pgSz w:w="11900" w:h="16838" w:orient="portrait"/>
          <w:cols w:equalWidth="0" w:num="1">
            <w:col w:w="11260"/>
          </w:cols>
          <w:pgMar w:left="320" w:top="1317" w:right="319" w:bottom="1440" w:gutter="0" w:footer="0" w:header="0"/>
        </w:sectPr>
      </w:pPr>
    </w:p>
    <w:bookmarkStart w:id="432" w:name="page433"/>
    <w:bookmarkEnd w:id="4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5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TRINITY X SIDE-BY-SIDE FUND, L.P.</w:t>
            </w:r>
          </w:p>
        </w:tc>
        <w:tc>
          <w:tcPr>
            <w:tcW w:w="5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BRIAN SWETTE</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TRINITY X ENTREPRENEURS' FUND L.P.</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ANNE RAIMONDI</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CASTELLANI ASSOCIATES III</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LAWRENCE P. CASTELLANI SR.</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NEXTVIEW VENTURES I CO-INVEST FUND, L.P.</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NEXTVIEW VENTURES, L.P</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PETER S. REINHART</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NORMAN MATTHEWS</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PARK WEST INVESTORS MASTER FUND, LIMITED</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PARK WEST PARTNERS INTERNATIONAL, LIMITED</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IRVING INVESTORS PRIVATES HPC XI, LLC</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MONTAUK VENTURES, LLC</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113011 INVESTMENT HOLDINGS LLC</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63019 HOLDINGS LLC</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91313 INVESTMENT HOLDINGS LLC</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PARAGON HOLDINGS I LLC</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BEE HILL HOLDINGS LLC</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YUTING ZENG</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DYLAN GORMAN</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KINGSPORT HOLDINGS LLC</w:t>
            </w:r>
          </w:p>
        </w:tc>
      </w:tr>
      <w:tr>
        <w:trPr>
          <w:trHeight w:val="27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KENNETH CHOI</w:t>
            </w:r>
          </w:p>
        </w:tc>
        <w:tc>
          <w:tcPr>
            <w:tcW w:w="5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LAUREN DERFNER</w:t>
            </w:r>
          </w:p>
        </w:tc>
      </w:tr>
    </w:tbl>
    <w:p>
      <w:pPr>
        <w:sectPr>
          <w:pgSz w:w="11900" w:h="16838" w:orient="portrait"/>
          <w:cols w:equalWidth="0" w:num="1">
            <w:col w:w="11260"/>
          </w:cols>
          <w:pgMar w:left="320" w:top="1339" w:right="319" w:bottom="1440" w:gutter="0" w:footer="0" w:header="0"/>
        </w:sectPr>
      </w:pPr>
    </w:p>
    <w:bookmarkStart w:id="433" w:name="page434"/>
    <w:bookmarkEnd w:id="433"/>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B</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KEY 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Christopher Homer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Oliver H. Lubin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G. Reinhart</w:t>
      </w:r>
    </w:p>
    <w:p>
      <w:pPr>
        <w:spacing w:after="0" w:line="206" w:lineRule="exact"/>
        <w:rPr>
          <w:sz w:val="20"/>
          <w:szCs w:val="20"/>
          <w:color w:val="auto"/>
        </w:rPr>
      </w:pPr>
    </w:p>
    <w:p>
      <w:pPr>
        <w:ind w:right="1299"/>
        <w:spacing w:after="0" w:line="546" w:lineRule="auto"/>
        <w:rPr>
          <w:sz w:val="20"/>
          <w:szCs w:val="20"/>
          <w:color w:val="auto"/>
        </w:rPr>
      </w:pPr>
      <w:r>
        <w:rPr>
          <w:rFonts w:ascii="Times New Roman" w:cs="Times New Roman" w:eastAsia="Times New Roman" w:hAnsi="Times New Roman"/>
          <w:sz w:val="20"/>
          <w:szCs w:val="20"/>
          <w:color w:val="auto"/>
        </w:rPr>
        <w:t>James Reinhart and Michele Reinhart as Trustees of the Costanoa Family Trust dated July 22 2015 as amended James Reinhart as Trustee of the Costanoa 2017 Trust dated May 5 2017 John Voris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Anthony Marino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Edward Albanese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Gale McCluskey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Amy Gaffney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Reinhart</w:t>
      </w:r>
    </w:p>
    <w:p>
      <w:pPr>
        <w:spacing w:after="0" w:line="230" w:lineRule="exact"/>
        <w:rPr>
          <w:sz w:val="20"/>
          <w:szCs w:val="20"/>
          <w:color w:val="auto"/>
        </w:rPr>
      </w:pPr>
    </w:p>
    <w:p>
      <w:pPr>
        <w:ind w:right="1579"/>
        <w:spacing w:after="0" w:line="511" w:lineRule="auto"/>
        <w:rPr>
          <w:sz w:val="20"/>
          <w:szCs w:val="20"/>
          <w:color w:val="auto"/>
        </w:rPr>
      </w:pPr>
      <w:r>
        <w:rPr>
          <w:rFonts w:ascii="Times New Roman" w:cs="Times New Roman" w:eastAsia="Times New Roman" w:hAnsi="Times New Roman"/>
          <w:sz w:val="20"/>
          <w:szCs w:val="20"/>
          <w:color w:val="auto"/>
        </w:rPr>
        <w:t>Jordan Park Trust Company LLC, Trustee of the Costanoa 2021 Irrevocable Trust Dated February 26, 2021 James Reinhart and Michele Reinhart as Trustees of the Costanoa 2017 Irrevocable GST Trust</w:t>
      </w:r>
    </w:p>
    <w:p>
      <w:pPr>
        <w:sectPr>
          <w:pgSz w:w="11900" w:h="16838" w:orient="portrait"/>
          <w:cols w:equalWidth="0" w:num="1">
            <w:col w:w="10139"/>
          </w:cols>
          <w:pgMar w:left="320" w:top="1317" w:right="1440" w:bottom="1440" w:gutter="0" w:footer="0" w:header="0"/>
        </w:sectPr>
      </w:pPr>
    </w:p>
    <w:bookmarkStart w:id="434" w:name="page435"/>
    <w:bookmarkEnd w:id="434"/>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WARRANT AND THE SHARES ISSUABLE HEREUNDER HAVE NOT BEEN REGISTERED UNDER THE SECURITIES ACT OF 1933, AS AMENDED (THE “</w:t>
      </w:r>
      <w:r>
        <w:rPr>
          <w:rFonts w:ascii="Times New Roman" w:cs="Times New Roman" w:eastAsia="Times New Roman" w:hAnsi="Times New Roman"/>
          <w:sz w:val="20"/>
          <w:szCs w:val="20"/>
          <w:b w:val="1"/>
          <w:bCs w:val="1"/>
          <w:u w:val="single" w:color="auto"/>
          <w:color w:val="auto"/>
        </w:rPr>
        <w:t>ACT</w:t>
      </w:r>
      <w:r>
        <w:rPr>
          <w:rFonts w:ascii="Times New Roman" w:cs="Times New Roman" w:eastAsia="Times New Roman" w:hAnsi="Times New Roman"/>
          <w:sz w:val="20"/>
          <w:szCs w:val="20"/>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SHARES ISSUABLE HEREUNDER ARE SUBJECT TO AN INVESTORS’ RIGHTS AGREEMENT, AS MAY BE AMENDED FROM TIME TO TIME (A COPY OF WHICH MAY BE OBTAINED UPON WRITTEN REQUEST FROM THE COMPANY), AND BY ACCEPTING ANY INTEREST IN SUCH SHARES THE PERSON ACCEPTING SUCH INTEREST SHALL BE DEEMED TO AGREE TO AND SHALL BECOME BOUND BY ALL THE PROVISION OF THAT INVESTORS’ RIGHTS AGREEMENT, INCLUDING CERTAIN RESTRICTIONS ON TRANSFER AND OWNERSHIP SET FORTH THEREIN.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 TO PURCHASE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THREDUP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Shares</w:t>
      </w:r>
      <w:r>
        <w:rPr>
          <w:rFonts w:ascii="Times New Roman" w:cs="Times New Roman" w:eastAsia="Times New Roman" w:hAnsi="Times New Roman"/>
          <w:sz w:val="20"/>
          <w:szCs w:val="20"/>
          <w:color w:val="auto"/>
        </w:rPr>
        <w:t>: 13,382, plus all Additional Shares which Holder is entitled to purchase pursuant to Section 1.7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Type/Series of Stock</w:t>
      </w:r>
      <w:r>
        <w:rPr>
          <w:rFonts w:ascii="Times New Roman" w:cs="Times New Roman" w:eastAsia="Times New Roman" w:hAnsi="Times New Roman"/>
          <w:sz w:val="20"/>
          <w:szCs w:val="20"/>
          <w:color w:val="auto"/>
        </w:rPr>
        <w:t>: Series D Preferred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 Price</w:t>
      </w:r>
      <w:r>
        <w:rPr>
          <w:rFonts w:ascii="Times New Roman" w:cs="Times New Roman" w:eastAsia="Times New Roman" w:hAnsi="Times New Roman"/>
          <w:sz w:val="20"/>
          <w:szCs w:val="20"/>
          <w:color w:val="auto"/>
        </w:rPr>
        <w:t>: $2.26 per share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 Date</w:t>
      </w:r>
      <w:r>
        <w:rPr>
          <w:rFonts w:ascii="Times New Roman" w:cs="Times New Roman" w:eastAsia="Times New Roman" w:hAnsi="Times New Roman"/>
          <w:sz w:val="20"/>
          <w:szCs w:val="20"/>
          <w:color w:val="auto"/>
        </w:rPr>
        <w:t>: January 22, 2015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January 22, 2025 See also Section 5.1(b).</w:t>
      </w:r>
    </w:p>
    <w:p>
      <w:pPr>
        <w:spacing w:after="0" w:line="6" w:lineRule="exact"/>
        <w:rPr>
          <w:sz w:val="20"/>
          <w:szCs w:val="20"/>
          <w:color w:val="auto"/>
        </w:rPr>
      </w:pPr>
    </w:p>
    <w:p>
      <w:pPr>
        <w:jc w:val="both"/>
        <w:ind w:left="1420" w:hanging="1418"/>
        <w:spacing w:after="0" w:line="249" w:lineRule="auto"/>
        <w:rPr>
          <w:sz w:val="20"/>
          <w:szCs w:val="20"/>
          <w:color w:val="auto"/>
        </w:rPr>
      </w:pPr>
      <w:r>
        <w:rPr>
          <w:rFonts w:ascii="Times New Roman" w:cs="Times New Roman" w:eastAsia="Times New Roman" w:hAnsi="Times New Roman"/>
          <w:sz w:val="20"/>
          <w:szCs w:val="20"/>
          <w:b w:val="1"/>
          <w:bCs w:val="1"/>
          <w:color w:val="auto"/>
        </w:rPr>
        <w:t>Credit Facility</w:t>
      </w:r>
      <w:r>
        <w:rPr>
          <w:rFonts w:ascii="Times New Roman" w:cs="Times New Roman" w:eastAsia="Times New Roman" w:hAnsi="Times New Roman"/>
          <w:sz w:val="20"/>
          <w:szCs w:val="20"/>
          <w:color w:val="auto"/>
        </w:rPr>
        <w:t>: This Warrant to Purchase Stock (“</w:t>
      </w:r>
      <w:r>
        <w:rPr>
          <w:rFonts w:ascii="Times New Roman" w:cs="Times New Roman" w:eastAsia="Times New Roman" w:hAnsi="Times New Roman"/>
          <w:sz w:val="20"/>
          <w:szCs w:val="20"/>
          <w:b w:val="1"/>
          <w:bCs w:val="1"/>
          <w:u w:val="single" w:color="auto"/>
          <w:color w:val="auto"/>
        </w:rPr>
        <w:t>Warrant</w:t>
      </w:r>
      <w:r>
        <w:rPr>
          <w:rFonts w:ascii="Times New Roman" w:cs="Times New Roman" w:eastAsia="Times New Roman" w:hAnsi="Times New Roman"/>
          <w:sz w:val="20"/>
          <w:szCs w:val="20"/>
          <w:color w:val="auto"/>
        </w:rPr>
        <w:t>”) is issued in connection with that certain Loan and Security Agreement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or about July 26, 2013, between Silicon Valley Bank and the Company, as amended by that certain First Amendment to Loan and Security Agreement of even date herewith between Silicon Valley Bank and the Company (as the same may from time to time be further amended, modified, supplemented or restated, the “</w:t>
      </w:r>
      <w:r>
        <w:rPr>
          <w:rFonts w:ascii="Times New Roman" w:cs="Times New Roman" w:eastAsia="Times New Roman" w:hAnsi="Times New Roman"/>
          <w:sz w:val="20"/>
          <w:szCs w:val="20"/>
          <w:b w:val="1"/>
          <w:bCs w:val="1"/>
          <w:u w:val="single" w:color="auto"/>
          <w:color w:val="auto"/>
        </w:rPr>
        <w:t>Loan Agreement</w:t>
      </w:r>
      <w:r>
        <w:rPr>
          <w:rFonts w:ascii="Times New Roman" w:cs="Times New Roman" w:eastAsia="Times New Roman" w:hAnsi="Times New Roman"/>
          <w:sz w:val="20"/>
          <w:szCs w:val="20"/>
          <w:color w:val="auto"/>
        </w:rPr>
        <w:t>”).</w:t>
      </w:r>
    </w:p>
    <w:p>
      <w:pPr>
        <w:spacing w:after="0" w:line="119"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THIS WARRANT CERTIFIES THAT, for good and valuable consideration, the receipt and sufficiency of which are hereby acknowledged, SILICON VALLEY BANK (together with any successor or permitted assignee or transferee of this Warrant or of any shares issued upon exercise hereof, “</w:t>
      </w:r>
      <w:r>
        <w:rPr>
          <w:rFonts w:ascii="Times New Roman" w:cs="Times New Roman" w:eastAsia="Times New Roman" w:hAnsi="Times New Roman"/>
          <w:sz w:val="20"/>
          <w:szCs w:val="20"/>
          <w:b w:val="1"/>
          <w:bCs w:val="1"/>
          <w:u w:val="single" w:color="auto"/>
          <w:color w:val="auto"/>
        </w:rPr>
        <w:t>Holder</w:t>
      </w:r>
      <w:r>
        <w:rPr>
          <w:rFonts w:ascii="Times New Roman" w:cs="Times New Roman" w:eastAsia="Times New Roman" w:hAnsi="Times New Roman"/>
          <w:sz w:val="20"/>
          <w:szCs w:val="20"/>
          <w:color w:val="auto"/>
        </w:rPr>
        <w:t>”) is entitled to purchase the number of fully paid and non-assessable shares (the “</w:t>
      </w:r>
      <w:r>
        <w:rPr>
          <w:rFonts w:ascii="Times New Roman" w:cs="Times New Roman" w:eastAsia="Times New Roman" w:hAnsi="Times New Roman"/>
          <w:sz w:val="20"/>
          <w:szCs w:val="20"/>
          <w:b w:val="1"/>
          <w:bCs w:val="1"/>
          <w:u w:val="single" w:color="auto"/>
          <w:color w:val="auto"/>
        </w:rPr>
        <w:t>Shares</w:t>
      </w:r>
      <w:r>
        <w:rPr>
          <w:rFonts w:ascii="Times New Roman" w:cs="Times New Roman" w:eastAsia="Times New Roman" w:hAnsi="Times New Roman"/>
          <w:sz w:val="20"/>
          <w:szCs w:val="20"/>
          <w:color w:val="auto"/>
        </w:rPr>
        <w:t>”) of the above-stated Type/Series of Stock (the “</w:t>
      </w:r>
      <w:r>
        <w:rPr>
          <w:rFonts w:ascii="Times New Roman" w:cs="Times New Roman" w:eastAsia="Times New Roman" w:hAnsi="Times New Roman"/>
          <w:sz w:val="20"/>
          <w:szCs w:val="20"/>
          <w:b w:val="1"/>
          <w:bCs w:val="1"/>
          <w:u w:val="single" w:color="auto"/>
          <w:color w:val="auto"/>
        </w:rPr>
        <w:t>Class</w:t>
      </w:r>
      <w:r>
        <w:rPr>
          <w:rFonts w:ascii="Times New Roman" w:cs="Times New Roman" w:eastAsia="Times New Roman" w:hAnsi="Times New Roman"/>
          <w:sz w:val="20"/>
          <w:szCs w:val="20"/>
          <w:color w:val="auto"/>
        </w:rPr>
        <w:t>”) of the above-named company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EXERCISE.</w:t>
      </w:r>
    </w:p>
    <w:p>
      <w:pPr>
        <w:spacing w:after="0" w:line="156" w:lineRule="exact"/>
        <w:rPr>
          <w:sz w:val="20"/>
          <w:szCs w:val="20"/>
          <w:color w:val="auto"/>
        </w:rPr>
      </w:pPr>
    </w:p>
    <w:p>
      <w:pPr>
        <w:jc w:val="both"/>
        <w:ind w:firstLine="1195"/>
        <w:spacing w:after="0" w:line="277"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Method of Exercise</w:t>
      </w:r>
      <w:r>
        <w:rPr>
          <w:rFonts w:ascii="Times New Roman" w:cs="Times New Roman" w:eastAsia="Times New Roman" w:hAnsi="Times New Roman"/>
          <w:sz w:val="20"/>
          <w:szCs w:val="20"/>
          <w:color w:val="auto"/>
        </w:rPr>
        <w:t>. Holder may at any time and from time to time exercise this Warrant, in whole or in part, by delivering to the Company the original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8" w:right="339" w:bottom="1440" w:gutter="0" w:footer="0" w:header="0"/>
        </w:sectPr>
      </w:pPr>
    </w:p>
    <w:bookmarkStart w:id="435" w:name="page436"/>
    <w:bookmarkEnd w:id="435"/>
    <w:p>
      <w:pPr>
        <w:jc w:val="both"/>
        <w:spacing w:after="0" w:line="256" w:lineRule="auto"/>
        <w:rPr>
          <w:sz w:val="20"/>
          <w:szCs w:val="20"/>
          <w:color w:val="auto"/>
        </w:rPr>
      </w:pPr>
      <w:r>
        <w:rPr>
          <w:rFonts w:ascii="Times New Roman" w:cs="Times New Roman" w:eastAsia="Times New Roman" w:hAnsi="Times New Roman"/>
          <w:sz w:val="20"/>
          <w:szCs w:val="20"/>
          <w:color w:val="auto"/>
        </w:rPr>
        <w:t>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14" w:lineRule="exact"/>
        <w:rPr>
          <w:sz w:val="20"/>
          <w:szCs w:val="20"/>
          <w:color w:val="auto"/>
        </w:rPr>
      </w:pPr>
    </w:p>
    <w:p>
      <w:pPr>
        <w:jc w:val="both"/>
        <w:ind w:firstLine="1195"/>
        <w:spacing w:after="0" w:line="256"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Cashless Exercise</w:t>
      </w:r>
      <w:r>
        <w:rPr>
          <w:rFonts w:ascii="Times New Roman" w:cs="Times New Roman" w:eastAsia="Times New Roman" w:hAnsi="Times New Roman"/>
          <w:sz w:val="20"/>
          <w:szCs w:val="20"/>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1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X = Y(A-B)/A</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where:</w:t>
      </w:r>
    </w:p>
    <w:p>
      <w:pPr>
        <w:spacing w:after="0" w:line="156" w:lineRule="exact"/>
        <w:rPr>
          <w:sz w:val="20"/>
          <w:szCs w:val="20"/>
          <w:color w:val="auto"/>
        </w:rPr>
      </w:pPr>
    </w:p>
    <w:p>
      <w:pPr>
        <w:ind w:left="1800"/>
        <w:spacing w:after="0"/>
        <w:tabs>
          <w:tab w:leader="none" w:pos="2280" w:val="left"/>
        </w:tabs>
        <w:rPr>
          <w:sz w:val="20"/>
          <w:szCs w:val="20"/>
          <w:color w:val="auto"/>
        </w:rPr>
      </w:pPr>
      <w:r>
        <w:rPr>
          <w:rFonts w:ascii="Times New Roman" w:cs="Times New Roman" w:eastAsia="Times New Roman" w:hAnsi="Times New Roman"/>
          <w:sz w:val="20"/>
          <w:szCs w:val="20"/>
          <w:color w:val="auto"/>
        </w:rPr>
        <w:t>X =</w:t>
      </w:r>
      <w:r>
        <w:rPr>
          <w:sz w:val="20"/>
          <w:szCs w:val="20"/>
          <w:color w:val="auto"/>
        </w:rPr>
        <w:tab/>
      </w:r>
      <w:r>
        <w:rPr>
          <w:rFonts w:ascii="Times New Roman" w:cs="Times New Roman" w:eastAsia="Times New Roman" w:hAnsi="Times New Roman"/>
          <w:sz w:val="19"/>
          <w:szCs w:val="19"/>
          <w:color w:val="auto"/>
        </w:rPr>
        <w:t>the number of Shares to be issued to the Holder;</w:t>
      </w:r>
    </w:p>
    <w:p>
      <w:pPr>
        <w:spacing w:after="0" w:line="156" w:lineRule="exact"/>
        <w:rPr>
          <w:sz w:val="20"/>
          <w:szCs w:val="20"/>
          <w:color w:val="auto"/>
        </w:rPr>
      </w:pPr>
    </w:p>
    <w:p>
      <w:pPr>
        <w:ind w:left="2300" w:right="80" w:hanging="596"/>
        <w:spacing w:after="0" w:line="277" w:lineRule="auto"/>
        <w:tabs>
          <w:tab w:leader="none" w:pos="2280" w:val="left"/>
        </w:tabs>
        <w:rPr>
          <w:sz w:val="20"/>
          <w:szCs w:val="20"/>
          <w:color w:val="auto"/>
        </w:rPr>
      </w:pPr>
      <w:r>
        <w:rPr>
          <w:rFonts w:ascii="Times New Roman" w:cs="Times New Roman" w:eastAsia="Times New Roman" w:hAnsi="Times New Roman"/>
          <w:sz w:val="20"/>
          <w:szCs w:val="20"/>
          <w:color w:val="auto"/>
        </w:rPr>
        <w:t>Y =</w:t>
        <w:tab/>
        <w:t>the number of Shares with respect to which this Warrant is being exercised (inclusive of the Shares surrendered to the Company in payment of the aggregate Warrant Price);</w:t>
      </w:r>
    </w:p>
    <w:p>
      <w:pPr>
        <w:spacing w:after="0" w:line="91" w:lineRule="exact"/>
        <w:rPr>
          <w:sz w:val="20"/>
          <w:szCs w:val="20"/>
          <w:color w:val="auto"/>
        </w:rPr>
      </w:pPr>
    </w:p>
    <w:p>
      <w:pPr>
        <w:ind w:left="1800" w:right="2040"/>
        <w:spacing w:after="0" w:line="402" w:lineRule="auto"/>
        <w:rPr>
          <w:sz w:val="20"/>
          <w:szCs w:val="20"/>
          <w:color w:val="auto"/>
        </w:rPr>
      </w:pPr>
      <w:r>
        <w:rPr>
          <w:rFonts w:ascii="Times New Roman" w:cs="Times New Roman" w:eastAsia="Times New Roman" w:hAnsi="Times New Roman"/>
          <w:sz w:val="20"/>
          <w:szCs w:val="20"/>
          <w:color w:val="auto"/>
        </w:rPr>
        <w:t>A = the Fair Market Value (as determined pursuant to Section 1.3 below) of one Share; and B = the Warrant Price.</w:t>
      </w:r>
    </w:p>
    <w:p>
      <w:pPr>
        <w:spacing w:after="0" w:line="1"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If the Company’s common stock is then traded or quoted on a nationally recognized securities exchange, inter-dealer quotation system or over-the-counter market (a “</w:t>
      </w:r>
      <w:r>
        <w:rPr>
          <w:rFonts w:ascii="Times New Roman" w:cs="Times New Roman" w:eastAsia="Times New Roman" w:hAnsi="Times New Roman"/>
          <w:sz w:val="20"/>
          <w:szCs w:val="20"/>
          <w:b w:val="1"/>
          <w:bCs w:val="1"/>
          <w:u w:val="single" w:color="auto"/>
          <w:color w:val="auto"/>
        </w:rPr>
        <w:t>Trading Market</w:t>
      </w:r>
      <w:r>
        <w:rPr>
          <w:rFonts w:ascii="Times New Roman" w:cs="Times New Roman" w:eastAsia="Times New Roman" w:hAnsi="Times New Roman"/>
          <w:sz w:val="20"/>
          <w:szCs w:val="20"/>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21" w:lineRule="exact"/>
        <w:rPr>
          <w:sz w:val="20"/>
          <w:szCs w:val="20"/>
          <w:color w:val="auto"/>
        </w:rPr>
      </w:pPr>
    </w:p>
    <w:p>
      <w:pPr>
        <w:jc w:val="both"/>
        <w:ind w:firstLine="1195"/>
        <w:spacing w:after="0" w:line="256"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Delivery of Certificate and New Warrant</w:t>
      </w:r>
      <w:r>
        <w:rPr>
          <w:rFonts w:ascii="Times New Roman" w:cs="Times New Roman" w:eastAsia="Times New Roman" w:hAnsi="Times New Roman"/>
          <w:sz w:val="20"/>
          <w:szCs w:val="20"/>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21" w:right="339" w:bottom="1440" w:gutter="0" w:footer="0" w:header="0"/>
        </w:sectPr>
      </w:pPr>
    </w:p>
    <w:bookmarkStart w:id="436" w:name="page437"/>
    <w:bookmarkEnd w:id="436"/>
    <w:p>
      <w:pPr>
        <w:jc w:val="both"/>
        <w:ind w:firstLine="1195"/>
        <w:spacing w:after="0" w:line="256"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Replacement of Warrant</w:t>
      </w:r>
      <w:r>
        <w:rPr>
          <w:rFonts w:ascii="Times New Roman" w:cs="Times New Roman" w:eastAsia="Times New Roman" w:hAnsi="Times New Roman"/>
          <w:sz w:val="20"/>
          <w:szCs w:val="20"/>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14"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u w:val="single" w:color="auto"/>
          <w:color w:val="auto"/>
        </w:rPr>
        <w:t>Treatment of Warrant Upon Acquisition of Company</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2380" w:hanging="589"/>
        <w:spacing w:after="0"/>
        <w:tabs>
          <w:tab w:leader="none" w:pos="238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For the purpose of this Warrant, “</w:t>
      </w:r>
      <w:r>
        <w:rPr>
          <w:rFonts w:ascii="Times New Roman" w:cs="Times New Roman" w:eastAsia="Times New Roman" w:hAnsi="Times New Roman"/>
          <w:sz w:val="20"/>
          <w:szCs w:val="20"/>
          <w:b w:val="1"/>
          <w:bCs w:val="1"/>
          <w:u w:val="single" w:color="auto"/>
          <w:color w:val="auto"/>
        </w:rPr>
        <w:t>Acquisition</w:t>
      </w:r>
      <w:r>
        <w:rPr>
          <w:rFonts w:ascii="Times New Roman" w:cs="Times New Roman" w:eastAsia="Times New Roman" w:hAnsi="Times New Roman"/>
          <w:sz w:val="20"/>
          <w:szCs w:val="20"/>
          <w:color w:val="auto"/>
        </w:rPr>
        <w:t>” means any transaction or series of related</w:t>
      </w:r>
    </w:p>
    <w:p>
      <w:pPr>
        <w:spacing w:after="0" w:line="32" w:lineRule="exact"/>
        <w:rPr>
          <w:rFonts w:ascii="Times New Roman" w:cs="Times New Roman" w:eastAsia="Times New Roman" w:hAnsi="Times New Roman"/>
          <w:sz w:val="20"/>
          <w:szCs w:val="20"/>
          <w:color w:val="auto"/>
        </w:rPr>
      </w:pPr>
    </w:p>
    <w:p>
      <w:pPr>
        <w:jc w:val="both"/>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18" w:lineRule="exact"/>
        <w:rPr>
          <w:rFonts w:ascii="Times New Roman" w:cs="Times New Roman" w:eastAsia="Times New Roman" w:hAnsi="Times New Roman"/>
          <w:sz w:val="20"/>
          <w:szCs w:val="20"/>
          <w:color w:val="auto"/>
        </w:rPr>
      </w:pPr>
    </w:p>
    <w:p>
      <w:pPr>
        <w:jc w:val="both"/>
        <w:ind w:firstLine="1791"/>
        <w:spacing w:after="0" w:line="249" w:lineRule="auto"/>
        <w:tabs>
          <w:tab w:leader="none" w:pos="2385"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Warrant at Acquisition</w:t>
      </w:r>
      <w:r>
        <w:rPr>
          <w:rFonts w:ascii="Times New Roman" w:cs="Times New Roman" w:eastAsia="Times New Roman" w:hAnsi="Times New Roman"/>
          <w:sz w:val="20"/>
          <w:szCs w:val="20"/>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20"/>
          <w:szCs w:val="20"/>
          <w:b w:val="1"/>
          <w:bCs w:val="1"/>
          <w:u w:val="single" w:color="auto"/>
          <w:color w:val="auto"/>
        </w:rPr>
        <w:t>Cash/Public Acquisition</w:t>
      </w:r>
      <w:r>
        <w:rPr>
          <w:rFonts w:ascii="Times New Roman" w:cs="Times New Roman" w:eastAsia="Times New Roman" w:hAnsi="Times New Roman"/>
          <w:sz w:val="20"/>
          <w:szCs w:val="20"/>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25" w:lineRule="exact"/>
        <w:rPr>
          <w:rFonts w:ascii="Times New Roman" w:cs="Times New Roman" w:eastAsia="Times New Roman" w:hAnsi="Times New Roman"/>
          <w:sz w:val="20"/>
          <w:szCs w:val="20"/>
          <w:color w:val="auto"/>
        </w:rPr>
      </w:pPr>
    </w:p>
    <w:p>
      <w:pPr>
        <w:jc w:val="both"/>
        <w:ind w:firstLine="1791"/>
        <w:spacing w:after="0" w:line="252" w:lineRule="auto"/>
        <w:tabs>
          <w:tab w:leader="none" w:pos="2386"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closing of any Acquisition other than a Cash/Public Acquisition defined above, either (i)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 or (ii) if the successor or surviving entity shall not agree to assume this Warrant, then the aggregate Warrant Price shall be reduced to One Dollar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21" w:right="339" w:bottom="1440" w:gutter="0" w:footer="0" w:header="0"/>
        </w:sectPr>
      </w:pPr>
    </w:p>
    <w:bookmarkStart w:id="437" w:name="page438"/>
    <w:bookmarkEnd w:id="437"/>
    <w:p>
      <w:pPr>
        <w:spacing w:after="0" w:line="277" w:lineRule="auto"/>
        <w:rPr>
          <w:sz w:val="20"/>
          <w:szCs w:val="20"/>
          <w:color w:val="auto"/>
        </w:rPr>
      </w:pPr>
      <w:r>
        <w:rPr>
          <w:rFonts w:ascii="Times New Roman" w:cs="Times New Roman" w:eastAsia="Times New Roman" w:hAnsi="Times New Roman"/>
          <w:sz w:val="20"/>
          <w:szCs w:val="20"/>
          <w:color w:val="auto"/>
        </w:rPr>
        <w:t>and this Warrant shall be deemed to have been converted in full pursuant to Section 1.2 above as of immediately prior to the consummation of such Acquisition.</w:t>
      </w:r>
    </w:p>
    <w:p>
      <w:pPr>
        <w:spacing w:after="0" w:line="87" w:lineRule="exact"/>
        <w:rPr>
          <w:sz w:val="20"/>
          <w:szCs w:val="20"/>
          <w:color w:val="auto"/>
        </w:rPr>
      </w:pPr>
    </w:p>
    <w:p>
      <w:pPr>
        <w:ind w:left="2380" w:hanging="589"/>
        <w:spacing w:after="0"/>
        <w:tabs>
          <w:tab w:leader="none" w:pos="2380"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Warrant, “</w:t>
      </w:r>
      <w:r>
        <w:rPr>
          <w:rFonts w:ascii="Times New Roman" w:cs="Times New Roman" w:eastAsia="Times New Roman" w:hAnsi="Times New Roman"/>
          <w:sz w:val="20"/>
          <w:szCs w:val="20"/>
          <w:b w:val="1"/>
          <w:bCs w:val="1"/>
          <w:u w:val="single" w:color="auto"/>
          <w:color w:val="auto"/>
        </w:rPr>
        <w:t>Marketable Securities</w:t>
      </w:r>
      <w:r>
        <w:rPr>
          <w:rFonts w:ascii="Times New Roman" w:cs="Times New Roman" w:eastAsia="Times New Roman" w:hAnsi="Times New Roman"/>
          <w:sz w:val="20"/>
          <w:szCs w:val="20"/>
          <w:color w:val="auto"/>
        </w:rPr>
        <w:t>” means securities meeting all of the following requirements:</w:t>
      </w:r>
    </w:p>
    <w:p>
      <w:pPr>
        <w:spacing w:after="0" w:line="32" w:lineRule="exact"/>
        <w:rPr>
          <w:rFonts w:ascii="Times New Roman" w:cs="Times New Roman" w:eastAsia="Times New Roman" w:hAnsi="Times New Roman"/>
          <w:sz w:val="20"/>
          <w:szCs w:val="20"/>
          <w:color w:val="auto"/>
        </w:rPr>
      </w:pPr>
    </w:p>
    <w:p>
      <w:pPr>
        <w:jc w:val="both"/>
        <w:spacing w:after="0" w:line="247" w:lineRule="auto"/>
        <w:tabs>
          <w:tab w:leader="none" w:pos="245"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thereof is then subject to the reporting requirements of Section 13 or Section 15(d) of the Securities Exchange Act of 1934, as amended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25"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Additional Shares</w:t>
      </w:r>
      <w:r>
        <w:rPr>
          <w:rFonts w:ascii="Times New Roman" w:cs="Times New Roman" w:eastAsia="Times New Roman" w:hAnsi="Times New Roman"/>
          <w:sz w:val="20"/>
          <w:szCs w:val="20"/>
          <w:color w:val="auto"/>
        </w:rPr>
        <w:t>. Upon the funding of Supplemental Growth Capital Advances (as defined in the Loan Agreement) with an aggregate original principal amount in excess of Four Million Dollars ($4,000,000), the Company shall be deemed to have automatically granted to Holder, in addition to the number of Shares which this Warrant can otherwise be exercised for by Holder, the right to purchase 13,382 additional Shares, subject to adjustment pursuant to Section 2 below (such additional shares being called the “</w:t>
      </w:r>
      <w:r>
        <w:rPr>
          <w:rFonts w:ascii="Times New Roman" w:cs="Times New Roman" w:eastAsia="Times New Roman" w:hAnsi="Times New Roman"/>
          <w:sz w:val="20"/>
          <w:szCs w:val="20"/>
          <w:b w:val="1"/>
          <w:bCs w:val="1"/>
          <w:u w:val="single" w:color="auto"/>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Shares</w:t>
      </w:r>
      <w:r>
        <w:rPr>
          <w:rFonts w:ascii="Times New Roman" w:cs="Times New Roman" w:eastAsia="Times New Roman" w:hAnsi="Times New Roman"/>
          <w:sz w:val="20"/>
          <w:szCs w:val="20"/>
          <w:color w:val="auto"/>
        </w:rPr>
        <w:t>”).</w:t>
      </w:r>
    </w:p>
    <w:p>
      <w:pPr>
        <w:spacing w:after="0" w:line="114"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Stockholders Agreements</w:t>
      </w:r>
      <w:r>
        <w:rPr>
          <w:rFonts w:ascii="Times New Roman" w:cs="Times New Roman" w:eastAsia="Times New Roman" w:hAnsi="Times New Roman"/>
          <w:sz w:val="20"/>
          <w:szCs w:val="20"/>
          <w:color w:val="auto"/>
        </w:rPr>
        <w:t>. Upon any exercise or conversion of this Warrant, Holder shall, at the Company’s request, become a party to, by execution and delivery to the Company of a counterpart signature page, joinder agreement, instrument of accession or the like, any stockholders agreements related to the Company, solely with respect to the Shares issued upon such exercise or conversion, solely to the extent that all holders of outstanding shares of the Series are then parties thereto, and solely to the extent that such agreement is then by its terms in force and effect.</w:t>
      </w:r>
    </w:p>
    <w:p>
      <w:pPr>
        <w:spacing w:after="0" w:line="1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ADJUSTMENTS TO THE SHARES AND WARRANT PRICE.</w:t>
      </w:r>
    </w:p>
    <w:p>
      <w:pPr>
        <w:spacing w:after="0" w:line="156"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Stock Dividends, Splits, Etc</w:t>
      </w:r>
      <w:r>
        <w:rPr>
          <w:rFonts w:ascii="Times New Roman" w:cs="Times New Roman" w:eastAsia="Times New Roman" w:hAnsi="Times New Roman"/>
          <w:sz w:val="20"/>
          <w:szCs w:val="20"/>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21" w:right="339" w:bottom="1440" w:gutter="0" w:footer="0" w:header="0"/>
        </w:sectPr>
      </w:pPr>
    </w:p>
    <w:bookmarkStart w:id="438" w:name="page439"/>
    <w:bookmarkEnd w:id="438"/>
    <w:p>
      <w:pPr>
        <w:jc w:val="both"/>
        <w:ind w:firstLine="1195"/>
        <w:spacing w:after="0" w:line="252"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Reclassification, Exchange, Combinations or Substitution</w:t>
      </w:r>
      <w:r>
        <w:rPr>
          <w:rFonts w:ascii="Times New Roman" w:cs="Times New Roman" w:eastAsia="Times New Roman" w:hAnsi="Times New Roman"/>
          <w:sz w:val="20"/>
          <w:szCs w:val="20"/>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19"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Conversion of Preferred Stock</w:t>
      </w:r>
      <w:r>
        <w:rPr>
          <w:rFonts w:ascii="Times New Roman" w:cs="Times New Roman" w:eastAsia="Times New Roman" w:hAnsi="Times New Roman"/>
          <w:sz w:val="20"/>
          <w:szCs w:val="20"/>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(as amended and in effect from time to time, the “</w:t>
      </w:r>
      <w:r>
        <w:rPr>
          <w:rFonts w:ascii="Times New Roman" w:cs="Times New Roman" w:eastAsia="Times New Roman" w:hAnsi="Times New Roman"/>
          <w:sz w:val="20"/>
          <w:szCs w:val="20"/>
          <w:b w:val="1"/>
          <w:bCs w:val="1"/>
          <w:u w:val="single" w:color="auto"/>
          <w:color w:val="auto"/>
        </w:rPr>
        <w:t>Certificate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Incorporation</w:t>
      </w:r>
      <w:r>
        <w:rPr>
          <w:rFonts w:ascii="Times New Roman" w:cs="Times New Roman" w:eastAsia="Times New Roman" w:hAnsi="Times New Roman"/>
          <w:sz w:val="20"/>
          <w:szCs w:val="20"/>
          <w:color w:val="auto"/>
        </w:rPr>
        <w:t>”), including, without limitation, in connection with the Company’s initial, underwritten public offering and sale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pursuant to an effective registration statement under the Act (the “</w:t>
      </w:r>
      <w:r>
        <w:rPr>
          <w:rFonts w:ascii="Times New Roman" w:cs="Times New Roman" w:eastAsia="Times New Roman" w:hAnsi="Times New Roman"/>
          <w:sz w:val="20"/>
          <w:szCs w:val="20"/>
          <w:b w:val="1"/>
          <w:bCs w:val="1"/>
          <w:u w:val="single" w:color="auto"/>
          <w:color w:val="auto"/>
        </w:rPr>
        <w:t>IPO</w:t>
      </w:r>
      <w:r>
        <w:rPr>
          <w:rFonts w:ascii="Times New Roman" w:cs="Times New Roman" w:eastAsia="Times New Roman" w:hAnsi="Times New Roman"/>
          <w:sz w:val="20"/>
          <w:szCs w:val="20"/>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18" w:lineRule="exact"/>
        <w:rPr>
          <w:sz w:val="20"/>
          <w:szCs w:val="20"/>
          <w:color w:val="auto"/>
        </w:rPr>
      </w:pPr>
    </w:p>
    <w:p>
      <w:pPr>
        <w:jc w:val="both"/>
        <w:ind w:firstLine="1195"/>
        <w:spacing w:after="0" w:line="256"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Adjustments for Diluting Issuances</w:t>
      </w:r>
      <w:r>
        <w:rPr>
          <w:rFonts w:ascii="Times New Roman" w:cs="Times New Roman" w:eastAsia="Times New Roman" w:hAnsi="Times New Roman"/>
          <w:sz w:val="20"/>
          <w:szCs w:val="20"/>
          <w:color w:val="auto"/>
        </w:rPr>
        <w:t>. Without duplication of any adjustment otherwise provided for in this Section 2, the number of shares of common stock issuable upon conversion of the Shares shall be subject to anti-dilution adjustment from time to time in the manner set forth in the Certificate of Incorporation as if the Shares were issued and outstanding on and as of the date of any such required adjustment.</w:t>
      </w:r>
    </w:p>
    <w:p>
      <w:pPr>
        <w:spacing w:after="0" w:line="114"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No Fractional Share</w:t>
      </w:r>
      <w:r>
        <w:rPr>
          <w:rFonts w:ascii="Times New Roman" w:cs="Times New Roman" w:eastAsia="Times New Roman" w:hAnsi="Times New Roman"/>
          <w:sz w:val="20"/>
          <w:szCs w:val="20"/>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or cash equivalents the amount computed by multiplying the fractional interest by (i) the fair market value (as determined in accordance with Section 1.3 above) of a full Share, less (ii) the then-effective Warrant Price.</w:t>
      </w:r>
    </w:p>
    <w:p>
      <w:pPr>
        <w:spacing w:after="0" w:line="114"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Notice/Certificate as to Adjustments</w:t>
      </w:r>
      <w:r>
        <w:rPr>
          <w:rFonts w:ascii="Times New Roman" w:cs="Times New Roman" w:eastAsia="Times New Roman" w:hAnsi="Times New Roman"/>
          <w:sz w:val="20"/>
          <w:szCs w:val="20"/>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1" w:right="339" w:bottom="1440" w:gutter="0" w:footer="0" w:header="0"/>
        </w:sectPr>
      </w:pPr>
    </w:p>
    <w:bookmarkStart w:id="439" w:name="page440"/>
    <w:bookmarkEnd w:id="439"/>
    <w:p>
      <w:pPr>
        <w:ind w:left="2540"/>
        <w:spacing w:after="0"/>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REPRESENTATIONS AND COVENANTS OF THE COMPANY.</w:t>
      </w:r>
    </w:p>
    <w:p>
      <w:pPr>
        <w:spacing w:after="0" w:line="156"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The Company represents and warrants to, and agrees with, the Holder as follows:</w:t>
      </w:r>
    </w:p>
    <w:p>
      <w:pPr>
        <w:spacing w:after="0" w:line="156" w:lineRule="exact"/>
        <w:rPr>
          <w:sz w:val="20"/>
          <w:szCs w:val="20"/>
          <w:color w:val="auto"/>
        </w:rPr>
      </w:pPr>
    </w:p>
    <w:p>
      <w:pPr>
        <w:jc w:val="both"/>
        <w:ind w:firstLine="1791"/>
        <w:spacing w:after="0" w:line="262" w:lineRule="auto"/>
        <w:tabs>
          <w:tab w:leader="none" w:pos="2386"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05" w:lineRule="exact"/>
        <w:rPr>
          <w:rFonts w:ascii="Times New Roman" w:cs="Times New Roman" w:eastAsia="Times New Roman" w:hAnsi="Times New Roman"/>
          <w:sz w:val="20"/>
          <w:szCs w:val="20"/>
          <w:color w:val="auto"/>
        </w:rPr>
      </w:pPr>
    </w:p>
    <w:p>
      <w:pPr>
        <w:jc w:val="both"/>
        <w:ind w:firstLine="1791"/>
        <w:spacing w:after="0" w:line="252" w:lineRule="auto"/>
        <w:tabs>
          <w:tab w:leader="none" w:pos="2385"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19" w:lineRule="exact"/>
        <w:rPr>
          <w:rFonts w:ascii="Times New Roman" w:cs="Times New Roman" w:eastAsia="Times New Roman" w:hAnsi="Times New Roman"/>
          <w:sz w:val="20"/>
          <w:szCs w:val="20"/>
          <w:color w:val="auto"/>
        </w:rPr>
      </w:pPr>
    </w:p>
    <w:p>
      <w:pPr>
        <w:ind w:firstLine="1791"/>
        <w:spacing w:after="0" w:line="277" w:lineRule="auto"/>
        <w:tabs>
          <w:tab w:leader="none" w:pos="2386"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summary capitalization table attached hereto as Schedule 1 is true and complete, in all material respects, as of the Issue Date.</w:t>
      </w:r>
    </w:p>
    <w:p>
      <w:pPr>
        <w:spacing w:after="0" w:line="91"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Notice of Certain Events</w:t>
      </w:r>
      <w:r>
        <w:rPr>
          <w:rFonts w:ascii="Times New Roman" w:cs="Times New Roman" w:eastAsia="Times New Roman" w:hAnsi="Times New Roman"/>
          <w:sz w:val="19"/>
          <w:szCs w:val="19"/>
          <w:color w:val="auto"/>
        </w:rPr>
        <w:t>. If the Company proposes at any time to:</w:t>
      </w:r>
    </w:p>
    <w:p>
      <w:pPr>
        <w:spacing w:after="0" w:line="156" w:lineRule="exact"/>
        <w:rPr>
          <w:sz w:val="20"/>
          <w:szCs w:val="20"/>
          <w:color w:val="auto"/>
        </w:rPr>
      </w:pPr>
    </w:p>
    <w:p>
      <w:pPr>
        <w:ind w:firstLine="1791"/>
        <w:spacing w:after="0" w:line="277" w:lineRule="auto"/>
        <w:tabs>
          <w:tab w:leader="none" w:pos="2386"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any dividend or distribution upon the outstanding shares of the Class or common stock, whether in cash, property, stock, or other securities and whether or not a regular cash dividend;</w:t>
      </w:r>
    </w:p>
    <w:p>
      <w:pPr>
        <w:spacing w:after="0" w:line="91" w:lineRule="exact"/>
        <w:rPr>
          <w:rFonts w:ascii="Times New Roman" w:cs="Times New Roman" w:eastAsia="Times New Roman" w:hAnsi="Times New Roman"/>
          <w:sz w:val="20"/>
          <w:szCs w:val="20"/>
          <w:color w:val="auto"/>
        </w:rPr>
      </w:pPr>
    </w:p>
    <w:p>
      <w:pPr>
        <w:ind w:firstLine="1791"/>
        <w:spacing w:after="0" w:line="277" w:lineRule="auto"/>
        <w:tabs>
          <w:tab w:leader="none" w:pos="2385"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 for subscription or sale pro rata to the holders of the outstanding shares of the Class any additional shares of any class or series of the Company’s stock (other than pursuant to contractual pre-emptive rights);</w:t>
      </w:r>
    </w:p>
    <w:p>
      <w:pPr>
        <w:spacing w:after="0" w:line="91" w:lineRule="exact"/>
        <w:rPr>
          <w:rFonts w:ascii="Times New Roman" w:cs="Times New Roman" w:eastAsia="Times New Roman" w:hAnsi="Times New Roman"/>
          <w:sz w:val="20"/>
          <w:szCs w:val="20"/>
          <w:color w:val="auto"/>
        </w:rPr>
      </w:pPr>
    </w:p>
    <w:p>
      <w:pPr>
        <w:ind w:firstLine="1791"/>
        <w:spacing w:after="0" w:line="277" w:lineRule="auto"/>
        <w:tabs>
          <w:tab w:leader="none" w:pos="2386"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any reclassification, exchange, combination, substitution, reorganization or recapitalization of the outstanding shares of the Class;</w:t>
      </w:r>
    </w:p>
    <w:p>
      <w:pPr>
        <w:spacing w:after="0" w:line="91" w:lineRule="exact"/>
        <w:rPr>
          <w:rFonts w:ascii="Times New Roman" w:cs="Times New Roman" w:eastAsia="Times New Roman" w:hAnsi="Times New Roman"/>
          <w:sz w:val="20"/>
          <w:szCs w:val="20"/>
          <w:color w:val="auto"/>
        </w:rPr>
      </w:pPr>
    </w:p>
    <w:p>
      <w:pPr>
        <w:ind w:left="2380" w:hanging="589"/>
        <w:spacing w:after="0"/>
        <w:tabs>
          <w:tab w:leader="none" w:pos="238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an Acquisition or to liquidate, dissolve or wind up; or</w:t>
      </w:r>
    </w:p>
    <w:p>
      <w:pPr>
        <w:spacing w:after="0" w:line="155" w:lineRule="exact"/>
        <w:rPr>
          <w:rFonts w:ascii="Times New Roman" w:cs="Times New Roman" w:eastAsia="Times New Roman" w:hAnsi="Times New Roman"/>
          <w:sz w:val="20"/>
          <w:szCs w:val="20"/>
          <w:color w:val="auto"/>
        </w:rPr>
      </w:pPr>
    </w:p>
    <w:p>
      <w:pPr>
        <w:ind w:left="2380" w:hanging="589"/>
        <w:spacing w:after="0"/>
        <w:tabs>
          <w:tab w:leader="none" w:pos="238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an IPO; then, in connection with each such event, the Company shall give Holder:</w:t>
      </w:r>
    </w:p>
    <w:p>
      <w:pPr>
        <w:spacing w:after="0" w:line="155" w:lineRule="exact"/>
        <w:rPr>
          <w:rFonts w:ascii="Times New Roman" w:cs="Times New Roman" w:eastAsia="Times New Roman" w:hAnsi="Times New Roman"/>
          <w:sz w:val="20"/>
          <w:szCs w:val="20"/>
          <w:color w:val="auto"/>
        </w:rPr>
      </w:pPr>
    </w:p>
    <w:p>
      <w:pPr>
        <w:jc w:val="both"/>
        <w:ind w:left="1200" w:firstLine="1189"/>
        <w:spacing w:after="0" w:line="256" w:lineRule="auto"/>
        <w:tabs>
          <w:tab w:leader="none" w:pos="2988" w:val="left"/>
        </w:tabs>
        <w:numPr>
          <w:ilvl w:val="1"/>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13" w:lineRule="exact"/>
        <w:rPr>
          <w:rFonts w:ascii="Times New Roman" w:cs="Times New Roman" w:eastAsia="Times New Roman" w:hAnsi="Times New Roman"/>
          <w:sz w:val="20"/>
          <w:szCs w:val="20"/>
          <w:color w:val="auto"/>
        </w:rPr>
      </w:pPr>
    </w:p>
    <w:p>
      <w:pPr>
        <w:ind w:left="1200" w:firstLine="1189"/>
        <w:spacing w:after="0" w:line="277" w:lineRule="auto"/>
        <w:tabs>
          <w:tab w:leader="none" w:pos="2988" w:val="left"/>
        </w:tabs>
        <w:numPr>
          <w:ilvl w:val="1"/>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matters referred to in (c) and (d) above at least seven (7) Business Days prior written notice of the date when the same will take place (and specifying the date on which the holders of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21" w:right="339" w:bottom="1440" w:gutter="0" w:footer="0" w:header="0"/>
        </w:sectPr>
      </w:pPr>
    </w:p>
    <w:bookmarkStart w:id="440" w:name="page441"/>
    <w:bookmarkEnd w:id="440"/>
    <w:p>
      <w:pPr>
        <w:jc w:val="both"/>
        <w:ind w:left="1200"/>
        <w:spacing w:after="0" w:line="262" w:lineRule="auto"/>
        <w:rPr>
          <w:sz w:val="20"/>
          <w:szCs w:val="20"/>
          <w:color w:val="auto"/>
        </w:rPr>
      </w:pPr>
      <w:r>
        <w:rPr>
          <w:rFonts w:ascii="Times New Roman" w:cs="Times New Roman" w:eastAsia="Times New Roman" w:hAnsi="Times New Roman"/>
          <w:sz w:val="20"/>
          <w:szCs w:val="20"/>
          <w:color w:val="auto"/>
        </w:rPr>
        <w:t>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105" w:lineRule="exact"/>
        <w:rPr>
          <w:sz w:val="20"/>
          <w:szCs w:val="20"/>
          <w:color w:val="auto"/>
        </w:rPr>
      </w:pPr>
    </w:p>
    <w:p>
      <w:pPr>
        <w:ind w:left="1200" w:firstLine="1189"/>
        <w:spacing w:after="0" w:line="277" w:lineRule="auto"/>
        <w:tabs>
          <w:tab w:leader="none" w:pos="2988"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IPO, at least seven (7) Business Days prior written notice of the date on which the Company proposes to file its registration statement in connection therewith.</w:t>
      </w:r>
    </w:p>
    <w:p>
      <w:pPr>
        <w:spacing w:after="0" w:line="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Company will also provide information requested by Holder that is reasonably necessary to enable Holder to comply with Holder’s accounting or reporting requirements.</w:t>
      </w:r>
    </w:p>
    <w:p>
      <w:pPr>
        <w:spacing w:after="0" w:line="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REPRESENTATIONS, WARRANTIES OF THE HOLDER.</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Holder represents and warrants to the Company as follows:</w:t>
      </w:r>
    </w:p>
    <w:p>
      <w:pPr>
        <w:spacing w:after="0" w:line="156" w:lineRule="exact"/>
        <w:rPr>
          <w:sz w:val="20"/>
          <w:szCs w:val="20"/>
          <w:color w:val="auto"/>
        </w:rPr>
      </w:pPr>
    </w:p>
    <w:p>
      <w:pPr>
        <w:jc w:val="both"/>
        <w:ind w:firstLine="1195"/>
        <w:spacing w:after="0" w:line="282"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Purchase for Own Account</w:t>
      </w:r>
      <w:r>
        <w:rPr>
          <w:rFonts w:ascii="Times New Roman" w:cs="Times New Roman" w:eastAsia="Times New Roman" w:hAnsi="Times New Roman"/>
          <w:sz w:val="19"/>
          <w:szCs w:val="19"/>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88" w:lineRule="exact"/>
        <w:rPr>
          <w:sz w:val="20"/>
          <w:szCs w:val="20"/>
          <w:color w:val="auto"/>
        </w:rPr>
      </w:pPr>
    </w:p>
    <w:p>
      <w:pPr>
        <w:jc w:val="both"/>
        <w:ind w:firstLine="1195"/>
        <w:spacing w:after="0" w:line="252"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Disclosure of Information</w:t>
      </w:r>
      <w:r>
        <w:rPr>
          <w:rFonts w:ascii="Times New Roman" w:cs="Times New Roman" w:eastAsia="Times New Roman" w:hAnsi="Times New Roman"/>
          <w:sz w:val="20"/>
          <w:szCs w:val="20"/>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19"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Investment Experience</w:t>
      </w:r>
      <w:r>
        <w:rPr>
          <w:rFonts w:ascii="Times New Roman" w:cs="Times New Roman" w:eastAsia="Times New Roman" w:hAnsi="Times New Roman"/>
          <w:sz w:val="20"/>
          <w:szCs w:val="20"/>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21"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Accredited Investor Status</w:t>
      </w:r>
      <w:r>
        <w:rPr>
          <w:rFonts w:ascii="Times New Roman" w:cs="Times New Roman" w:eastAsia="Times New Roman" w:hAnsi="Times New Roman"/>
          <w:sz w:val="19"/>
          <w:szCs w:val="19"/>
          <w:color w:val="auto"/>
        </w:rPr>
        <w:t>. Holder is an “accredited investor” within the meaning of Regulation D promulgated under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Act.</w:t>
      </w:r>
    </w:p>
    <w:p>
      <w:pPr>
        <w:spacing w:after="0" w:line="134" w:lineRule="exact"/>
        <w:rPr>
          <w:sz w:val="20"/>
          <w:szCs w:val="20"/>
          <w:color w:val="auto"/>
        </w:rPr>
      </w:pPr>
    </w:p>
    <w:p>
      <w:pPr>
        <w:jc w:val="both"/>
        <w:ind w:firstLine="1195"/>
        <w:spacing w:after="0" w:line="277"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The Act</w:t>
      </w:r>
      <w:r>
        <w:rPr>
          <w:rFonts w:ascii="Times New Roman" w:cs="Times New Roman" w:eastAsia="Times New Roman" w:hAnsi="Times New Roman"/>
          <w:sz w:val="20"/>
          <w:szCs w:val="20"/>
          <w:color w:val="auto"/>
        </w:rPr>
        <w:t>. Holder understands that this Warrant and the Shares issuable upon exercise hereof have not been registered under the Act in reliance upon a specific exemption therefrom, which exemption depends upon, among other things, the bona fide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21" w:right="339" w:bottom="1440" w:gutter="0" w:footer="0" w:header="0"/>
        </w:sectPr>
      </w:pPr>
    </w:p>
    <w:bookmarkStart w:id="441" w:name="page442"/>
    <w:bookmarkEnd w:id="441"/>
    <w:p>
      <w:pPr>
        <w:jc w:val="both"/>
        <w:spacing w:after="0" w:line="256" w:lineRule="auto"/>
        <w:rPr>
          <w:sz w:val="20"/>
          <w:szCs w:val="20"/>
          <w:color w:val="auto"/>
        </w:rPr>
      </w:pPr>
      <w:r>
        <w:rPr>
          <w:rFonts w:ascii="Times New Roman" w:cs="Times New Roman" w:eastAsia="Times New Roman" w:hAnsi="Times New Roman"/>
          <w:sz w:val="20"/>
          <w:szCs w:val="20"/>
          <w:color w:val="auto"/>
        </w:rPr>
        <w:t>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14" w:lineRule="exact"/>
        <w:rPr>
          <w:sz w:val="20"/>
          <w:szCs w:val="20"/>
          <w:color w:val="auto"/>
        </w:rPr>
      </w:pPr>
    </w:p>
    <w:p>
      <w:pPr>
        <w:jc w:val="both"/>
        <w:ind w:firstLine="1195"/>
        <w:spacing w:after="0" w:line="277"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Market Stand-off Agreement</w:t>
      </w:r>
      <w:r>
        <w:rPr>
          <w:rFonts w:ascii="Times New Roman" w:cs="Times New Roman" w:eastAsia="Times New Roman" w:hAnsi="Times New Roman"/>
          <w:sz w:val="20"/>
          <w:szCs w:val="20"/>
          <w:color w:val="auto"/>
        </w:rPr>
        <w:t>. The Holder agrees that the Shares shall be subject to the Market Standoff provisions in Section 7.5 of the Third Amended and Restated Investors’ Rights Agreement.</w:t>
      </w:r>
    </w:p>
    <w:p>
      <w:pPr>
        <w:spacing w:after="0" w:line="91" w:lineRule="exact"/>
        <w:rPr>
          <w:sz w:val="20"/>
          <w:szCs w:val="20"/>
          <w:color w:val="auto"/>
        </w:rPr>
      </w:pPr>
    </w:p>
    <w:p>
      <w:pPr>
        <w:jc w:val="both"/>
        <w:ind w:firstLine="1195"/>
        <w:spacing w:after="0" w:line="277"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No Stockholder Rights</w:t>
      </w:r>
      <w:r>
        <w:rPr>
          <w:rFonts w:ascii="Times New Roman" w:cs="Times New Roman" w:eastAsia="Times New Roman" w:hAnsi="Times New Roman"/>
          <w:sz w:val="20"/>
          <w:szCs w:val="20"/>
          <w:color w:val="auto"/>
        </w:rPr>
        <w:t>. Holder, as a Holder of this Warrant, will not have any rights as a stockholder of the Company until the exercise of this Warrant.</w:t>
      </w:r>
    </w:p>
    <w:p>
      <w:pPr>
        <w:spacing w:after="0" w:line="9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MISCELLANEOUS.</w:t>
      </w:r>
    </w:p>
    <w:p>
      <w:pPr>
        <w:spacing w:after="0" w:line="156"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Term and Automatic Conversion Upon Expiration</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firstLine="1791"/>
        <w:spacing w:after="0" w:line="277" w:lineRule="auto"/>
        <w:tabs>
          <w:tab w:leader="none" w:pos="2386"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Subject to the provisions of Section 1.6 above, this Warrant is exercisable in whole or in part at any time and from time to time on or before 6:00 PM, Pacific time, on the Expiration Date and shall be void thereafter.</w:t>
      </w:r>
    </w:p>
    <w:p>
      <w:pPr>
        <w:spacing w:after="0" w:line="91" w:lineRule="exact"/>
        <w:rPr>
          <w:rFonts w:ascii="Times New Roman" w:cs="Times New Roman" w:eastAsia="Times New Roman" w:hAnsi="Times New Roman"/>
          <w:sz w:val="20"/>
          <w:szCs w:val="20"/>
          <w:color w:val="auto"/>
        </w:rPr>
      </w:pPr>
    </w:p>
    <w:p>
      <w:pPr>
        <w:jc w:val="both"/>
        <w:ind w:firstLine="1791"/>
        <w:spacing w:after="0" w:line="254" w:lineRule="auto"/>
        <w:tabs>
          <w:tab w:leader="none" w:pos="2385"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Automatic Cashless Exercise upon Expiration</w:t>
      </w:r>
      <w:r>
        <w:rPr>
          <w:rFonts w:ascii="Times New Roman" w:cs="Times New Roman" w:eastAsia="Times New Roman" w:hAnsi="Times New Roman"/>
          <w:sz w:val="20"/>
          <w:szCs w:val="20"/>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14" w:lineRule="exact"/>
        <w:rPr>
          <w:sz w:val="20"/>
          <w:szCs w:val="20"/>
          <w:color w:val="auto"/>
        </w:rPr>
      </w:pPr>
    </w:p>
    <w:p>
      <w:pPr>
        <w:ind w:firstLine="1195"/>
        <w:spacing w:after="0" w:line="277"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The Shares (and the securities issuable, directly or indirectly, upon conversion of the Shares, if any) shall be imprinted with a legend in substantially the following form:</w:t>
      </w:r>
    </w:p>
    <w:p>
      <w:pPr>
        <w:spacing w:after="0" w:line="91" w:lineRule="exact"/>
        <w:rPr>
          <w:sz w:val="20"/>
          <w:szCs w:val="20"/>
          <w:color w:val="auto"/>
        </w:rPr>
      </w:pPr>
    </w:p>
    <w:p>
      <w:pPr>
        <w:jc w:val="both"/>
        <w:ind w:left="1200" w:right="600"/>
        <w:spacing w:after="0" w:line="251" w:lineRule="auto"/>
        <w:rPr>
          <w:sz w:val="20"/>
          <w:szCs w:val="20"/>
          <w:color w:val="auto"/>
        </w:rPr>
      </w:pPr>
      <w:r>
        <w:rPr>
          <w:rFonts w:ascii="Times New Roman" w:cs="Times New Roman" w:eastAsia="Times New Roman" w:hAnsi="Times New Roman"/>
          <w:sz w:val="20"/>
          <w:szCs w:val="20"/>
          <w:color w:val="auto"/>
        </w:rPr>
        <w:t>THE SHARES EVIDENCED BY THIS CERTIFICATE HAVE NOT BEEN REGISTERED UNDER THE SECURITIES ACT OF 1933, AS AMENDED (THE “</w:t>
      </w:r>
      <w:r>
        <w:rPr>
          <w:rFonts w:ascii="Times New Roman" w:cs="Times New Roman" w:eastAsia="Times New Roman" w:hAnsi="Times New Roman"/>
          <w:sz w:val="20"/>
          <w:szCs w:val="20"/>
          <w:b w:val="1"/>
          <w:bCs w:val="1"/>
          <w:u w:val="single" w:color="auto"/>
          <w:color w:val="auto"/>
        </w:rPr>
        <w:t>ACT</w:t>
      </w:r>
      <w:r>
        <w:rPr>
          <w:rFonts w:ascii="Times New Roman" w:cs="Times New Roman" w:eastAsia="Times New Roman" w:hAnsi="Times New Roman"/>
          <w:sz w:val="20"/>
          <w:szCs w:val="20"/>
          <w:color w:val="auto"/>
        </w:rPr>
        <w:t>”), OR THE SECURITIES LAWS OF ANY STATE AND, EXCEPT AS SET FORTH IN THAT CERTAIN WARRANT TO PURCHASE STOCK ISSUED BY THE ISSUER TO SILICON VALLEY BANK DATED JANUARY 22, 2015, MAY NOT BE OFFERED, SOLD, PLEDGED OR OTHERWISE TRANSFERRED UNLESS AND UNTIL REGISTERED UNDER SAID ACT AND LAWS OR IN FORM AND SUBSTANCE SATISFACTORY TO THE ISSUER, SUCH OFFER, SALE, PLEDGE OR OTHER TRANSFER IS EXEMPT FROM SUCH REGISTRATION.</w:t>
      </w:r>
    </w:p>
    <w:p>
      <w:pPr>
        <w:spacing w:after="0" w:line="121" w:lineRule="exact"/>
        <w:rPr>
          <w:sz w:val="20"/>
          <w:szCs w:val="20"/>
          <w:color w:val="auto"/>
        </w:rPr>
      </w:pPr>
    </w:p>
    <w:p>
      <w:pPr>
        <w:jc w:val="both"/>
        <w:ind w:left="1200" w:right="600"/>
        <w:spacing w:after="0" w:line="277" w:lineRule="auto"/>
        <w:rPr>
          <w:sz w:val="20"/>
          <w:szCs w:val="20"/>
          <w:color w:val="auto"/>
        </w:rPr>
      </w:pPr>
      <w:r>
        <w:rPr>
          <w:rFonts w:ascii="Times New Roman" w:cs="Times New Roman" w:eastAsia="Times New Roman" w:hAnsi="Times New Roman"/>
          <w:sz w:val="20"/>
          <w:szCs w:val="20"/>
          <w:color w:val="auto"/>
        </w:rPr>
        <w:t>THE SHARES EVIDENCED HEREBY ARE SUBJECT TO AN INVESTORS’ RIGHTS AGREEMENT, AS MAY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21" w:right="339" w:bottom="1440" w:gutter="0" w:footer="0" w:header="0"/>
        </w:sectPr>
      </w:pPr>
    </w:p>
    <w:bookmarkStart w:id="442" w:name="page443"/>
    <w:bookmarkEnd w:id="442"/>
    <w:p>
      <w:pPr>
        <w:jc w:val="both"/>
        <w:ind w:left="1200" w:right="600"/>
        <w:spacing w:after="0" w:line="254" w:lineRule="auto"/>
        <w:rPr>
          <w:sz w:val="20"/>
          <w:szCs w:val="20"/>
          <w:color w:val="auto"/>
        </w:rPr>
      </w:pPr>
      <w:r>
        <w:rPr>
          <w:rFonts w:ascii="Times New Roman" w:cs="Times New Roman" w:eastAsia="Times New Roman" w:hAnsi="Times New Roman"/>
          <w:sz w:val="20"/>
          <w:szCs w:val="20"/>
          <w:color w:val="auto"/>
        </w:rPr>
        <w:t>FROM TIME TO TIME (A COPY OF WHICH MAY BE OBTAINED UPON WRITTEN REQUEST FROM THE COMPANY), AND BY ACCEPTING ANY INTEREST IN SUCH SHARES THE PERSON ACCEPTING SUCH INTEREST SHALL BE DEEMED TO AGREE TO AND SHALL BECOME BOUND BY ALL THE PROVISION OF THAT INVESTORS’ RIGHTS AGREEMENT, INCLUDING CERTAIN RESTRICTIONS ON TRANSFER AND OWNERSHIP SET FORTH THEREIN.</w:t>
      </w:r>
    </w:p>
    <w:p>
      <w:pPr>
        <w:spacing w:after="0" w:line="114"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Compliance with Securities Laws on Transfer</w:t>
      </w:r>
      <w:r>
        <w:rPr>
          <w:rFonts w:ascii="Times New Roman" w:cs="Times New Roman" w:eastAsia="Times New Roman" w:hAnsi="Times New Roman"/>
          <w:sz w:val="20"/>
          <w:szCs w:val="20"/>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17" w:lineRule="exact"/>
        <w:rPr>
          <w:sz w:val="20"/>
          <w:szCs w:val="20"/>
          <w:color w:val="auto"/>
        </w:rPr>
      </w:pPr>
    </w:p>
    <w:p>
      <w:pPr>
        <w:jc w:val="both"/>
        <w:ind w:firstLine="1195"/>
        <w:spacing w:after="0" w:line="249"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Transfer Procedure</w:t>
      </w:r>
      <w:r>
        <w:rPr>
          <w:rFonts w:ascii="Times New Roman" w:cs="Times New Roman" w:eastAsia="Times New Roman" w:hAnsi="Times New Roman"/>
          <w:sz w:val="20"/>
          <w:szCs w:val="20"/>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19" w:lineRule="exact"/>
        <w:rPr>
          <w:sz w:val="20"/>
          <w:szCs w:val="20"/>
          <w:color w:val="auto"/>
        </w:rPr>
      </w:pPr>
    </w:p>
    <w:p>
      <w:pPr>
        <w:jc w:val="both"/>
        <w:ind w:firstLine="1195"/>
        <w:spacing w:after="0" w:line="285"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hereunder from the Company to the Holder, or vice versa, shall be deemed delivered and effective (i) when given personally, (ii)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Business Day after being mailed by first-class registered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21" w:right="339" w:bottom="1440" w:gutter="0" w:footer="0" w:header="0"/>
        </w:sectPr>
      </w:pPr>
    </w:p>
    <w:bookmarkStart w:id="443" w:name="page444"/>
    <w:bookmarkEnd w:id="443"/>
    <w:p>
      <w:pPr>
        <w:jc w:val="both"/>
        <w:spacing w:after="0" w:line="254" w:lineRule="auto"/>
        <w:rPr>
          <w:sz w:val="20"/>
          <w:szCs w:val="20"/>
          <w:color w:val="auto"/>
        </w:rPr>
      </w:pPr>
      <w:r>
        <w:rPr>
          <w:rFonts w:ascii="Times New Roman" w:cs="Times New Roman" w:eastAsia="Times New Roman" w:hAnsi="Times New Roman"/>
          <w:sz w:val="20"/>
          <w:szCs w:val="20"/>
          <w:color w:val="auto"/>
        </w:rPr>
        <w:t>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1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SVB Financial Group</w:t>
      </w:r>
    </w:p>
    <w:p>
      <w:pPr>
        <w:spacing w:after="0" w:line="2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Attn: Treasury Department</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3003 Tasman Drive, HC 215</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Santa Clara, CA 95054</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Telephone: ************</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Facsimile: ************</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Email address: ************</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Notice to the Company shall be addressed as follows until Holder receives notice of a change in address:</w:t>
      </w:r>
    </w:p>
    <w:p>
      <w:pPr>
        <w:spacing w:after="0" w:line="15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ThredUp Inc.</w:t>
      </w:r>
    </w:p>
    <w:p>
      <w:pPr>
        <w:spacing w:after="0" w:line="2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Attn: ________________________</w:t>
      </w:r>
    </w:p>
    <w:p>
      <w:pPr>
        <w:ind w:left="1800"/>
        <w:spacing w:after="0" w:line="207" w:lineRule="auto"/>
        <w:rPr>
          <w:sz w:val="20"/>
          <w:szCs w:val="20"/>
          <w:color w:val="auto"/>
        </w:rPr>
      </w:pPr>
      <w:r>
        <w:rPr>
          <w:rFonts w:ascii="Times New Roman" w:cs="Times New Roman" w:eastAsia="Times New Roman" w:hAnsi="Times New Roman"/>
          <w:sz w:val="20"/>
          <w:szCs w:val="20"/>
          <w:color w:val="auto"/>
        </w:rPr>
        <w:t>580 Market Street,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San Francisco, CA 94104</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Telephone: ___________________</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Facsimile: ____________________</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Email: _______________________</w:t>
      </w:r>
    </w:p>
    <w:p>
      <w:pPr>
        <w:spacing w:after="0" w:line="134" w:lineRule="exact"/>
        <w:rPr>
          <w:sz w:val="20"/>
          <w:szCs w:val="20"/>
          <w:color w:val="auto"/>
        </w:rPr>
      </w:pPr>
    </w:p>
    <w:p>
      <w:pPr>
        <w:jc w:val="both"/>
        <w:ind w:firstLine="1195"/>
        <w:spacing w:after="0" w:line="262"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05" w:lineRule="exact"/>
        <w:rPr>
          <w:sz w:val="20"/>
          <w:szCs w:val="20"/>
          <w:color w:val="auto"/>
        </w:rPr>
      </w:pPr>
    </w:p>
    <w:p>
      <w:pPr>
        <w:jc w:val="both"/>
        <w:ind w:firstLine="1195"/>
        <w:spacing w:after="0" w:line="262"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05" w:lineRule="exact"/>
        <w:rPr>
          <w:sz w:val="20"/>
          <w:szCs w:val="20"/>
          <w:color w:val="auto"/>
        </w:rPr>
      </w:pPr>
    </w:p>
    <w:p>
      <w:pPr>
        <w:jc w:val="both"/>
        <w:ind w:firstLine="1195"/>
        <w:spacing w:after="0" w:line="262"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Counterparts; Facsimile/Electronic Signatures</w:t>
      </w:r>
      <w:r>
        <w:rPr>
          <w:rFonts w:ascii="Times New Roman" w:cs="Times New Roman" w:eastAsia="Times New Roman" w:hAnsi="Times New Roman"/>
          <w:sz w:val="20"/>
          <w:szCs w:val="20"/>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05" w:lineRule="exact"/>
        <w:rPr>
          <w:sz w:val="20"/>
          <w:szCs w:val="20"/>
          <w:color w:val="auto"/>
        </w:rPr>
      </w:pPr>
    </w:p>
    <w:p>
      <w:pPr>
        <w:jc w:val="both"/>
        <w:ind w:firstLine="1195"/>
        <w:spacing w:after="0" w:line="277"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Warrant shall be governed by and construed in accordance with the laws of the State of California, without giving effect to its principles regarding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21" w:right="339" w:bottom="1440" w:gutter="0" w:footer="0" w:header="0"/>
        </w:sectPr>
      </w:pPr>
    </w:p>
    <w:bookmarkStart w:id="444" w:name="page445"/>
    <w:bookmarkEnd w:id="444"/>
    <w:p>
      <w:pPr>
        <w:ind w:firstLine="1195"/>
        <w:spacing w:after="0" w:line="277"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in this Warrant are for purposes of reference only and shall not limit or otherwise affect the meaning of any provision of this Warrant.</w:t>
      </w:r>
    </w:p>
    <w:p>
      <w:pPr>
        <w:spacing w:after="0" w:line="87" w:lineRule="exact"/>
        <w:rPr>
          <w:sz w:val="20"/>
          <w:szCs w:val="20"/>
          <w:color w:val="auto"/>
        </w:rPr>
      </w:pPr>
    </w:p>
    <w:p>
      <w:pPr>
        <w:jc w:val="right"/>
        <w:spacing w:after="0"/>
        <w:tabs>
          <w:tab w:leader="none" w:pos="944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20"/>
          <w:szCs w:val="20"/>
          <w:u w:val="single" w:color="auto"/>
          <w:color w:val="auto"/>
        </w:rPr>
        <w:t>Business Days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u w:val="single" w:color="auto"/>
          <w:color w:val="auto"/>
        </w:rPr>
        <w:t>Business Day</w:t>
      </w:r>
      <w:r>
        <w:rPr>
          <w:rFonts w:ascii="Times New Roman" w:cs="Times New Roman" w:eastAsia="Times New Roman" w:hAnsi="Times New Roman"/>
          <w:sz w:val="20"/>
          <w:szCs w:val="20"/>
          <w:color w:val="auto"/>
        </w:rPr>
        <w:t>” is any day that is not a Saturday, Sunday or a day on which Silicon Valley Bank 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left blank intentionally]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21" w:right="339" w:bottom="1440" w:gutter="0" w:footer="0" w:header="0"/>
        </w:sectPr>
      </w:pPr>
    </w:p>
    <w:bookmarkStart w:id="445" w:name="page446"/>
    <w:bookmarkEnd w:id="445"/>
    <w:p>
      <w:pPr>
        <w:ind w:firstLine="597"/>
        <w:spacing w:after="0" w:line="277" w:lineRule="auto"/>
        <w:rPr>
          <w:sz w:val="20"/>
          <w:szCs w:val="20"/>
          <w:color w:val="auto"/>
        </w:rPr>
      </w:pPr>
      <w:r>
        <w:rPr>
          <w:rFonts w:ascii="Times New Roman" w:cs="Times New Roman" w:eastAsia="Times New Roman" w:hAnsi="Times New Roman"/>
          <w:sz w:val="20"/>
          <w:szCs w:val="20"/>
          <w:color w:val="auto"/>
        </w:rPr>
        <w:t>IN WITNESS WHEREOF, the parties have caused this Warrant to Purchase Stock to be executed by their duly authorized representatives effective as of the Issue Date written above.</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“COMPANY”</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THREDUPINC.</w:t>
      </w:r>
    </w:p>
    <w:p>
      <w:pPr>
        <w:spacing w:after="0" w:line="392"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27940</wp:posOffset>
            </wp:positionV>
            <wp:extent cx="29946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94660" cy="7620"/>
                    </a:xfrm>
                    <a:prstGeom prst="rect">
                      <a:avLst/>
                    </a:prstGeom>
                    <a:noFill/>
                  </pic:spPr>
                </pic:pic>
              </a:graphicData>
            </a:graphic>
          </wp:anchor>
        </w:drawing>
      </w:r>
    </w:p>
    <w:p>
      <w:pPr>
        <w:spacing w:after="0" w:line="18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27940</wp:posOffset>
            </wp:positionV>
            <wp:extent cx="29946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94660" cy="7620"/>
                    </a:xfrm>
                    <a:prstGeom prst="rect">
                      <a:avLst/>
                    </a:prstGeom>
                    <a:noFill/>
                  </pic:spPr>
                </pic:pic>
              </a:graphicData>
            </a:graphic>
          </wp:anchor>
        </w:drawing>
      </w:r>
    </w:p>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(Print)</w:t>
      </w:r>
    </w:p>
    <w:p>
      <w:pPr>
        <w:spacing w:after="0" w:line="20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CEO</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“HOLDER”</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SILICON VALLEY BANK</w:t>
      </w:r>
    </w:p>
    <w:p>
      <w:pPr>
        <w:spacing w:after="0" w:line="392"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Dan Hardman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27940</wp:posOffset>
            </wp:positionV>
            <wp:extent cx="299466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94660" cy="7620"/>
                    </a:xfrm>
                    <a:prstGeom prst="rect">
                      <a:avLst/>
                    </a:prstGeom>
                    <a:noFill/>
                  </pic:spPr>
                </pic:pic>
              </a:graphicData>
            </a:graphic>
          </wp:anchor>
        </w:drawing>
      </w:r>
    </w:p>
    <w:p>
      <w:pPr>
        <w:spacing w:after="0" w:line="18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Dan Hardman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27940</wp:posOffset>
            </wp:positionV>
            <wp:extent cx="29946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94660" cy="7620"/>
                    </a:xfrm>
                    <a:prstGeom prst="rect">
                      <a:avLst/>
                    </a:prstGeom>
                    <a:noFill/>
                  </pic:spPr>
                </pic:pic>
              </a:graphicData>
            </a:graphic>
          </wp:anchor>
        </w:drawing>
      </w:r>
    </w:p>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(Print)</w:t>
      </w:r>
    </w:p>
    <w:p>
      <w:pPr>
        <w:spacing w:after="0" w:line="20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VP</w:t>
      </w:r>
    </w:p>
    <w:p>
      <w:pPr>
        <w:sectPr>
          <w:pgSz w:w="11900" w:h="16838" w:orient="portrait"/>
          <w:cols w:equalWidth="0" w:num="1">
            <w:col w:w="11240"/>
          </w:cols>
          <w:pgMar w:left="320" w:top="1321" w:right="339" w:bottom="1440" w:gutter="0" w:footer="0" w:header="0"/>
        </w:sectPr>
      </w:pPr>
    </w:p>
    <w:bookmarkStart w:id="446" w:name="page447"/>
    <w:bookmarkEnd w:id="446"/>
    <w:p>
      <w:pPr>
        <w:jc w:val="center"/>
        <w:spacing w:after="0"/>
        <w:rPr>
          <w:sz w:val="20"/>
          <w:szCs w:val="20"/>
          <w:color w:val="auto"/>
        </w:rPr>
      </w:pPr>
      <w:r>
        <w:rPr>
          <w:rFonts w:ascii="Times New Roman" w:cs="Times New Roman" w:eastAsia="Times New Roman" w:hAnsi="Times New Roman"/>
          <w:sz w:val="20"/>
          <w:szCs w:val="20"/>
          <w:color w:val="auto"/>
        </w:rPr>
        <w:t>APPENDIX 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NOTICE OF EXERCISE</w:t>
      </w:r>
    </w:p>
    <w:p>
      <w:pPr>
        <w:spacing w:after="0" w:line="156" w:lineRule="exact"/>
        <w:rPr>
          <w:sz w:val="20"/>
          <w:szCs w:val="20"/>
          <w:color w:val="auto"/>
        </w:rPr>
      </w:pPr>
    </w:p>
    <w:p>
      <w:pPr>
        <w:ind w:left="1200" w:hanging="603"/>
        <w:spacing w:after="0"/>
        <w:tabs>
          <w:tab w:leader="none" w:pos="120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Holder hereby exercises its right purchase ___________ shares of the Common/Series __________</w:t>
      </w:r>
    </w:p>
    <w:p>
      <w:pPr>
        <w:spacing w:after="0" w:line="28" w:lineRule="exact"/>
        <w:rPr>
          <w:rFonts w:ascii="Times New Roman" w:cs="Times New Roman" w:eastAsia="Times New Roman" w:hAnsi="Times New Roman"/>
          <w:sz w:val="20"/>
          <w:szCs w:val="20"/>
          <w:color w:val="auto"/>
        </w:rPr>
      </w:pPr>
    </w:p>
    <w:p>
      <w:pPr>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Preferred [circle one] Stock of THREDUP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in accordance with the attached Warrant To Purchase Stock, and tenders payment of the aggregate Warrant Price for such shares as follows:</w:t>
      </w:r>
    </w:p>
    <w:p>
      <w:pPr>
        <w:spacing w:after="0" w:line="113" w:lineRule="exact"/>
        <w:rPr>
          <w:sz w:val="20"/>
          <w:szCs w:val="20"/>
          <w:color w:val="auto"/>
        </w:rPr>
      </w:pPr>
    </w:p>
    <w:p>
      <w:pPr>
        <w:ind w:left="720" w:hanging="123"/>
        <w:spacing w:after="0"/>
        <w:tabs>
          <w:tab w:leader="none" w:pos="72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Check in the amount of $________ payable to the order of the Company enclosed herewith</w:t>
      </w:r>
    </w:p>
    <w:p>
      <w:pPr>
        <w:spacing w:after="0" w:line="155" w:lineRule="exact"/>
        <w:rPr>
          <w:rFonts w:ascii="Times New Roman" w:cs="Times New Roman" w:eastAsia="Times New Roman" w:hAnsi="Times New Roman"/>
          <w:sz w:val="20"/>
          <w:szCs w:val="20"/>
          <w:color w:val="auto"/>
        </w:rPr>
      </w:pPr>
    </w:p>
    <w:p>
      <w:pPr>
        <w:ind w:left="720" w:hanging="123"/>
        <w:spacing w:after="0"/>
        <w:tabs>
          <w:tab w:leader="none" w:pos="72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Wire transfer of immediately available funds to the Company’s account</w:t>
      </w:r>
    </w:p>
    <w:p>
      <w:pPr>
        <w:spacing w:after="0" w:line="155" w:lineRule="exact"/>
        <w:rPr>
          <w:rFonts w:ascii="Times New Roman" w:cs="Times New Roman" w:eastAsia="Times New Roman" w:hAnsi="Times New Roman"/>
          <w:sz w:val="20"/>
          <w:szCs w:val="20"/>
          <w:color w:val="auto"/>
        </w:rPr>
      </w:pPr>
    </w:p>
    <w:p>
      <w:pPr>
        <w:ind w:left="720" w:hanging="123"/>
        <w:spacing w:after="0"/>
        <w:tabs>
          <w:tab w:leader="none" w:pos="72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Cashless Exercise pursuant to Section 1.2 of the Warrant</w:t>
      </w:r>
    </w:p>
    <w:p>
      <w:pPr>
        <w:spacing w:after="0" w:line="155" w:lineRule="exact"/>
        <w:rPr>
          <w:rFonts w:ascii="Times New Roman" w:cs="Times New Roman" w:eastAsia="Times New Roman" w:hAnsi="Times New Roman"/>
          <w:sz w:val="20"/>
          <w:szCs w:val="20"/>
          <w:color w:val="auto"/>
        </w:rPr>
      </w:pPr>
    </w:p>
    <w:p>
      <w:pPr>
        <w:ind w:left="720" w:hanging="123"/>
        <w:spacing w:after="0"/>
        <w:tabs>
          <w:tab w:leader="none" w:pos="72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Other [Describe] ______________________________________________</w:t>
      </w:r>
    </w:p>
    <w:p>
      <w:pPr>
        <w:spacing w:after="0" w:line="156" w:lineRule="exact"/>
        <w:rPr>
          <w:sz w:val="20"/>
          <w:szCs w:val="20"/>
          <w:color w:val="auto"/>
        </w:rPr>
      </w:pPr>
    </w:p>
    <w:p>
      <w:pPr>
        <w:ind w:left="1220" w:right="2720" w:hanging="623"/>
        <w:spacing w:after="0" w:line="757" w:lineRule="auto"/>
        <w:tabs>
          <w:tab w:leader="none" w:pos="1204"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Please issue a certificate or certificates representing the Shares in the name specified below: Holder’s Name</w:t>
      </w:r>
    </w:p>
    <w:p>
      <w:pPr>
        <w:spacing w:after="0" w:line="200" w:lineRule="exact"/>
        <w:rPr>
          <w:rFonts w:ascii="Times New Roman" w:cs="Times New Roman" w:eastAsia="Times New Roman" w:hAnsi="Times New Roman"/>
          <w:sz w:val="20"/>
          <w:szCs w:val="20"/>
          <w:color w:val="auto"/>
        </w:rPr>
      </w:pPr>
    </w:p>
    <w:p>
      <w:pPr>
        <w:spacing w:after="0" w:line="340" w:lineRule="exact"/>
        <w:rPr>
          <w:rFonts w:ascii="Times New Roman" w:cs="Times New Roman" w:eastAsia="Times New Roman" w:hAnsi="Times New Roman"/>
          <w:sz w:val="20"/>
          <w:szCs w:val="20"/>
          <w:color w:val="auto"/>
        </w:rPr>
      </w:pPr>
    </w:p>
    <w:p>
      <w:pPr>
        <w:ind w:left="12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w:t>
      </w:r>
    </w:p>
    <w:p>
      <w:pPr>
        <w:spacing w:after="0" w:line="180" w:lineRule="exact"/>
        <w:rPr>
          <w:rFonts w:ascii="Times New Roman" w:cs="Times New Roman" w:eastAsia="Times New Roman" w:hAnsi="Times New Roman"/>
          <w:sz w:val="20"/>
          <w:szCs w:val="20"/>
          <w:color w:val="auto"/>
        </w:rPr>
      </w:pPr>
    </w:p>
    <w:p>
      <w:pPr>
        <w:ind w:firstLine="597"/>
        <w:spacing w:after="0" w:line="277" w:lineRule="auto"/>
        <w:tabs>
          <w:tab w:leader="none" w:pos="1195"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its execution below and for the benefit of the Company, Holder hereby restates each of the representations and warranties in Section 4 of the Warrant to Purchase Stock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-612775</wp:posOffset>
            </wp:positionV>
            <wp:extent cx="347662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76625" cy="762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-929005</wp:posOffset>
            </wp:positionV>
            <wp:extent cx="347662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76625" cy="762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-1434465</wp:posOffset>
            </wp:positionV>
            <wp:extent cx="347662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76625" cy="7620"/>
                    </a:xfrm>
                    <a:prstGeom prst="rect">
                      <a:avLst/>
                    </a:prstGeom>
                    <a:noFill/>
                  </pic:spPr>
                </pic:pic>
              </a:graphicData>
            </a:graphic>
          </wp:anchor>
        </w:drawing>
      </w:r>
    </w:p>
    <w:p>
      <w:pPr>
        <w:spacing w:after="0" w:line="12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0"/>
          <w:szCs w:val="20"/>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344170</wp:posOffset>
            </wp:positionV>
            <wp:extent cx="325564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5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27940</wp:posOffset>
            </wp:positionV>
            <wp:extent cx="264731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47315" cy="7620"/>
                    </a:xfrm>
                    <a:prstGeom prst="rect">
                      <a:avLst/>
                    </a:prstGeom>
                    <a:noFill/>
                  </pic:spPr>
                </pic:pic>
              </a:graphicData>
            </a:graphic>
          </wp:anchor>
        </w:drawing>
      </w:r>
    </w:p>
    <w:p>
      <w:pPr>
        <w:spacing w:after="0" w:line="18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27940</wp:posOffset>
            </wp:positionV>
            <wp:extent cx="264731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47315" cy="7620"/>
                    </a:xfrm>
                    <a:prstGeom prst="rect">
                      <a:avLst/>
                    </a:prstGeom>
                    <a:noFill/>
                  </pic:spPr>
                </pic:pic>
              </a:graphicData>
            </a:graphic>
          </wp:anchor>
        </w:drawing>
      </w:r>
    </w:p>
    <w:p>
      <w:pPr>
        <w:spacing w:after="0" w:line="18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27940</wp:posOffset>
            </wp:positionV>
            <wp:extent cx="264731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47315" cy="7620"/>
                    </a:xfrm>
                    <a:prstGeom prst="rect">
                      <a:avLst/>
                    </a:prstGeom>
                    <a:noFill/>
                  </pic:spPr>
                </pic:pic>
              </a:graphicData>
            </a:graphic>
          </wp:anchor>
        </w:drawing>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27940</wp:posOffset>
            </wp:positionV>
            <wp:extent cx="264731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473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1</w:t>
      </w:r>
    </w:p>
    <w:p>
      <w:pPr>
        <w:sectPr>
          <w:pgSz w:w="11900" w:h="16838" w:orient="portrait"/>
          <w:cols w:equalWidth="0" w:num="1">
            <w:col w:w="11240"/>
          </w:cols>
          <w:pgMar w:left="320" w:top="1321" w:right="339" w:bottom="1440" w:gutter="0" w:footer="0" w:header="0"/>
        </w:sectPr>
      </w:pPr>
    </w:p>
    <w:bookmarkStart w:id="447" w:name="page448"/>
    <w:bookmarkEnd w:id="447"/>
    <w:p>
      <w:pPr>
        <w:jc w:val="center"/>
        <w:ind w:right="19"/>
        <w:spacing w:after="0"/>
        <w:rPr>
          <w:sz w:val="20"/>
          <w:szCs w:val="20"/>
          <w:color w:val="auto"/>
        </w:rPr>
      </w:pPr>
      <w:r>
        <w:rPr>
          <w:rFonts w:ascii="Times New Roman" w:cs="Times New Roman" w:eastAsia="Times New Roman" w:hAnsi="Times New Roman"/>
          <w:sz w:val="20"/>
          <w:szCs w:val="20"/>
          <w:color w:val="auto"/>
        </w:rPr>
        <w:t>SCHEDULE 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Company Capitalization Table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Schedule 1</w:t>
      </w:r>
    </w:p>
    <w:p>
      <w:pPr>
        <w:sectPr>
          <w:pgSz w:w="11900" w:h="16838" w:orient="portrait"/>
          <w:cols w:equalWidth="0" w:num="1">
            <w:col w:w="9019"/>
          </w:cols>
          <w:pgMar w:left="1440" w:top="1321" w:right="1440" w:bottom="1440" w:gutter="0" w:footer="0" w:header="0"/>
        </w:sectPr>
      </w:pPr>
    </w:p>
    <w:bookmarkStart w:id="448" w:name="page449"/>
    <w:bookmarkEnd w:id="448"/>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AND MAY NOT BE SOLD, PLEDGED, OR OTHERWISE TRANSFERRED WITHOUT AN EFFECTIVE REGISTRATION THEREOF UNDER SUCH ACT OR PURSUANT TO RULE 144 OR AN OPINION OF COUNSEL REASONABLY SATISFACTORY TO THE CORPORATION AND ITS COUNSEL, THAT SUCH REGISTRATION IS NOT REQUIRED.</w:t>
      </w:r>
    </w:p>
    <w:p>
      <w:pPr>
        <w:spacing w:after="0" w:line="11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WARRANT TO PURCHASE STOCK</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Issuer: THREDUP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53" w:lineRule="exact"/>
        <w:rPr>
          <w:sz w:val="20"/>
          <w:szCs w:val="20"/>
          <w:color w:val="auto"/>
        </w:rPr>
      </w:pPr>
    </w:p>
    <w:p>
      <w:pPr>
        <w:jc w:val="both"/>
        <w:ind w:left="600"/>
        <w:spacing w:after="0" w:line="260" w:lineRule="auto"/>
        <w:rPr>
          <w:sz w:val="20"/>
          <w:szCs w:val="20"/>
          <w:color w:val="auto"/>
        </w:rPr>
      </w:pPr>
      <w:r>
        <w:rPr>
          <w:rFonts w:ascii="Arial" w:cs="Arial" w:eastAsia="Arial" w:hAnsi="Arial"/>
          <w:sz w:val="17"/>
          <w:szCs w:val="17"/>
          <w:color w:val="auto"/>
        </w:rPr>
        <w:t xml:space="preserve">Number of Shares: the number of fully paid and non-assessable shares (after taking into account adjustments made pursuant to stock splits, reverse stock splits and other events specified in </w:t>
      </w:r>
      <w:r>
        <w:rPr>
          <w:rFonts w:ascii="Arial" w:cs="Arial" w:eastAsia="Arial" w:hAnsi="Arial"/>
          <w:sz w:val="17"/>
          <w:szCs w:val="17"/>
          <w:u w:val="single" w:color="auto"/>
          <w:color w:val="auto"/>
        </w:rPr>
        <w:t>Article 2</w:t>
      </w:r>
      <w:r>
        <w:rPr>
          <w:rFonts w:ascii="Arial" w:cs="Arial" w:eastAsia="Arial" w:hAnsi="Arial"/>
          <w:sz w:val="17"/>
          <w:szCs w:val="17"/>
          <w:color w:val="auto"/>
        </w:rPr>
        <w:t>) of Preferred Stock obtained by dividing (i) two percent (2%) of the amount drawn under the Term Loans, up to $800,000, by (ii) the applicable Exercise Price at the time this Warrant is exercised.</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Class of Stock: Series E-1 Preferred Stock.</w:t>
      </w:r>
    </w:p>
    <w:p>
      <w:pPr>
        <w:spacing w:after="0" w:line="153" w:lineRule="exact"/>
        <w:rPr>
          <w:sz w:val="20"/>
          <w:szCs w:val="20"/>
          <w:color w:val="auto"/>
        </w:rPr>
      </w:pPr>
    </w:p>
    <w:p>
      <w:pPr>
        <w:jc w:val="both"/>
        <w:ind w:left="600"/>
        <w:spacing w:after="0" w:line="255" w:lineRule="auto"/>
        <w:rPr>
          <w:sz w:val="20"/>
          <w:szCs w:val="20"/>
          <w:color w:val="auto"/>
        </w:rPr>
      </w:pPr>
      <w:r>
        <w:rPr>
          <w:rFonts w:ascii="Arial" w:cs="Arial" w:eastAsia="Arial" w:hAnsi="Arial"/>
          <w:sz w:val="17"/>
          <w:szCs w:val="17"/>
          <w:color w:val="auto"/>
        </w:rPr>
        <w:t xml:space="preserve">Exercise Price per Share: means the lower of (i) $6.2581 (as may be adjusted in accordance with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and (ii) the lowest price per share at which the Company receives from the sale of shares of its Subsequently Issued Preferred Stock (as may be adjusted in accordance with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w:t>
      </w:r>
      <w:r>
        <w:rPr>
          <w:rFonts w:ascii="Arial" w:cs="Arial" w:eastAsia="Arial" w:hAnsi="Arial"/>
          <w:sz w:val="17"/>
          <w:szCs w:val="17"/>
          <w:u w:val="single" w:color="auto"/>
          <w:color w:val="auto"/>
        </w:rPr>
        <w:t>Subsequently Issued Preferred Stock</w:t>
      </w:r>
      <w:r>
        <w:rPr>
          <w:rFonts w:ascii="Arial" w:cs="Arial" w:eastAsia="Arial" w:hAnsi="Arial"/>
          <w:sz w:val="17"/>
          <w:szCs w:val="17"/>
          <w:color w:val="auto"/>
        </w:rPr>
        <w:t>” means the next series of preferred stock that may be issued, if any, by the Company after the Issue Date but before an Initial Public Offering.</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Issue Date: February 7, 2019</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Expiration Date: February 7, 2029</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WARRANT CERTIFIES THAT, for the agreed upon value of $ 1.00 and for other good and valuable consideration, WESTERN ALLIANCE BANK, or its assignees (“</w:t>
      </w:r>
      <w:r>
        <w:rPr>
          <w:rFonts w:ascii="Arial" w:cs="Arial" w:eastAsia="Arial" w:hAnsi="Arial"/>
          <w:sz w:val="17"/>
          <w:szCs w:val="17"/>
          <w:u w:val="single" w:color="auto"/>
          <w:color w:val="auto"/>
        </w:rPr>
        <w:t>Holder</w:t>
      </w:r>
      <w:r>
        <w:rPr>
          <w:rFonts w:ascii="Arial" w:cs="Arial" w:eastAsia="Arial" w:hAnsi="Arial"/>
          <w:sz w:val="17"/>
          <w:szCs w:val="17"/>
          <w:color w:val="auto"/>
        </w:rPr>
        <w:t>”) is entitled to purchase the number of fully paid and nonassessable shares of the Company’s capital stock set forth above (the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at the Exercise Price per Share set forth above, as the same may be from time to time adjusted pursuant to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hereof and subject to the provisions and upon the terms and conditions set forth in this Warrant.</w:t>
      </w:r>
    </w:p>
    <w:p>
      <w:pPr>
        <w:spacing w:after="0" w:line="115"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1.</w:t>
      </w:r>
      <w:r>
        <w:rPr>
          <w:sz w:val="20"/>
          <w:szCs w:val="20"/>
          <w:color w:val="auto"/>
        </w:rPr>
        <w:tab/>
      </w:r>
      <w:r>
        <w:rPr>
          <w:rFonts w:ascii="Arial" w:cs="Arial" w:eastAsia="Arial" w:hAnsi="Arial"/>
          <w:sz w:val="16"/>
          <w:szCs w:val="16"/>
          <w:color w:val="auto"/>
        </w:rPr>
        <w:t>EXERCISE.</w:t>
      </w:r>
    </w:p>
    <w:p>
      <w:pPr>
        <w:spacing w:after="0" w:line="153" w:lineRule="exact"/>
        <w:rPr>
          <w:sz w:val="20"/>
          <w:szCs w:val="20"/>
          <w:color w:val="auto"/>
        </w:rPr>
      </w:pPr>
    </w:p>
    <w:p>
      <w:pPr>
        <w:jc w:val="both"/>
        <w:ind w:firstLine="597"/>
        <w:spacing w:after="0" w:line="25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Warrant is exercisable, in whole or in part, at any time and from time to time on or before the Expiration Date set forth above. Holder may exercise this Warrant by delivering a duly executed Notice of Exercise, in substantially the form attached hereto as </w:t>
      </w:r>
      <w:r>
        <w:rPr>
          <w:rFonts w:ascii="Arial" w:cs="Arial" w:eastAsia="Arial" w:hAnsi="Arial"/>
          <w:sz w:val="17"/>
          <w:szCs w:val="17"/>
          <w:u w:val="single" w:color="auto"/>
          <w:color w:val="auto"/>
        </w:rPr>
        <w:t>Appendix 1</w:t>
      </w:r>
      <w:r>
        <w:rPr>
          <w:rFonts w:ascii="Arial" w:cs="Arial" w:eastAsia="Arial" w:hAnsi="Arial"/>
          <w:sz w:val="17"/>
          <w:szCs w:val="17"/>
          <w:color w:val="auto"/>
        </w:rPr>
        <w:t xml:space="preserve">, to the principal office of Company. Unless Holder is exercising the conversion right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Holder shall also deliver to Company an amount equal to the aggregate Exercise Price for Shares being purchased, by check or wire.</w:t>
      </w:r>
    </w:p>
    <w:p>
      <w:pPr>
        <w:spacing w:after="0" w:line="115" w:lineRule="exact"/>
        <w:rPr>
          <w:sz w:val="20"/>
          <w:szCs w:val="20"/>
          <w:color w:val="auto"/>
        </w:rPr>
      </w:pPr>
    </w:p>
    <w:p>
      <w:pPr>
        <w:jc w:val="both"/>
        <w:ind w:firstLine="597"/>
        <w:spacing w:after="0" w:line="25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Conversion Right</w:t>
      </w:r>
      <w:r>
        <w:rPr>
          <w:rFonts w:ascii="Arial" w:cs="Arial" w:eastAsia="Arial" w:hAnsi="Arial"/>
          <w:sz w:val="17"/>
          <w:szCs w:val="17"/>
          <w:color w:val="auto"/>
        </w:rPr>
        <w:t xml:space="preserve">. In lieu of exercising this Warrant as specified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Holder may from time to time convert this Warrant, in whole or in part, into a number of Shares determined by dividing (a) the aggregate fair market value of Shares or other securities otherwise issuable upon exercise of this Warrant minus the aggregate Exercise Price of such Shares by (b) the fair market value of one Share. The fair market value of Shares shall be determined pursuant to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115"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the Shares are traded in a public market, the fair market value of the Shares shall be the closing price of the Shares (or the closing price of the Company’s stock into which the Shares are convertible) reported for the business day immediately before Holder delivers its Notice of Exercise to the Company. If the Shares are not traded in a public market, the Board of Directors of Company shall determine fair market value in its reasonable good faith judgment. The foregoing notwithstanding, if Holder advises the Board of Directors in writing that Holder disagrees with such determination, then Company and Holder shall promptly agree upon a reputable investment banking firm</w:t>
      </w:r>
    </w:p>
    <w:p>
      <w:pPr>
        <w:sectPr>
          <w:pgSz w:w="11900" w:h="16838" w:orient="portrait"/>
          <w:cols w:equalWidth="0" w:num="1">
            <w:col w:w="11240"/>
          </w:cols>
          <w:pgMar w:left="320" w:top="118" w:right="339" w:bottom="1440" w:gutter="0" w:footer="0" w:header="0"/>
        </w:sectPr>
      </w:pPr>
    </w:p>
    <w:bookmarkStart w:id="449" w:name="page450"/>
    <w:bookmarkEnd w:id="449"/>
    <w:p>
      <w:pPr>
        <w:jc w:val="both"/>
        <w:spacing w:after="0" w:line="260" w:lineRule="auto"/>
        <w:rPr>
          <w:sz w:val="20"/>
          <w:szCs w:val="20"/>
          <w:color w:val="auto"/>
        </w:rPr>
      </w:pPr>
      <w:r>
        <w:rPr>
          <w:rFonts w:ascii="Arial" w:cs="Arial" w:eastAsia="Arial" w:hAnsi="Arial"/>
          <w:sz w:val="17"/>
          <w:szCs w:val="17"/>
          <w:color w:val="auto"/>
        </w:rPr>
        <w:t>to undertake such valuation. If the valuation of such investment banking firm is greater than that determined by the Board of Directors, then all fees and expenses of such investment banking firm shall be paid by Company. In all other circumstances, such fees and expenses of such investment banking firm shall be paid by Holder.</w:t>
      </w:r>
    </w:p>
    <w:p>
      <w:pPr>
        <w:spacing w:after="0" w:line="111"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Promptly (and in no event more than 3 business days after exercise) after Holder exercises or converts this Warrant, Company shall deliver to Holder certificates for Shares acquired and, if this Warrant has not been fully exercised or converted and has not expired, a new Warrant representing Shares not yet acquired.</w:t>
      </w:r>
    </w:p>
    <w:p>
      <w:pPr>
        <w:spacing w:after="0" w:line="111"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Warrants</w:t>
      </w:r>
      <w:r>
        <w:rPr>
          <w:rFonts w:ascii="Arial" w:cs="Arial" w:eastAsia="Arial" w:hAnsi="Arial"/>
          <w:sz w:val="17"/>
          <w:szCs w:val="17"/>
          <w:color w:val="auto"/>
        </w:rPr>
        <w:t>. On receipt of evidence reasonably satisfactory to Company of the loss, theft, destruction or mutilation of this Warrant and, in the case of loss, theft or destruction, on delivery of an indemnity agreement reasonably satisfactory in form and amount to Company or, in the case of mutilation, on surrender and cancellation of this Warrant, Company at its expense shall execute and deliver a replacement Warrant.</w:t>
      </w:r>
    </w:p>
    <w:p>
      <w:pPr>
        <w:spacing w:after="0" w:line="111" w:lineRule="exact"/>
        <w:rPr>
          <w:sz w:val="20"/>
          <w:szCs w:val="20"/>
          <w:color w:val="auto"/>
        </w:rPr>
      </w:pPr>
    </w:p>
    <w:p>
      <w:pPr>
        <w:jc w:val="both"/>
        <w:ind w:firstLine="597"/>
        <w:spacing w:after="0" w:line="263"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Sale, Merger, or Consolidation of Company</w:t>
      </w:r>
      <w:r>
        <w:rPr>
          <w:rFonts w:ascii="Arial" w:cs="Arial" w:eastAsia="Arial" w:hAnsi="Arial"/>
          <w:sz w:val="16"/>
          <w:szCs w:val="16"/>
          <w:color w:val="auto"/>
        </w:rPr>
        <w:t xml:space="preserve">. For the purpose of this Warrant, “Acquisition” means any sale, license, or other disposition of all or substantially all of the assets of Company, or any reorganization, consolidation, or merger of Company where the holders of Company’s securities before the transaction beneficially own less than 50% of the outstanding voting securities of the surviving entity after the transaction. Upon the closing of any Acquisition, the successor entity shall assume the obligations of this Warrant, and this Warrant shall be exercisable for the same securities, cash, and property as would be payable for Shares issuable upon exercise of the unexercised portion of this Warrant as if such Shares were outstanding on the record date for the Acquisition and subsequent closing, and the Exercise Price shall be adjusted accordingly;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pursuant to such Acquisition the entire outstanding class of Shares issuable upon exercise of the unexercised portion of this Warrant are cancelled and the total consideration payable to the holders of such class of Shares consists entirely of cash, then, upon payment to the holder of this Warrant of an amount equal to the amount such holder would receive if such holder held Shares issuable upon exercise of the unexercised portion of this Warrant and such Shares were outstanding on the record date for the Acquisition less the aggregate Exercise Price of such Shares, this Warrant shall be cancelled;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pursuant to such Acquisition the entire outstanding class of Shares issuable upon exercise of the unexercised portion of this Warrant are cancelled and the total consideration payable to the holders of such class of Shares consists entirely of cash, but the per Share consideration, that such holder would receive if such holder held Shares issuable upon exercise of the unexercised portion of this Warrant, is less than the Exercise Price per Share, then, upon consummation of such Acquisition, this Warrant shall be cancelled and the Company shall not be required to make any payments to such holder.</w:t>
      </w:r>
    </w:p>
    <w:p>
      <w:pPr>
        <w:spacing w:after="0" w:line="11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xml:space="preserve">. In the event that, upon the Expiration Date or other termination of the warrant, the fair market value of one Share (or other security issuable upon the exercise hereof) as determined in accordance with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above is greater than the Exercise Price in effect on such date, then this Warrant shall automatically be deemed on and as of such date to be exercised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1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2.</w:t>
      </w:r>
      <w:r>
        <w:rPr>
          <w:sz w:val="20"/>
          <w:szCs w:val="20"/>
          <w:color w:val="auto"/>
        </w:rPr>
        <w:tab/>
      </w:r>
      <w:r>
        <w:rPr>
          <w:rFonts w:ascii="Arial" w:cs="Arial" w:eastAsia="Arial" w:hAnsi="Arial"/>
          <w:sz w:val="16"/>
          <w:szCs w:val="16"/>
          <w:color w:val="auto"/>
        </w:rPr>
        <w:t>ADJUSTMENTS.</w:t>
      </w:r>
    </w:p>
    <w:p>
      <w:pPr>
        <w:spacing w:after="0" w:line="153"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Company declares or pays a dividend on its common stock (or Shares, if Shares are securities other than common stock) payable in common stock or other securities or property, subdivides the outstanding common stock into a greater amount of common stock, or, if Shares are securities other than common stock, subdivides Shares in a transaction that increases the amount of common stock into which Shares are convertible, then upon exercise of this Warrant, for each Share acquired, Holder shall receive, without cost to Holder, the total number and kind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13" w:right="339" w:bottom="1440" w:gutter="0" w:footer="0" w:header="0"/>
        </w:sectPr>
      </w:pPr>
    </w:p>
    <w:bookmarkStart w:id="450" w:name="page451"/>
    <w:bookmarkEnd w:id="450"/>
    <w:p>
      <w:pPr>
        <w:jc w:val="both"/>
        <w:spacing w:after="0" w:line="277" w:lineRule="auto"/>
        <w:rPr>
          <w:sz w:val="20"/>
          <w:szCs w:val="20"/>
          <w:color w:val="auto"/>
        </w:rPr>
      </w:pPr>
      <w:r>
        <w:rPr>
          <w:rFonts w:ascii="Arial" w:cs="Arial" w:eastAsia="Arial" w:hAnsi="Arial"/>
          <w:sz w:val="17"/>
          <w:szCs w:val="17"/>
          <w:color w:val="auto"/>
        </w:rPr>
        <w:t>to which Holder would have been entitled had Holder owned Shares on the record date the dividend or subdivision occurred since the original issue date of this Warrant.</w:t>
      </w:r>
    </w:p>
    <w:p>
      <w:pPr>
        <w:spacing w:after="0" w:line="96"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Recapitalization, Exchange or Substitution</w:t>
      </w:r>
      <w:r>
        <w:rPr>
          <w:rFonts w:ascii="Arial" w:cs="Arial" w:eastAsia="Arial" w:hAnsi="Arial"/>
          <w:sz w:val="17"/>
          <w:szCs w:val="17"/>
          <w:color w:val="auto"/>
        </w:rPr>
        <w:t xml:space="preserve">. Upon any reclassification, recapitalization,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Shares if this Warrant had been exercised immediately before such reclassification, recapitalization, exchange, substitution, or other event. Company or its successor shall promptly issue to Holder a new Warrant for such new securities or other property. The new Warrant shall provide for adjustments which shall be as nearly equivalent as may be practicable to the adjustments provided for in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including, without limitation, adjustments to the Exercise Price and to the number of securities or property issuable upon exercise of the new Warrant.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similarly apply to successive reclassifications, recapitalizations, exchanges, substitutions, or other events.</w:t>
      </w:r>
    </w:p>
    <w:p>
      <w:pPr>
        <w:spacing w:after="0" w:line="120"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Adjustments for Combinations, Etc</w:t>
      </w:r>
      <w:r>
        <w:rPr>
          <w:rFonts w:ascii="Arial" w:cs="Arial" w:eastAsia="Arial" w:hAnsi="Arial"/>
          <w:sz w:val="17"/>
          <w:szCs w:val="17"/>
          <w:color w:val="auto"/>
        </w:rPr>
        <w:t>. If the outstanding Shares are combined or consolidated, by reclassification or otherwise, into a lesser number of shares, the Exercise Price shall be proportionately increased and the number of Shares as to which this warrant is exercisable shall be proportionately decreased.</w:t>
      </w:r>
    </w:p>
    <w:p>
      <w:pPr>
        <w:spacing w:after="0" w:line="111"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 In the event of the issuance (a “</w:t>
      </w:r>
      <w:r>
        <w:rPr>
          <w:rFonts w:ascii="Arial" w:cs="Arial" w:eastAsia="Arial" w:hAnsi="Arial"/>
          <w:sz w:val="17"/>
          <w:szCs w:val="17"/>
          <w:u w:val="single" w:color="auto"/>
          <w:color w:val="auto"/>
        </w:rPr>
        <w:t>Diluting Issuance</w:t>
      </w:r>
      <w:r>
        <w:rPr>
          <w:rFonts w:ascii="Arial" w:cs="Arial" w:eastAsia="Arial" w:hAnsi="Arial"/>
          <w:sz w:val="17"/>
          <w:szCs w:val="17"/>
          <w:color w:val="auto"/>
        </w:rPr>
        <w:t>”) by Company, after the Issue Date of the Warrant, of any Additional Shares of Common Stock (as defined in the Company’s Certificate of Incorporation) at a price per share less than the then Exercise Price, then the number of shares of common stock issuable upon conversion of the Shares, and the conversion price, shall be adjusted in accordance with those provisions (the “</w:t>
      </w:r>
      <w:r>
        <w:rPr>
          <w:rFonts w:ascii="Arial" w:cs="Arial" w:eastAsia="Arial" w:hAnsi="Arial"/>
          <w:sz w:val="17"/>
          <w:szCs w:val="17"/>
          <w:u w:val="single" w:color="auto"/>
          <w:color w:val="auto"/>
        </w:rPr>
        <w:t>Provisions</w:t>
      </w:r>
      <w:r>
        <w:rPr>
          <w:rFonts w:ascii="Arial" w:cs="Arial" w:eastAsia="Arial" w:hAnsi="Arial"/>
          <w:sz w:val="17"/>
          <w:szCs w:val="17"/>
          <w:color w:val="auto"/>
        </w:rPr>
        <w:t>”) of Company’s Certificate of Incorporation which apply to Diluting Issuances with the same effect as though the shares were outstanding at the time of the diluting issuance. Company agrees that the Provisions, as in effect on the Issue Date, shall be deemed to remain in full force and effect during the term of the Warrant notwithstanding any subsequent amendment, waiver or termination thereof by Company’s shareholders. Under no circumstances shall the aggregate Exercise Price payable by Holder upon exercise of the Warrant increase as a result of any adjustment arising from a Diluting Issuance.</w:t>
      </w:r>
    </w:p>
    <w:p>
      <w:pPr>
        <w:spacing w:after="0" w:line="120"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Adjustment for Pay-to-Play Transactions</w:t>
      </w:r>
      <w:r>
        <w:rPr>
          <w:rFonts w:ascii="Arial" w:cs="Arial" w:eastAsia="Arial" w:hAnsi="Arial"/>
          <w:sz w:val="17"/>
          <w:szCs w:val="17"/>
          <w:color w:val="auto"/>
        </w:rPr>
        <w:t>. In the event that the Company’s Certificate of Incorporation provides, or is amended to so provide, for the amendment or modification of the rights, preferences or privileges of the Shares, or the reclassification, conversion or exchange of the outstanding Shares in the event that a holder of shares thereof fails to participate in an equity financing transaction (a “</w:t>
      </w:r>
      <w:r>
        <w:rPr>
          <w:rFonts w:ascii="Arial" w:cs="Arial" w:eastAsia="Arial" w:hAnsi="Arial"/>
          <w:sz w:val="17"/>
          <w:szCs w:val="17"/>
          <w:u w:val="single" w:color="auto"/>
          <w:color w:val="auto"/>
        </w:rPr>
        <w:t>Pay-to-Play Provision</w:t>
      </w:r>
      <w:r>
        <w:rPr>
          <w:rFonts w:ascii="Arial" w:cs="Arial" w:eastAsia="Arial" w:hAnsi="Arial"/>
          <w:sz w:val="17"/>
          <w:szCs w:val="17"/>
          <w:color w:val="auto"/>
        </w:rPr>
        <w:t>”), and in the event that such Pay-to-Play Provision becomes operative in a transaction occurring after the date hereof, this Warrant shall automatically and without any action required become exercisable for that number and type of shares of equity securities as would have been issued or exchanged, or would have remained outstanding, in respect of the Shares issuable hereunder had this Warrant been exercised in full prior to such event, and had the Holder participated in the equity financing to the maximum extent permitted.</w:t>
      </w:r>
    </w:p>
    <w:p>
      <w:pPr>
        <w:spacing w:after="0" w:line="123"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No Impairment</w:t>
      </w:r>
      <w:r>
        <w:rPr>
          <w:rFonts w:ascii="Arial" w:cs="Arial" w:eastAsia="Arial" w:hAnsi="Arial"/>
          <w:sz w:val="17"/>
          <w:szCs w:val="17"/>
          <w:color w:val="auto"/>
        </w:rPr>
        <w:t xml:space="preserv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Company, but shall at all times in good faith assist in carrying out of all the provisions of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and in taking all such action as may be necessary or appropriate to protect Holder’s rights under this Article against impairment. If Company takes any action affecting Shares or its common stock as described above that adversely affects Holder’s rights under this Warrant, the Exercise Price shall be adjusted downward and the number of Shares issuable upon exercise of this Warrant shall be adjusted upward in such a manner that such action is offset and the aggregate Exercise Price of this Warrant is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313" w:right="339" w:bottom="1440" w:gutter="0" w:footer="0" w:header="0"/>
        </w:sectPr>
      </w:pPr>
    </w:p>
    <w:bookmarkStart w:id="451" w:name="page452"/>
    <w:bookmarkEnd w:id="451"/>
    <w:p>
      <w:pPr>
        <w:jc w:val="both"/>
        <w:ind w:firstLine="597"/>
        <w:spacing w:after="0" w:line="255"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shall be issuable upon exercise or conversion of the Warrant and the number of Shares to be issued shall be rounded down to the nearest whole Share. If a fractional share interest arises upon any exercise or conversion of the Warrant, Company shall eliminate such fractional share interest by paying Holder an amount computed by multiplying the fractional interest by the fair market value of a full Share.</w:t>
      </w:r>
    </w:p>
    <w:p>
      <w:pPr>
        <w:spacing w:after="0" w:line="115"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each adjustment of the Exercise Price, Company at its expense shall promptly compute such adjustment, and furnish Holder with a certificate of its Chief Financial Officer setting forth the Exercise Price in effect upon the date thereof and the series of adjustments leading to such Exercise Price, and the facts upon which such adjustment is based.</w:t>
      </w:r>
    </w:p>
    <w:p>
      <w:pPr>
        <w:spacing w:after="0" w:line="11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3.</w:t>
      </w:r>
      <w:r>
        <w:rPr>
          <w:sz w:val="20"/>
          <w:szCs w:val="20"/>
          <w:color w:val="auto"/>
        </w:rPr>
        <w:tab/>
      </w:r>
      <w:r>
        <w:rPr>
          <w:rFonts w:ascii="Arial" w:cs="Arial" w:eastAsia="Arial" w:hAnsi="Arial"/>
          <w:sz w:val="16"/>
          <w:szCs w:val="16"/>
          <w:color w:val="auto"/>
        </w:rPr>
        <w:t>REPRESENTATIONS, WARRANTIES AND COVENANTS OF COMPANY.</w:t>
      </w:r>
    </w:p>
    <w:p>
      <w:pPr>
        <w:spacing w:after="0" w:line="15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hereby represents and warrants to the Holder as follows:</w:t>
      </w:r>
    </w:p>
    <w:p>
      <w:pPr>
        <w:spacing w:after="0" w:line="153" w:lineRule="exact"/>
        <w:rPr>
          <w:sz w:val="20"/>
          <w:szCs w:val="20"/>
          <w:color w:val="auto"/>
        </w:rPr>
      </w:pPr>
    </w:p>
    <w:p>
      <w:pPr>
        <w:ind w:left="1780" w:hanging="586"/>
        <w:spacing w:after="0"/>
        <w:tabs>
          <w:tab w:leader="none" w:pos="178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initial Exercise Price referenced on the first page of this Warrant is not greater than the fair market value of the Shares as of</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date of this Warrant.</w:t>
      </w:r>
    </w:p>
    <w:p>
      <w:pPr>
        <w:spacing w:after="0" w:line="132" w:lineRule="exact"/>
        <w:rPr>
          <w:rFonts w:ascii="Arial" w:cs="Arial" w:eastAsia="Arial" w:hAnsi="Arial"/>
          <w:sz w:val="16"/>
          <w:szCs w:val="16"/>
          <w:color w:val="auto"/>
        </w:rPr>
      </w:pPr>
    </w:p>
    <w:p>
      <w:pPr>
        <w:ind w:firstLine="1194"/>
        <w:spacing w:after="0" w:line="277" w:lineRule="auto"/>
        <w:tabs>
          <w:tab w:leader="none" w:pos="1783"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As of the date hereof, the Company has sufficient authorized shares reserved for the issuance of all capital stock which may be issued upon the exercise of this Warrant.</w:t>
      </w:r>
    </w:p>
    <w:p>
      <w:pPr>
        <w:spacing w:after="0" w:line="96" w:lineRule="exact"/>
        <w:rPr>
          <w:rFonts w:ascii="Arial" w:cs="Arial" w:eastAsia="Arial" w:hAnsi="Arial"/>
          <w:sz w:val="17"/>
          <w:szCs w:val="17"/>
          <w:color w:val="auto"/>
        </w:rPr>
      </w:pPr>
    </w:p>
    <w:p>
      <w:pPr>
        <w:ind w:left="1780" w:hanging="586"/>
        <w:spacing w:after="0"/>
        <w:tabs>
          <w:tab w:leader="none" w:pos="17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The Company’s capitalization table attached to this Warrant as </w:t>
      </w:r>
      <w:r>
        <w:rPr>
          <w:rFonts w:ascii="Arial" w:cs="Arial" w:eastAsia="Arial" w:hAnsi="Arial"/>
          <w:sz w:val="17"/>
          <w:szCs w:val="17"/>
          <w:u w:val="single" w:color="auto"/>
          <w:color w:val="auto"/>
        </w:rPr>
        <w:t>Appendix 2</w:t>
      </w:r>
      <w:r>
        <w:rPr>
          <w:rFonts w:ascii="Arial" w:cs="Arial" w:eastAsia="Arial" w:hAnsi="Arial"/>
          <w:sz w:val="17"/>
          <w:szCs w:val="17"/>
          <w:color w:val="auto"/>
        </w:rPr>
        <w:t xml:space="preserve"> is true and complete as of the Issue Date.</w:t>
      </w:r>
    </w:p>
    <w:p>
      <w:pPr>
        <w:spacing w:after="0" w:line="153"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Valid Issuance</w:t>
      </w:r>
      <w:r>
        <w:rPr>
          <w:rFonts w:ascii="Arial" w:cs="Arial" w:eastAsia="Arial" w:hAnsi="Arial"/>
          <w:sz w:val="17"/>
          <w:szCs w:val="17"/>
          <w:color w:val="auto"/>
        </w:rPr>
        <w:t>. Company shall take all steps necessary to insure that all Shares which may be issued upon the exercise of this Warrant, and all securities, if any, issuable upon conversion of Shares, shall, upon issuance, be duly authorized, validly issued, fully paid and nonassessable, and free of any liens and encumbrances except for restrictions on transfer provided for herein or under applicable federal and state securities laws.</w:t>
      </w:r>
    </w:p>
    <w:p>
      <w:pPr>
        <w:spacing w:after="0" w:line="111"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Company proposes at any time (a) to declare any dividend or distribution upon its common stock, whether in cash, property, stock, or other securities and whether or not a regular cash dividend; (b) to offer for subscription pro rata to the holders of any class or series of its stock any additional shares of stock of any class or series or other rights (except in compliance with, or pursuant to the waiver of, the provisions of Section 5 of the Company’s Sixth Amended and Restated Investors’ Rights Agreement dated as of January 8, 2018 (as may be amended and/or restated from time to time,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(c) to effect any reclassification or recapitalization of common stock; (d) to merge or consolidate with or into any other corporation, or sell, lease, license, or convey all or substantially all of its assets, or to liquidate, dissolve or wind up; or</w:t>
      </w:r>
    </w:p>
    <w:p>
      <w:pPr>
        <w:jc w:val="both"/>
        <w:spacing w:after="0" w:line="263" w:lineRule="auto"/>
        <w:tabs>
          <w:tab w:leader="none" w:pos="28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offer holders of registration rights the opportunity to participate in an underwritten public offering of the company’s securities for cash, then, in connection with each such event, Company shall give Holder (1) in the case of the matters referred to in (a) and (b) above at least 10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(c) and (d) above; (2) in the case of the matters referred to in (c) and (d) above at least 10 days prior written notice of the date when the same will take place (and specifying the date on which the holders of common stock will be entitled to exchange their common stock for securities or other property deliverable upon the occurrence of such event); and (3) in the case of the matter referred to in (e) above, the same notice as is given to the holders of such registration rights.</w:t>
      </w:r>
    </w:p>
    <w:p>
      <w:pPr>
        <w:spacing w:after="0" w:line="112" w:lineRule="exact"/>
        <w:rPr>
          <w:sz w:val="20"/>
          <w:szCs w:val="20"/>
          <w:color w:val="auto"/>
        </w:rPr>
      </w:pPr>
    </w:p>
    <w:p>
      <w:pPr>
        <w:ind w:firstLine="597"/>
        <w:spacing w:after="0" w:line="256" w:lineRule="auto"/>
        <w:rPr>
          <w:sz w:val="20"/>
          <w:szCs w:val="20"/>
          <w:color w:val="auto"/>
        </w:rPr>
      </w:pPr>
      <w:r>
        <w:rPr>
          <w:rFonts w:ascii="Arial" w:cs="Arial" w:eastAsia="Arial" w:hAnsi="Arial"/>
          <w:sz w:val="17"/>
          <w:szCs w:val="17"/>
          <w:color w:val="auto"/>
        </w:rPr>
        <w:t xml:space="preserve">3.4 (a) </w:t>
      </w:r>
      <w:r>
        <w:rPr>
          <w:rFonts w:ascii="Arial" w:cs="Arial" w:eastAsia="Arial" w:hAnsi="Arial"/>
          <w:sz w:val="17"/>
          <w:szCs w:val="17"/>
          <w:u w:val="single" w:color="auto"/>
          <w:color w:val="auto"/>
        </w:rPr>
        <w:t>Information</w:t>
      </w:r>
      <w:r>
        <w:rPr>
          <w:rFonts w:ascii="Arial" w:cs="Arial" w:eastAsia="Arial" w:hAnsi="Arial"/>
          <w:sz w:val="17"/>
          <w:szCs w:val="17"/>
          <w:color w:val="auto"/>
        </w:rPr>
        <w:t>. So long as the Holder holds this Warrant and/or any of the Shares, Company shall deliver to Holder (a) promptly, copies of all notices or other written communications to which Holder would be entitled if it held Shares as to which this Warrant was then exercisable and</w:t>
      </w:r>
    </w:p>
    <w:p>
      <w:pPr>
        <w:spacing w:after="0" w:line="1" w:lineRule="exact"/>
        <w:rPr>
          <w:sz w:val="20"/>
          <w:szCs w:val="20"/>
          <w:color w:val="auto"/>
        </w:rPr>
      </w:pPr>
    </w:p>
    <w:p>
      <w:pPr>
        <w:spacing w:after="0" w:line="252" w:lineRule="auto"/>
        <w:tabs>
          <w:tab w:leader="none" w:pos="264" w:val="left"/>
        </w:tabs>
        <w:numPr>
          <w:ilvl w:val="0"/>
          <w:numId w:val="365"/>
        </w:numPr>
        <w:rPr>
          <w:rFonts w:ascii="Arial" w:cs="Arial" w:eastAsia="Arial" w:hAnsi="Arial"/>
          <w:sz w:val="17"/>
          <w:szCs w:val="17"/>
          <w:color w:val="auto"/>
        </w:rPr>
      </w:pPr>
      <w:r>
        <w:rPr>
          <w:rFonts w:ascii="Arial" w:cs="Arial" w:eastAsia="Arial" w:hAnsi="Arial"/>
          <w:sz w:val="17"/>
          <w:szCs w:val="17"/>
          <w:color w:val="auto"/>
        </w:rPr>
        <w:t>such other financial statements required under and in accordance with any loan documents between Holder and Company, or if there are no such requirements or if the subject loan(s) are no longer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13" w:right="339" w:bottom="1440" w:gutter="0" w:footer="0" w:header="0"/>
        </w:sectPr>
      </w:pPr>
    </w:p>
    <w:bookmarkStart w:id="452" w:name="page453"/>
    <w:bookmarkEnd w:id="452"/>
    <w:p>
      <w:pPr>
        <w:spacing w:after="0" w:line="277" w:lineRule="auto"/>
        <w:rPr>
          <w:sz w:val="20"/>
          <w:szCs w:val="20"/>
          <w:color w:val="auto"/>
        </w:rPr>
      </w:pPr>
      <w:r>
        <w:rPr>
          <w:rFonts w:ascii="Arial" w:cs="Arial" w:eastAsia="Arial" w:hAnsi="Arial"/>
          <w:sz w:val="17"/>
          <w:szCs w:val="17"/>
          <w:color w:val="auto"/>
        </w:rPr>
        <w:t>outstanding, then within 45 days after the end of each of the first three quarters of each fiscal year, Company’s quarterly, unaudited financial statements and within 120 days after the end of each fiscal year, Company’s annual, audited financial statements.</w:t>
      </w:r>
    </w:p>
    <w:p>
      <w:pPr>
        <w:spacing w:after="0" w:line="96" w:lineRule="exact"/>
        <w:rPr>
          <w:sz w:val="20"/>
          <w:szCs w:val="20"/>
          <w:color w:val="auto"/>
        </w:rPr>
      </w:pPr>
    </w:p>
    <w:p>
      <w:pPr>
        <w:jc w:val="both"/>
        <w:ind w:firstLine="1194"/>
        <w:spacing w:after="0" w:line="260" w:lineRule="auto"/>
        <w:tabs>
          <w:tab w:leader="none" w:pos="1783"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Exempt Transaction</w:t>
      </w:r>
      <w:r>
        <w:rPr>
          <w:rFonts w:ascii="Arial" w:cs="Arial" w:eastAsia="Arial" w:hAnsi="Arial"/>
          <w:sz w:val="17"/>
          <w:szCs w:val="17"/>
          <w:color w:val="auto"/>
        </w:rPr>
        <w:t>. The issuance of the Shares will each constitute a transaction exempt from (i) the registration requirements of Section 5 of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in reliance upon Section 4(2) thereof and/or Regulation D thereunder, and (ii) the qualification requirements of applicable state securities laws.</w:t>
      </w:r>
    </w:p>
    <w:p>
      <w:pPr>
        <w:spacing w:after="0" w:line="111" w:lineRule="exact"/>
        <w:rPr>
          <w:rFonts w:ascii="Arial" w:cs="Arial" w:eastAsia="Arial" w:hAnsi="Arial"/>
          <w:sz w:val="17"/>
          <w:szCs w:val="17"/>
          <w:color w:val="auto"/>
        </w:rPr>
      </w:pPr>
    </w:p>
    <w:p>
      <w:pPr>
        <w:jc w:val="both"/>
        <w:ind w:firstLine="1194"/>
        <w:spacing w:after="0" w:line="255" w:lineRule="auto"/>
        <w:tabs>
          <w:tab w:leader="none" w:pos="1786"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Compliance with Rule 144</w:t>
      </w:r>
      <w:r>
        <w:rPr>
          <w:rFonts w:ascii="Arial" w:cs="Arial" w:eastAsia="Arial" w:hAnsi="Arial"/>
          <w:sz w:val="17"/>
          <w:szCs w:val="17"/>
          <w:color w:val="auto"/>
        </w:rPr>
        <w:t>. If the Holder proposes to sell the Shares issuable upon the exercise of this Warrant in compliance with Rule 144 promulgated by the SEC, then, upon Holder’s written request to the Company, the Company shall furnish to the Holder, within ten days after receipt of such request, a written statement confirming the Company’s compliance with the filing requirements of the SEC as set forth in such rule (as may be amended from time to time).</w:t>
      </w:r>
    </w:p>
    <w:p>
      <w:pPr>
        <w:spacing w:after="0" w:line="115"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Registration Rights</w:t>
      </w:r>
      <w:r>
        <w:rPr>
          <w:rFonts w:ascii="Arial" w:cs="Arial" w:eastAsia="Arial" w:hAnsi="Arial"/>
          <w:sz w:val="17"/>
          <w:szCs w:val="17"/>
          <w:color w:val="auto"/>
        </w:rPr>
        <w:t>. The common stock issuable upon conversion of Shares, shall have the same “piggyback” registration rights as are set forth in the Investor Rights Agreement. The Company has provided Holder with a true and correct copy of the Investor Rights Agreement, which is in full force and effect on the date hereof. Company agrees that no amendments will be made to the Investor Rights Agreement, which would have an impact on Holder’s registration rights thereunder that is disproportionately adverse to Holder compared to the impact on the registration rights of other holders party thereto.</w:t>
      </w:r>
    </w:p>
    <w:p>
      <w:pPr>
        <w:spacing w:after="0" w:line="11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4.</w:t>
      </w:r>
      <w:r>
        <w:rPr>
          <w:sz w:val="20"/>
          <w:szCs w:val="20"/>
          <w:color w:val="auto"/>
        </w:rPr>
        <w:tab/>
      </w:r>
      <w:r>
        <w:rPr>
          <w:rFonts w:ascii="Arial" w:cs="Arial" w:eastAsia="Arial" w:hAnsi="Arial"/>
          <w:sz w:val="16"/>
          <w:szCs w:val="16"/>
          <w:color w:val="auto"/>
        </w:rPr>
        <w:t>MISCELLANEOUS.</w:t>
      </w:r>
    </w:p>
    <w:p>
      <w:pPr>
        <w:spacing w:after="0" w:line="153"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Legends</w:t>
      </w:r>
      <w:r>
        <w:rPr>
          <w:rFonts w:ascii="Arial" w:cs="Arial" w:eastAsia="Arial" w:hAnsi="Arial"/>
          <w:sz w:val="17"/>
          <w:szCs w:val="17"/>
          <w:color w:val="auto"/>
        </w:rPr>
        <w:t>. This Warrant and the Shares (and the securities issuable, directly or indirectly, upon conversion of Shares, if any) shall be imprinted with a legend in substantially the following form:</w:t>
      </w:r>
    </w:p>
    <w:p>
      <w:pPr>
        <w:spacing w:after="0" w:line="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SECURITY HAS NOT BEEN REGISTERED UNDER THE SECURITIES ACT OF 1933, AS AMENDED, AND MAY NOT BE SOLD, PLEDGED OR OTHERWISE TRANSFERRED WITHOUT AN EFFECTIVE REGISTRATION THEREOF UNDER SUCH ACT OR PURSUANT TO RULE 144 OR AN OPINION OF COUNSEL REASONABLY SATISFACTORY TO COMPANY AND ITS COUNSEL THAT SUCH REGISTRATION IS NOT REQUIRED.</w:t>
      </w:r>
    </w:p>
    <w:p>
      <w:pPr>
        <w:spacing w:after="0" w:line="93"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Shares, if any)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Company, as reasonably requested by Company). Company shall not require Holder to provide an opinion of counsel if the transfer is to Holder’s parent company, Western Alliance Bancorporation, or any other affiliate of Holder, or if there is no material question as to the availability of current information as referenced in Rule 144(c), Holder represents that it has complied with Rule 144(d) and (e) in reasonable detail, the selling broker represents that it has complied with Rule 144(f), and the Company is provided with a copy of Holder’s notice of proposed sale.</w:t>
      </w:r>
    </w:p>
    <w:p>
      <w:pPr>
        <w:spacing w:after="0" w:line="120"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Holder of the executed Warrant, Holder may transfer all of this Warrant to Holder’s parent company, Western Alliance Bancorporation, or an affiliate thereof or successor thereto (the “</w:t>
      </w:r>
      <w:r>
        <w:rPr>
          <w:rFonts w:ascii="Arial" w:cs="Arial" w:eastAsia="Arial" w:hAnsi="Arial"/>
          <w:sz w:val="17"/>
          <w:szCs w:val="17"/>
          <w:u w:val="single" w:color="auto"/>
          <w:color w:val="auto"/>
        </w:rPr>
        <w:t>Subsequent Holder</w:t>
      </w:r>
      <w:r>
        <w:rPr>
          <w:rFonts w:ascii="Arial" w:cs="Arial" w:eastAsia="Arial" w:hAnsi="Arial"/>
          <w:sz w:val="17"/>
          <w:szCs w:val="17"/>
          <w:color w:val="auto"/>
        </w:rPr>
        <w:t xml:space="preserve">”), by execution of an Assignment substantially in the form of </w:t>
      </w:r>
      <w:r>
        <w:rPr>
          <w:rFonts w:ascii="Arial" w:cs="Arial" w:eastAsia="Arial" w:hAnsi="Arial"/>
          <w:sz w:val="17"/>
          <w:szCs w:val="17"/>
          <w:u w:val="single" w:color="auto"/>
          <w:color w:val="auto"/>
        </w:rPr>
        <w:t>Appendix 3</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4.2</w:t>
      </w:r>
      <w:r>
        <w:rPr>
          <w:rFonts w:ascii="Arial" w:cs="Arial" w:eastAsia="Arial" w:hAnsi="Arial"/>
          <w:sz w:val="17"/>
          <w:szCs w:val="17"/>
          <w:color w:val="auto"/>
        </w:rPr>
        <w:t xml:space="preserve"> and upon providing Company with written notice, the Subsequent Holder may transfer all or part of this Warrant or the Shares issuable upon exercise of this Warrant (or the Shares issuable directly or indirectly, upon conversion of the Shares, if any) to any transferee, provided, however,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13" w:right="339" w:bottom="1440" w:gutter="0" w:footer="0" w:header="0"/>
        </w:sectPr>
      </w:pPr>
    </w:p>
    <w:bookmarkStart w:id="453" w:name="page454"/>
    <w:bookmarkEnd w:id="453"/>
    <w:p>
      <w:pPr>
        <w:jc w:val="both"/>
        <w:ind w:firstLine="597"/>
        <w:spacing w:after="0" w:line="26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from Company to Holder, or vice versa, shall be in writing and shall be deemed delivered and effective when given personally or mailed by first class registered or certified mail, postage prepaid, or by overnight courier, at such address as may have been furnished to Company or Holder, as the case may be, in writing by Company or such Holder from time to time.</w:t>
      </w:r>
    </w:p>
    <w:p>
      <w:pPr>
        <w:spacing w:after="0" w:line="111"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96"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96"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Lock Up</w:t>
      </w:r>
      <w:r>
        <w:rPr>
          <w:rFonts w:ascii="Arial" w:cs="Arial" w:eastAsia="Arial" w:hAnsi="Arial"/>
          <w:sz w:val="17"/>
          <w:szCs w:val="17"/>
          <w:color w:val="auto"/>
        </w:rPr>
        <w:t>. The Holder agrees that this Warrant and the Shares are subject to the Lock-Up provisions set forth in Section 7.5 of the Investor Rights Agreement</w:t>
      </w:r>
    </w:p>
    <w:p>
      <w:pPr>
        <w:spacing w:after="0" w:line="9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5.</w:t>
      </w:r>
      <w:r>
        <w:rPr>
          <w:sz w:val="20"/>
          <w:szCs w:val="20"/>
          <w:color w:val="auto"/>
        </w:rPr>
        <w:tab/>
      </w:r>
      <w:r>
        <w:rPr>
          <w:rFonts w:ascii="Arial" w:cs="Arial" w:eastAsia="Arial" w:hAnsi="Arial"/>
          <w:sz w:val="16"/>
          <w:szCs w:val="16"/>
          <w:color w:val="auto"/>
        </w:rPr>
        <w:t>REPRESENTATIONS AND WARRANTIES OF HOLDER.</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With respect to the acquisition of this Warrant and any of the Shares issuable upon exercise of this Warrant, Holder hereby represents and warrants to, and agrees with, the Company as follows:</w:t>
      </w:r>
    </w:p>
    <w:p>
      <w:pPr>
        <w:spacing w:after="0" w:line="96"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Purchase Entirely for Own Account</w:t>
      </w:r>
      <w:r>
        <w:rPr>
          <w:rFonts w:ascii="Arial" w:cs="Arial" w:eastAsia="Arial" w:hAnsi="Arial"/>
          <w:sz w:val="17"/>
          <w:szCs w:val="17"/>
          <w:color w:val="auto"/>
        </w:rPr>
        <w:t>. This Warrant is issued to Holder in reliance upon Holder’s representation to the Company that this Warrant and the Shares issuable upon exercise of this Warrant will be acquired for investment for Holder’s, or its affiliate’s, own account, not as a nominee or agent, and not with a view to the resale or distribution of any part thereof other than to an affiliate, and that Holder has no present intention of selling, granting any participation in, or otherwise distributing the same other than to an affiliate. By executing this Warrant, Holder further represents that Holder does not have any contract, undertaking, agreement or arrangement with any person, other than an affiliate, to sell, transfer or grant participations to such person or to any third person with respect to this Warrant or any of the Shares issuable upon exercise of this Warrant.</w:t>
      </w:r>
    </w:p>
    <w:p>
      <w:pPr>
        <w:spacing w:after="0" w:line="122"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Reliance upon Holder’s Representations</w:t>
      </w:r>
      <w:r>
        <w:rPr>
          <w:rFonts w:ascii="Arial" w:cs="Arial" w:eastAsia="Arial" w:hAnsi="Arial"/>
          <w:sz w:val="17"/>
          <w:szCs w:val="17"/>
          <w:color w:val="auto"/>
        </w:rPr>
        <w:t>. Holder understands that this Warrant and the Shares issuable upon exercise of this Warrant are not registered under the Act on the ground that the issuance of such securities is exempt from registration under the Act, and that the Company’s reliance on such exemption is predicated on Holder’s representations set forth herein.</w:t>
      </w:r>
    </w:p>
    <w:p>
      <w:pPr>
        <w:spacing w:after="0" w:line="111"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represents to the Company that Holder is an Accredited Investor (as defined in the Act).</w:t>
      </w:r>
    </w:p>
    <w:p>
      <w:pPr>
        <w:spacing w:after="0" w:line="153" w:lineRule="exact"/>
        <w:rPr>
          <w:sz w:val="20"/>
          <w:szCs w:val="20"/>
          <w:color w:val="auto"/>
        </w:rPr>
      </w:pPr>
    </w:p>
    <w:p>
      <w:pPr>
        <w:jc w:val="both"/>
        <w:ind w:firstLine="597"/>
        <w:spacing w:after="0" w:line="25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Holder understands that this Warrant and the Shares issuable upon exercise of this Warrant are “restricted securities” under the federal securities laws inasmuch as they are being acquired from the Company in a transaction not involving a public offering and that under such federal securities laws and applicable regulations such securities may be resold without registration under the Act only in certain limited circumstances.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13" w:right="339" w:bottom="1440" w:gutter="0" w:footer="0" w:header="0"/>
        </w:sectPr>
      </w:pPr>
    </w:p>
    <w:bookmarkStart w:id="454" w:name="page455"/>
    <w:bookmarkEnd w:id="454"/>
    <w:p>
      <w:pPr>
        <w:spacing w:after="0"/>
        <w:rPr>
          <w:sz w:val="20"/>
          <w:szCs w:val="20"/>
          <w:color w:val="auto"/>
        </w:rPr>
      </w:pPr>
      <w:r>
        <w:rPr>
          <w:rFonts w:ascii="Arial" w:cs="Arial" w:eastAsia="Arial" w:hAnsi="Arial"/>
          <w:sz w:val="17"/>
          <w:szCs w:val="17"/>
          <w:color w:val="auto"/>
        </w:rPr>
        <w:t>IN WITNESS WHEREOF, the undersigned has executed this Warrant as of the day and year first above written.</w:t>
      </w: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w:t>
      </w:r>
    </w:p>
    <w:p>
      <w:pPr>
        <w:spacing w:after="0" w:line="30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THREDUP INC., a Delaware corporation</w:t>
      </w:r>
    </w:p>
    <w:p>
      <w:pPr>
        <w:spacing w:after="0" w:line="302" w:lineRule="exact"/>
        <w:rPr>
          <w:sz w:val="20"/>
          <w:szCs w:val="20"/>
          <w:color w:val="auto"/>
        </w:rPr>
      </w:pPr>
    </w:p>
    <w:tbl>
      <w:tblPr>
        <w:tblLayout w:type="fixed"/>
        <w:tblInd w:w="502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7"/>
                <w:szCs w:val="17"/>
                <w:color w:val="auto"/>
              </w:rPr>
              <w:t>By:</w:t>
            </w:r>
          </w:p>
        </w:tc>
        <w:tc>
          <w:tcPr>
            <w:tcW w:w="4700" w:type="dxa"/>
            <w:vAlign w:val="bottom"/>
          </w:tcPr>
          <w:p>
            <w:pPr>
              <w:spacing w:after="0"/>
              <w:rPr>
                <w:sz w:val="20"/>
                <w:szCs w:val="20"/>
                <w:color w:val="auto"/>
              </w:rPr>
            </w:pPr>
            <w:r>
              <w:rPr>
                <w:rFonts w:ascii="Arial" w:cs="Arial" w:eastAsia="Arial" w:hAnsi="Arial"/>
                <w:sz w:val="17"/>
                <w:szCs w:val="17"/>
                <w:color w:val="auto"/>
              </w:rPr>
              <w:t>/s/ James Reinhart</w:t>
            </w:r>
          </w:p>
        </w:tc>
      </w:tr>
      <w:tr>
        <w:trPr>
          <w:trHeight w:val="23"/>
        </w:trPr>
        <w:tc>
          <w:tcPr>
            <w:tcW w:w="920" w:type="dxa"/>
            <w:vAlign w:val="bottom"/>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Name:</w:t>
            </w:r>
          </w:p>
        </w:tc>
        <w:tc>
          <w:tcPr>
            <w:tcW w:w="4700" w:type="dxa"/>
            <w:vAlign w:val="bottom"/>
          </w:tcPr>
          <w:p>
            <w:pPr>
              <w:spacing w:after="0"/>
              <w:rPr>
                <w:sz w:val="20"/>
                <w:szCs w:val="20"/>
                <w:color w:val="auto"/>
              </w:rPr>
            </w:pPr>
            <w:r>
              <w:rPr>
                <w:rFonts w:ascii="Arial" w:cs="Arial" w:eastAsia="Arial" w:hAnsi="Arial"/>
                <w:sz w:val="17"/>
                <w:szCs w:val="17"/>
                <w:color w:val="auto"/>
              </w:rPr>
              <w:t>James Reinhart</w:t>
            </w:r>
          </w:p>
        </w:tc>
      </w:tr>
      <w:tr>
        <w:trPr>
          <w:trHeight w:val="23"/>
        </w:trPr>
        <w:tc>
          <w:tcPr>
            <w:tcW w:w="920" w:type="dxa"/>
            <w:vAlign w:val="bottom"/>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Title:</w:t>
            </w:r>
          </w:p>
        </w:tc>
        <w:tc>
          <w:tcPr>
            <w:tcW w:w="4700" w:type="dxa"/>
            <w:vAlign w:val="bottom"/>
          </w:tcPr>
          <w:p>
            <w:pPr>
              <w:spacing w:after="0"/>
              <w:rPr>
                <w:sz w:val="20"/>
                <w:szCs w:val="20"/>
                <w:color w:val="auto"/>
              </w:rPr>
            </w:pPr>
            <w:r>
              <w:rPr>
                <w:rFonts w:ascii="Arial" w:cs="Arial" w:eastAsia="Arial" w:hAnsi="Arial"/>
                <w:sz w:val="17"/>
                <w:szCs w:val="17"/>
                <w:color w:val="auto"/>
              </w:rPr>
              <w:t>CEO</w:t>
            </w:r>
          </w:p>
        </w:tc>
      </w:tr>
      <w:tr>
        <w:trPr>
          <w:trHeight w:val="23"/>
        </w:trPr>
        <w:tc>
          <w:tcPr>
            <w:tcW w:w="920" w:type="dxa"/>
            <w:vAlign w:val="bottom"/>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Signature Page to Warrant</w:t>
      </w:r>
      <w:r>
        <w:rPr>
          <w:rFonts w:ascii="Arial" w:cs="Arial" w:eastAsia="Arial" w:hAnsi="Arial"/>
          <w:sz w:val="17"/>
          <w:szCs w:val="17"/>
          <w:color w:val="auto"/>
        </w:rPr>
        <w:t>]</w:t>
      </w:r>
    </w:p>
    <w:p>
      <w:pPr>
        <w:sectPr>
          <w:pgSz w:w="11900" w:h="16838" w:orient="portrait"/>
          <w:cols w:equalWidth="0" w:num="1">
            <w:col w:w="10640"/>
          </w:cols>
          <w:pgMar w:left="920" w:top="1313" w:right="339" w:bottom="1440" w:gutter="0" w:footer="0" w:header="0"/>
        </w:sectPr>
      </w:pPr>
    </w:p>
    <w:bookmarkStart w:id="455" w:name="page456"/>
    <w:bookmarkEnd w:id="455"/>
    <w:p>
      <w:pPr>
        <w:jc w:val="center"/>
        <w:spacing w:after="0"/>
        <w:rPr>
          <w:sz w:val="20"/>
          <w:szCs w:val="20"/>
          <w:color w:val="auto"/>
        </w:rPr>
      </w:pPr>
      <w:r>
        <w:rPr>
          <w:rFonts w:ascii="Arial" w:cs="Arial" w:eastAsia="Arial" w:hAnsi="Arial"/>
          <w:sz w:val="17"/>
          <w:szCs w:val="17"/>
          <w:b w:val="1"/>
          <w:bCs w:val="1"/>
          <w:u w:val="single" w:color="auto"/>
          <w:color w:val="auto"/>
        </w:rPr>
        <w:t>APPENDIX 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NOTICE OF EXERCISE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FF0000"/>
        </w:rPr>
        <w:t>[Strike paragraph that does not apply.]</w:t>
      </w:r>
    </w:p>
    <w:p>
      <w:pPr>
        <w:spacing w:after="0" w:line="153" w:lineRule="exact"/>
        <w:rPr>
          <w:sz w:val="20"/>
          <w:szCs w:val="20"/>
          <w:color w:val="auto"/>
        </w:rPr>
      </w:pPr>
    </w:p>
    <w:p>
      <w:pPr>
        <w:spacing w:after="0" w:line="277" w:lineRule="auto"/>
        <w:tabs>
          <w:tab w:leader="none" w:pos="587" w:val="left"/>
        </w:tabs>
        <w:numPr>
          <w:ilvl w:val="0"/>
          <w:numId w:val="367"/>
        </w:numPr>
        <w:rPr>
          <w:rFonts w:ascii="Arial" w:cs="Arial" w:eastAsia="Arial" w:hAnsi="Arial"/>
          <w:sz w:val="17"/>
          <w:szCs w:val="17"/>
          <w:color w:val="auto"/>
        </w:rPr>
      </w:pPr>
      <w:r>
        <w:rPr>
          <w:rFonts w:ascii="Arial" w:cs="Arial" w:eastAsia="Arial" w:hAnsi="Arial"/>
          <w:sz w:val="17"/>
          <w:szCs w:val="17"/>
          <w:color w:val="auto"/>
        </w:rPr>
        <w:t xml:space="preserve">The undersigned hereby elects to purchase ____________ shares of the Common/Series _____ Preferred </w:t>
      </w:r>
      <w:r>
        <w:rPr>
          <w:rFonts w:ascii="Arial" w:cs="Arial" w:eastAsia="Arial" w:hAnsi="Arial"/>
          <w:sz w:val="17"/>
          <w:szCs w:val="17"/>
          <w:color w:val="FF0000"/>
        </w:rPr>
        <w:t>[strike one]</w:t>
      </w:r>
      <w:r>
        <w:rPr>
          <w:rFonts w:ascii="Arial" w:cs="Arial" w:eastAsia="Arial" w:hAnsi="Arial"/>
          <w:sz w:val="17"/>
          <w:szCs w:val="17"/>
          <w:color w:val="auto"/>
        </w:rPr>
        <w:t xml:space="preserve"> Stock of Company pursuant to the terms of the attached Warrant, and tenders herewith payment of the purchase price of such shares in full.</w:t>
      </w:r>
    </w:p>
    <w:p>
      <w:pPr>
        <w:spacing w:after="0" w:line="96" w:lineRule="exact"/>
        <w:rPr>
          <w:sz w:val="20"/>
          <w:szCs w:val="20"/>
          <w:color w:val="auto"/>
        </w:rPr>
      </w:pPr>
    </w:p>
    <w:p>
      <w:pPr>
        <w:spacing w:after="0" w:line="277" w:lineRule="auto"/>
        <w:tabs>
          <w:tab w:leader="none" w:pos="587"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The undersigned hereby elects to convert the attached Warrant into Shares/cash </w:t>
      </w:r>
      <w:r>
        <w:rPr>
          <w:rFonts w:ascii="Arial" w:cs="Arial" w:eastAsia="Arial" w:hAnsi="Arial"/>
          <w:sz w:val="17"/>
          <w:szCs w:val="17"/>
          <w:color w:val="FF0000"/>
        </w:rPr>
        <w:t>[strike one]</w:t>
      </w:r>
      <w:r>
        <w:rPr>
          <w:rFonts w:ascii="Arial" w:cs="Arial" w:eastAsia="Arial" w:hAnsi="Arial"/>
          <w:sz w:val="17"/>
          <w:szCs w:val="17"/>
          <w:color w:val="auto"/>
        </w:rPr>
        <w:t xml:space="preserve"> in the manner specified in the Warrant. This conversion is exercised with respect to ____________________ of the Shares covered by the Warrant.</w:t>
      </w:r>
    </w:p>
    <w:p>
      <w:pPr>
        <w:spacing w:after="0" w:line="96" w:lineRule="exact"/>
        <w:rPr>
          <w:rFonts w:ascii="Arial" w:cs="Arial" w:eastAsia="Arial" w:hAnsi="Arial"/>
          <w:sz w:val="17"/>
          <w:szCs w:val="17"/>
          <w:color w:val="auto"/>
        </w:rPr>
      </w:pPr>
    </w:p>
    <w:p>
      <w:pPr>
        <w:ind w:left="580" w:hanging="580"/>
        <w:spacing w:after="0"/>
        <w:tabs>
          <w:tab w:leader="none" w:pos="58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Please issue a certificate or certificates representing said shares in the name of the undersigned or in such other name as is specified below:</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31115</wp:posOffset>
            </wp:positionV>
            <wp:extent cx="397446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74465" cy="7620"/>
                    </a:xfrm>
                    <a:prstGeom prst="rect">
                      <a:avLst/>
                    </a:prstGeom>
                    <a:noFill/>
                  </pic:spPr>
                </pic:pic>
              </a:graphicData>
            </a:graphic>
          </wp:anchor>
        </w:drawing>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465391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53915" cy="7620"/>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31115</wp:posOffset>
            </wp:positionV>
            <wp:extent cx="397446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74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line="277" w:lineRule="auto"/>
        <w:tabs>
          <w:tab w:leader="none" w:pos="587"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96" w:lineRule="exact"/>
        <w:rPr>
          <w:rFonts w:ascii="Arial" w:cs="Arial" w:eastAsia="Arial" w:hAnsi="Arial"/>
          <w:sz w:val="17"/>
          <w:szCs w:val="17"/>
          <w:color w:val="auto"/>
        </w:rPr>
      </w:pPr>
    </w:p>
    <w:p>
      <w:pPr>
        <w:spacing w:after="0" w:line="277" w:lineRule="auto"/>
        <w:tabs>
          <w:tab w:leader="none" w:pos="587"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The undersigned here by represents and warrants that the Representations and Warranties in Section 5 of the Warrant are true and correct as of the date hereof.</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WESTERN ALLIANCE BANK, an Arizona corporation</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31115</wp:posOffset>
            </wp:positionV>
            <wp:extent cx="303403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31115</wp:posOffset>
            </wp:positionV>
            <wp:extent cx="303403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31115</wp:posOffset>
            </wp:positionV>
            <wp:extent cx="303403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56" w:name="page457"/>
    <w:bookmarkEnd w:id="456"/>
    <w:p>
      <w:pPr>
        <w:jc w:val="center"/>
        <w:ind w:right="19"/>
        <w:spacing w:after="0"/>
        <w:rPr>
          <w:sz w:val="20"/>
          <w:szCs w:val="20"/>
          <w:color w:val="auto"/>
        </w:rPr>
      </w:pPr>
      <w:r>
        <w:rPr>
          <w:rFonts w:ascii="Arial" w:cs="Arial" w:eastAsia="Arial" w:hAnsi="Arial"/>
          <w:sz w:val="17"/>
          <w:szCs w:val="17"/>
          <w:b w:val="1"/>
          <w:bCs w:val="1"/>
          <w:u w:val="single" w:color="auto"/>
          <w:color w:val="auto"/>
        </w:rPr>
        <w:t>APPENDIX 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CAPITALIZATION TABLE</w:t>
      </w:r>
    </w:p>
    <w:p>
      <w:pPr>
        <w:sectPr>
          <w:pgSz w:w="11900" w:h="16838" w:orient="portrait"/>
          <w:cols w:equalWidth="0" w:num="1">
            <w:col w:w="9019"/>
          </w:cols>
          <w:pgMar w:left="1440" w:top="1311" w:right="1440" w:bottom="1440" w:gutter="0" w:footer="0" w:header="0"/>
        </w:sectPr>
      </w:pPr>
    </w:p>
    <w:bookmarkStart w:id="457" w:name="page458"/>
    <w:bookmarkEnd w:id="457"/>
    <w:p>
      <w:pPr>
        <w:ind w:left="5140"/>
        <w:spacing w:after="0"/>
        <w:rPr>
          <w:sz w:val="20"/>
          <w:szCs w:val="20"/>
          <w:color w:val="auto"/>
        </w:rPr>
      </w:pPr>
      <w:r>
        <w:rPr>
          <w:rFonts w:ascii="Arial" w:cs="Arial" w:eastAsia="Arial" w:hAnsi="Arial"/>
          <w:sz w:val="17"/>
          <w:szCs w:val="17"/>
          <w:b w:val="1"/>
          <w:bCs w:val="1"/>
          <w:u w:val="single" w:color="auto"/>
          <w:color w:val="auto"/>
        </w:rPr>
        <w:t>APPENDIX 3</w:t>
      </w:r>
    </w:p>
    <w:p>
      <w:pPr>
        <w:spacing w:after="0" w:line="15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ASSIGNMENT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WESTERN ALLIANCE BANK, hereby sells, assigns and transfers unto:</w:t>
      </w:r>
    </w:p>
    <w:p>
      <w:pPr>
        <w:sectPr>
          <w:pgSz w:w="11900" w:h="16838" w:orient="portrait"/>
          <w:cols w:equalWidth="0" w:num="1">
            <w:col w:w="11240"/>
          </w:cols>
          <w:pgMar w:left="320" w:top="1311" w:right="339" w:bottom="1440" w:gutter="0" w:footer="0" w:header="0"/>
        </w:sectPr>
      </w:pPr>
    </w:p>
    <w:p>
      <w:pPr>
        <w:spacing w:after="0" w:line="21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WESTERN ALLIANCE BANCORPORATION</w:t>
      </w:r>
    </w:p>
    <w:p>
      <w:pPr>
        <w:spacing w:after="0" w:line="200" w:lineRule="exact"/>
        <w:rPr>
          <w:sz w:val="20"/>
          <w:szCs w:val="20"/>
          <w:color w:val="auto"/>
        </w:rPr>
      </w:pPr>
    </w:p>
    <w:p>
      <w:pPr>
        <w:sectPr>
          <w:pgSz w:w="11900" w:h="16838" w:orient="portrait"/>
          <w:cols w:equalWidth="0" w:num="2">
            <w:col w:w="5620" w:space="720"/>
            <w:col w:w="4900"/>
          </w:cols>
          <w:pgMar w:left="320" w:top="1311" w:right="339" w:bottom="1440" w:gutter="0" w:footer="0" w:header="0"/>
          <w:type w:val="continuous"/>
        </w:sectPr>
      </w:pPr>
    </w:p>
    <w:p>
      <w:pPr>
        <w:spacing w:after="0" w:line="11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One E. Washing, Suite 1400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Phoenix, Arizona 85004</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Tax: _______________</w:t>
      </w:r>
    </w:p>
    <w:p>
      <w:pPr>
        <w:spacing w:after="0" w:line="158" w:lineRule="exact"/>
        <w:rPr>
          <w:sz w:val="20"/>
          <w:szCs w:val="20"/>
          <w:color w:val="auto"/>
        </w:rPr>
      </w:pPr>
    </w:p>
    <w:p>
      <w:pPr>
        <w:sectPr>
          <w:pgSz w:w="11900" w:h="16838" w:orient="portrait"/>
          <w:cols w:equalWidth="0" w:num="2">
            <w:col w:w="5620" w:space="720"/>
            <w:col w:w="4900"/>
          </w:cols>
          <w:pgMar w:left="320" w:top="1311" w:right="339" w:bottom="1440" w:gutter="0" w:footer="0" w:header="0"/>
          <w:type w:val="continuous"/>
        </w:sectPr>
      </w:pPr>
    </w:p>
    <w:p>
      <w:pPr>
        <w:spacing w:after="0" w:line="277" w:lineRule="auto"/>
        <w:rPr>
          <w:sz w:val="20"/>
          <w:szCs w:val="20"/>
          <w:color w:val="auto"/>
        </w:rPr>
      </w:pPr>
      <w:r>
        <w:rPr>
          <w:rFonts w:ascii="Arial" w:cs="Arial" w:eastAsia="Arial" w:hAnsi="Arial"/>
          <w:sz w:val="17"/>
          <w:szCs w:val="17"/>
          <w:color w:val="auto"/>
        </w:rPr>
        <w:t>that certain Warrant to Purchase Stock issued by THREDUP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on February 7, 2019 (the “</w:t>
      </w:r>
      <w:r>
        <w:rPr>
          <w:rFonts w:ascii="Arial" w:cs="Arial" w:eastAsia="Arial" w:hAnsi="Arial"/>
          <w:sz w:val="17"/>
          <w:szCs w:val="17"/>
          <w:u w:val="single" w:color="auto"/>
          <w:color w:val="auto"/>
        </w:rPr>
        <w:t>Warrant</w:t>
      </w:r>
      <w:r>
        <w:rPr>
          <w:rFonts w:ascii="Arial" w:cs="Arial" w:eastAsia="Arial" w:hAnsi="Arial"/>
          <w:sz w:val="17"/>
          <w:szCs w:val="17"/>
          <w:color w:val="auto"/>
        </w:rPr>
        <w:t>”) together with all rights, title and interest therein.</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WESTERN ALLIANCE BANK</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By its execution below, and for the benefit of the Company, Western Alliance Bancorporation agrees to all other provisions of the Warrant as of the date hereof.</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WESTERN ALLIANCE BANCORPORATION</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458" w:name="page459"/>
    <w:bookmarkEnd w:id="458"/>
    <w:p>
      <w:pPr>
        <w:jc w:val="right"/>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WARRANT TO PURCHASE STOCK</w:t>
      </w:r>
    </w:p>
    <w:p>
      <w:pPr>
        <w:spacing w:after="0" w:line="208" w:lineRule="exact"/>
        <w:rPr>
          <w:sz w:val="20"/>
          <w:szCs w:val="20"/>
          <w:color w:val="auto"/>
        </w:rPr>
      </w:pPr>
    </w:p>
    <w:p>
      <w:pPr>
        <w:jc w:val="both"/>
        <w:ind w:firstLine="597"/>
        <w:spacing w:after="0" w:line="279" w:lineRule="auto"/>
        <w:rPr>
          <w:sz w:val="20"/>
          <w:szCs w:val="20"/>
          <w:color w:val="auto"/>
        </w:rPr>
      </w:pPr>
      <w:r>
        <w:rPr>
          <w:rFonts w:ascii="Times New Roman" w:cs="Times New Roman" w:eastAsia="Times New Roman" w:hAnsi="Times New Roman"/>
          <w:sz w:val="18"/>
          <w:szCs w:val="18"/>
          <w:color w:val="auto"/>
        </w:rPr>
        <w:t>This First Amendment to Warrant to Purchase Stock (this "Amendment") is entered into as of May 29, 2020, by and between WESTERN ALLIANCE BANCORPORATION ("Holdco"), and THREDUP, INC. ("Company").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04"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18"/>
          <w:szCs w:val="18"/>
          <w:color w:val="auto"/>
        </w:rPr>
        <w:t>Company has issued for the benefit of WESTERN ALLIANCE BANK (“Bank”), that certain Warrant to Purchase Stock dated as of February 7, 2019 (as amended from time to time, the "Warrant"). Bank has subsequently transferred and assigned the Warrant to Holdco. Holdco and Company desire to amend the Warrant in accordance with the terms of this Amendment.</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4" w:lineRule="exact"/>
        <w:rPr>
          <w:sz w:val="20"/>
          <w:szCs w:val="20"/>
          <w:color w:val="auto"/>
        </w:rPr>
      </w:pPr>
    </w:p>
    <w:p>
      <w:pPr>
        <w:ind w:left="1200" w:right="2740" w:hanging="603"/>
        <w:spacing w:after="0" w:line="454" w:lineRule="auto"/>
        <w:tabs>
          <w:tab w:leader="none" w:pos="12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the Warrant hereby is amended and restated in its entirety to read as follows: “Expiration Date: May 29, 2030”</w:t>
      </w:r>
    </w:p>
    <w:p>
      <w:pPr>
        <w:ind w:firstLine="597"/>
        <w:spacing w:after="0" w:line="279" w:lineRule="auto"/>
        <w:tabs>
          <w:tab w:leader="none" w:pos="119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all initially capitalized terms in this Amendment shall be as defined in the Warrant. The Warrant, as amended hereby, shall be and remain in full force and effect in accordance with its respective terms and hereby is ratified and confirmed in all respects.</w:t>
      </w:r>
    </w:p>
    <w:p>
      <w:pPr>
        <w:spacing w:after="0" w:line="140" w:lineRule="exact"/>
        <w:rPr>
          <w:rFonts w:ascii="Times New Roman" w:cs="Times New Roman" w:eastAsia="Times New Roman" w:hAnsi="Times New Roman"/>
          <w:sz w:val="18"/>
          <w:szCs w:val="18"/>
          <w:color w:val="auto"/>
        </w:rPr>
      </w:pPr>
    </w:p>
    <w:p>
      <w:pPr>
        <w:ind w:firstLine="597"/>
        <w:spacing w:after="0" w:line="279" w:lineRule="auto"/>
        <w:tabs>
          <w:tab w:leader="none" w:pos="119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each of which shall be deemed an original, but all of which together shall constitute one instrument.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118" w:right="33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Amendment to Warrant to Purchase Units as of the first date above written.</w:t>
      </w: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THREDUP, INC.</w:t>
      </w:r>
    </w:p>
    <w:p>
      <w:pPr>
        <w:spacing w:after="0" w:line="200" w:lineRule="exact"/>
        <w:rPr>
          <w:sz w:val="20"/>
          <w:szCs w:val="20"/>
          <w:color w:val="auto"/>
        </w:rPr>
      </w:pPr>
    </w:p>
    <w:p>
      <w:pPr>
        <w:spacing w:after="0" w:line="352" w:lineRule="exact"/>
        <w:rPr>
          <w:sz w:val="20"/>
          <w:szCs w:val="20"/>
          <w:color w:val="auto"/>
        </w:rPr>
      </w:pPr>
    </w:p>
    <w:p>
      <w:pPr>
        <w:ind w:left="530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31750</wp:posOffset>
            </wp:positionV>
            <wp:extent cx="307403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74035" cy="7620"/>
                    </a:xfrm>
                    <a:prstGeom prst="rect">
                      <a:avLst/>
                    </a:prstGeom>
                    <a:noFill/>
                  </pic:spPr>
                </pic:pic>
              </a:graphicData>
            </a:graphic>
          </wp:anchor>
        </w:drawing>
      </w:r>
    </w:p>
    <w:p>
      <w:pPr>
        <w:spacing w:after="0" w:line="271" w:lineRule="exact"/>
        <w:rPr>
          <w:sz w:val="20"/>
          <w:szCs w:val="20"/>
          <w:color w:val="auto"/>
        </w:rPr>
      </w:pPr>
    </w:p>
    <w:p>
      <w:pPr>
        <w:ind w:left="5300"/>
        <w:spacing w:after="0"/>
        <w:tabs>
          <w:tab w:leader="none" w:pos="61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Sean Sober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31750</wp:posOffset>
            </wp:positionV>
            <wp:extent cx="283654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36545" cy="7620"/>
                    </a:xfrm>
                    <a:prstGeom prst="rect">
                      <a:avLst/>
                    </a:prstGeom>
                    <a:noFill/>
                  </pic:spPr>
                </pic:pic>
              </a:graphicData>
            </a:graphic>
          </wp:anchor>
        </w:drawing>
      </w:r>
    </w:p>
    <w:p>
      <w:pPr>
        <w:spacing w:after="0" w:line="271" w:lineRule="exact"/>
        <w:rPr>
          <w:sz w:val="20"/>
          <w:szCs w:val="20"/>
          <w:color w:val="auto"/>
        </w:rPr>
      </w:pPr>
    </w:p>
    <w:p>
      <w:pPr>
        <w:ind w:left="530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31750</wp:posOffset>
            </wp:positionV>
            <wp:extent cx="293941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394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WESTERN ALLIANCE BANCORPORATION</w:t>
      </w:r>
    </w:p>
    <w:p>
      <w:pPr>
        <w:spacing w:after="0" w:line="200" w:lineRule="exact"/>
        <w:rPr>
          <w:sz w:val="20"/>
          <w:szCs w:val="20"/>
          <w:color w:val="auto"/>
        </w:rPr>
      </w:pPr>
    </w:p>
    <w:p>
      <w:pPr>
        <w:spacing w:after="0" w:line="352" w:lineRule="exact"/>
        <w:rPr>
          <w:sz w:val="20"/>
          <w:szCs w:val="20"/>
          <w:color w:val="auto"/>
        </w:rPr>
      </w:pPr>
    </w:p>
    <w:p>
      <w:pPr>
        <w:ind w:left="530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Jeff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31750</wp:posOffset>
            </wp:positionV>
            <wp:extent cx="307403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74035" cy="7620"/>
                    </a:xfrm>
                    <a:prstGeom prst="rect">
                      <a:avLst/>
                    </a:prstGeom>
                    <a:noFill/>
                  </pic:spPr>
                </pic:pic>
              </a:graphicData>
            </a:graphic>
          </wp:anchor>
        </w:drawing>
      </w:r>
    </w:p>
    <w:p>
      <w:pPr>
        <w:spacing w:after="0" w:line="271" w:lineRule="exact"/>
        <w:rPr>
          <w:sz w:val="20"/>
          <w:szCs w:val="20"/>
          <w:color w:val="auto"/>
        </w:rPr>
      </w:pPr>
    </w:p>
    <w:p>
      <w:pPr>
        <w:ind w:left="5300"/>
        <w:spacing w:after="0"/>
        <w:tabs>
          <w:tab w:leader="none" w:pos="61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Jeff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31750</wp:posOffset>
            </wp:positionV>
            <wp:extent cx="283654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36545" cy="7620"/>
                    </a:xfrm>
                    <a:prstGeom prst="rect">
                      <a:avLst/>
                    </a:prstGeom>
                    <a:noFill/>
                  </pic:spPr>
                </pic:pic>
              </a:graphicData>
            </a:graphic>
          </wp:anchor>
        </w:drawing>
      </w:r>
    </w:p>
    <w:p>
      <w:pPr>
        <w:spacing w:after="0" w:line="271" w:lineRule="exact"/>
        <w:rPr>
          <w:sz w:val="20"/>
          <w:szCs w:val="20"/>
          <w:color w:val="auto"/>
        </w:rPr>
      </w:pPr>
    </w:p>
    <w:p>
      <w:pPr>
        <w:ind w:left="530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31750</wp:posOffset>
            </wp:positionV>
            <wp:extent cx="293941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394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First Amendment to Warrant to Purchase Stock</w:t>
      </w:r>
      <w:r>
        <w:rPr>
          <w:rFonts w:ascii="Times New Roman" w:cs="Times New Roman" w:eastAsia="Times New Roman" w:hAnsi="Times New Roman"/>
          <w:sz w:val="18"/>
          <w:szCs w:val="18"/>
          <w:b w:val="1"/>
          <w:bCs w:val="1"/>
          <w:color w:val="auto"/>
        </w:rPr>
        <w:t>]</w:t>
      </w:r>
    </w:p>
    <w:p>
      <w:pPr>
        <w:sectPr>
          <w:pgSz w:w="11900" w:h="16838" w:orient="portrait"/>
          <w:cols w:equalWidth="0" w:num="1">
            <w:col w:w="10120"/>
          </w:cols>
          <w:pgMar w:left="920" w:top="1313" w:right="859" w:bottom="1440" w:gutter="0" w:footer="0" w:header="0"/>
        </w:sectPr>
      </w:pPr>
    </w:p>
    <w:bookmarkStart w:id="460" w:name="page461"/>
    <w:bookmarkEnd w:id="460"/>
    <w:p>
      <w:pPr>
        <w:jc w:val="right"/>
        <w:spacing w:after="0"/>
        <w:rPr>
          <w:sz w:val="20"/>
          <w:szCs w:val="20"/>
          <w:color w:val="auto"/>
        </w:rPr>
      </w:pPr>
      <w:r>
        <w:rPr>
          <w:rFonts w:ascii="Times New Roman" w:cs="Times New Roman" w:eastAsia="Times New Roman" w:hAnsi="Times New Roman"/>
          <w:sz w:val="17"/>
          <w:szCs w:val="17"/>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AND MAY NOT BE SOLD, PLEDGED, OR OTHERWISE TRANSFERRED WITHOUT AN EFFECTIVE REGISTRATION THEREOF UNDER SUCH ACT OR PURSUANT TO RULE 144 OR AN OPINION OF COUNSEL REASONABLY SATISFACTORY TO THE CORPORATION AND ITS COUNSEL, THAT SUCH REGISTRATION IS NOT REQUIRED.</w:t>
      </w:r>
    </w:p>
    <w:p>
      <w:pPr>
        <w:spacing w:after="0" w:line="11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WARRANT TO PURCHASE STOCK</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Issuer: THREDUP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53" w:lineRule="exact"/>
        <w:rPr>
          <w:sz w:val="20"/>
          <w:szCs w:val="20"/>
          <w:color w:val="auto"/>
        </w:rPr>
      </w:pPr>
    </w:p>
    <w:p>
      <w:pPr>
        <w:jc w:val="both"/>
        <w:ind w:left="600"/>
        <w:spacing w:after="0" w:line="284" w:lineRule="auto"/>
        <w:rPr>
          <w:sz w:val="20"/>
          <w:szCs w:val="20"/>
          <w:color w:val="auto"/>
        </w:rPr>
      </w:pPr>
      <w:r>
        <w:rPr>
          <w:rFonts w:ascii="Arial" w:cs="Arial" w:eastAsia="Arial" w:hAnsi="Arial"/>
          <w:sz w:val="16"/>
          <w:szCs w:val="16"/>
          <w:color w:val="auto"/>
        </w:rPr>
        <w:t xml:space="preserve">Number of Shares: the number of fully paid and non-assessable shares (after taking into account adjustments made pursuant to stock splits, reverse stock splits and other events specified in </w:t>
      </w:r>
      <w:r>
        <w:rPr>
          <w:rFonts w:ascii="Arial" w:cs="Arial" w:eastAsia="Arial" w:hAnsi="Arial"/>
          <w:sz w:val="16"/>
          <w:szCs w:val="16"/>
          <w:u w:val="single" w:color="auto"/>
          <w:color w:val="auto"/>
        </w:rPr>
        <w:t>Article 2</w:t>
      </w:r>
      <w:r>
        <w:rPr>
          <w:rFonts w:ascii="Arial" w:cs="Arial" w:eastAsia="Arial" w:hAnsi="Arial"/>
          <w:sz w:val="16"/>
          <w:szCs w:val="16"/>
          <w:color w:val="auto"/>
        </w:rPr>
        <w:t>) of Preferred Stock obtained by dividing (i) two percent (2%) of the additional advanced amount drawn under the Term A Loans as of the date hereof, by (ii) the applicable Exercise Price at the time this Warrant is exercised.</w:t>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Class of Stock: Series F Preferred Stock.</w:t>
      </w:r>
    </w:p>
    <w:p>
      <w:pPr>
        <w:spacing w:after="0" w:line="153" w:lineRule="exact"/>
        <w:rPr>
          <w:sz w:val="20"/>
          <w:szCs w:val="20"/>
          <w:color w:val="auto"/>
        </w:rPr>
      </w:pPr>
    </w:p>
    <w:p>
      <w:pPr>
        <w:jc w:val="both"/>
        <w:ind w:left="600"/>
        <w:spacing w:after="0" w:line="255" w:lineRule="auto"/>
        <w:rPr>
          <w:sz w:val="20"/>
          <w:szCs w:val="20"/>
          <w:color w:val="auto"/>
        </w:rPr>
      </w:pPr>
      <w:r>
        <w:rPr>
          <w:rFonts w:ascii="Arial" w:cs="Arial" w:eastAsia="Arial" w:hAnsi="Arial"/>
          <w:sz w:val="17"/>
          <w:szCs w:val="17"/>
          <w:color w:val="auto"/>
        </w:rPr>
        <w:t xml:space="preserve">Exercise Price per Share: means the lower of (i) $6.8839 (as may be adjusted in accordance with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and (ii) the lowest price per share at which the Company receives from the sale of shares of its Subsequently Issued Preferred Stock (as may be adjusted in accordance with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w:t>
      </w:r>
      <w:r>
        <w:rPr>
          <w:rFonts w:ascii="Arial" w:cs="Arial" w:eastAsia="Arial" w:hAnsi="Arial"/>
          <w:sz w:val="17"/>
          <w:szCs w:val="17"/>
          <w:u w:val="single" w:color="auto"/>
          <w:color w:val="auto"/>
        </w:rPr>
        <w:t>Subsequently Issued Preferred Stock</w:t>
      </w:r>
      <w:r>
        <w:rPr>
          <w:rFonts w:ascii="Arial" w:cs="Arial" w:eastAsia="Arial" w:hAnsi="Arial"/>
          <w:sz w:val="17"/>
          <w:szCs w:val="17"/>
          <w:color w:val="auto"/>
        </w:rPr>
        <w:t>” means the next series of preferred stock that may be issued, if any, by the Company after the Issue Date but before an Initial Public Offering.</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Issue Date: May 29, 2020</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Expiration Date: May 29, 2030</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WARRANT CERTIFIES THAT, for the agreed upon value of $ 1.00 and for other good and valuable consideration, WESTERN ALLIANCE BANK, or its assignees (“</w:t>
      </w:r>
      <w:r>
        <w:rPr>
          <w:rFonts w:ascii="Arial" w:cs="Arial" w:eastAsia="Arial" w:hAnsi="Arial"/>
          <w:sz w:val="17"/>
          <w:szCs w:val="17"/>
          <w:u w:val="single" w:color="auto"/>
          <w:color w:val="auto"/>
        </w:rPr>
        <w:t>Holder</w:t>
      </w:r>
      <w:r>
        <w:rPr>
          <w:rFonts w:ascii="Arial" w:cs="Arial" w:eastAsia="Arial" w:hAnsi="Arial"/>
          <w:sz w:val="17"/>
          <w:szCs w:val="17"/>
          <w:color w:val="auto"/>
        </w:rPr>
        <w:t>”) is entitled to purchase the number of fully paid and nonassessable shares of the Company’s capital stock set forth above (the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at the Exercise Price per Share set forth above, as the same may be from time to time adjusted pursuant to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hereof and subject to the provisions and upon the terms and conditions set forth in this Warrant.</w:t>
      </w:r>
    </w:p>
    <w:p>
      <w:pPr>
        <w:spacing w:after="0" w:line="115"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1.</w:t>
      </w:r>
      <w:r>
        <w:rPr>
          <w:sz w:val="20"/>
          <w:szCs w:val="20"/>
          <w:color w:val="auto"/>
        </w:rPr>
        <w:tab/>
      </w:r>
      <w:r>
        <w:rPr>
          <w:rFonts w:ascii="Arial" w:cs="Arial" w:eastAsia="Arial" w:hAnsi="Arial"/>
          <w:sz w:val="16"/>
          <w:szCs w:val="16"/>
          <w:color w:val="auto"/>
        </w:rPr>
        <w:t>EXERCISE.</w:t>
      </w:r>
    </w:p>
    <w:p>
      <w:pPr>
        <w:spacing w:after="0" w:line="153" w:lineRule="exact"/>
        <w:rPr>
          <w:sz w:val="20"/>
          <w:szCs w:val="20"/>
          <w:color w:val="auto"/>
        </w:rPr>
      </w:pPr>
    </w:p>
    <w:p>
      <w:pPr>
        <w:jc w:val="both"/>
        <w:ind w:firstLine="597"/>
        <w:spacing w:after="0" w:line="25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Warrant is exercisable, in whole or in part, at any time and from time to time on or before the Expiration Date set forth above. Holder may exercise this Warrant by delivering a duly executed Notice of Exercise, in substantially the form attached hereto as </w:t>
      </w:r>
      <w:r>
        <w:rPr>
          <w:rFonts w:ascii="Arial" w:cs="Arial" w:eastAsia="Arial" w:hAnsi="Arial"/>
          <w:sz w:val="17"/>
          <w:szCs w:val="17"/>
          <w:u w:val="single" w:color="auto"/>
          <w:color w:val="auto"/>
        </w:rPr>
        <w:t>Appendix 1</w:t>
      </w:r>
      <w:r>
        <w:rPr>
          <w:rFonts w:ascii="Arial" w:cs="Arial" w:eastAsia="Arial" w:hAnsi="Arial"/>
          <w:sz w:val="17"/>
          <w:szCs w:val="17"/>
          <w:color w:val="auto"/>
        </w:rPr>
        <w:t xml:space="preserve">, to the principal office of Company. Unless Holder is exercising the conversion right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Holder shall also deliver to Company an amount equal to the aggregate Exercise Price for Shares being purchased, by check or wire.</w:t>
      </w:r>
    </w:p>
    <w:p>
      <w:pPr>
        <w:spacing w:after="0" w:line="115" w:lineRule="exact"/>
        <w:rPr>
          <w:sz w:val="20"/>
          <w:szCs w:val="20"/>
          <w:color w:val="auto"/>
        </w:rPr>
      </w:pPr>
    </w:p>
    <w:p>
      <w:pPr>
        <w:jc w:val="both"/>
        <w:ind w:firstLine="597"/>
        <w:spacing w:after="0" w:line="255"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Conversion Right</w:t>
      </w:r>
      <w:r>
        <w:rPr>
          <w:rFonts w:ascii="Arial" w:cs="Arial" w:eastAsia="Arial" w:hAnsi="Arial"/>
          <w:sz w:val="17"/>
          <w:szCs w:val="17"/>
          <w:color w:val="auto"/>
        </w:rPr>
        <w:t xml:space="preserve">. In lieu of exercising this Warrant as specified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Holder may from time to time convert this Warrant, in whole or in part, into a number of Shares determined by dividing (a) the aggregate fair market value of Shares or other securities otherwise issuable upon exercise of this Warrant minus the aggregate Exercise Price of such Shares by (b) the fair market value of one Share. The fair market value of Shares shall be determined pursuant to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115"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the Shares are traded in a public market, the fair market value of the Shares shall be the closing price of the Shares (or the closing price of the Company’s stock into which the Shares are convertible) reported for the business day immediately before Holder delivers its Notice of Exercise to the Company. If the Shares are not traded in a public market, the Board of Directors of Company shall determine fair market value in its reasonable good faith judgment. The foregoing notwithstanding, if Holder advises the Board of Directors in writing that Holder disagrees with such determination, then Company and Holder shall promptly agree upon a reputable investment banking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19" w:right="339" w:bottom="1440" w:gutter="0" w:footer="0" w:header="0"/>
        </w:sectPr>
      </w:pPr>
    </w:p>
    <w:bookmarkStart w:id="461" w:name="page462"/>
    <w:bookmarkEnd w:id="461"/>
    <w:p>
      <w:pPr>
        <w:jc w:val="both"/>
        <w:spacing w:after="0" w:line="260" w:lineRule="auto"/>
        <w:rPr>
          <w:sz w:val="20"/>
          <w:szCs w:val="20"/>
          <w:color w:val="auto"/>
        </w:rPr>
      </w:pPr>
      <w:r>
        <w:rPr>
          <w:rFonts w:ascii="Arial" w:cs="Arial" w:eastAsia="Arial" w:hAnsi="Arial"/>
          <w:sz w:val="17"/>
          <w:szCs w:val="17"/>
          <w:color w:val="auto"/>
        </w:rPr>
        <w:t>to undertake such valuation. If the valuation of such investment banking firm is greater than that determined by the Board of Directors, then all fees and expenses of such investment banking firm shall be paid by Company. In all other circumstances, such fees and expenses of such investment banking firm shall be paid by Holder.</w:t>
      </w:r>
    </w:p>
    <w:p>
      <w:pPr>
        <w:spacing w:after="0" w:line="111"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Promptly (and in no event more than 3 business days after exercise) after Holder exercises or converts this Warrant, Company shall deliver to Holder certificates for Shares acquired and, if this Warrant has not been fully exercised or converted and has not expired, a new Warrant representing Shares not yet acquired.</w:t>
      </w:r>
    </w:p>
    <w:p>
      <w:pPr>
        <w:spacing w:after="0" w:line="111"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Warrants</w:t>
      </w:r>
      <w:r>
        <w:rPr>
          <w:rFonts w:ascii="Arial" w:cs="Arial" w:eastAsia="Arial" w:hAnsi="Arial"/>
          <w:sz w:val="17"/>
          <w:szCs w:val="17"/>
          <w:color w:val="auto"/>
        </w:rPr>
        <w:t>. On receipt of evidence reasonably satisfactory to Company of the loss, theft, destruction or mutilation of this Warrant and, in the case of loss, theft or destruction, on delivery of an indemnity agreement reasonably satisfactory in form and amount to Company or, in the case of mutilation, on surrender and cancellation of this Warrant, Company at its expense shall execute and deliver a replacement Warrant.</w:t>
      </w:r>
    </w:p>
    <w:p>
      <w:pPr>
        <w:spacing w:after="0" w:line="111" w:lineRule="exact"/>
        <w:rPr>
          <w:sz w:val="20"/>
          <w:szCs w:val="20"/>
          <w:color w:val="auto"/>
        </w:rPr>
      </w:pPr>
    </w:p>
    <w:p>
      <w:pPr>
        <w:jc w:val="both"/>
        <w:ind w:firstLine="597"/>
        <w:spacing w:after="0" w:line="263"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Sale, Merger, or Consolidation of Company</w:t>
      </w:r>
      <w:r>
        <w:rPr>
          <w:rFonts w:ascii="Arial" w:cs="Arial" w:eastAsia="Arial" w:hAnsi="Arial"/>
          <w:sz w:val="16"/>
          <w:szCs w:val="16"/>
          <w:color w:val="auto"/>
        </w:rPr>
        <w:t xml:space="preserve">. For the purpose of this Warrant, “Acquisition” means any sale, license, or other disposition of all or substantially all of the assets of Company, or any reorganization, consolidation, or merger of Company where the holders of Company’s securities before the transaction beneficially own less than 50% of the outstanding voting securities of the surviving entity after the transaction. Upon the closing of any Acquisition, the successor entity shall assume the obligations of this Warrant, and this Warrant shall be exercisable for the same securities, cash, and property as would be payable for Shares issuable upon exercise of the unexercised portion of this Warrant as if such Shares were outstanding on the record date for the Acquisition and subsequent closing, and the Exercise Price shall be adjusted accordingly;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pursuant to such Acquisition the entire outstanding class of Shares issuable upon exercise of the unexercised portion of this Warrant are cancelled and the total consideration payable to the holders of such class of Shares consists entirely of cash, then, upon payment to the holder of this Warrant of an amount equal to the amount such holder would receive if such holder held Shares issuable upon exercise of the unexercised portion of this Warrant and such Shares were outstanding on the record date for the Acquisition less the aggregate Exercise Price of such Shares, this Warrant shall be cancelled;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pursuant to such Acquisition the entire outstanding class of Shares issuable upon exercise of the unexercised portion of this Warrant are cancelled and the total consideration payable to the holders of such class of Shares consists entirely of cash, but the per Share consideration, that such holder would receive if such holder held Shares issuable upon exercise of the unexercised portion of this Warrant, is less than the Exercise Price per Share, then, upon consummation of such Acquisition, this Warrant shall be cancelled and the Company shall not be required to make any payments to such holder.</w:t>
      </w:r>
    </w:p>
    <w:p>
      <w:pPr>
        <w:spacing w:after="0" w:line="114"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Automatic Cashless Exercise upon Expiration</w:t>
      </w:r>
      <w:r>
        <w:rPr>
          <w:rFonts w:ascii="Arial" w:cs="Arial" w:eastAsia="Arial" w:hAnsi="Arial"/>
          <w:sz w:val="17"/>
          <w:szCs w:val="17"/>
          <w:color w:val="auto"/>
        </w:rPr>
        <w:t xml:space="preserve">. In the event that, upon the Expiration Date or other termination of the warrant, the fair market value of one Share (or other security issuable upon the exercise hereof) as determined in accordance with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above is greater than the Exercise Price in effect on such date, then this Warrant shall automatically be deemed on and as of such date to be exercised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1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2.</w:t>
      </w:r>
      <w:r>
        <w:rPr>
          <w:sz w:val="20"/>
          <w:szCs w:val="20"/>
          <w:color w:val="auto"/>
        </w:rPr>
        <w:tab/>
      </w:r>
      <w:r>
        <w:rPr>
          <w:rFonts w:ascii="Arial" w:cs="Arial" w:eastAsia="Arial" w:hAnsi="Arial"/>
          <w:sz w:val="16"/>
          <w:szCs w:val="16"/>
          <w:color w:val="auto"/>
        </w:rPr>
        <w:t>ADJUSTMENTS.</w:t>
      </w:r>
    </w:p>
    <w:p>
      <w:pPr>
        <w:spacing w:after="0" w:line="153"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Company declares or pays a dividend on its common stock (or Shares, if Shares are securities other than common stock) payable in common stock or other securities or property, subdivides the outstanding common stock into a greater amount of common stock, or, if Shares are securities other than common stock, subdivides Shares in a transaction that increases the amount of common stock into which Shares are convertible, then upon exercise of this Warrant, for each Share acquired, Holder shall receive, without cost to Holder, the total number and kind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12" w:right="339" w:bottom="1440" w:gutter="0" w:footer="0" w:header="0"/>
        </w:sectPr>
      </w:pPr>
    </w:p>
    <w:bookmarkStart w:id="462" w:name="page463"/>
    <w:bookmarkEnd w:id="462"/>
    <w:p>
      <w:pPr>
        <w:jc w:val="both"/>
        <w:spacing w:after="0" w:line="277" w:lineRule="auto"/>
        <w:rPr>
          <w:sz w:val="20"/>
          <w:szCs w:val="20"/>
          <w:color w:val="auto"/>
        </w:rPr>
      </w:pPr>
      <w:r>
        <w:rPr>
          <w:rFonts w:ascii="Arial" w:cs="Arial" w:eastAsia="Arial" w:hAnsi="Arial"/>
          <w:sz w:val="17"/>
          <w:szCs w:val="17"/>
          <w:color w:val="auto"/>
        </w:rPr>
        <w:t>to which Holder would have been entitled had Holder owned Shares on the record date the dividend or subdivision occurred since the original issue date of this Warrant.</w:t>
      </w:r>
    </w:p>
    <w:p>
      <w:pPr>
        <w:spacing w:after="0" w:line="96"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Recapitalization, Exchange or Substitution</w:t>
      </w:r>
      <w:r>
        <w:rPr>
          <w:rFonts w:ascii="Arial" w:cs="Arial" w:eastAsia="Arial" w:hAnsi="Arial"/>
          <w:sz w:val="17"/>
          <w:szCs w:val="17"/>
          <w:color w:val="auto"/>
        </w:rPr>
        <w:t xml:space="preserve">. Upon any reclassification, recapitalization,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Shares if this Warrant had been exercised immediately before such reclassification, recapitalization, exchange, substitution, or other event. Company or its successor shall promptly issue to Holder a new Warrant for such new securities or other property. The new Warrant shall provide for adjustments which shall be as nearly equivalent as may be practicable to the adjustments provided for in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including, without limitation, adjustments to the Exercise Price and to the number of securities or property issuable upon exercise of the new Warrant.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similarly apply to successive reclassifications, recapitalizations, exchanges, substitutions, or other events.</w:t>
      </w:r>
    </w:p>
    <w:p>
      <w:pPr>
        <w:spacing w:after="0" w:line="120"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Adjustments for Combinations, Etc</w:t>
      </w:r>
      <w:r>
        <w:rPr>
          <w:rFonts w:ascii="Arial" w:cs="Arial" w:eastAsia="Arial" w:hAnsi="Arial"/>
          <w:sz w:val="17"/>
          <w:szCs w:val="17"/>
          <w:color w:val="auto"/>
        </w:rPr>
        <w:t>. If the outstanding Shares are combined or consolidated, by reclassification or otherwise, into a lesser number of shares, the Exercise Price shall be proportionately increased and the number of Shares as to which this warrant is exercisable shall be proportionately decreased.</w:t>
      </w:r>
    </w:p>
    <w:p>
      <w:pPr>
        <w:spacing w:after="0" w:line="111"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 In the event of the issuance (a “</w:t>
      </w:r>
      <w:r>
        <w:rPr>
          <w:rFonts w:ascii="Arial" w:cs="Arial" w:eastAsia="Arial" w:hAnsi="Arial"/>
          <w:sz w:val="17"/>
          <w:szCs w:val="17"/>
          <w:u w:val="single" w:color="auto"/>
          <w:color w:val="auto"/>
        </w:rPr>
        <w:t>Diluting Issuance</w:t>
      </w:r>
      <w:r>
        <w:rPr>
          <w:rFonts w:ascii="Arial" w:cs="Arial" w:eastAsia="Arial" w:hAnsi="Arial"/>
          <w:sz w:val="17"/>
          <w:szCs w:val="17"/>
          <w:color w:val="auto"/>
        </w:rPr>
        <w:t>”) by Company, after the Issue Date of the Warrant, of any Additional Shares of Common Stock (as defined in the Company’s Certificate of Incorporation) at a price per share less than the then Exercise Price, then the number of shares of common stock issuable upon conversion of the Shares, and the conversion price, shall be adjusted in accordance with those provisions (the “</w:t>
      </w:r>
      <w:r>
        <w:rPr>
          <w:rFonts w:ascii="Arial" w:cs="Arial" w:eastAsia="Arial" w:hAnsi="Arial"/>
          <w:sz w:val="17"/>
          <w:szCs w:val="17"/>
          <w:u w:val="single" w:color="auto"/>
          <w:color w:val="auto"/>
        </w:rPr>
        <w:t>Provisions</w:t>
      </w:r>
      <w:r>
        <w:rPr>
          <w:rFonts w:ascii="Arial" w:cs="Arial" w:eastAsia="Arial" w:hAnsi="Arial"/>
          <w:sz w:val="17"/>
          <w:szCs w:val="17"/>
          <w:color w:val="auto"/>
        </w:rPr>
        <w:t>”) of Company’s Certificate of Incorporation which apply to Diluting Issuances with the same effect as though the shares were outstanding at the time of the diluting issuance. Company agrees that the Provisions, as in effect on the Issue Date, shall be deemed to remain in full force and effect during the term of the Warrant notwithstanding any subsequent amendment, waiver or termination thereof by Company’s shareholders. Under no circumstances shall the aggregate Exercise Price payable by Holder upon exercise of the Warrant increase as a result of any adjustment arising from a Diluting Issuance.</w:t>
      </w:r>
    </w:p>
    <w:p>
      <w:pPr>
        <w:spacing w:after="0" w:line="120"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Adjustment for Pay-to-Play Transactions</w:t>
      </w:r>
      <w:r>
        <w:rPr>
          <w:rFonts w:ascii="Arial" w:cs="Arial" w:eastAsia="Arial" w:hAnsi="Arial"/>
          <w:sz w:val="17"/>
          <w:szCs w:val="17"/>
          <w:color w:val="auto"/>
        </w:rPr>
        <w:t>. In the event that the Company’s Certificate of Incorporation provides, or is amended to so provide, for the amendment or modification of the rights, preferences or privileges of the Shares, or the reclassification, conversion or exchange of the outstanding Shares in the event that a holder of shares thereof fails to participate in an equity financing transaction (a “</w:t>
      </w:r>
      <w:r>
        <w:rPr>
          <w:rFonts w:ascii="Arial" w:cs="Arial" w:eastAsia="Arial" w:hAnsi="Arial"/>
          <w:sz w:val="17"/>
          <w:szCs w:val="17"/>
          <w:u w:val="single" w:color="auto"/>
          <w:color w:val="auto"/>
        </w:rPr>
        <w:t>Pay-to-Play Provision</w:t>
      </w:r>
      <w:r>
        <w:rPr>
          <w:rFonts w:ascii="Arial" w:cs="Arial" w:eastAsia="Arial" w:hAnsi="Arial"/>
          <w:sz w:val="17"/>
          <w:szCs w:val="17"/>
          <w:color w:val="auto"/>
        </w:rPr>
        <w:t>”), and in the event that such Pay-to-Play Provision becomes operative in a transaction occurring after the date hereof, this Warrant shall automatically and without any action required become exercisable for that number and type of shares of equity securities as would have been issued or exchanged, or would have remained outstanding, in respect of the Shares issuable hereunder had this Warrant been exercised in full prior to such event, and had the Holder participated in the equity financing to the maximum extent permitted.</w:t>
      </w:r>
    </w:p>
    <w:p>
      <w:pPr>
        <w:spacing w:after="0" w:line="123"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No Impairment</w:t>
      </w:r>
      <w:r>
        <w:rPr>
          <w:rFonts w:ascii="Arial" w:cs="Arial" w:eastAsia="Arial" w:hAnsi="Arial"/>
          <w:sz w:val="17"/>
          <w:szCs w:val="17"/>
          <w:color w:val="auto"/>
        </w:rPr>
        <w:t xml:space="preserv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Company, but shall at all times in good faith assist in carrying out of all the provisions of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and in taking all such action as may be necessary or appropriate to protect Holder’s rights under this Article against impairment. If Company takes any action affecting Shares or its common stock as described above that adversely affects Holder’s rights under this Warrant, the Exercise Price shall be adjusted downward and the number of Shares issuable upon exercise of this Warrant shall be adjusted upward in such a manner that such action is offset and the aggregate Exercise Price of this Warrant is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313" w:right="339" w:bottom="1440" w:gutter="0" w:footer="0" w:header="0"/>
        </w:sectPr>
      </w:pPr>
    </w:p>
    <w:bookmarkStart w:id="463" w:name="page464"/>
    <w:bookmarkEnd w:id="463"/>
    <w:p>
      <w:pPr>
        <w:jc w:val="both"/>
        <w:ind w:firstLine="597"/>
        <w:spacing w:after="0" w:line="255"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shall be issuable upon exercise or conversion of the Warrant and the number of Shares to be issued shall be rounded down to the nearest whole Share. If a fractional share interest arises upon any exercise or conversion of the Warrant, Company shall eliminate such fractional share interest by paying Holder an amount computed by multiplying the fractional interest by the fair market value of a full Share.</w:t>
      </w:r>
    </w:p>
    <w:p>
      <w:pPr>
        <w:spacing w:after="0" w:line="115"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each adjustment of the Exercise Price, Company at its expense shall promptly compute such adjustment, and furnish Holder with a certificate of its Chief Financial Officer setting forth the Exercise Price in effect upon the date thereof and the series of adjustments leading to such Exercise Price, and the facts upon which such adjustment is based.</w:t>
      </w:r>
    </w:p>
    <w:p>
      <w:pPr>
        <w:spacing w:after="0" w:line="111"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3.</w:t>
      </w:r>
      <w:r>
        <w:rPr>
          <w:sz w:val="20"/>
          <w:szCs w:val="20"/>
          <w:color w:val="auto"/>
        </w:rPr>
        <w:tab/>
      </w:r>
      <w:r>
        <w:rPr>
          <w:rFonts w:ascii="Arial" w:cs="Arial" w:eastAsia="Arial" w:hAnsi="Arial"/>
          <w:sz w:val="16"/>
          <w:szCs w:val="16"/>
          <w:color w:val="auto"/>
        </w:rPr>
        <w:t>REPRESENTATIONS, WARRANTIES AND COVENANTS OF COMPANY.</w:t>
      </w:r>
    </w:p>
    <w:p>
      <w:pPr>
        <w:spacing w:after="0" w:line="15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hereby represents and warrants to the Holder as follows:</w:t>
      </w:r>
    </w:p>
    <w:p>
      <w:pPr>
        <w:spacing w:after="0" w:line="153" w:lineRule="exact"/>
        <w:rPr>
          <w:sz w:val="20"/>
          <w:szCs w:val="20"/>
          <w:color w:val="auto"/>
        </w:rPr>
      </w:pPr>
    </w:p>
    <w:p>
      <w:pPr>
        <w:ind w:left="1780" w:hanging="586"/>
        <w:spacing w:after="0"/>
        <w:tabs>
          <w:tab w:leader="none" w:pos="178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initial Exercise Price referenced on the first page of this Warrant is not greater than the fair market value of the Shares as of</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date of this Warrant.</w:t>
      </w:r>
    </w:p>
    <w:p>
      <w:pPr>
        <w:spacing w:after="0" w:line="132" w:lineRule="exact"/>
        <w:rPr>
          <w:rFonts w:ascii="Arial" w:cs="Arial" w:eastAsia="Arial" w:hAnsi="Arial"/>
          <w:sz w:val="16"/>
          <w:szCs w:val="16"/>
          <w:color w:val="auto"/>
        </w:rPr>
      </w:pPr>
    </w:p>
    <w:p>
      <w:pPr>
        <w:ind w:firstLine="1194"/>
        <w:spacing w:after="0" w:line="277" w:lineRule="auto"/>
        <w:tabs>
          <w:tab w:leader="none" w:pos="1783"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As of the date hereof, the Company has sufficient authorized shares reserved for the issuance of all capital stock which may be issued upon the exercise of this Warrant.</w:t>
      </w:r>
    </w:p>
    <w:p>
      <w:pPr>
        <w:spacing w:after="0" w:line="96" w:lineRule="exact"/>
        <w:rPr>
          <w:rFonts w:ascii="Arial" w:cs="Arial" w:eastAsia="Arial" w:hAnsi="Arial"/>
          <w:sz w:val="17"/>
          <w:szCs w:val="17"/>
          <w:color w:val="auto"/>
        </w:rPr>
      </w:pPr>
    </w:p>
    <w:p>
      <w:pPr>
        <w:ind w:left="1780" w:hanging="586"/>
        <w:spacing w:after="0"/>
        <w:tabs>
          <w:tab w:leader="none" w:pos="178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 xml:space="preserve">The Company’s capitalization table attached to this Warrant as </w:t>
      </w:r>
      <w:r>
        <w:rPr>
          <w:rFonts w:ascii="Arial" w:cs="Arial" w:eastAsia="Arial" w:hAnsi="Arial"/>
          <w:sz w:val="17"/>
          <w:szCs w:val="17"/>
          <w:u w:val="single" w:color="auto"/>
          <w:color w:val="auto"/>
        </w:rPr>
        <w:t>Appendix 2</w:t>
      </w:r>
      <w:r>
        <w:rPr>
          <w:rFonts w:ascii="Arial" w:cs="Arial" w:eastAsia="Arial" w:hAnsi="Arial"/>
          <w:sz w:val="17"/>
          <w:szCs w:val="17"/>
          <w:color w:val="auto"/>
        </w:rPr>
        <w:t xml:space="preserve"> is true and complete as of the Issue Date.</w:t>
      </w:r>
    </w:p>
    <w:p>
      <w:pPr>
        <w:spacing w:after="0" w:line="153"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Valid Issuance</w:t>
      </w:r>
      <w:r>
        <w:rPr>
          <w:rFonts w:ascii="Arial" w:cs="Arial" w:eastAsia="Arial" w:hAnsi="Arial"/>
          <w:sz w:val="17"/>
          <w:szCs w:val="17"/>
          <w:color w:val="auto"/>
        </w:rPr>
        <w:t>. Company shall take all steps necessary to insure that all Shares which may be issued upon the exercise of this Warrant, and all securities, if any, issuable upon conversion of Shares, shall, upon issuance, be duly authorized, validly issued, fully paid and nonassessable, and free of any liens and encumbrances except for restrictions on transfer provided for herein or under applicable federal and state securities laws.</w:t>
      </w:r>
    </w:p>
    <w:p>
      <w:pPr>
        <w:spacing w:after="0" w:line="111"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Company proposes at any time (a) to declare any dividend or distribution upon its common stock, whether in cash, property, stock, or other securities and whether or not a regular cash dividend; (b) to offer for subscription pro rata to the holders of any class or series of its stock any additional shares of stock of any class or series or other rights (except in compliance with, or pursuant to the waiver of, the provisions of Section 5 of the Company’s Sixth Amended and Restated Investors’ Rights Agreement dated as of January 8, 2018 (as may be amended and/or restated from time to time,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(c) to effect any reclassification or recapitalization of common stock; (d) to merge or consolidate with or into any other corporation, or sell, lease, license, or convey all or substantially all of its assets, or to liquidate, dissolve or wind up; or</w:t>
      </w:r>
    </w:p>
    <w:p>
      <w:pPr>
        <w:jc w:val="both"/>
        <w:spacing w:after="0" w:line="263" w:lineRule="auto"/>
        <w:tabs>
          <w:tab w:leader="none" w:pos="2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offer holders of registration rights the opportunity to participate in an underwritten public offering of the company’s securities for cash, then, in connection with each such event, Company shall give Holder (1) in the case of the matters referred to in (a) and (b) above at least 10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(c) and (d) above; (2) in the case of the matters referred to in (c) and (d) above at least 10 days prior written notice of the date when the same will take place (and specifying the date on which the holders of common stock will be entitled to exchange their common stock for securities or other property deliverable upon the occurrence of such event); and (3) in the case of the matter referred to in (e) above, the same notice as is given to the holders of such registration rights.</w:t>
      </w:r>
    </w:p>
    <w:p>
      <w:pPr>
        <w:spacing w:after="0" w:line="112" w:lineRule="exact"/>
        <w:rPr>
          <w:sz w:val="20"/>
          <w:szCs w:val="20"/>
          <w:color w:val="auto"/>
        </w:rPr>
      </w:pPr>
    </w:p>
    <w:p>
      <w:pPr>
        <w:ind w:firstLine="597"/>
        <w:spacing w:after="0" w:line="256" w:lineRule="auto"/>
        <w:rPr>
          <w:sz w:val="20"/>
          <w:szCs w:val="20"/>
          <w:color w:val="auto"/>
        </w:rPr>
      </w:pPr>
      <w:r>
        <w:rPr>
          <w:rFonts w:ascii="Arial" w:cs="Arial" w:eastAsia="Arial" w:hAnsi="Arial"/>
          <w:sz w:val="17"/>
          <w:szCs w:val="17"/>
          <w:color w:val="auto"/>
        </w:rPr>
        <w:t>3.4 (a) I</w:t>
      </w:r>
      <w:r>
        <w:rPr>
          <w:rFonts w:ascii="Arial" w:cs="Arial" w:eastAsia="Arial" w:hAnsi="Arial"/>
          <w:sz w:val="17"/>
          <w:szCs w:val="17"/>
          <w:u w:val="single" w:color="auto"/>
          <w:color w:val="auto"/>
        </w:rPr>
        <w:t>nformation</w:t>
      </w:r>
      <w:r>
        <w:rPr>
          <w:rFonts w:ascii="Arial" w:cs="Arial" w:eastAsia="Arial" w:hAnsi="Arial"/>
          <w:sz w:val="17"/>
          <w:szCs w:val="17"/>
          <w:color w:val="auto"/>
        </w:rPr>
        <w:t>. So long as the Holder holds this Warrant and/or any of the Shares, Company shall deliver to Holder (a) promptly, copies of all notices or other written communications to which Holder would be entitled if it held Shares as to which this Warrant was then exercisable and</w:t>
      </w:r>
    </w:p>
    <w:p>
      <w:pPr>
        <w:spacing w:after="0" w:line="1" w:lineRule="exact"/>
        <w:rPr>
          <w:sz w:val="20"/>
          <w:szCs w:val="20"/>
          <w:color w:val="auto"/>
        </w:rPr>
      </w:pPr>
    </w:p>
    <w:p>
      <w:pPr>
        <w:spacing w:after="0" w:line="252" w:lineRule="auto"/>
        <w:tabs>
          <w:tab w:leader="none" w:pos="264" w:val="left"/>
        </w:tabs>
        <w:numPr>
          <w:ilvl w:val="0"/>
          <w:numId w:val="373"/>
        </w:numPr>
        <w:rPr>
          <w:rFonts w:ascii="Arial" w:cs="Arial" w:eastAsia="Arial" w:hAnsi="Arial"/>
          <w:sz w:val="17"/>
          <w:szCs w:val="17"/>
          <w:color w:val="auto"/>
        </w:rPr>
      </w:pPr>
      <w:r>
        <w:rPr>
          <w:rFonts w:ascii="Arial" w:cs="Arial" w:eastAsia="Arial" w:hAnsi="Arial"/>
          <w:sz w:val="17"/>
          <w:szCs w:val="17"/>
          <w:color w:val="auto"/>
        </w:rPr>
        <w:t>such other financial statements required under and in accordance with any loan documents between Holder and Company, or if there are no such requirements or if the subject loan(s) are no longer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13" w:right="339" w:bottom="1440" w:gutter="0" w:footer="0" w:header="0"/>
        </w:sectPr>
      </w:pPr>
    </w:p>
    <w:bookmarkStart w:id="464" w:name="page465"/>
    <w:bookmarkEnd w:id="464"/>
    <w:p>
      <w:pPr>
        <w:spacing w:after="0" w:line="277" w:lineRule="auto"/>
        <w:rPr>
          <w:sz w:val="20"/>
          <w:szCs w:val="20"/>
          <w:color w:val="auto"/>
        </w:rPr>
      </w:pPr>
      <w:r>
        <w:rPr>
          <w:rFonts w:ascii="Arial" w:cs="Arial" w:eastAsia="Arial" w:hAnsi="Arial"/>
          <w:sz w:val="17"/>
          <w:szCs w:val="17"/>
          <w:color w:val="auto"/>
        </w:rPr>
        <w:t>outstanding, then within 45 days after the end of each of the first three quarters of each fiscal year, Company’s quarterly, unaudited financial statements and within 120 days after the end of each fiscal year, Company’s annual, audited financial statements.</w:t>
      </w:r>
    </w:p>
    <w:p>
      <w:pPr>
        <w:spacing w:after="0" w:line="96" w:lineRule="exact"/>
        <w:rPr>
          <w:sz w:val="20"/>
          <w:szCs w:val="20"/>
          <w:color w:val="auto"/>
        </w:rPr>
      </w:pPr>
    </w:p>
    <w:p>
      <w:pPr>
        <w:jc w:val="both"/>
        <w:ind w:firstLine="1194"/>
        <w:spacing w:after="0" w:line="260" w:lineRule="auto"/>
        <w:tabs>
          <w:tab w:leader="none" w:pos="1783"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Exempt Transaction</w:t>
      </w:r>
      <w:r>
        <w:rPr>
          <w:rFonts w:ascii="Arial" w:cs="Arial" w:eastAsia="Arial" w:hAnsi="Arial"/>
          <w:sz w:val="17"/>
          <w:szCs w:val="17"/>
          <w:color w:val="auto"/>
        </w:rPr>
        <w:t>. The issuance of the Shares will each constitute a transaction exempt from (i) the registration requirements of Section 5 of the Securities Act of 1933, as Amended (the “Act”), in reliance upon Section 4(2) thereof and/or Regulation D thereunder, and (ii) the qualification requirements of applicable state securities laws.</w:t>
      </w:r>
    </w:p>
    <w:p>
      <w:pPr>
        <w:spacing w:after="0" w:line="111" w:lineRule="exact"/>
        <w:rPr>
          <w:rFonts w:ascii="Arial" w:cs="Arial" w:eastAsia="Arial" w:hAnsi="Arial"/>
          <w:sz w:val="17"/>
          <w:szCs w:val="17"/>
          <w:color w:val="auto"/>
        </w:rPr>
      </w:pPr>
    </w:p>
    <w:p>
      <w:pPr>
        <w:jc w:val="both"/>
        <w:ind w:firstLine="1194"/>
        <w:spacing w:after="0" w:line="255" w:lineRule="auto"/>
        <w:tabs>
          <w:tab w:leader="none" w:pos="1786"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Compliance with Rule 144</w:t>
      </w:r>
      <w:r>
        <w:rPr>
          <w:rFonts w:ascii="Arial" w:cs="Arial" w:eastAsia="Arial" w:hAnsi="Arial"/>
          <w:sz w:val="17"/>
          <w:szCs w:val="17"/>
          <w:color w:val="auto"/>
        </w:rPr>
        <w:t>. If the Holder proposes to sell the Shares issuable upon the exercise of this Warrant in compliance with Rule 144 promulgated by the SEC, then, upon Holder’s written request to the Company, the Company shall furnish to the Holder, within ten days after receipt of such request, a written statement confirming the Company’s compliance with the filing requirements of the SEC as set forth in such rule (as may be amended from time to time).</w:t>
      </w:r>
    </w:p>
    <w:p>
      <w:pPr>
        <w:spacing w:after="0" w:line="115"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Registration Rights</w:t>
      </w:r>
      <w:r>
        <w:rPr>
          <w:rFonts w:ascii="Arial" w:cs="Arial" w:eastAsia="Arial" w:hAnsi="Arial"/>
          <w:sz w:val="17"/>
          <w:szCs w:val="17"/>
          <w:color w:val="auto"/>
        </w:rPr>
        <w:t>. The common stock issuable upon conversion of Shares, shall have the same “piggyback” registration rights as are set forth in the Investor Rights Agreement. The Company has provided Holder with a true and correct copy of the Investor Rights Agreement, which is in full force and effect on the date hereof. Company agrees that no amendments will be made to the Investor Rights Agreement, which would have an impact on Holder’s registration rights thereunder that is disproportionately adverse to Holder compared to the impact on the registration rights of other holders party thereto.</w:t>
      </w:r>
    </w:p>
    <w:p>
      <w:pPr>
        <w:spacing w:after="0" w:line="11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4.</w:t>
      </w:r>
      <w:r>
        <w:rPr>
          <w:sz w:val="20"/>
          <w:szCs w:val="20"/>
          <w:color w:val="auto"/>
        </w:rPr>
        <w:tab/>
      </w:r>
      <w:r>
        <w:rPr>
          <w:rFonts w:ascii="Arial" w:cs="Arial" w:eastAsia="Arial" w:hAnsi="Arial"/>
          <w:sz w:val="16"/>
          <w:szCs w:val="16"/>
          <w:color w:val="auto"/>
        </w:rPr>
        <w:t>MISCELLANEOUS.</w:t>
      </w:r>
    </w:p>
    <w:p>
      <w:pPr>
        <w:spacing w:after="0" w:line="153"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Legends</w:t>
      </w:r>
      <w:r>
        <w:rPr>
          <w:rFonts w:ascii="Arial" w:cs="Arial" w:eastAsia="Arial" w:hAnsi="Arial"/>
          <w:sz w:val="17"/>
          <w:szCs w:val="17"/>
          <w:color w:val="auto"/>
        </w:rPr>
        <w:t>. This Warrant and the Shares (and the securities issuable, directly or indirectly, upon conversion of Shares, if any) shall be imprinted with a legend in substantially the following form:</w:t>
      </w:r>
    </w:p>
    <w:p>
      <w:pPr>
        <w:spacing w:after="0" w:line="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SECURITY HAS NOT BEEN REGISTERED UNDER THE SECURITIES ACT OF 1933, AS AMENDED, AND MAY NOT BE SOLD, PLEDGED OR OTHERWISE TRANSFERRED WITHOUT AN EFFECTIVE REGISTRATION THEREOF UNDER SUCH ACT OR PURSUANT TO RULE 144 OR AN OPINION OF COUNSEL REASONABLY SATISFACTORY TO COMPANY AND ITS COUNSEL THAT SUCH REGISTRATION IS NOT REQUIRED.</w:t>
      </w:r>
    </w:p>
    <w:p>
      <w:pPr>
        <w:spacing w:after="0" w:line="93"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Shares, if any)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Company, as reasonably requested by Company). Company shall not require Holder to provide an opinion of counsel if the transfer is to Holder’s parent company, Western Alliance Bancorporation, or any other affiliate of Holder, or if there is no material question as to the availability of current information as referenced in Rule 144(c), Holder represents that it has complied with Rule 144(d) and (e) in reasonable detail, the selling broker represents that it has complied with Rule 144(f), and the Company is provided with a copy of Holder’s notice of proposed sale.</w:t>
      </w:r>
    </w:p>
    <w:p>
      <w:pPr>
        <w:spacing w:after="0" w:line="120"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Holder of the executed Warrant, Holder may transfer all of this Warrant to Holder’s parent company, Western Alliance Bancorporation, or an affiliate thereof or successor thereto (the “</w:t>
      </w:r>
      <w:r>
        <w:rPr>
          <w:rFonts w:ascii="Arial" w:cs="Arial" w:eastAsia="Arial" w:hAnsi="Arial"/>
          <w:sz w:val="17"/>
          <w:szCs w:val="17"/>
          <w:u w:val="single" w:color="auto"/>
          <w:color w:val="auto"/>
        </w:rPr>
        <w:t>Subsequent Holder</w:t>
      </w:r>
      <w:r>
        <w:rPr>
          <w:rFonts w:ascii="Arial" w:cs="Arial" w:eastAsia="Arial" w:hAnsi="Arial"/>
          <w:sz w:val="17"/>
          <w:szCs w:val="17"/>
          <w:color w:val="auto"/>
        </w:rPr>
        <w:t xml:space="preserve">”), by execution of an Assignment substantially in the form of </w:t>
      </w:r>
      <w:r>
        <w:rPr>
          <w:rFonts w:ascii="Arial" w:cs="Arial" w:eastAsia="Arial" w:hAnsi="Arial"/>
          <w:sz w:val="17"/>
          <w:szCs w:val="17"/>
          <w:u w:val="single" w:color="auto"/>
          <w:color w:val="auto"/>
        </w:rPr>
        <w:t>Appendix 3</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4.2</w:t>
      </w:r>
      <w:r>
        <w:rPr>
          <w:rFonts w:ascii="Arial" w:cs="Arial" w:eastAsia="Arial" w:hAnsi="Arial"/>
          <w:sz w:val="17"/>
          <w:szCs w:val="17"/>
          <w:color w:val="auto"/>
        </w:rPr>
        <w:t xml:space="preserve"> and upon providing Company with written notice, the Subsequent Holder may transfer all or part of this Warrant or the Shares issuable upon exercise of this Warrant (or the Shares issuable directly or indirectly, upon conversion of the Shares, if any) to any transferee, provided, however,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13" w:right="339" w:bottom="1440" w:gutter="0" w:footer="0" w:header="0"/>
        </w:sectPr>
      </w:pPr>
    </w:p>
    <w:bookmarkStart w:id="465" w:name="page466"/>
    <w:bookmarkEnd w:id="465"/>
    <w:p>
      <w:pPr>
        <w:jc w:val="both"/>
        <w:ind w:firstLine="597"/>
        <w:spacing w:after="0" w:line="26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from Company to Holder, or vice versa, shall be in writing and shall be deemed delivered and effective when given personally or mailed by first class registered or certified mail, postage prepaid, or by overnight courier, at such address as may have been furnished to Company or Holder, as the case may be, in writing by Company or such Holder from time to time.</w:t>
      </w:r>
    </w:p>
    <w:p>
      <w:pPr>
        <w:spacing w:after="0" w:line="111"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96"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laws of the State of California, without giving effect to its principles regarding conflicts of law</w:t>
      </w:r>
    </w:p>
    <w:p>
      <w:pPr>
        <w:spacing w:after="0" w:line="96"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Lock Up</w:t>
      </w:r>
      <w:r>
        <w:rPr>
          <w:rFonts w:ascii="Arial" w:cs="Arial" w:eastAsia="Arial" w:hAnsi="Arial"/>
          <w:sz w:val="17"/>
          <w:szCs w:val="17"/>
          <w:color w:val="auto"/>
        </w:rPr>
        <w:t>. The Holder agrees that this Warrant and the Shares are subject to the Lock-Up provisions set forth in Section 7.5 of the Investor Rights Agreement</w:t>
      </w:r>
    </w:p>
    <w:p>
      <w:pPr>
        <w:spacing w:after="0" w:line="9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ARTICLE 5.</w:t>
      </w:r>
      <w:r>
        <w:rPr>
          <w:sz w:val="20"/>
          <w:szCs w:val="20"/>
          <w:color w:val="auto"/>
        </w:rPr>
        <w:tab/>
      </w:r>
      <w:r>
        <w:rPr>
          <w:rFonts w:ascii="Arial" w:cs="Arial" w:eastAsia="Arial" w:hAnsi="Arial"/>
          <w:sz w:val="16"/>
          <w:szCs w:val="16"/>
          <w:color w:val="auto"/>
        </w:rPr>
        <w:t>REPRESENTATIONS AND WARRANTIES OF HOLDER.</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With respect to the acquisition of this Warrant and any of the Shares issuable upon exercise of this Warrant, Holder hereby represents and warrants to, and agrees with, the Company as follows:</w:t>
      </w:r>
    </w:p>
    <w:p>
      <w:pPr>
        <w:spacing w:after="0" w:line="96"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Purchase Entirely for Own Account</w:t>
      </w:r>
      <w:r>
        <w:rPr>
          <w:rFonts w:ascii="Arial" w:cs="Arial" w:eastAsia="Arial" w:hAnsi="Arial"/>
          <w:sz w:val="17"/>
          <w:szCs w:val="17"/>
          <w:color w:val="auto"/>
        </w:rPr>
        <w:t>. This Warrant is issued to Holder in reliance upon Holder’s representation to the Company that this Warrant and the Shares issuable upon exercise of this Warrant will be acquired for investment for Holder’s, or its affiliate’s, own account, not as a nominee or agent, and not with a view to the resale or distribution of any part thereof other than to an affiliate, and that Holder has no present intention of selling, granting any participation in, or otherwise distributing the same other than to an affiliate. By executing this Warrant, Holder further represents that Holder does not have any contract, undertaking, agreement or arrangement with any person, other than an affiliate, to sell, transfer or grant participations to such person or to any third person with respect to this Warrant or any of the Shares issuable upon exercise of this Warrant.</w:t>
      </w:r>
    </w:p>
    <w:p>
      <w:pPr>
        <w:spacing w:after="0" w:line="122" w:lineRule="exact"/>
        <w:rPr>
          <w:sz w:val="20"/>
          <w:szCs w:val="20"/>
          <w:color w:val="auto"/>
        </w:rPr>
      </w:pPr>
    </w:p>
    <w:p>
      <w:pPr>
        <w:jc w:val="both"/>
        <w:ind w:firstLine="597"/>
        <w:spacing w:after="0" w:line="26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Reliance upon Holder’s Representations</w:t>
      </w:r>
      <w:r>
        <w:rPr>
          <w:rFonts w:ascii="Arial" w:cs="Arial" w:eastAsia="Arial" w:hAnsi="Arial"/>
          <w:sz w:val="17"/>
          <w:szCs w:val="17"/>
          <w:color w:val="auto"/>
        </w:rPr>
        <w:t>. Holder understands that this Warrant and the Shares issuable upon exercise of this Warrant are not registered under the Act on the ground that the issuance of such securities is exempt from registration under the Act, and that the Company’s reliance on such exemption is predicated on Holder’s representations set forth herein.</w:t>
      </w:r>
    </w:p>
    <w:p>
      <w:pPr>
        <w:spacing w:after="0" w:line="111"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represents to the Company that Holder is an Accredited Investor (as defined in the Act).</w:t>
      </w:r>
    </w:p>
    <w:p>
      <w:pPr>
        <w:spacing w:after="0" w:line="153" w:lineRule="exact"/>
        <w:rPr>
          <w:sz w:val="20"/>
          <w:szCs w:val="20"/>
          <w:color w:val="auto"/>
        </w:rPr>
      </w:pPr>
    </w:p>
    <w:p>
      <w:pPr>
        <w:jc w:val="both"/>
        <w:ind w:firstLine="597"/>
        <w:spacing w:after="0" w:line="25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Holder understands that this Warrant and the Shares issuable upon exercise of this Warrant are “restricted securities” under the federal securities laws inasmuch as they are being acquired from the Company in a transaction not involving a public offering and that under such federal securities laws and applicable regulations such securities may be resold without registration under the Act only in certain limited circumstances.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13" w:right="339" w:bottom="1440" w:gutter="0" w:footer="0" w:header="0"/>
        </w:sectPr>
      </w:pPr>
    </w:p>
    <w:bookmarkStart w:id="466" w:name="page467"/>
    <w:bookmarkEnd w:id="466"/>
    <w:p>
      <w:pPr>
        <w:spacing w:after="0"/>
        <w:rPr>
          <w:sz w:val="20"/>
          <w:szCs w:val="20"/>
          <w:color w:val="auto"/>
        </w:rPr>
      </w:pPr>
      <w:r>
        <w:rPr>
          <w:rFonts w:ascii="Arial" w:cs="Arial" w:eastAsia="Arial" w:hAnsi="Arial"/>
          <w:sz w:val="17"/>
          <w:szCs w:val="17"/>
          <w:color w:val="auto"/>
        </w:rPr>
        <w:t>IN WITNESS WHEREOF, the undersigned has executed this Warrant as of the day and year first above written.</w:t>
      </w: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w:t>
      </w:r>
    </w:p>
    <w:p>
      <w:pPr>
        <w:spacing w:after="0" w:line="30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THREDUP INC., a Delaware corporation</w:t>
      </w:r>
    </w:p>
    <w:p>
      <w:pPr>
        <w:spacing w:after="0" w:line="302" w:lineRule="exact"/>
        <w:rPr>
          <w:sz w:val="20"/>
          <w:szCs w:val="20"/>
          <w:color w:val="auto"/>
        </w:rPr>
      </w:pPr>
    </w:p>
    <w:tbl>
      <w:tblPr>
        <w:tblLayout w:type="fixed"/>
        <w:tblInd w:w="502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7"/>
                <w:szCs w:val="17"/>
                <w:color w:val="auto"/>
              </w:rPr>
              <w:t>By:</w:t>
            </w:r>
          </w:p>
        </w:tc>
        <w:tc>
          <w:tcPr>
            <w:tcW w:w="4700" w:type="dxa"/>
            <w:vAlign w:val="bottom"/>
          </w:tcPr>
          <w:p>
            <w:pPr>
              <w:spacing w:after="0"/>
              <w:rPr>
                <w:sz w:val="20"/>
                <w:szCs w:val="20"/>
                <w:color w:val="auto"/>
              </w:rPr>
            </w:pPr>
            <w:r>
              <w:rPr>
                <w:rFonts w:ascii="Arial" w:cs="Arial" w:eastAsia="Arial" w:hAnsi="Arial"/>
                <w:sz w:val="17"/>
                <w:szCs w:val="17"/>
                <w:color w:val="auto"/>
              </w:rPr>
              <w:t>/s/ Sean Sobers</w:t>
            </w:r>
          </w:p>
        </w:tc>
      </w:tr>
      <w:tr>
        <w:trPr>
          <w:trHeight w:val="23"/>
        </w:trPr>
        <w:tc>
          <w:tcPr>
            <w:tcW w:w="920" w:type="dxa"/>
            <w:vAlign w:val="bottom"/>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Name:</w:t>
            </w:r>
          </w:p>
        </w:tc>
        <w:tc>
          <w:tcPr>
            <w:tcW w:w="4700" w:type="dxa"/>
            <w:vAlign w:val="bottom"/>
          </w:tcPr>
          <w:p>
            <w:pPr>
              <w:spacing w:after="0"/>
              <w:rPr>
                <w:sz w:val="20"/>
                <w:szCs w:val="20"/>
                <w:color w:val="auto"/>
              </w:rPr>
            </w:pPr>
            <w:r>
              <w:rPr>
                <w:rFonts w:ascii="Arial" w:cs="Arial" w:eastAsia="Arial" w:hAnsi="Arial"/>
                <w:sz w:val="17"/>
                <w:szCs w:val="17"/>
                <w:color w:val="auto"/>
              </w:rPr>
              <w:t>Sean Sobers</w:t>
            </w:r>
          </w:p>
        </w:tc>
      </w:tr>
      <w:tr>
        <w:trPr>
          <w:trHeight w:val="23"/>
        </w:trPr>
        <w:tc>
          <w:tcPr>
            <w:tcW w:w="920" w:type="dxa"/>
            <w:vAlign w:val="bottom"/>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7"/>
                <w:szCs w:val="17"/>
                <w:color w:val="auto"/>
              </w:rPr>
              <w:t>Title:</w:t>
            </w:r>
          </w:p>
        </w:tc>
        <w:tc>
          <w:tcPr>
            <w:tcW w:w="4700" w:type="dxa"/>
            <w:vAlign w:val="bottom"/>
          </w:tcPr>
          <w:p>
            <w:pPr>
              <w:spacing w:after="0"/>
              <w:rPr>
                <w:sz w:val="20"/>
                <w:szCs w:val="20"/>
                <w:color w:val="auto"/>
              </w:rPr>
            </w:pPr>
            <w:r>
              <w:rPr>
                <w:rFonts w:ascii="Arial" w:cs="Arial" w:eastAsia="Arial" w:hAnsi="Arial"/>
                <w:sz w:val="17"/>
                <w:szCs w:val="17"/>
                <w:color w:val="auto"/>
              </w:rPr>
              <w:t>CFO</w:t>
            </w:r>
          </w:p>
        </w:tc>
      </w:tr>
      <w:tr>
        <w:trPr>
          <w:trHeight w:val="23"/>
        </w:trPr>
        <w:tc>
          <w:tcPr>
            <w:tcW w:w="920" w:type="dxa"/>
            <w:vAlign w:val="bottom"/>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Signature Page to Warrant</w:t>
      </w:r>
      <w:r>
        <w:rPr>
          <w:rFonts w:ascii="Arial" w:cs="Arial" w:eastAsia="Arial" w:hAnsi="Arial"/>
          <w:sz w:val="17"/>
          <w:szCs w:val="17"/>
          <w:color w:val="auto"/>
        </w:rPr>
        <w:t>]</w:t>
      </w:r>
    </w:p>
    <w:p>
      <w:pPr>
        <w:sectPr>
          <w:pgSz w:w="11900" w:h="16838" w:orient="portrait"/>
          <w:cols w:equalWidth="0" w:num="1">
            <w:col w:w="10640"/>
          </w:cols>
          <w:pgMar w:left="920" w:top="1313" w:right="33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7"/>
          <w:szCs w:val="17"/>
          <w:b w:val="1"/>
          <w:bCs w:val="1"/>
          <w:u w:val="single" w:color="auto"/>
          <w:color w:val="auto"/>
        </w:rPr>
        <w:t>APPENDIX 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NOTICE OF EXERCISE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FF0000"/>
        </w:rPr>
        <w:t>[Strike paragraph that does not apply.]</w:t>
      </w:r>
    </w:p>
    <w:p>
      <w:pPr>
        <w:spacing w:after="0" w:line="153" w:lineRule="exact"/>
        <w:rPr>
          <w:sz w:val="20"/>
          <w:szCs w:val="20"/>
          <w:color w:val="auto"/>
        </w:rPr>
      </w:pPr>
    </w:p>
    <w:p>
      <w:pPr>
        <w:spacing w:after="0" w:line="277" w:lineRule="auto"/>
        <w:tabs>
          <w:tab w:leader="none" w:pos="58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The undersigned hereby elects to purchase ___________ shares of the Common/Series _______________ Preferred </w:t>
      </w:r>
      <w:r>
        <w:rPr>
          <w:rFonts w:ascii="Arial" w:cs="Arial" w:eastAsia="Arial" w:hAnsi="Arial"/>
          <w:sz w:val="17"/>
          <w:szCs w:val="17"/>
          <w:color w:val="FF0000"/>
        </w:rPr>
        <w:t>[strike one]</w:t>
      </w:r>
      <w:r>
        <w:rPr>
          <w:rFonts w:ascii="Arial" w:cs="Arial" w:eastAsia="Arial" w:hAnsi="Arial"/>
          <w:sz w:val="17"/>
          <w:szCs w:val="17"/>
          <w:color w:val="auto"/>
        </w:rPr>
        <w:t xml:space="preserve"> Stock of Company pursuant to the terms of the attached Warrant, and tenders herewith payment of the purchase price of such shares in full.</w:t>
      </w:r>
    </w:p>
    <w:p>
      <w:pPr>
        <w:spacing w:after="0" w:line="96" w:lineRule="exact"/>
        <w:rPr>
          <w:sz w:val="20"/>
          <w:szCs w:val="20"/>
          <w:color w:val="auto"/>
        </w:rPr>
      </w:pPr>
    </w:p>
    <w:p>
      <w:pPr>
        <w:spacing w:after="0" w:line="277" w:lineRule="auto"/>
        <w:tabs>
          <w:tab w:leader="none" w:pos="587"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The undersigned hereby elects to convert the attached Warrant into Shares/cash </w:t>
      </w:r>
      <w:r>
        <w:rPr>
          <w:rFonts w:ascii="Arial" w:cs="Arial" w:eastAsia="Arial" w:hAnsi="Arial"/>
          <w:sz w:val="17"/>
          <w:szCs w:val="17"/>
          <w:color w:val="FF0000"/>
        </w:rPr>
        <w:t>[strike one]</w:t>
      </w:r>
      <w:r>
        <w:rPr>
          <w:rFonts w:ascii="Arial" w:cs="Arial" w:eastAsia="Arial" w:hAnsi="Arial"/>
          <w:sz w:val="17"/>
          <w:szCs w:val="17"/>
          <w:color w:val="auto"/>
        </w:rPr>
        <w:t xml:space="preserve"> in the manner specified in the Warrant. This conversion is exercised with respect to ____________________ of the Shares covered by the Warrant.</w:t>
      </w:r>
    </w:p>
    <w:p>
      <w:pPr>
        <w:spacing w:after="0" w:line="96" w:lineRule="exact"/>
        <w:rPr>
          <w:rFonts w:ascii="Arial" w:cs="Arial" w:eastAsia="Arial" w:hAnsi="Arial"/>
          <w:sz w:val="17"/>
          <w:szCs w:val="17"/>
          <w:color w:val="auto"/>
        </w:rPr>
      </w:pPr>
    </w:p>
    <w:p>
      <w:pPr>
        <w:ind w:left="580" w:hanging="580"/>
        <w:spacing w:after="0"/>
        <w:tabs>
          <w:tab w:leader="none" w:pos="58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Please issue a certificate or certificates representing said shares in the name of the undersigned or in such other name as is specified below:</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31115</wp:posOffset>
            </wp:positionV>
            <wp:extent cx="397446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74465" cy="7620"/>
                    </a:xfrm>
                    <a:prstGeom prst="rect">
                      <a:avLst/>
                    </a:prstGeom>
                    <a:noFill/>
                  </pic:spPr>
                </pic:pic>
              </a:graphicData>
            </a:graphic>
          </wp:anchor>
        </w:drawing>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465391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653915" cy="7620"/>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31115</wp:posOffset>
            </wp:positionV>
            <wp:extent cx="397446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974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line="277" w:lineRule="auto"/>
        <w:tabs>
          <w:tab w:leader="none" w:pos="587"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96" w:lineRule="exact"/>
        <w:rPr>
          <w:rFonts w:ascii="Arial" w:cs="Arial" w:eastAsia="Arial" w:hAnsi="Arial"/>
          <w:sz w:val="17"/>
          <w:szCs w:val="17"/>
          <w:color w:val="auto"/>
        </w:rPr>
      </w:pPr>
    </w:p>
    <w:p>
      <w:pPr>
        <w:spacing w:after="0" w:line="277" w:lineRule="auto"/>
        <w:tabs>
          <w:tab w:leader="none" w:pos="587"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undersigned here by represents and warrants that the Representations and Warranties in Section 5 of the Warrant are true and correct as of the date hereof.</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WESTERN ALLIANCE BANK, an Arizona corporation</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31115</wp:posOffset>
            </wp:positionV>
            <wp:extent cx="30340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31115</wp:posOffset>
            </wp:positionV>
            <wp:extent cx="303403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31115</wp:posOffset>
            </wp:positionV>
            <wp:extent cx="303403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68" w:name="page469"/>
    <w:bookmarkEnd w:id="468"/>
    <w:p>
      <w:pPr>
        <w:jc w:val="center"/>
        <w:ind w:right="19"/>
        <w:spacing w:after="0"/>
        <w:rPr>
          <w:sz w:val="20"/>
          <w:szCs w:val="20"/>
          <w:color w:val="auto"/>
        </w:rPr>
      </w:pPr>
      <w:r>
        <w:rPr>
          <w:rFonts w:ascii="Arial" w:cs="Arial" w:eastAsia="Arial" w:hAnsi="Arial"/>
          <w:sz w:val="17"/>
          <w:szCs w:val="17"/>
          <w:b w:val="1"/>
          <w:bCs w:val="1"/>
          <w:u w:val="single" w:color="auto"/>
          <w:color w:val="auto"/>
        </w:rPr>
        <w:t>APPENDIX 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CAPITALIZATION TABLE</w:t>
      </w:r>
    </w:p>
    <w:p>
      <w:pPr>
        <w:sectPr>
          <w:pgSz w:w="11900" w:h="16838" w:orient="portrait"/>
          <w:cols w:equalWidth="0" w:num="1">
            <w:col w:w="9019"/>
          </w:cols>
          <w:pgMar w:left="1440" w:top="1311" w:right="1440" w:bottom="1440" w:gutter="0" w:footer="0" w:header="0"/>
        </w:sectPr>
      </w:pPr>
    </w:p>
    <w:bookmarkStart w:id="469" w:name="page470"/>
    <w:bookmarkEnd w:id="469"/>
    <w:p>
      <w:pPr>
        <w:ind w:left="5140"/>
        <w:spacing w:after="0"/>
        <w:rPr>
          <w:sz w:val="20"/>
          <w:szCs w:val="20"/>
          <w:color w:val="auto"/>
        </w:rPr>
      </w:pPr>
      <w:r>
        <w:rPr>
          <w:rFonts w:ascii="Arial" w:cs="Arial" w:eastAsia="Arial" w:hAnsi="Arial"/>
          <w:sz w:val="17"/>
          <w:szCs w:val="17"/>
          <w:b w:val="1"/>
          <w:bCs w:val="1"/>
          <w:u w:val="single" w:color="auto"/>
          <w:color w:val="auto"/>
        </w:rPr>
        <w:t>APPENDIX 3</w:t>
      </w:r>
    </w:p>
    <w:p>
      <w:pPr>
        <w:spacing w:after="0" w:line="15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ASSIGNMENT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WESTERN ALLIANCE BANK, hereby sells, assigns and transfers unto:</w:t>
      </w:r>
    </w:p>
    <w:p>
      <w:pPr>
        <w:sectPr>
          <w:pgSz w:w="11900" w:h="16838" w:orient="portrait"/>
          <w:cols w:equalWidth="0" w:num="1">
            <w:col w:w="11240"/>
          </w:cols>
          <w:pgMar w:left="320" w:top="1311" w:right="339" w:bottom="1440" w:gutter="0" w:footer="0" w:header="0"/>
        </w:sectPr>
      </w:pPr>
    </w:p>
    <w:p>
      <w:pPr>
        <w:spacing w:after="0" w:line="21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WESTERN ALLIANCE BANCORPORATION</w:t>
      </w:r>
    </w:p>
    <w:p>
      <w:pPr>
        <w:spacing w:after="0" w:line="65" w:lineRule="exact"/>
        <w:rPr>
          <w:sz w:val="20"/>
          <w:szCs w:val="20"/>
          <w:color w:val="auto"/>
        </w:rPr>
      </w:pPr>
    </w:p>
    <w:p>
      <w:pPr>
        <w:sectPr>
          <w:pgSz w:w="11900" w:h="16838" w:orient="portrait"/>
          <w:cols w:equalWidth="0" w:num="2">
            <w:col w:w="5620" w:space="720"/>
            <w:col w:w="4900"/>
          </w:cols>
          <w:pgMar w:left="320" w:top="1311" w:right="339" w:bottom="1440" w:gutter="0" w:footer="0" w:header="0"/>
          <w:type w:val="continuous"/>
        </w:sectPr>
      </w:pPr>
    </w:p>
    <w:p>
      <w:pPr>
        <w:ind w:left="45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One E. Washing, Suite 1400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Phoenix, Arizona 85004</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Tax:</w:t>
      </w:r>
    </w:p>
    <w:p>
      <w:pPr>
        <w:spacing w:after="0" w:line="158" w:lineRule="exact"/>
        <w:rPr>
          <w:sz w:val="20"/>
          <w:szCs w:val="20"/>
          <w:color w:val="auto"/>
        </w:rPr>
      </w:pPr>
    </w:p>
    <w:p>
      <w:pPr>
        <w:sectPr>
          <w:pgSz w:w="11900" w:h="16838" w:orient="portrait"/>
          <w:cols w:equalWidth="0" w:num="2">
            <w:col w:w="5620" w:space="720"/>
            <w:col w:w="4900"/>
          </w:cols>
          <w:pgMar w:left="320" w:top="1311" w:right="339" w:bottom="1440" w:gutter="0" w:footer="0" w:header="0"/>
          <w:type w:val="continuous"/>
        </w:sectPr>
      </w:pPr>
    </w:p>
    <w:p>
      <w:pPr>
        <w:spacing w:after="0" w:line="277" w:lineRule="auto"/>
        <w:rPr>
          <w:sz w:val="20"/>
          <w:szCs w:val="20"/>
          <w:color w:val="auto"/>
        </w:rPr>
      </w:pPr>
      <w:r>
        <w:rPr>
          <w:rFonts w:ascii="Arial" w:cs="Arial" w:eastAsia="Arial" w:hAnsi="Arial"/>
          <w:sz w:val="17"/>
          <w:szCs w:val="17"/>
          <w:color w:val="auto"/>
        </w:rPr>
        <w:t>that certain Warrant to Purchase Stock issued by THREDUP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on May 27, 2020 (the “</w:t>
      </w:r>
      <w:r>
        <w:rPr>
          <w:rFonts w:ascii="Arial" w:cs="Arial" w:eastAsia="Arial" w:hAnsi="Arial"/>
          <w:sz w:val="17"/>
          <w:szCs w:val="17"/>
          <w:u w:val="single" w:color="auto"/>
          <w:color w:val="auto"/>
        </w:rPr>
        <w:t>Warrant</w:t>
      </w:r>
      <w:r>
        <w:rPr>
          <w:rFonts w:ascii="Arial" w:cs="Arial" w:eastAsia="Arial" w:hAnsi="Arial"/>
          <w:sz w:val="17"/>
          <w:szCs w:val="17"/>
          <w:color w:val="auto"/>
        </w:rPr>
        <w:t>”) together with all rights, title and interest therein.</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WESTERN ALLIANCE BANK</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By its execution below, and for the benefit of the Company, Western Alliance Bancorporation agrees to all other provisions of the Warrant as of the date hereof.</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WESTERN ALLIANCE BANCORPORATION</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3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31115</wp:posOffset>
            </wp:positionV>
            <wp:extent cx="303403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470" w:name="page471"/>
    <w:bookmarkEnd w:id="470"/>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AGREEMENT</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This Indemnification Agreement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________________ by and between ThredUp Inc., a 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____________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06" w:lineRule="exact"/>
        <w:rPr>
          <w:sz w:val="20"/>
          <w:szCs w:val="20"/>
          <w:color w:val="auto"/>
        </w:rPr>
      </w:pPr>
    </w:p>
    <w:p>
      <w:pPr>
        <w:ind w:right="220" w:firstLine="597"/>
        <w:spacing w:after="0" w:line="277" w:lineRule="auto"/>
        <w:rPr>
          <w:sz w:val="20"/>
          <w:szCs w:val="20"/>
          <w:color w:val="auto"/>
        </w:rPr>
      </w:pPr>
      <w:r>
        <w:rPr>
          <w:rFonts w:ascii="Times New Roman" w:cs="Times New Roman" w:eastAsia="Times New Roman" w:hAnsi="Times New Roman"/>
          <w:sz w:val="20"/>
          <w:szCs w:val="20"/>
          <w:color w:val="auto"/>
        </w:rPr>
        <w:t>WHEREAS, the Company desires to attract and retain the services of highly qualified individuals, such as Indemnitee, to serve the Company;</w:t>
      </w:r>
    </w:p>
    <w:p>
      <w:pPr>
        <w:spacing w:after="0" w:line="141" w:lineRule="exact"/>
        <w:rPr>
          <w:sz w:val="20"/>
          <w:szCs w:val="20"/>
          <w:color w:val="auto"/>
        </w:rPr>
      </w:pPr>
    </w:p>
    <w:p>
      <w:pPr>
        <w:ind w:right="460" w:firstLine="597"/>
        <w:spacing w:after="0" w:line="277" w:lineRule="auto"/>
        <w:rPr>
          <w:sz w:val="20"/>
          <w:szCs w:val="20"/>
          <w:color w:val="auto"/>
        </w:rPr>
      </w:pPr>
      <w:r>
        <w:rPr>
          <w:rFonts w:ascii="Times New Roman" w:cs="Times New Roman" w:eastAsia="Times New Roman" w:hAnsi="Times New Roman"/>
          <w:sz w:val="20"/>
          <w:szCs w:val="20"/>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41" w:lineRule="exact"/>
        <w:rPr>
          <w:sz w:val="20"/>
          <w:szCs w:val="20"/>
          <w:color w:val="auto"/>
        </w:rPr>
      </w:pPr>
    </w:p>
    <w:p>
      <w:pPr>
        <w:ind w:right="60" w:firstLine="597"/>
        <w:spacing w:after="0" w:line="262" w:lineRule="auto"/>
        <w:rPr>
          <w:sz w:val="20"/>
          <w:szCs w:val="20"/>
          <w:color w:val="auto"/>
        </w:rPr>
      </w:pPr>
      <w:r>
        <w:rPr>
          <w:rFonts w:ascii="Times New Roman" w:cs="Times New Roman" w:eastAsia="Times New Roman" w:hAnsi="Times New Roman"/>
          <w:sz w:val="20"/>
          <w:szCs w:val="20"/>
          <w:color w:val="auto"/>
        </w:rPr>
        <w:t>WHEREAS, the Certificate of Incorporation (the “</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and the Bylaws (the “</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of the Company require indemnification of the officers and directors of the Company, and Indemnitee may also be entitled to indemnification pursuant to the General Corporation Law of the State of Delaware (the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right="180" w:firstLine="597"/>
        <w:spacing w:after="0" w:line="262" w:lineRule="auto"/>
        <w:rPr>
          <w:sz w:val="20"/>
          <w:szCs w:val="20"/>
          <w:color w:val="auto"/>
        </w:rPr>
      </w:pPr>
      <w:r>
        <w:rPr>
          <w:rFonts w:ascii="Times New Roman" w:cs="Times New Roman" w:eastAsia="Times New Roman" w:hAnsi="Times New Roman"/>
          <w:sz w:val="20"/>
          <w:szCs w:val="20"/>
          <w:color w:val="auto"/>
        </w:rPr>
        <w:t>WHEREAS, the Charter, the Bylaws and the DGCL expressly provide that the indemnification provisions set forth therein are not exclusive, and thereby contemplate that contracts may be entered into between the Company and members of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officers and other persons with respect to indemnification;</w:t>
      </w:r>
    </w:p>
    <w:p>
      <w:pPr>
        <w:spacing w:after="0" w:line="155" w:lineRule="exact"/>
        <w:rPr>
          <w:sz w:val="20"/>
          <w:szCs w:val="20"/>
          <w:color w:val="auto"/>
        </w:rPr>
      </w:pPr>
    </w:p>
    <w:p>
      <w:pPr>
        <w:ind w:right="600" w:firstLine="597"/>
        <w:spacing w:after="0" w:line="277" w:lineRule="auto"/>
        <w:rPr>
          <w:sz w:val="20"/>
          <w:szCs w:val="20"/>
          <w:color w:val="auto"/>
        </w:rPr>
      </w:pPr>
      <w:r>
        <w:rPr>
          <w:rFonts w:ascii="Times New Roman" w:cs="Times New Roman" w:eastAsia="Times New Roman" w:hAnsi="Times New Roman"/>
          <w:sz w:val="20"/>
          <w:szCs w:val="20"/>
          <w:color w:val="auto"/>
        </w:rPr>
        <w:t>WHEREAS, the Board has determined that the increased difficulty in attracting and retaining highly qualified persons such as Indemnitee is detrimental to the best interests of the Company’s stockholders;</w:t>
      </w:r>
    </w:p>
    <w:p>
      <w:pPr>
        <w:spacing w:after="0" w:line="141" w:lineRule="exact"/>
        <w:rPr>
          <w:sz w:val="20"/>
          <w:szCs w:val="20"/>
          <w:color w:val="auto"/>
        </w:rPr>
      </w:pPr>
    </w:p>
    <w:p>
      <w:pPr>
        <w:ind w:right="180" w:firstLine="597"/>
        <w:spacing w:after="0" w:line="282" w:lineRule="auto"/>
        <w:rPr>
          <w:sz w:val="20"/>
          <w:szCs w:val="20"/>
          <w:color w:val="auto"/>
        </w:rPr>
      </w:pPr>
      <w:r>
        <w:rPr>
          <w:rFonts w:ascii="Times New Roman" w:cs="Times New Roman" w:eastAsia="Times New Roman" w:hAnsi="Times New Roman"/>
          <w:sz w:val="19"/>
          <w:szCs w:val="19"/>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138" w:lineRule="exact"/>
        <w:rPr>
          <w:sz w:val="20"/>
          <w:szCs w:val="20"/>
          <w:color w:val="auto"/>
        </w:rPr>
      </w:pPr>
    </w:p>
    <w:p>
      <w:pPr>
        <w:ind w:right="60" w:firstLine="537"/>
        <w:spacing w:after="0" w:line="262" w:lineRule="auto"/>
        <w:rPr>
          <w:sz w:val="20"/>
          <w:szCs w:val="20"/>
          <w:color w:val="auto"/>
        </w:rPr>
      </w:pPr>
      <w:r>
        <w:rPr>
          <w:rFonts w:ascii="Times New Roman" w:cs="Times New Roman" w:eastAsia="Times New Roman" w:hAnsi="Times New Roman"/>
          <w:sz w:val="20"/>
          <w:szCs w:val="20"/>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155" w:lineRule="exact"/>
        <w:rPr>
          <w:sz w:val="20"/>
          <w:szCs w:val="20"/>
          <w:color w:val="auto"/>
        </w:rPr>
      </w:pPr>
    </w:p>
    <w:p>
      <w:pPr>
        <w:ind w:right="520" w:firstLine="537"/>
        <w:spacing w:after="0" w:line="256" w:lineRule="auto"/>
        <w:rPr>
          <w:sz w:val="20"/>
          <w:szCs w:val="20"/>
          <w:color w:val="auto"/>
        </w:rPr>
      </w:pPr>
      <w:r>
        <w:rPr>
          <w:rFonts w:ascii="Times New Roman" w:cs="Times New Roman" w:eastAsia="Times New Roman" w:hAnsi="Times New Roman"/>
          <w:sz w:val="20"/>
          <w:szCs w:val="20"/>
          <w:color w:val="auto"/>
        </w:rPr>
        <w:t>[WHEREAS, Indemnitee has certain rights to indemnification and/or insurance provided by [Name of Fund/Sponsor] which Indemnitee and [Name of Fund/Sponsor] intend to be secondary to the primary obligation of the Company to indemnify Indemnitee as provided in this Agreement, with the Company’s acknowledgment and agreement to the foregoing being a material condition to Indemnitee’s willingness to [serve or continue to serve]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9" w:right="339" w:bottom="1440" w:gutter="0" w:footer="0" w:header="0"/>
        </w:sectPr>
      </w:pPr>
    </w:p>
    <w:bookmarkStart w:id="471" w:name="page472"/>
    <w:bookmarkEnd w:id="471"/>
    <w:p>
      <w:pPr>
        <w:ind w:right="120" w:firstLine="597"/>
        <w:spacing w:after="0" w:line="277" w:lineRule="auto"/>
        <w:rPr>
          <w:sz w:val="20"/>
          <w:szCs w:val="20"/>
          <w:color w:val="auto"/>
        </w:rPr>
      </w:pPr>
      <w:r>
        <w:rPr>
          <w:rFonts w:ascii="Times New Roman" w:cs="Times New Roman" w:eastAsia="Times New Roman" w:hAnsi="Times New Roman"/>
          <w:sz w:val="20"/>
          <w:szCs w:val="20"/>
          <w:color w:val="auto"/>
        </w:rPr>
        <w:t>NOW, THEREFORE, in consideration of the premises and the covenants contained herein, the Company and Indemnitee do hereby covenant and agree as follows:</w:t>
      </w:r>
    </w:p>
    <w:p>
      <w:pPr>
        <w:spacing w:after="0" w:line="141" w:lineRule="exact"/>
        <w:rPr>
          <w:sz w:val="20"/>
          <w:szCs w:val="20"/>
          <w:color w:val="auto"/>
        </w:rPr>
      </w:pPr>
    </w:p>
    <w:p>
      <w:pPr>
        <w:ind w:firstLine="597"/>
        <w:spacing w:after="0" w:line="256"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Services to the Company</w:t>
      </w:r>
      <w:r>
        <w:rPr>
          <w:rFonts w:ascii="Times New Roman" w:cs="Times New Roman" w:eastAsia="Times New Roman" w:hAnsi="Times New Roman"/>
          <w:sz w:val="20"/>
          <w:szCs w:val="20"/>
          <w:color w:val="auto"/>
        </w:rPr>
        <w:t>. Indemnitee agrees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64" w:lineRule="exact"/>
        <w:rPr>
          <w:sz w:val="20"/>
          <w:szCs w:val="20"/>
          <w:color w:val="auto"/>
        </w:rPr>
      </w:pPr>
    </w:p>
    <w:p>
      <w:pPr>
        <w:ind w:left="540"/>
        <w:spacing w:after="0"/>
        <w:tabs>
          <w:tab w:leader="none" w:pos="176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Definitions.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As used in this Agreement:</w:t>
      </w:r>
    </w:p>
    <w:p>
      <w:pPr>
        <w:spacing w:after="0" w:line="206" w:lineRule="exact"/>
        <w:rPr>
          <w:sz w:val="20"/>
          <w:szCs w:val="20"/>
          <w:color w:val="auto"/>
        </w:rPr>
      </w:pPr>
    </w:p>
    <w:p>
      <w:pPr>
        <w:ind w:right="260" w:firstLine="1194"/>
        <w:spacing w:after="0" w:line="256" w:lineRule="auto"/>
        <w:tabs>
          <w:tab w:leader="none" w:pos="1789"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 and “Associate</w:t>
      </w:r>
      <w:r>
        <w:rPr>
          <w:rFonts w:ascii="Times New Roman" w:cs="Times New Roman" w:eastAsia="Times New Roman" w:hAnsi="Times New Roman"/>
          <w:sz w:val="20"/>
          <w:szCs w:val="20"/>
          <w:color w:val="auto"/>
        </w:rPr>
        <w:t>” shall have the respective meanings ascribed to such terms in Rule 12b-2 of the General Rules and Regulations under the Securities Exchange Act of 1934, as amended,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63" w:lineRule="exact"/>
        <w:rPr>
          <w:rFonts w:ascii="Times New Roman" w:cs="Times New Roman" w:eastAsia="Times New Roman" w:hAnsi="Times New Roman"/>
          <w:sz w:val="20"/>
          <w:szCs w:val="20"/>
          <w:color w:val="auto"/>
        </w:rPr>
      </w:pPr>
    </w:p>
    <w:p>
      <w:pPr>
        <w:ind w:right="880" w:firstLine="1194"/>
        <w:spacing w:after="0" w:line="277" w:lineRule="auto"/>
        <w:tabs>
          <w:tab w:leader="none" w:pos="1788"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shall be deemed the “Beneficial Owner” of, and shall be deemed to “Beneficially Own” and have “Beneficial Ownership” of, any securities:</w:t>
      </w:r>
    </w:p>
    <w:p>
      <w:pPr>
        <w:spacing w:after="0" w:line="141" w:lineRule="exact"/>
        <w:rPr>
          <w:rFonts w:ascii="Times New Roman" w:cs="Times New Roman" w:eastAsia="Times New Roman" w:hAnsi="Times New Roman"/>
          <w:sz w:val="20"/>
          <w:szCs w:val="20"/>
          <w:color w:val="auto"/>
        </w:rPr>
      </w:pPr>
    </w:p>
    <w:p>
      <w:pPr>
        <w:ind w:right="500" w:firstLine="1156"/>
        <w:spacing w:after="0" w:line="277" w:lineRule="auto"/>
        <w:tabs>
          <w:tab w:leader="none" w:pos="1792"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41" w:lineRule="exact"/>
        <w:rPr>
          <w:rFonts w:ascii="Times New Roman" w:cs="Times New Roman" w:eastAsia="Times New Roman" w:hAnsi="Times New Roman"/>
          <w:sz w:val="20"/>
          <w:szCs w:val="20"/>
          <w:color w:val="auto"/>
        </w:rPr>
      </w:pPr>
    </w:p>
    <w:p>
      <w:pPr>
        <w:ind w:right="60" w:firstLine="1100"/>
        <w:spacing w:after="0" w:line="251" w:lineRule="auto"/>
        <w:tabs>
          <w:tab w:leader="none" w:pos="1792"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 w:cs="Times New Roman" w:eastAsia="Times New Roman" w:hAnsi="Times New Roman"/>
          <w:sz w:val="20"/>
          <w:szCs w:val="20"/>
          <w:i w:val="1"/>
          <w:iCs w:val="1"/>
          <w:color w:val="auto"/>
        </w:rPr>
        <w:t>bona fid</w:t>
      </w:r>
      <w:r>
        <w:rPr>
          <w:rFonts w:ascii="Times New Roman" w:cs="Times New Roman" w:eastAsia="Times New Roman" w:hAnsi="Times New Roman"/>
          <w:sz w:val="20"/>
          <w:szCs w:val="20"/>
          <w:color w:val="auto"/>
        </w:rPr>
        <w:t>e public offering of securities); or</w:t>
      </w:r>
    </w:p>
    <w:p>
      <w:pPr>
        <w:spacing w:after="0" w:line="170" w:lineRule="exact"/>
        <w:rPr>
          <w:rFonts w:ascii="Times New Roman" w:cs="Times New Roman" w:eastAsia="Times New Roman" w:hAnsi="Times New Roman"/>
          <w:sz w:val="20"/>
          <w:szCs w:val="20"/>
          <w:color w:val="auto"/>
        </w:rPr>
      </w:pPr>
    </w:p>
    <w:p>
      <w:pPr>
        <w:ind w:right="100" w:firstLine="1045"/>
        <w:spacing w:after="0" w:line="256" w:lineRule="auto"/>
        <w:tabs>
          <w:tab w:leader="none" w:pos="1792"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public offering of securities) for the purpose of acquiring, holding, voting or disposing of any securities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321" w:right="379" w:bottom="1440" w:gutter="0" w:footer="0" w:header="0"/>
        </w:sectPr>
      </w:pPr>
    </w:p>
    <w:bookmarkStart w:id="472" w:name="page473"/>
    <w:bookmarkEnd w:id="472"/>
    <w:p>
      <w:pPr>
        <w:ind w:right="60" w:firstLine="1056"/>
        <w:spacing w:after="0" w:line="250" w:lineRule="auto"/>
        <w:tabs>
          <w:tab w:leader="none" w:pos="1792"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71" w:lineRule="exact"/>
        <w:rPr>
          <w:sz w:val="20"/>
          <w:szCs w:val="20"/>
          <w:color w:val="auto"/>
        </w:rPr>
      </w:pPr>
    </w:p>
    <w:p>
      <w:pPr>
        <w:ind w:right="140" w:firstLine="597"/>
        <w:spacing w:after="0" w:line="277" w:lineRule="auto"/>
        <w:rPr>
          <w:sz w:val="20"/>
          <w:szCs w:val="20"/>
          <w:color w:val="auto"/>
        </w:rPr>
      </w:pPr>
      <w:r>
        <w:rPr>
          <w:rFonts w:ascii="Times New Roman" w:cs="Times New Roman" w:eastAsia="Times New Roman" w:hAnsi="Times New Roman"/>
          <w:sz w:val="20"/>
          <w:szCs w:val="20"/>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41" w:lineRule="exact"/>
        <w:rPr>
          <w:sz w:val="20"/>
          <w:szCs w:val="20"/>
          <w:color w:val="auto"/>
        </w:rPr>
      </w:pPr>
    </w:p>
    <w:p>
      <w:pPr>
        <w:ind w:left="1780" w:hanging="586"/>
        <w:spacing w:after="0"/>
        <w:tabs>
          <w:tab w:leader="none" w:pos="1780" w:val="left"/>
        </w:tabs>
        <w:numPr>
          <w:ilvl w:val="1"/>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be deemed to occur upon the earliest to occur after the date of this Agreement of any of</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events:</w:t>
      </w:r>
    </w:p>
    <w:p>
      <w:pPr>
        <w:spacing w:after="0" w:line="183" w:lineRule="exact"/>
        <w:rPr>
          <w:rFonts w:ascii="Times New Roman" w:cs="Times New Roman" w:eastAsia="Times New Roman" w:hAnsi="Times New Roman"/>
          <w:sz w:val="20"/>
          <w:szCs w:val="20"/>
          <w:color w:val="auto"/>
        </w:rPr>
      </w:pPr>
    </w:p>
    <w:p>
      <w:pPr>
        <w:ind w:firstLine="1156"/>
        <w:spacing w:after="0" w:line="251" w:lineRule="auto"/>
        <w:tabs>
          <w:tab w:leader="none" w:pos="1792"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 of Stock by Third Party</w:t>
      </w:r>
      <w:r>
        <w:rPr>
          <w:rFonts w:ascii="Times New Roman" w:cs="Times New Roman" w:eastAsia="Times New Roman" w:hAnsi="Times New Roman"/>
          <w:sz w:val="20"/>
          <w:szCs w:val="20"/>
          <w:color w:val="auto"/>
        </w:rPr>
        <w:t>. Any Person is or becomes the Beneficial Owner (as defined above), directly or indirectly, of securities of the Company representing fifty percent (50%) or more of the combined voting power of the Company’s then outstanding securities (other than acquisitions of Class B Common Stock by a Class B stockholder or a Permitted Transferee (as defined in the Charter)) unless the change in relative Beneficial Ownership of the Company’s securities by any Person results solely from a reduction in the aggregate number of outstanding shares of securities entitled to vote generally in the election of directors or as a result of conversions of Class B Common Stock,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66" w:lineRule="exact"/>
        <w:rPr>
          <w:rFonts w:ascii="Times New Roman" w:cs="Times New Roman" w:eastAsia="Times New Roman" w:hAnsi="Times New Roman"/>
          <w:sz w:val="20"/>
          <w:szCs w:val="20"/>
          <w:color w:val="auto"/>
        </w:rPr>
      </w:pPr>
    </w:p>
    <w:p>
      <w:pPr>
        <w:ind w:right="200" w:firstLine="1100"/>
        <w:spacing w:after="0" w:line="252" w:lineRule="auto"/>
        <w:tabs>
          <w:tab w:leader="none" w:pos="1792"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Board of Directors</w:t>
      </w:r>
      <w:r>
        <w:rPr>
          <w:rFonts w:ascii="Times New Roman" w:cs="Times New Roman" w:eastAsia="Times New Roman" w:hAnsi="Times New Roman"/>
          <w:sz w:val="20"/>
          <w:szCs w:val="20"/>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2(a)(i), 2(a)(iii)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68" w:lineRule="exact"/>
        <w:rPr>
          <w:rFonts w:ascii="Times New Roman" w:cs="Times New Roman" w:eastAsia="Times New Roman" w:hAnsi="Times New Roman"/>
          <w:sz w:val="20"/>
          <w:szCs w:val="20"/>
          <w:color w:val="auto"/>
        </w:rPr>
      </w:pPr>
    </w:p>
    <w:p>
      <w:pPr>
        <w:ind w:right="140" w:firstLine="1045"/>
        <w:spacing w:after="0" w:line="304" w:lineRule="auto"/>
        <w:tabs>
          <w:tab w:leader="none" w:pos="1792" w:val="left"/>
        </w:tabs>
        <w:numPr>
          <w:ilvl w:val="0"/>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Corporate Transactions</w:t>
      </w:r>
      <w:r>
        <w:rPr>
          <w:rFonts w:ascii="Times New Roman" w:cs="Times New Roman" w:eastAsia="Times New Roman" w:hAnsi="Times New Roman"/>
          <w:sz w:val="19"/>
          <w:szCs w:val="19"/>
          <w:color w:val="auto"/>
        </w:rPr>
        <w:t>. The effective date of a merger or consolidation of the Company with any other entity, other than a merger or consolidation which would result in the voting securities of the Company outstanding immediately prior to such merger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21" w:right="339" w:bottom="1440" w:gutter="0" w:footer="0" w:header="0"/>
        </w:sectPr>
      </w:pPr>
    </w:p>
    <w:bookmarkStart w:id="473" w:name="page474"/>
    <w:bookmarkEnd w:id="473"/>
    <w:p>
      <w:pPr>
        <w:ind w:right="200"/>
        <w:spacing w:after="0" w:line="256" w:lineRule="auto"/>
        <w:rPr>
          <w:sz w:val="20"/>
          <w:szCs w:val="20"/>
          <w:color w:val="auto"/>
        </w:rPr>
      </w:pPr>
      <w:r>
        <w:rPr>
          <w:rFonts w:ascii="Times New Roman" w:cs="Times New Roman" w:eastAsia="Times New Roman" w:hAnsi="Times New Roman"/>
          <w:sz w:val="20"/>
          <w:szCs w:val="20"/>
          <w:color w:val="auto"/>
        </w:rPr>
        <w:t>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164" w:lineRule="exact"/>
        <w:rPr>
          <w:sz w:val="20"/>
          <w:szCs w:val="20"/>
          <w:color w:val="auto"/>
        </w:rPr>
      </w:pPr>
    </w:p>
    <w:p>
      <w:pPr>
        <w:ind w:right="80" w:firstLine="1056"/>
        <w:spacing w:after="0" w:line="262" w:lineRule="auto"/>
        <w:tabs>
          <w:tab w:leader="none" w:pos="1792"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Liquidation</w:t>
      </w:r>
      <w:r>
        <w:rPr>
          <w:rFonts w:ascii="Times New Roman" w:cs="Times New Roman" w:eastAsia="Times New Roman" w:hAnsi="Times New Roman"/>
          <w:sz w:val="20"/>
          <w:szCs w:val="20"/>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55" w:lineRule="exact"/>
        <w:rPr>
          <w:rFonts w:ascii="Times New Roman" w:cs="Times New Roman" w:eastAsia="Times New Roman" w:hAnsi="Times New Roman"/>
          <w:sz w:val="20"/>
          <w:szCs w:val="20"/>
          <w:color w:val="auto"/>
        </w:rPr>
      </w:pPr>
    </w:p>
    <w:p>
      <w:pPr>
        <w:ind w:right="60" w:firstLine="1111"/>
        <w:spacing w:after="0" w:line="262" w:lineRule="auto"/>
        <w:tabs>
          <w:tab w:leader="none" w:pos="1792"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Events</w:t>
      </w:r>
      <w:r>
        <w:rPr>
          <w:rFonts w:ascii="Times New Roman" w:cs="Times New Roman" w:eastAsia="Times New Roman" w:hAnsi="Times New Roman"/>
          <w:sz w:val="20"/>
          <w:szCs w:val="20"/>
          <w:color w:val="auto"/>
        </w:rPr>
        <w:t>. There occurs any other event of a nature that would be required to be reported in response to Item 6(e) of Schedule 14A of Regulation 14A (or a response to any similar item on any similar schedule or form) promulgated under the Securities Exchange Act of 1934, as amended, whether or not the Company is then subject to such reporting requirement.</w:t>
      </w:r>
    </w:p>
    <w:p>
      <w:pPr>
        <w:spacing w:after="0" w:line="155" w:lineRule="exact"/>
        <w:rPr>
          <w:rFonts w:ascii="Times New Roman" w:cs="Times New Roman" w:eastAsia="Times New Roman" w:hAnsi="Times New Roman"/>
          <w:sz w:val="20"/>
          <w:szCs w:val="20"/>
          <w:color w:val="auto"/>
        </w:rPr>
      </w:pPr>
    </w:p>
    <w:p>
      <w:pPr>
        <w:ind w:right="80" w:firstLine="1194"/>
        <w:spacing w:after="0" w:line="262" w:lineRule="auto"/>
        <w:tabs>
          <w:tab w:leader="none" w:pos="1788"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Status</w:t>
      </w:r>
      <w:r>
        <w:rPr>
          <w:rFonts w:ascii="Times New Roman" w:cs="Times New Roman" w:eastAsia="Times New Roman" w:hAnsi="Times New Roman"/>
          <w:sz w:val="20"/>
          <w:szCs w:val="20"/>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155" w:lineRule="exact"/>
        <w:rPr>
          <w:rFonts w:ascii="Times New Roman" w:cs="Times New Roman" w:eastAsia="Times New Roman" w:hAnsi="Times New Roman"/>
          <w:sz w:val="20"/>
          <w:szCs w:val="20"/>
          <w:color w:val="auto"/>
        </w:rPr>
      </w:pPr>
    </w:p>
    <w:p>
      <w:pPr>
        <w:ind w:right="20" w:firstLine="1194"/>
        <w:spacing w:after="0" w:line="256" w:lineRule="auto"/>
        <w:tabs>
          <w:tab w:leader="none" w:pos="1838"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Enforcement Expenses</w:t>
      </w:r>
      <w:r>
        <w:rPr>
          <w:rFonts w:ascii="Times New Roman" w:cs="Times New Roman" w:eastAsia="Times New Roman" w:hAnsi="Times New Roman"/>
          <w:sz w:val="20"/>
          <w:szCs w:val="20"/>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63" w:lineRule="exact"/>
        <w:rPr>
          <w:rFonts w:ascii="Times New Roman" w:cs="Times New Roman" w:eastAsia="Times New Roman" w:hAnsi="Times New Roman"/>
          <w:sz w:val="20"/>
          <w:szCs w:val="20"/>
          <w:color w:val="auto"/>
        </w:rPr>
      </w:pPr>
    </w:p>
    <w:p>
      <w:pPr>
        <w:ind w:right="20" w:firstLine="1194"/>
        <w:spacing w:after="0" w:line="262" w:lineRule="auto"/>
        <w:tabs>
          <w:tab w:leader="none" w:pos="1792"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Enterprise</w:t>
      </w:r>
      <w:r>
        <w:rPr>
          <w:rFonts w:ascii="Times New Roman" w:cs="Times New Roman" w:eastAsia="Times New Roman" w:hAnsi="Times New Roman"/>
          <w:sz w:val="20"/>
          <w:szCs w:val="20"/>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55" w:lineRule="exact"/>
        <w:rPr>
          <w:rFonts w:ascii="Times New Roman" w:cs="Times New Roman" w:eastAsia="Times New Roman" w:hAnsi="Times New Roman"/>
          <w:sz w:val="20"/>
          <w:szCs w:val="20"/>
          <w:color w:val="auto"/>
        </w:rPr>
      </w:pPr>
    </w:p>
    <w:p>
      <w:pPr>
        <w:ind w:firstLine="1194"/>
        <w:spacing w:after="0" w:line="252" w:lineRule="auto"/>
        <w:tabs>
          <w:tab w:leader="none" w:pos="1788"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68" w:lineRule="exact"/>
        <w:rPr>
          <w:rFonts w:ascii="Times New Roman" w:cs="Times New Roman" w:eastAsia="Times New Roman" w:hAnsi="Times New Roman"/>
          <w:sz w:val="20"/>
          <w:szCs w:val="20"/>
          <w:color w:val="auto"/>
        </w:rPr>
      </w:pPr>
    </w:p>
    <w:p>
      <w:pPr>
        <w:ind w:right="140" w:firstLine="1194"/>
        <w:spacing w:after="0" w:line="304" w:lineRule="auto"/>
        <w:tabs>
          <w:tab w:leader="none" w:pos="1788" w:val="left"/>
        </w:tabs>
        <w:numPr>
          <w:ilvl w:val="1"/>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Independent Counsel</w:t>
      </w:r>
      <w:r>
        <w:rPr>
          <w:rFonts w:ascii="Times New Roman" w:cs="Times New Roman" w:eastAsia="Times New Roman" w:hAnsi="Times New Roman"/>
          <w:sz w:val="19"/>
          <w:szCs w:val="19"/>
          <w:color w:val="auto"/>
        </w:rPr>
        <w:t>” means a law firm, or a partner (or, if applicable, member or shareholder) of such a law firm, that is experienced in matters of Delaware corporation law and neither presently is, nor in the past five (5) years has been, retained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60"/>
          </w:cols>
          <w:pgMar w:left="320" w:top="1321" w:right="419" w:bottom="1440" w:gutter="0" w:footer="0" w:header="0"/>
        </w:sectPr>
      </w:pPr>
    </w:p>
    <w:bookmarkStart w:id="474" w:name="page475"/>
    <w:bookmarkEnd w:id="474"/>
    <w:p>
      <w:pPr>
        <w:spacing w:after="0" w:line="268" w:lineRule="auto"/>
        <w:rPr>
          <w:sz w:val="20"/>
          <w:szCs w:val="20"/>
          <w:color w:val="auto"/>
        </w:rPr>
      </w:pPr>
      <w:r>
        <w:rPr>
          <w:rFonts w:ascii="Times New Roman" w:cs="Times New Roman" w:eastAsia="Times New Roman" w:hAnsi="Times New Roman"/>
          <w:sz w:val="19"/>
          <w:szCs w:val="19"/>
          <w:color w:val="auto"/>
        </w:rPr>
        <w:t>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54" w:lineRule="exact"/>
        <w:rPr>
          <w:sz w:val="20"/>
          <w:szCs w:val="20"/>
          <w:color w:val="auto"/>
        </w:rPr>
      </w:pPr>
    </w:p>
    <w:p>
      <w:pPr>
        <w:jc w:val="both"/>
        <w:ind w:right="160" w:firstLine="1194"/>
        <w:spacing w:after="0" w:line="256" w:lineRule="auto"/>
        <w:tabs>
          <w:tab w:leader="none" w:pos="1781"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Securities Exchange Act of 1934, as amended.</w:t>
      </w:r>
    </w:p>
    <w:p>
      <w:pPr>
        <w:spacing w:after="0" w:line="163" w:lineRule="exact"/>
        <w:rPr>
          <w:rFonts w:ascii="Times New Roman" w:cs="Times New Roman" w:eastAsia="Times New Roman" w:hAnsi="Times New Roman"/>
          <w:sz w:val="20"/>
          <w:szCs w:val="20"/>
          <w:color w:val="auto"/>
        </w:rPr>
      </w:pPr>
    </w:p>
    <w:p>
      <w:pPr>
        <w:ind w:right="20" w:firstLine="1194"/>
        <w:spacing w:after="0" w:line="249" w:lineRule="auto"/>
        <w:tabs>
          <w:tab w:leader="none" w:pos="1781"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or][an officer] of the Company or is or was serving at the request of the Company as a director, manager, partner, officer, employee, agent or trustee of any Enterprise or by reason of any action taken by Indemnitee or of any action taken on his or her part while acting as [a director][ or][an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term “Proceeding” shall not include any action, suit or arbitration, or part thereof, initiated by Indemnitee to enforce Indemnitee’s rights under this Agreement as provided for in Section 12(a) of this Agreement.</w:t>
      </w:r>
    </w:p>
    <w:p>
      <w:pPr>
        <w:spacing w:after="0" w:line="175" w:lineRule="exact"/>
        <w:rPr>
          <w:sz w:val="20"/>
          <w:szCs w:val="20"/>
          <w:color w:val="auto"/>
        </w:rPr>
      </w:pPr>
    </w:p>
    <w:p>
      <w:pPr>
        <w:ind w:right="20" w:firstLine="597"/>
        <w:spacing w:after="0" w:line="251"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Indemnity in Third-Party Proceedings</w:t>
      </w:r>
      <w:r>
        <w:rPr>
          <w:rFonts w:ascii="Times New Roman" w:cs="Times New Roman" w:eastAsia="Times New Roman" w:hAnsi="Times New Roman"/>
          <w:sz w:val="20"/>
          <w:szCs w:val="20"/>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1" w:right="339" w:bottom="1440" w:gutter="0" w:footer="0" w:header="0"/>
        </w:sectPr>
      </w:pPr>
    </w:p>
    <w:bookmarkStart w:id="475" w:name="page476"/>
    <w:bookmarkEnd w:id="475"/>
    <w:p>
      <w:pPr>
        <w:ind w:firstLine="597"/>
        <w:spacing w:after="0" w:line="250"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Indemnity in Proceedings by or in the Right of the Company</w:t>
      </w:r>
      <w:r>
        <w:rPr>
          <w:rFonts w:ascii="Times New Roman" w:cs="Times New Roman" w:eastAsia="Times New Roman" w:hAnsi="Times New Roman"/>
          <w:sz w:val="20"/>
          <w:szCs w:val="20"/>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71" w:lineRule="exact"/>
        <w:rPr>
          <w:sz w:val="20"/>
          <w:szCs w:val="20"/>
          <w:color w:val="auto"/>
        </w:rPr>
      </w:pPr>
    </w:p>
    <w:p>
      <w:pPr>
        <w:ind w:right="40" w:firstLine="537"/>
        <w:spacing w:after="0" w:line="266"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Indemnification for Expenses of a Party Who is Wholly or Partly Successful</w:t>
      </w:r>
      <w:r>
        <w:rPr>
          <w:rFonts w:ascii="Times New Roman" w:cs="Times New Roman" w:eastAsia="Times New Roman" w:hAnsi="Times New Roman"/>
          <w:sz w:val="19"/>
          <w:szCs w:val="19"/>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53" w:lineRule="exact"/>
        <w:rPr>
          <w:sz w:val="20"/>
          <w:szCs w:val="20"/>
          <w:color w:val="auto"/>
        </w:rPr>
      </w:pPr>
    </w:p>
    <w:p>
      <w:pPr>
        <w:ind w:firstLine="537"/>
        <w:spacing w:after="0" w:line="254"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Reimbursement for Expenses of a Witness or in Response to a Subpoena</w:t>
      </w:r>
      <w:r>
        <w:rPr>
          <w:rFonts w:ascii="Times New Roman" w:cs="Times New Roman" w:eastAsia="Times New Roman" w:hAnsi="Times New Roman"/>
          <w:sz w:val="20"/>
          <w:szCs w:val="20"/>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64" w:lineRule="exact"/>
        <w:rPr>
          <w:sz w:val="20"/>
          <w:szCs w:val="20"/>
          <w:color w:val="auto"/>
        </w:rPr>
      </w:pPr>
    </w:p>
    <w:p>
      <w:pPr>
        <w:ind w:right="400" w:firstLine="537"/>
        <w:spacing w:after="0" w:line="277"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Exclusions</w:t>
      </w:r>
      <w:r>
        <w:rPr>
          <w:rFonts w:ascii="Times New Roman" w:cs="Times New Roman" w:eastAsia="Times New Roman" w:hAnsi="Times New Roman"/>
          <w:sz w:val="20"/>
          <w:szCs w:val="20"/>
          <w:color w:val="auto"/>
        </w:rPr>
        <w:t>. Notwithstanding any provision in this Agreement to the contrary, the Company shall not be obligated under this Agreement:</w:t>
      </w:r>
    </w:p>
    <w:p>
      <w:pPr>
        <w:spacing w:after="0" w:line="141" w:lineRule="exact"/>
        <w:rPr>
          <w:sz w:val="20"/>
          <w:szCs w:val="20"/>
          <w:color w:val="auto"/>
        </w:rPr>
      </w:pPr>
    </w:p>
    <w:p>
      <w:pPr>
        <w:ind w:right="20" w:firstLine="1194"/>
        <w:spacing w:after="0" w:line="256" w:lineRule="auto"/>
        <w:tabs>
          <w:tab w:leader="none" w:pos="1789"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[[(i) ]apply to any personal or umbrella liability insurance maintained by Indemnitee, ][or (ii) affect the rights of Indemnitee or the Fund Indemnitors as set forth in Section 13(c)];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321" w:right="359" w:bottom="1440" w:gutter="0" w:footer="0" w:header="0"/>
        </w:sectPr>
      </w:pPr>
    </w:p>
    <w:bookmarkStart w:id="476" w:name="page477"/>
    <w:bookmarkEnd w:id="476"/>
    <w:p>
      <w:pPr>
        <w:ind w:right="40" w:firstLine="1194"/>
        <w:spacing w:after="0" w:line="262" w:lineRule="auto"/>
        <w:tabs>
          <w:tab w:leader="none" w:pos="1788"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w:t>
      </w:r>
    </w:p>
    <w:p>
      <w:pPr>
        <w:spacing w:after="0" w:line="155" w:lineRule="exact"/>
        <w:rPr>
          <w:rFonts w:ascii="Times New Roman" w:cs="Times New Roman" w:eastAsia="Times New Roman" w:hAnsi="Times New Roman"/>
          <w:sz w:val="20"/>
          <w:szCs w:val="20"/>
          <w:color w:val="auto"/>
        </w:rPr>
      </w:pPr>
    </w:p>
    <w:p>
      <w:pPr>
        <w:jc w:val="both"/>
        <w:ind w:right="100" w:firstLine="1194"/>
        <w:spacing w:after="0" w:line="256" w:lineRule="auto"/>
        <w:tabs>
          <w:tab w:leader="none" w:pos="178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indemnify for any reimbursement of, or payment to, the Company by Indemnitee of any bonus or other incentive-based or equity-based compensation or of any profits realized by Indemnitee from the sale of securities of the Company pursuant to Section 304 of SOX or any formal policy of the Company adopted by the Board (or a committee thereof), or any other remuneration paid to Indemnitee if it shall be determined by a final judgment or other final adjudication that such remuneration was in violation of law;]</w:t>
      </w:r>
    </w:p>
    <w:p>
      <w:pPr>
        <w:spacing w:after="0" w:line="163" w:lineRule="exact"/>
        <w:rPr>
          <w:rFonts w:ascii="Times New Roman" w:cs="Times New Roman" w:eastAsia="Times New Roman" w:hAnsi="Times New Roman"/>
          <w:sz w:val="20"/>
          <w:szCs w:val="20"/>
          <w:color w:val="auto"/>
        </w:rPr>
      </w:pPr>
    </w:p>
    <w:p>
      <w:pPr>
        <w:ind w:right="20" w:firstLine="1194"/>
        <w:spacing w:after="0" w:line="251" w:lineRule="auto"/>
        <w:tabs>
          <w:tab w:leader="none" w:pos="1788"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70" w:lineRule="exact"/>
        <w:rPr>
          <w:rFonts w:ascii="Times New Roman" w:cs="Times New Roman" w:eastAsia="Times New Roman" w:hAnsi="Times New Roman"/>
          <w:sz w:val="20"/>
          <w:szCs w:val="20"/>
          <w:color w:val="auto"/>
        </w:rPr>
      </w:pPr>
    </w:p>
    <w:p>
      <w:pPr>
        <w:ind w:right="100" w:firstLine="1194"/>
        <w:spacing w:after="0" w:line="277" w:lineRule="auto"/>
        <w:tabs>
          <w:tab w:leader="none" w:pos="1789"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any indemnification or advancement of expenses that is prohibited by applicable law (as such law exists at the time payment would otherwise be required pursuant to this Agreement).</w:t>
      </w:r>
    </w:p>
    <w:p>
      <w:pPr>
        <w:spacing w:after="0" w:line="141" w:lineRule="exact"/>
        <w:rPr>
          <w:sz w:val="20"/>
          <w:szCs w:val="20"/>
          <w:color w:val="auto"/>
        </w:rPr>
      </w:pPr>
    </w:p>
    <w:p>
      <w:pPr>
        <w:ind w:firstLine="537"/>
        <w:spacing w:after="0" w:line="249"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Advancement of Expenses</w:t>
      </w:r>
      <w:r>
        <w:rPr>
          <w:rFonts w:ascii="Times New Roman" w:cs="Times New Roman" w:eastAsia="Times New Roman" w:hAnsi="Times New Roman"/>
          <w:sz w:val="20"/>
          <w:szCs w:val="20"/>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21" w:right="339" w:bottom="1440" w:gutter="0" w:footer="0" w:header="0"/>
        </w:sectPr>
      </w:pPr>
    </w:p>
    <w:bookmarkStart w:id="477" w:name="page478"/>
    <w:bookmarkEnd w:id="477"/>
    <w:p>
      <w:pPr>
        <w:ind w:right="80"/>
        <w:spacing w:after="0" w:line="277" w:lineRule="auto"/>
        <w:rPr>
          <w:sz w:val="20"/>
          <w:szCs w:val="20"/>
          <w:color w:val="auto"/>
        </w:rPr>
      </w:pPr>
      <w:r>
        <w:rPr>
          <w:rFonts w:ascii="Times New Roman" w:cs="Times New Roman" w:eastAsia="Times New Roman" w:hAnsi="Times New Roman"/>
          <w:sz w:val="20"/>
          <w:szCs w:val="20"/>
          <w:color w:val="auto"/>
        </w:rPr>
        <w:t>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41" w:lineRule="exact"/>
        <w:rPr>
          <w:sz w:val="20"/>
          <w:szCs w:val="20"/>
          <w:color w:val="auto"/>
        </w:rPr>
      </w:pPr>
    </w:p>
    <w:p>
      <w:pPr>
        <w:ind w:left="540"/>
        <w:spacing w:after="0"/>
        <w:tabs>
          <w:tab w:leader="none" w:pos="176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u w:val="single" w:color="auto"/>
          <w:color w:val="auto"/>
        </w:rPr>
        <w:t>Procedure for Notification and Defense of Claim</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right="220" w:firstLine="1194"/>
        <w:spacing w:after="0" w:line="262" w:lineRule="auto"/>
        <w:tabs>
          <w:tab w:leader="none" w:pos="1789"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55" w:lineRule="exact"/>
        <w:rPr>
          <w:rFonts w:ascii="Times New Roman" w:cs="Times New Roman" w:eastAsia="Times New Roman" w:hAnsi="Times New Roman"/>
          <w:sz w:val="20"/>
          <w:szCs w:val="20"/>
          <w:color w:val="auto"/>
        </w:rPr>
      </w:pPr>
    </w:p>
    <w:p>
      <w:pPr>
        <w:ind w:right="60" w:firstLine="1194"/>
        <w:spacing w:after="0" w:line="249" w:lineRule="auto"/>
        <w:tabs>
          <w:tab w:leader="none" w:pos="1788"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75" w:lineRule="exact"/>
        <w:rPr>
          <w:rFonts w:ascii="Times New Roman" w:cs="Times New Roman" w:eastAsia="Times New Roman" w:hAnsi="Times New Roman"/>
          <w:sz w:val="20"/>
          <w:szCs w:val="20"/>
          <w:color w:val="auto"/>
        </w:rPr>
      </w:pPr>
    </w:p>
    <w:p>
      <w:pPr>
        <w:ind w:right="120" w:firstLine="1194"/>
        <w:spacing w:after="0" w:line="277" w:lineRule="auto"/>
        <w:tabs>
          <w:tab w:leader="none" w:pos="1789"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does not assume the defense in a Proceeding pursuant to paragraph (b) above, then the Company will be entitled to participate in the Proceeding at its own expense.</w:t>
      </w:r>
    </w:p>
    <w:p>
      <w:pPr>
        <w:spacing w:after="0" w:line="141" w:lineRule="exact"/>
        <w:rPr>
          <w:rFonts w:ascii="Times New Roman" w:cs="Times New Roman" w:eastAsia="Times New Roman" w:hAnsi="Times New Roman"/>
          <w:sz w:val="20"/>
          <w:szCs w:val="20"/>
          <w:color w:val="auto"/>
        </w:rPr>
      </w:pPr>
    </w:p>
    <w:p>
      <w:pPr>
        <w:ind w:firstLine="1194"/>
        <w:spacing w:after="0" w:line="250" w:lineRule="auto"/>
        <w:tabs>
          <w:tab w:leader="none" w:pos="1788"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21" w:right="33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20"/>
          <w:szCs w:val="20"/>
          <w:color w:val="auto"/>
        </w:rPr>
        <w:t>hereunder, does not include the full release of Indemnitee from all liability in respect of such Proceeding.</w:t>
      </w:r>
    </w:p>
    <w:p>
      <w:pPr>
        <w:spacing w:after="0" w:line="206" w:lineRule="exact"/>
        <w:rPr>
          <w:sz w:val="20"/>
          <w:szCs w:val="20"/>
          <w:color w:val="auto"/>
        </w:rPr>
      </w:pPr>
    </w:p>
    <w:p>
      <w:pPr>
        <w:ind w:left="1140"/>
        <w:spacing w:after="0"/>
        <w:tabs>
          <w:tab w:leader="none" w:pos="236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u w:val="single" w:color="auto"/>
          <w:color w:val="auto"/>
        </w:rPr>
        <w:t>Procedure Upon Application for Indemnification</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right="20" w:firstLine="1194"/>
        <w:spacing w:after="0" w:line="248" w:lineRule="auto"/>
        <w:tabs>
          <w:tab w:leader="none" w:pos="1789"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73" w:lineRule="exact"/>
        <w:rPr>
          <w:rFonts w:ascii="Times New Roman" w:cs="Times New Roman" w:eastAsia="Times New Roman" w:hAnsi="Times New Roman"/>
          <w:sz w:val="20"/>
          <w:szCs w:val="20"/>
          <w:color w:val="auto"/>
        </w:rPr>
      </w:pPr>
    </w:p>
    <w:p>
      <w:pPr>
        <w:ind w:firstLine="1194"/>
        <w:spacing w:after="0" w:line="251" w:lineRule="auto"/>
        <w:tabs>
          <w:tab w:leader="none" w:pos="1788"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determination of entitlement to indemnification is to be made by Independent Counsel pursuant to Section 10(a), the Independent Counsel shall be selected by the Board[;</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Change in Control shall have occurred and indemnification is being requested by Indemnitee hereunder in his or her capacity as a director of the Company, the Independent Counsel shall be selected][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objection may be asserted only on the ground that the Independent Counsel so selected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21" w:right="339" w:bottom="1440" w:gutter="0" w:footer="0" w:header="0"/>
        </w:sectPr>
      </w:pPr>
    </w:p>
    <w:bookmarkStart w:id="479" w:name="page480"/>
    <w:bookmarkEnd w:id="479"/>
    <w:p>
      <w:pPr>
        <w:ind w:right="100"/>
        <w:spacing w:after="0" w:line="265" w:lineRule="auto"/>
        <w:rPr>
          <w:sz w:val="20"/>
          <w:szCs w:val="20"/>
          <w:color w:val="auto"/>
        </w:rPr>
      </w:pPr>
      <w:r>
        <w:rPr>
          <w:rFonts w:ascii="Times New Roman" w:cs="Times New Roman" w:eastAsia="Times New Roman" w:hAnsi="Times New Roman"/>
          <w:sz w:val="19"/>
          <w:szCs w:val="19"/>
          <w:color w:val="auto"/>
        </w:rPr>
        <w:t>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w:t>
      </w:r>
    </w:p>
    <w:p>
      <w:pPr>
        <w:spacing w:after="0" w:line="3" w:lineRule="exact"/>
        <w:rPr>
          <w:sz w:val="20"/>
          <w:szCs w:val="20"/>
          <w:color w:val="auto"/>
        </w:rPr>
      </w:pPr>
    </w:p>
    <w:p>
      <w:pPr>
        <w:spacing w:after="0" w:line="247" w:lineRule="auto"/>
        <w:tabs>
          <w:tab w:leader="none" w:pos="382"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75" w:lineRule="exact"/>
        <w:rPr>
          <w:rFonts w:ascii="Times New Roman" w:cs="Times New Roman" w:eastAsia="Times New Roman" w:hAnsi="Times New Roman"/>
          <w:sz w:val="20"/>
          <w:szCs w:val="20"/>
          <w:color w:val="auto"/>
        </w:rPr>
      </w:pPr>
    </w:p>
    <w:p>
      <w:pPr>
        <w:ind w:right="200" w:firstLine="1194"/>
        <w:spacing w:after="0" w:line="254" w:lineRule="auto"/>
        <w:tabs>
          <w:tab w:leader="none" w:pos="1789"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64" w:lineRule="exact"/>
        <w:rPr>
          <w:sz w:val="20"/>
          <w:szCs w:val="20"/>
          <w:color w:val="auto"/>
        </w:rPr>
      </w:pPr>
    </w:p>
    <w:p>
      <w:pPr>
        <w:ind w:left="540"/>
        <w:spacing w:after="0"/>
        <w:tabs>
          <w:tab w:leader="none" w:pos="176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Presumptions and Effect of Certain Proceedings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right="20" w:firstLine="1194"/>
        <w:spacing w:after="0" w:line="254" w:lineRule="auto"/>
        <w:tabs>
          <w:tab w:leader="none" w:pos="1789"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64" w:lineRule="exact"/>
        <w:rPr>
          <w:rFonts w:ascii="Times New Roman" w:cs="Times New Roman" w:eastAsia="Times New Roman" w:hAnsi="Times New Roman"/>
          <w:sz w:val="20"/>
          <w:szCs w:val="20"/>
          <w:color w:val="auto"/>
        </w:rPr>
      </w:pPr>
    </w:p>
    <w:p>
      <w:pPr>
        <w:ind w:right="60" w:firstLine="1194"/>
        <w:spacing w:after="0" w:line="254" w:lineRule="auto"/>
        <w:tabs>
          <w:tab w:leader="none" w:pos="1788"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termination of any Proceeding or of any claim, issue or matter therein, by judgment, order, settlement or conviction, or upon a plea of guilty, </w:t>
      </w:r>
      <w:r>
        <w:rPr>
          <w:rFonts w:ascii="Times New Roman" w:cs="Times New Roman" w:eastAsia="Times New Roman" w:hAnsi="Times New Roman"/>
          <w:sz w:val="20"/>
          <w:szCs w:val="20"/>
          <w:u w:val="single" w:color="auto"/>
          <w:color w:val="auto"/>
        </w:rPr>
        <w:t>nolo contendere</w:t>
      </w:r>
      <w:r>
        <w:rPr>
          <w:rFonts w:ascii="Times New Roman" w:cs="Times New Roman" w:eastAsia="Times New Roman" w:hAnsi="Times New Roman"/>
          <w:sz w:val="20"/>
          <w:szCs w:val="20"/>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64" w:lineRule="exact"/>
        <w:rPr>
          <w:rFonts w:ascii="Times New Roman" w:cs="Times New Roman" w:eastAsia="Times New Roman" w:hAnsi="Times New Roman"/>
          <w:sz w:val="20"/>
          <w:szCs w:val="20"/>
          <w:color w:val="auto"/>
        </w:rPr>
      </w:pPr>
    </w:p>
    <w:p>
      <w:pPr>
        <w:ind w:right="200" w:firstLine="1194"/>
        <w:spacing w:after="0" w:line="304" w:lineRule="auto"/>
        <w:tabs>
          <w:tab w:leader="none" w:pos="1789" w:val="left"/>
        </w:tabs>
        <w:numPr>
          <w:ilvl w:val="0"/>
          <w:numId w:val="3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Indemnitee shall be deemed to have acted in good faith if Indemnitee’s actions based on the records or books of account of the Company or any other Enterprise, including financial statements, or on information supplied to Indemnitee by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21" w:right="339" w:bottom="1440" w:gutter="0" w:footer="0" w:header="0"/>
        </w:sectPr>
      </w:pPr>
    </w:p>
    <w:bookmarkStart w:id="480" w:name="page481"/>
    <w:bookmarkEnd w:id="480"/>
    <w:p>
      <w:pPr>
        <w:ind w:right="40"/>
        <w:spacing w:after="0" w:line="249" w:lineRule="auto"/>
        <w:rPr>
          <w:sz w:val="20"/>
          <w:szCs w:val="20"/>
          <w:color w:val="auto"/>
        </w:rPr>
      </w:pPr>
      <w:r>
        <w:rPr>
          <w:rFonts w:ascii="Times New Roman" w:cs="Times New Roman" w:eastAsia="Times New Roman" w:hAnsi="Times New Roman"/>
          <w:sz w:val="20"/>
          <w:szCs w:val="20"/>
          <w:color w:val="auto"/>
        </w:rPr>
        <w:t>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75" w:lineRule="exact"/>
        <w:rPr>
          <w:sz w:val="20"/>
          <w:szCs w:val="20"/>
          <w:color w:val="auto"/>
        </w:rPr>
      </w:pPr>
    </w:p>
    <w:p>
      <w:pPr>
        <w:ind w:left="540"/>
        <w:spacing w:after="0"/>
        <w:tabs>
          <w:tab w:leader="none" w:pos="176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u w:val="single" w:color="auto"/>
          <w:color w:val="auto"/>
        </w:rPr>
        <w:t>Remedies of Indemnitee</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firstLine="1194"/>
        <w:spacing w:after="0" w:line="248" w:lineRule="auto"/>
        <w:tabs>
          <w:tab w:leader="none" w:pos="1789"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80" w:lineRule="exact"/>
        <w:rPr>
          <w:rFonts w:ascii="Times New Roman" w:cs="Times New Roman" w:eastAsia="Times New Roman" w:hAnsi="Times New Roman"/>
          <w:sz w:val="20"/>
          <w:szCs w:val="20"/>
          <w:color w:val="auto"/>
        </w:rPr>
      </w:pPr>
    </w:p>
    <w:p>
      <w:pPr>
        <w:ind w:right="80" w:firstLine="1194"/>
        <w:spacing w:after="0" w:line="262" w:lineRule="auto"/>
        <w:tabs>
          <w:tab w:leader="none" w:pos="1788"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321" w:right="359" w:bottom="1440" w:gutter="0" w:footer="0" w:header="0"/>
        </w:sectPr>
      </w:pPr>
    </w:p>
    <w:bookmarkStart w:id="481" w:name="page482"/>
    <w:bookmarkEnd w:id="481"/>
    <w:p>
      <w:pPr>
        <w:ind w:right="280"/>
        <w:spacing w:after="0" w:line="277" w:lineRule="auto"/>
        <w:rPr>
          <w:sz w:val="20"/>
          <w:szCs w:val="20"/>
          <w:color w:val="auto"/>
        </w:rPr>
      </w:pPr>
      <w:r>
        <w:rPr>
          <w:rFonts w:ascii="Times New Roman" w:cs="Times New Roman" w:eastAsia="Times New Roman" w:hAnsi="Times New Roman"/>
          <w:sz w:val="20"/>
          <w:szCs w:val="20"/>
          <w:color w:val="auto"/>
        </w:rPr>
        <w:t>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41" w:lineRule="exact"/>
        <w:rPr>
          <w:sz w:val="20"/>
          <w:szCs w:val="20"/>
          <w:color w:val="auto"/>
        </w:rPr>
      </w:pPr>
    </w:p>
    <w:p>
      <w:pPr>
        <w:ind w:right="220" w:firstLine="1194"/>
        <w:spacing w:after="0" w:line="254" w:lineRule="auto"/>
        <w:tabs>
          <w:tab w:leader="none" w:pos="1789"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64" w:lineRule="exact"/>
        <w:rPr>
          <w:rFonts w:ascii="Times New Roman" w:cs="Times New Roman" w:eastAsia="Times New Roman" w:hAnsi="Times New Roman"/>
          <w:sz w:val="20"/>
          <w:szCs w:val="20"/>
          <w:color w:val="auto"/>
        </w:rPr>
      </w:pPr>
    </w:p>
    <w:p>
      <w:pPr>
        <w:ind w:right="120" w:firstLine="1194"/>
        <w:spacing w:after="0" w:line="262" w:lineRule="auto"/>
        <w:tabs>
          <w:tab w:leader="none" w:pos="1788"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55" w:lineRule="exact"/>
        <w:rPr>
          <w:rFonts w:ascii="Times New Roman" w:cs="Times New Roman" w:eastAsia="Times New Roman" w:hAnsi="Times New Roman"/>
          <w:sz w:val="20"/>
          <w:szCs w:val="20"/>
          <w:color w:val="auto"/>
        </w:rPr>
      </w:pPr>
    </w:p>
    <w:p>
      <w:pPr>
        <w:ind w:right="80" w:firstLine="1194"/>
        <w:spacing w:after="0" w:line="251" w:lineRule="auto"/>
        <w:tabs>
          <w:tab w:leader="none" w:pos="1789"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66" w:lineRule="exact"/>
        <w:rPr>
          <w:rFonts w:ascii="Times New Roman" w:cs="Times New Roman" w:eastAsia="Times New Roman" w:hAnsi="Times New Roman"/>
          <w:sz w:val="20"/>
          <w:szCs w:val="20"/>
          <w:color w:val="auto"/>
        </w:rPr>
      </w:pPr>
    </w:p>
    <w:p>
      <w:pPr>
        <w:ind w:right="360" w:firstLine="1194"/>
        <w:spacing w:after="0" w:line="304" w:lineRule="auto"/>
        <w:tabs>
          <w:tab w:leader="none" w:pos="1792" w:val="left"/>
        </w:tabs>
        <w:numPr>
          <w:ilvl w:val="0"/>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18" w:lineRule="exact"/>
        <w:rPr>
          <w:sz w:val="20"/>
          <w:szCs w:val="20"/>
          <w:color w:val="auto"/>
        </w:rPr>
      </w:pPr>
    </w:p>
    <w:p>
      <w:pPr>
        <w:ind w:left="540"/>
        <w:spacing w:after="0"/>
        <w:tabs>
          <w:tab w:leader="none" w:pos="176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Non-exclusivity; Survival of Rights; Insurance; [Primacy of Indemnification;] Subrogation</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firstLine="1194"/>
        <w:spacing w:after="0" w:line="251" w:lineRule="auto"/>
        <w:tabs>
          <w:tab w:leader="none" w:pos="1789"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21" w:right="339" w:bottom="1440" w:gutter="0" w:footer="0" w:header="0"/>
        </w:sectPr>
      </w:pPr>
    </w:p>
    <w:bookmarkStart w:id="482" w:name="page483"/>
    <w:bookmarkEnd w:id="482"/>
    <w:p>
      <w:pPr>
        <w:ind w:right="20"/>
        <w:spacing w:after="0" w:line="256" w:lineRule="auto"/>
        <w:rPr>
          <w:sz w:val="20"/>
          <w:szCs w:val="20"/>
          <w:color w:val="auto"/>
        </w:rPr>
      </w:pPr>
      <w:r>
        <w:rPr>
          <w:rFonts w:ascii="Times New Roman" w:cs="Times New Roman" w:eastAsia="Times New Roman" w:hAnsi="Times New Roman"/>
          <w:sz w:val="20"/>
          <w:szCs w:val="20"/>
          <w:color w:val="auto"/>
        </w:rPr>
        <w:t>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64" w:lineRule="exact"/>
        <w:rPr>
          <w:sz w:val="20"/>
          <w:szCs w:val="20"/>
          <w:color w:val="auto"/>
        </w:rPr>
      </w:pPr>
    </w:p>
    <w:p>
      <w:pPr>
        <w:ind w:right="120" w:firstLine="1194"/>
        <w:spacing w:after="0" w:line="249" w:lineRule="auto"/>
        <w:tabs>
          <w:tab w:leader="none" w:pos="1788"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 in each case substantially concurrently with the delivery or receipt thereof by the Company.</w:t>
      </w:r>
    </w:p>
    <w:p>
      <w:pPr>
        <w:spacing w:after="0" w:line="175" w:lineRule="exact"/>
        <w:rPr>
          <w:rFonts w:ascii="Times New Roman" w:cs="Times New Roman" w:eastAsia="Times New Roman" w:hAnsi="Times New Roman"/>
          <w:sz w:val="20"/>
          <w:szCs w:val="20"/>
          <w:color w:val="auto"/>
        </w:rPr>
      </w:pPr>
    </w:p>
    <w:p>
      <w:pPr>
        <w:ind w:firstLine="1194"/>
        <w:spacing w:after="0" w:line="249" w:lineRule="auto"/>
        <w:tabs>
          <w:tab w:leader="none" w:pos="1789"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acknowledges that Indemnitee has certain rights to indemnification, advancement of expenses and/or insurance provided by [Name of Fund/Sponsor] and certain of [its][their] affiliates (collectively, the “</w:t>
      </w:r>
      <w:r>
        <w:rPr>
          <w:rFonts w:ascii="Times New Roman" w:cs="Times New Roman" w:eastAsia="Times New Roman" w:hAnsi="Times New Roman"/>
          <w:sz w:val="20"/>
          <w:szCs w:val="20"/>
          <w:u w:val="single" w:color="auto"/>
          <w:color w:val="auto"/>
        </w:rPr>
        <w:t>Fund Indemnitors</w:t>
      </w:r>
      <w:r>
        <w:rPr>
          <w:rFonts w:ascii="Times New Roman" w:cs="Times New Roman" w:eastAsia="Times New Roman" w:hAnsi="Times New Roman"/>
          <w:sz w:val="20"/>
          <w:szCs w:val="20"/>
          <w:color w:val="auto"/>
        </w:rPr>
        <w:t>”). The Company hereby agrees (i) that it is the indemnitor of first resort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00"/>
          </w:cols>
          <w:pgMar w:left="320" w:top="1321" w:right="379" w:bottom="1440" w:gutter="0" w:footer="0" w:header="0"/>
        </w:sectPr>
      </w:pPr>
    </w:p>
    <w:bookmarkStart w:id="483" w:name="page484"/>
    <w:bookmarkEnd w:id="483"/>
    <w:p>
      <w:pPr>
        <w:ind w:firstLine="1194"/>
        <w:spacing w:after="0" w:line="256" w:lineRule="auto"/>
        <w:tabs>
          <w:tab w:leader="none" w:pos="1788"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paragraph (c) above,] [I/i]n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163" w:lineRule="exact"/>
        <w:rPr>
          <w:rFonts w:ascii="Times New Roman" w:cs="Times New Roman" w:eastAsia="Times New Roman" w:hAnsi="Times New Roman"/>
          <w:sz w:val="20"/>
          <w:szCs w:val="20"/>
          <w:color w:val="auto"/>
        </w:rPr>
      </w:pPr>
    </w:p>
    <w:p>
      <w:pPr>
        <w:ind w:right="280" w:firstLine="1194"/>
        <w:spacing w:after="0" w:line="256" w:lineRule="auto"/>
        <w:tabs>
          <w:tab w:leader="none" w:pos="1789"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64" w:lineRule="exact"/>
        <w:rPr>
          <w:sz w:val="20"/>
          <w:szCs w:val="20"/>
          <w:color w:val="auto"/>
        </w:rPr>
      </w:pPr>
    </w:p>
    <w:p>
      <w:pPr>
        <w:ind w:firstLine="537"/>
        <w:spacing w:after="0" w:line="250"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Duration of Agreement</w:t>
      </w:r>
      <w:r>
        <w:rPr>
          <w:rFonts w:ascii="Times New Roman" w:cs="Times New Roman" w:eastAsia="Times New Roman" w:hAnsi="Times New Roman"/>
          <w:sz w:val="20"/>
          <w:szCs w:val="20"/>
          <w:color w:val="auto"/>
        </w:rPr>
        <w:t>. This Agreement shall continue until and terminate upon the later of: (a) ten (10) years after the date that Indemnitee shall have ceased to serve as [both][ a director][ and][ an officer]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1" w:lineRule="exact"/>
        <w:rPr>
          <w:sz w:val="20"/>
          <w:szCs w:val="20"/>
          <w:color w:val="auto"/>
        </w:rPr>
      </w:pPr>
    </w:p>
    <w:p>
      <w:pPr>
        <w:ind w:right="60" w:firstLine="537"/>
        <w:spacing w:after="0" w:line="251"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66" w:lineRule="exact"/>
        <w:rPr>
          <w:sz w:val="20"/>
          <w:szCs w:val="20"/>
          <w:color w:val="auto"/>
        </w:rPr>
      </w:pPr>
    </w:p>
    <w:p>
      <w:pPr>
        <w:ind w:left="540"/>
        <w:spacing w:after="0"/>
        <w:tabs>
          <w:tab w:leader="none" w:pos="176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19"/>
          <w:szCs w:val="19"/>
          <w:u w:val="single" w:color="auto"/>
          <w:color w:val="auto"/>
        </w:rPr>
        <w:t>Enforcement</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right="380" w:firstLine="1194"/>
        <w:spacing w:after="0" w:line="262" w:lineRule="auto"/>
        <w:tabs>
          <w:tab w:leader="none" w:pos="1789"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expressly confirms and agrees that it has entered into this Agreement and assumed the obligations imposed on it hereby in order to induce Indemnitee to [serve][continue to serve] as [a director][and][an officer] of the Company,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21" w:right="33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20"/>
          <w:szCs w:val="20"/>
          <w:color w:val="auto"/>
        </w:rPr>
        <w:t>acknowledges that Indemnitee is relying upon this Agreement in serving as [a director][and][an officer] of the Company.</w:t>
      </w:r>
    </w:p>
    <w:p>
      <w:pPr>
        <w:spacing w:after="0" w:line="206" w:lineRule="exact"/>
        <w:rPr>
          <w:sz w:val="20"/>
          <w:szCs w:val="20"/>
          <w:color w:val="auto"/>
        </w:rPr>
      </w:pPr>
    </w:p>
    <w:p>
      <w:pPr>
        <w:ind w:right="160" w:firstLine="1194"/>
        <w:spacing w:after="0" w:line="256" w:lineRule="auto"/>
        <w:tabs>
          <w:tab w:leader="none" w:pos="1788"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Agreement is a supplement to and in furtherance of the Charter, the Bylaws and applicable law, and shall not be deemed a substitute therefor, nor to diminish or abrogate any rights of Indemnitee thereunder.</w:t>
      </w:r>
    </w:p>
    <w:p>
      <w:pPr>
        <w:spacing w:after="0" w:line="164" w:lineRule="exact"/>
        <w:rPr>
          <w:sz w:val="20"/>
          <w:szCs w:val="20"/>
          <w:color w:val="auto"/>
        </w:rPr>
      </w:pPr>
    </w:p>
    <w:p>
      <w:pPr>
        <w:ind w:firstLine="537"/>
        <w:spacing w:after="0" w:line="254" w:lineRule="auto"/>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Modification and Waiver</w:t>
      </w:r>
      <w:r>
        <w:rPr>
          <w:rFonts w:ascii="Times New Roman" w:cs="Times New Roman" w:eastAsia="Times New Roman" w:hAnsi="Times New Roman"/>
          <w:sz w:val="20"/>
          <w:szCs w:val="20"/>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64" w:lineRule="exact"/>
        <w:rPr>
          <w:sz w:val="20"/>
          <w:szCs w:val="20"/>
          <w:color w:val="auto"/>
        </w:rPr>
      </w:pPr>
    </w:p>
    <w:p>
      <w:pPr>
        <w:ind w:right="280" w:firstLine="537"/>
        <w:spacing w:after="0" w:line="251" w:lineRule="auto"/>
        <w:rPr>
          <w:sz w:val="20"/>
          <w:szCs w:val="20"/>
          <w:color w:val="auto"/>
        </w:rPr>
      </w:pPr>
      <w:r>
        <w:rPr>
          <w:rFonts w:ascii="Times New Roman" w:cs="Times New Roman" w:eastAsia="Times New Roman" w:hAnsi="Times New Roman"/>
          <w:sz w:val="20"/>
          <w:szCs w:val="20"/>
          <w:color w:val="auto"/>
        </w:rPr>
        <w:t xml:space="preserve">Section 18. </w:t>
      </w:r>
      <w:r>
        <w:rPr>
          <w:rFonts w:ascii="Times New Roman" w:cs="Times New Roman" w:eastAsia="Times New Roman" w:hAnsi="Times New Roman"/>
          <w:sz w:val="20"/>
          <w:szCs w:val="20"/>
          <w:u w:val="single" w:color="auto"/>
          <w:color w:val="auto"/>
        </w:rPr>
        <w:t>Notice by Indemnitee</w:t>
      </w:r>
      <w:r>
        <w:rPr>
          <w:rFonts w:ascii="Times New Roman" w:cs="Times New Roman" w:eastAsia="Times New Roman" w:hAnsi="Times New Roman"/>
          <w:sz w:val="20"/>
          <w:szCs w:val="20"/>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70" w:lineRule="exact"/>
        <w:rPr>
          <w:sz w:val="20"/>
          <w:szCs w:val="20"/>
          <w:color w:val="auto"/>
        </w:rPr>
      </w:pPr>
    </w:p>
    <w:p>
      <w:pPr>
        <w:ind w:right="60" w:firstLine="537"/>
        <w:spacing w:after="0" w:line="254" w:lineRule="auto"/>
        <w:rPr>
          <w:sz w:val="20"/>
          <w:szCs w:val="20"/>
          <w:color w:val="auto"/>
        </w:rPr>
      </w:pPr>
      <w:r>
        <w:rPr>
          <w:rFonts w:ascii="Times New Roman" w:cs="Times New Roman" w:eastAsia="Times New Roman" w:hAnsi="Times New Roman"/>
          <w:sz w:val="20"/>
          <w:szCs w:val="20"/>
          <w:color w:val="auto"/>
        </w:rPr>
        <w:t xml:space="preserve">Section 19.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64" w:lineRule="exact"/>
        <w:rPr>
          <w:sz w:val="20"/>
          <w:szCs w:val="20"/>
          <w:color w:val="auto"/>
        </w:rPr>
      </w:pPr>
    </w:p>
    <w:p>
      <w:pPr>
        <w:ind w:left="1780" w:hanging="586"/>
        <w:spacing w:after="0"/>
        <w:tabs>
          <w:tab w:leader="none" w:pos="1780"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Indemnitee, at such address as Indemnitee shall provide to the Company.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39"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00"/>
          </w:cols>
          <w:pgMar w:left="320" w:top="1321" w:right="379" w:bottom="1440" w:gutter="0" w:footer="0" w:header="0"/>
        </w:sectPr>
      </w:pPr>
    </w:p>
    <w:bookmarkStart w:id="485" w:name="page486"/>
    <w:bookmarkEnd w:id="485"/>
    <w:p>
      <w:pPr>
        <w:ind w:left="1780" w:hanging="586"/>
        <w:spacing w:after="0"/>
        <w:tabs>
          <w:tab w:leader="none" w:pos="178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w:t>
      </w:r>
    </w:p>
    <w:p>
      <w:pPr>
        <w:spacing w:after="0" w:line="205" w:lineRule="exact"/>
        <w:rPr>
          <w:rFonts w:ascii="Times New Roman" w:cs="Times New Roman" w:eastAsia="Times New Roman" w:hAnsi="Times New Roman"/>
          <w:sz w:val="20"/>
          <w:szCs w:val="20"/>
          <w:color w:val="auto"/>
        </w:rPr>
      </w:pPr>
    </w:p>
    <w:p>
      <w:pPr>
        <w:ind w:left="1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ThredUp Inc.</w:t>
      </w:r>
    </w:p>
    <w:p>
      <w:pPr>
        <w:spacing w:after="0" w:line="28" w:lineRule="exact"/>
        <w:rPr>
          <w:rFonts w:ascii="Times New Roman" w:cs="Times New Roman" w:eastAsia="Times New Roman" w:hAnsi="Times New Roman"/>
          <w:sz w:val="20"/>
          <w:szCs w:val="20"/>
          <w:color w:val="auto"/>
        </w:rPr>
      </w:pPr>
    </w:p>
    <w:p>
      <w:pPr>
        <w:ind w:left="1800" w:right="7220"/>
        <w:spacing w:after="0" w:line="27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969 Broadway, Suite 200 Oakland, CA 94607 Attention: General Counsel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to any other address as may have been furnished to Indemnitee by the Company.</w:t>
      </w:r>
    </w:p>
    <w:p>
      <w:pPr>
        <w:spacing w:after="0" w:line="206" w:lineRule="exact"/>
        <w:rPr>
          <w:sz w:val="20"/>
          <w:szCs w:val="20"/>
          <w:color w:val="auto"/>
        </w:rPr>
      </w:pPr>
    </w:p>
    <w:p>
      <w:pPr>
        <w:ind w:firstLine="537"/>
        <w:spacing w:after="0" w:line="251" w:lineRule="auto"/>
        <w:rPr>
          <w:sz w:val="20"/>
          <w:szCs w:val="20"/>
          <w:color w:val="auto"/>
        </w:rPr>
      </w:pPr>
      <w:r>
        <w:rPr>
          <w:rFonts w:ascii="Times New Roman" w:cs="Times New Roman" w:eastAsia="Times New Roman" w:hAnsi="Times New Roman"/>
          <w:sz w:val="20"/>
          <w:szCs w:val="20"/>
          <w:color w:val="auto"/>
        </w:rPr>
        <w:t xml:space="preserve">Section 20. </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70" w:lineRule="exact"/>
        <w:rPr>
          <w:sz w:val="20"/>
          <w:szCs w:val="20"/>
          <w:color w:val="auto"/>
        </w:rPr>
      </w:pPr>
    </w:p>
    <w:p>
      <w:pPr>
        <w:ind w:right="100" w:firstLine="537"/>
        <w:spacing w:after="0" w:line="251"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Internal Revenue Code Section 409A</w:t>
      </w:r>
      <w:r>
        <w:rPr>
          <w:rFonts w:ascii="Times New Roman" w:cs="Times New Roman" w:eastAsia="Times New Roman" w:hAnsi="Times New Roman"/>
          <w:sz w:val="20"/>
          <w:szCs w:val="20"/>
          <w:color w:val="auto"/>
        </w:rPr>
        <w:t>. The Company intends for this Agreement to comply with the Indemnification exception under Section 1.409A-1(b)(10) of the regulations promulgated under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70" w:lineRule="exact"/>
        <w:rPr>
          <w:sz w:val="20"/>
          <w:szCs w:val="20"/>
          <w:color w:val="auto"/>
        </w:rPr>
      </w:pPr>
    </w:p>
    <w:p>
      <w:pPr>
        <w:ind w:firstLine="537"/>
        <w:spacing w:after="0" w:line="250"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Applicable Law and Consent to Jurisdiction</w:t>
      </w:r>
      <w:r>
        <w:rPr>
          <w:rFonts w:ascii="Times New Roman" w:cs="Times New Roman" w:eastAsia="Times New Roman" w:hAnsi="Times New Roman"/>
          <w:sz w:val="20"/>
          <w:szCs w:val="20"/>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00"/>
          </w:cols>
          <w:pgMar w:left="320" w:top="1321" w:right="379" w:bottom="1440" w:gutter="0" w:footer="0" w:header="0"/>
        </w:sectPr>
      </w:pPr>
    </w:p>
    <w:bookmarkStart w:id="486" w:name="page487"/>
    <w:bookmarkEnd w:id="486"/>
    <w:p>
      <w:pPr>
        <w:ind w:right="560" w:firstLine="537"/>
        <w:spacing w:after="0" w:line="277"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paragraphs of this Agreement are inserted for convenience only and shall not be deemed to constitute part of this Agreement or to affect the construction thereof.</w:t>
      </w:r>
    </w:p>
    <w:p>
      <w:pPr>
        <w:spacing w:after="0" w:line="141" w:lineRule="exact"/>
        <w:rPr>
          <w:sz w:val="20"/>
          <w:szCs w:val="20"/>
          <w:color w:val="auto"/>
        </w:rPr>
      </w:pPr>
    </w:p>
    <w:p>
      <w:pPr>
        <w:jc w:val="both"/>
        <w:ind w:right="400" w:firstLine="537"/>
        <w:spacing w:after="0" w:line="282" w:lineRule="auto"/>
        <w:rPr>
          <w:sz w:val="20"/>
          <w:szCs w:val="20"/>
          <w:color w:val="auto"/>
        </w:rPr>
      </w:pPr>
      <w:r>
        <w:rPr>
          <w:rFonts w:ascii="Times New Roman" w:cs="Times New Roman" w:eastAsia="Times New Roman" w:hAnsi="Times New Roman"/>
          <w:sz w:val="19"/>
          <w:szCs w:val="19"/>
          <w:color w:val="auto"/>
        </w:rPr>
        <w:t xml:space="preserve">Section 24. </w:t>
      </w:r>
      <w:r>
        <w:rPr>
          <w:rFonts w:ascii="Times New Roman" w:cs="Times New Roman" w:eastAsia="Times New Roman" w:hAnsi="Times New Roman"/>
          <w:sz w:val="19"/>
          <w:szCs w:val="19"/>
          <w:u w:val="single" w:color="auto"/>
          <w:color w:val="auto"/>
        </w:rPr>
        <w:t>Identical Counterparts</w:t>
      </w:r>
      <w:r>
        <w:rPr>
          <w:rFonts w:ascii="Times New Roman" w:cs="Times New Roman" w:eastAsia="Times New Roman" w:hAnsi="Times New Roman"/>
          <w:sz w:val="19"/>
          <w:szCs w:val="19"/>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38" w:lineRule="exact"/>
        <w:rPr>
          <w:sz w:val="20"/>
          <w:szCs w:val="20"/>
          <w:color w:val="auto"/>
        </w:rPr>
      </w:pPr>
    </w:p>
    <w:p>
      <w:pPr>
        <w:ind w:firstLine="537"/>
        <w:spacing w:after="0" w:line="250" w:lineRule="auto"/>
        <w:rPr>
          <w:sz w:val="20"/>
          <w:szCs w:val="20"/>
          <w:color w:val="auto"/>
        </w:rPr>
      </w:pPr>
      <w:r>
        <w:rPr>
          <w:rFonts w:ascii="Times New Roman" w:cs="Times New Roman" w:eastAsia="Times New Roman" w:hAnsi="Times New Roman"/>
          <w:sz w:val="20"/>
          <w:szCs w:val="20"/>
          <w:color w:val="auto"/>
        </w:rPr>
        <w:t xml:space="preserve">Section 25. </w:t>
      </w:r>
      <w:r>
        <w:rPr>
          <w:rFonts w:ascii="Times New Roman" w:cs="Times New Roman" w:eastAsia="Times New Roman" w:hAnsi="Times New Roman"/>
          <w:sz w:val="20"/>
          <w:szCs w:val="20"/>
          <w:u w:val="single" w:color="auto"/>
          <w:color w:val="auto"/>
        </w:rPr>
        <w:t>Monetary Damages Insufficient/Specific Enforcement</w:t>
      </w:r>
      <w:r>
        <w:rPr>
          <w:rFonts w:ascii="Times New Roman" w:cs="Times New Roman" w:eastAsia="Times New Roman" w:hAnsi="Times New Roman"/>
          <w:sz w:val="20"/>
          <w:szCs w:val="20"/>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80"/>
          </w:cols>
          <w:pgMar w:left="320" w:top="1321" w:right="39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9"/>
          <w:szCs w:val="19"/>
          <w:color w:val="auto"/>
        </w:rPr>
        <w:t>IN WITNESS WHEREOF, the parties have caused this Agreement to be signed as of the day and year first above written.</w:t>
      </w:r>
    </w:p>
    <w:p>
      <w:pPr>
        <w:spacing w:after="0" w:line="2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4279265</wp:posOffset>
            </wp:positionH>
            <wp:positionV relativeFrom="paragraph">
              <wp:posOffset>27940</wp:posOffset>
            </wp:positionV>
            <wp:extent cx="252031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20315" cy="7620"/>
                    </a:xfrm>
                    <a:prstGeom prst="rect">
                      <a:avLst/>
                    </a:prstGeom>
                    <a:noFill/>
                  </pic:spPr>
                </pic:pic>
              </a:graphicData>
            </a:graphic>
          </wp:anchor>
        </w:drawing>
      </w:r>
    </w:p>
    <w:p>
      <w:pPr>
        <w:spacing w:after="0" w:line="4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Name:</w:t>
      </w:r>
    </w:p>
    <w:p>
      <w:pPr>
        <w:spacing w:after="0" w:line="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4279265</wp:posOffset>
            </wp:positionH>
            <wp:positionV relativeFrom="paragraph">
              <wp:posOffset>660400</wp:posOffset>
            </wp:positionV>
            <wp:extent cx="252031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203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[Name of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i w:val="1"/>
          <w:iCs w:val="1"/>
          <w:color w:val="auto"/>
        </w:rPr>
        <w:t>Signature Page to Indemnification Agreement</w:t>
      </w:r>
    </w:p>
    <w:p>
      <w:pPr>
        <w:sectPr>
          <w:pgSz w:w="11900" w:h="16838" w:orient="portrait"/>
          <w:cols w:equalWidth="0" w:num="1">
            <w:col w:w="9700"/>
          </w:cols>
          <w:pgMar w:left="860" w:top="1321" w:right="1339" w:bottom="1440" w:gutter="0" w:footer="0" w:header="0"/>
        </w:sectPr>
      </w:pPr>
    </w:p>
    <w:bookmarkStart w:id="488" w:name="page489"/>
    <w:bookmarkEnd w:id="488"/>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3"/>
          <w:szCs w:val="23"/>
          <w:b w:val="1"/>
          <w:bCs w:val="1"/>
          <w:color w:val="auto"/>
        </w:rPr>
        <w:t>THREDUP, INC.</w:t>
      </w:r>
    </w:p>
    <w:p>
      <w:pPr>
        <w:spacing w:after="0" w:line="15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3"/>
          <w:szCs w:val="23"/>
          <w:b w:val="1"/>
          <w:bCs w:val="1"/>
          <w:color w:val="auto"/>
        </w:rPr>
        <w:t>SECOND AMENDED AND RESTATED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2010 STOCK INCENTIVE PLAN</w:t>
      </w:r>
    </w:p>
    <w:p>
      <w:pPr>
        <w:spacing w:after="0" w:line="1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color w:val="auto"/>
        </w:rPr>
        <w:t>(as amended on February 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GENERAL PURPOSE OF THE PLAN; DEFINITIONS</w:t>
      </w:r>
    </w:p>
    <w:p>
      <w:pPr>
        <w:spacing w:after="0" w:line="156"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The name of the plan is the ThredUp, Inc. Second Amended and Restated 2010 Stock Incentive Plan (the “Plan”). The purpose of the Plan is to encourage and enable the officers, employees, directors, Consultants and other key persons (including prospective employees, but conditioned on their employment) of ThredUp, Inc., a Delaware corporation (including any successor entity, the “Company”) and any Subsidiary, upon whose judgment, initiative and efforts the Company largely depends for the successful conduct of its business, to acquire a proprietary interest in the Company.</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terms shall be defined as set forth below:</w:t>
      </w:r>
    </w:p>
    <w:p>
      <w:pPr>
        <w:spacing w:after="0" w:line="152" w:lineRule="exact"/>
        <w:rPr>
          <w:sz w:val="20"/>
          <w:szCs w:val="20"/>
          <w:color w:val="auto"/>
        </w:rPr>
      </w:pPr>
    </w:p>
    <w:p>
      <w:pPr>
        <w:jc w:val="both"/>
        <w:ind w:firstLine="597"/>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Affiliate</w:t>
      </w:r>
      <w:r>
        <w:rPr>
          <w:rFonts w:ascii="Times New Roman" w:cs="Times New Roman" w:eastAsia="Times New Roman" w:hAnsi="Times New Roman"/>
          <w:sz w:val="20"/>
          <w:szCs w:val="20"/>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06" w:lineRule="exact"/>
        <w:rPr>
          <w:sz w:val="20"/>
          <w:szCs w:val="20"/>
          <w:color w:val="auto"/>
        </w:rPr>
      </w:pPr>
    </w:p>
    <w:p>
      <w:pPr>
        <w:jc w:val="both"/>
        <w:ind w:firstLine="597"/>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Awards,</w:t>
      </w:r>
      <w:r>
        <w:rPr>
          <w:rFonts w:ascii="Times New Roman" w:cs="Times New Roman" w:eastAsia="Times New Roman" w:hAnsi="Times New Roman"/>
          <w:sz w:val="20"/>
          <w:szCs w:val="20"/>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00" w:lineRule="exact"/>
        <w:rPr>
          <w:sz w:val="20"/>
          <w:szCs w:val="20"/>
          <w:color w:val="auto"/>
        </w:rPr>
      </w:pPr>
    </w:p>
    <w:p>
      <w:pPr>
        <w:jc w:val="both"/>
        <w:ind w:firstLine="597"/>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“Award Agreement” </w:t>
      </w:r>
      <w:r>
        <w:rPr>
          <w:rFonts w:ascii="Times New Roman" w:cs="Times New Roman" w:eastAsia="Times New Roman" w:hAnsi="Times New Roman"/>
          <w:sz w:val="20"/>
          <w:szCs w:val="20"/>
          <w:color w:val="auto"/>
        </w:rPr>
        <w:t>means a written or electronic agreement setting forth the terms and provisions applicable to an Award granted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under the Plan. Each Award Agreement may contain terms and conditions in addition to those set forth in the Plan;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except to the extent explicitly provided to the contrary, in the event of any conflict in the terms of the Plan and the Award Agreement, the terms of the Plan shall govern</w:t>
      </w:r>
      <w:r>
        <w:rPr>
          <w:rFonts w:ascii="Times New Roman" w:cs="Times New Roman" w:eastAsia="Times New Roman" w:hAnsi="Times New Roman"/>
          <w:sz w:val="20"/>
          <w:szCs w:val="20"/>
          <w:b w:val="1"/>
          <w:bCs w:val="1"/>
          <w:color w:val="auto"/>
        </w:rPr>
        <w:t>.</w:t>
      </w:r>
    </w:p>
    <w:p>
      <w:pPr>
        <w:spacing w:after="0" w:line="106" w:lineRule="exact"/>
        <w:rPr>
          <w:sz w:val="20"/>
          <w:szCs w:val="20"/>
          <w:color w:val="auto"/>
        </w:rPr>
      </w:pPr>
    </w:p>
    <w:p>
      <w:pPr>
        <w:jc w:val="both"/>
        <w:ind w:firstLine="5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Bankruptcy</w:t>
      </w:r>
      <w:r>
        <w:rPr>
          <w:rFonts w:ascii="Times New Roman" w:cs="Times New Roman" w:eastAsia="Times New Roman" w:hAnsi="Times New Roman"/>
          <w:sz w:val="19"/>
          <w:szCs w:val="19"/>
          <w:color w:val="auto"/>
        </w:rPr>
        <w:t>” shall mean (i) the filing of a voluntary petition under any bankruptcy or insolvency law, or a petition for the appointment of a receiver or the making of an assignment for the benefit of creditors, with respect to the Holder, (ii) the Holder being subjected involuntarily to such a petition or assignment or to an attachment or other legal or equitable interest with respect to the Holder’ s assets, which involuntary petition or assignment or attachment is not discharged within 60 days after its date, or (iii) the Holder being subject to a transfer of its Issued Shares or Award(s) by operation of law (including by divorce, even if not insolvent), except by reason of death.</w:t>
      </w:r>
    </w:p>
    <w:p>
      <w:pPr>
        <w:spacing w:after="0" w:line="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Board</w:t>
      </w:r>
      <w:r>
        <w:rPr>
          <w:rFonts w:ascii="Times New Roman" w:cs="Times New Roman" w:eastAsia="Times New Roman" w:hAnsi="Times New Roman"/>
          <w:sz w:val="20"/>
          <w:szCs w:val="20"/>
          <w:color w:val="auto"/>
        </w:rPr>
        <w:t>” means the Board of Directors of the Company.</w:t>
      </w:r>
    </w:p>
    <w:p>
      <w:pPr>
        <w:sectPr>
          <w:pgSz w:w="11900" w:h="16838" w:orient="portrait"/>
          <w:cols w:equalWidth="0" w:num="1">
            <w:col w:w="11240"/>
          </w:cols>
          <w:pgMar w:left="320" w:top="119" w:right="339" w:bottom="1440" w:gutter="0" w:footer="0" w:header="0"/>
        </w:sectPr>
      </w:pPr>
    </w:p>
    <w:bookmarkStart w:id="489" w:name="page490"/>
    <w:bookmarkEnd w:id="489"/>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Cause</w:t>
      </w:r>
      <w:r>
        <w:rPr>
          <w:rFonts w:ascii="Times New Roman" w:cs="Times New Roman" w:eastAsia="Times New Roman" w:hAnsi="Times New Roman"/>
          <w:sz w:val="20"/>
          <w:szCs w:val="20"/>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of the Company’s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violation of any provision of any agreement(s) between the grantee and the Company relating to noncompetition, nondisclosure and/or assignment of inventions.</w:t>
      </w:r>
    </w:p>
    <w:p>
      <w:pPr>
        <w:spacing w:after="0" w:line="112"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i w:val="1"/>
          <w:iCs w:val="1"/>
          <w:color w:val="auto"/>
        </w:rPr>
        <w:t xml:space="preserve">“Chief Executive Officer” </w:t>
      </w:r>
      <w:r>
        <w:rPr>
          <w:rFonts w:ascii="Times New Roman" w:cs="Times New Roman" w:eastAsia="Times New Roman" w:hAnsi="Times New Roman"/>
          <w:sz w:val="20"/>
          <w:szCs w:val="20"/>
          <w:color w:val="auto"/>
        </w:rPr>
        <w:t>means the Chief Executive Officer of the Company or, if there is no Chief Executive Officer, then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President of the Company.</w:t>
      </w:r>
    </w:p>
    <w:p>
      <w:pPr>
        <w:spacing w:after="0" w:line="84"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means the Internal Revenue Code of 1986, as amended, and any successor Code, and related rules, regulations and interpretations.</w:t>
      </w:r>
    </w:p>
    <w:p>
      <w:pPr>
        <w:spacing w:after="0" w:line="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Committee</w:t>
      </w:r>
      <w:r>
        <w:rPr>
          <w:rFonts w:ascii="Times New Roman" w:cs="Times New Roman" w:eastAsia="Times New Roman" w:hAnsi="Times New Roman"/>
          <w:sz w:val="20"/>
          <w:szCs w:val="20"/>
          <w:color w:val="auto"/>
        </w:rPr>
        <w:t>” means the Committee of the Board referred to in Section 2.</w:t>
      </w:r>
    </w:p>
    <w:p>
      <w:pPr>
        <w:spacing w:after="0" w:line="156" w:lineRule="exact"/>
        <w:rPr>
          <w:sz w:val="20"/>
          <w:szCs w:val="20"/>
          <w:color w:val="auto"/>
        </w:rPr>
      </w:pPr>
    </w:p>
    <w:p>
      <w:pPr>
        <w:jc w:val="both"/>
        <w:ind w:firstLine="597"/>
        <w:spacing w:after="0" w:line="264" w:lineRule="auto"/>
        <w:rPr>
          <w:sz w:val="20"/>
          <w:szCs w:val="20"/>
          <w:color w:val="auto"/>
        </w:rPr>
      </w:pPr>
      <w:r>
        <w:rPr>
          <w:rFonts w:ascii="Times New Roman" w:cs="Times New Roman" w:eastAsia="Times New Roman" w:hAnsi="Times New Roman"/>
          <w:sz w:val="20"/>
          <w:szCs w:val="20"/>
          <w:i w:val="1"/>
          <w:iCs w:val="1"/>
          <w:color w:val="auto"/>
        </w:rPr>
        <w:t xml:space="preserve">“Consultant” </w:t>
      </w:r>
      <w:r>
        <w:rPr>
          <w:rFonts w:ascii="Times New Roman" w:cs="Times New Roman" w:eastAsia="Times New Roman" w:hAnsi="Times New Roman"/>
          <w:sz w:val="20"/>
          <w:szCs w:val="20"/>
          <w:color w:val="auto"/>
        </w:rPr>
        <w:t>means any natural person that provides bona fide services to the Company (including a Subsidiary), and such services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not in connection with the offer or sale of securities in a capital-raising transaction and do not directly or indirectly promote or maintain a market for the Company’s securities.</w:t>
      </w:r>
    </w:p>
    <w:p>
      <w:pPr>
        <w:spacing w:after="0" w:line="1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means “disability” as defined in Section 422(c) of the Code.</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Effective Date</w:t>
      </w:r>
      <w:r>
        <w:rPr>
          <w:rFonts w:ascii="Times New Roman" w:cs="Times New Roman" w:eastAsia="Times New Roman" w:hAnsi="Times New Roman"/>
          <w:sz w:val="20"/>
          <w:szCs w:val="20"/>
          <w:color w:val="auto"/>
        </w:rPr>
        <w:t>” means the date on which the Plan is adopted as set forth on the final page of the Plan.</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thereunder.</w:t>
      </w:r>
    </w:p>
    <w:p>
      <w:pPr>
        <w:spacing w:after="0" w:line="156" w:lineRule="exact"/>
        <w:rPr>
          <w:sz w:val="20"/>
          <w:szCs w:val="20"/>
          <w:color w:val="auto"/>
        </w:rPr>
      </w:pPr>
    </w:p>
    <w:p>
      <w:pPr>
        <w:jc w:val="both"/>
        <w:ind w:firstLine="59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Fair Market Value</w:t>
      </w:r>
      <w:r>
        <w:rPr>
          <w:rFonts w:ascii="Times New Roman" w:cs="Times New Roman" w:eastAsia="Times New Roman" w:hAnsi="Times New Roman"/>
          <w:sz w:val="20"/>
          <w:szCs w:val="20"/>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13" w:lineRule="exact"/>
        <w:rPr>
          <w:sz w:val="20"/>
          <w:szCs w:val="20"/>
          <w:color w:val="auto"/>
        </w:rPr>
      </w:pPr>
    </w:p>
    <w:p>
      <w:pPr>
        <w:jc w:val="both"/>
        <w:ind w:firstLine="597"/>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Good Reason”</w:t>
      </w:r>
      <w:r>
        <w:rPr>
          <w:rFonts w:ascii="Times New Roman" w:cs="Times New Roman" w:eastAsia="Times New Roman" w:hAnsi="Times New Roman"/>
          <w:sz w:val="20"/>
          <w:szCs w:val="20"/>
          <w:color w:val="auto"/>
        </w:rPr>
        <w:t xml:space="preserve"> shall have the meaning set forth in the Award Agreement(s). In the case that any Award Agreement does not contain a 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in which the grantee provides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17" w:right="339" w:bottom="1440" w:gutter="0" w:footer="0" w:header="0"/>
        </w:sectPr>
      </w:pPr>
    </w:p>
    <w:bookmarkStart w:id="490" w:name="page491"/>
    <w:bookmarkEnd w:id="490"/>
    <w:p>
      <w:pPr>
        <w:jc w:val="both"/>
        <w:spacing w:after="0" w:line="277" w:lineRule="auto"/>
        <w:rPr>
          <w:sz w:val="20"/>
          <w:szCs w:val="20"/>
          <w:color w:val="auto"/>
        </w:rPr>
      </w:pPr>
      <w:r>
        <w:rPr>
          <w:rFonts w:ascii="Times New Roman" w:cs="Times New Roman" w:eastAsia="Times New Roman" w:hAnsi="Times New Roman"/>
          <w:sz w:val="20"/>
          <w:szCs w:val="20"/>
          <w:color w:val="auto"/>
        </w:rPr>
        <w:t>to the Company, so long as the grantee provides at least 90 days’ notice to the Company following the initial occurrence of any such event and the Company fails to cure such event within 30 days thereafter.</w:t>
      </w:r>
    </w:p>
    <w:p>
      <w:pPr>
        <w:spacing w:after="0" w:line="87"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Grant Date”</w:t>
      </w:r>
      <w:r>
        <w:rPr>
          <w:rFonts w:ascii="Times New Roman" w:cs="Times New Roman" w:eastAsia="Times New Roman" w:hAnsi="Times New Roman"/>
          <w:sz w:val="20"/>
          <w:szCs w:val="20"/>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84"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i w:val="1"/>
          <w:iCs w:val="1"/>
          <w:color w:val="auto"/>
        </w:rPr>
        <w:t xml:space="preserve">“Holder” </w:t>
      </w:r>
      <w:r>
        <w:rPr>
          <w:rFonts w:ascii="Times New Roman" w:cs="Times New Roman" w:eastAsia="Times New Roman" w:hAnsi="Times New Roman"/>
          <w:sz w:val="20"/>
          <w:szCs w:val="20"/>
          <w:color w:val="auto"/>
        </w:rPr>
        <w:t>means, with respect to an Award or any Issued Shares, the Person holding such Award or Issued Shares, including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initial recipient of the Award or any Permitted Transferee.</w:t>
      </w:r>
    </w:p>
    <w:p>
      <w:pPr>
        <w:spacing w:after="0" w:line="84"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Incentive Stock Option</w:t>
      </w:r>
      <w:r>
        <w:rPr>
          <w:rFonts w:ascii="Times New Roman" w:cs="Times New Roman" w:eastAsia="Times New Roman" w:hAnsi="Times New Roman"/>
          <w:sz w:val="20"/>
          <w:szCs w:val="20"/>
          <w:color w:val="auto"/>
        </w:rPr>
        <w:t>” means any Stock Option designated and qualified as an “incentive stock option” as defined in Section 422 of the Code.</w:t>
      </w:r>
    </w:p>
    <w:p>
      <w:pPr>
        <w:spacing w:after="0" w:line="84" w:lineRule="exact"/>
        <w:rPr>
          <w:sz w:val="20"/>
          <w:szCs w:val="20"/>
          <w:color w:val="auto"/>
        </w:rPr>
      </w:pPr>
    </w:p>
    <w:p>
      <w:pPr>
        <w:jc w:val="both"/>
        <w:ind w:firstLine="597"/>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Initial Public Offering</w:t>
      </w:r>
      <w:r>
        <w:rPr>
          <w:rFonts w:ascii="Times New Roman" w:cs="Times New Roman" w:eastAsia="Times New Roman" w:hAnsi="Times New Roman"/>
          <w:sz w:val="20"/>
          <w:szCs w:val="20"/>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00"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i w:val="1"/>
          <w:iCs w:val="1"/>
          <w:color w:val="auto"/>
        </w:rPr>
        <w:t xml:space="preserve">“Issued Shares” </w:t>
      </w:r>
      <w:r>
        <w:rPr>
          <w:rFonts w:ascii="Times New Roman" w:cs="Times New Roman" w:eastAsia="Times New Roman" w:hAnsi="Times New Roman"/>
          <w:sz w:val="20"/>
          <w:szCs w:val="20"/>
          <w:color w:val="auto"/>
        </w:rPr>
        <w:t>means, collectively, all outstanding Shares issued pursuant to Restricted Stock Awards, Unrestricted Stock Awards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Restricted Stock Units and all Option Shares.</w:t>
      </w:r>
    </w:p>
    <w:p>
      <w:pPr>
        <w:spacing w:after="0" w:line="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NASDAQ</w:t>
      </w:r>
      <w:r>
        <w:rPr>
          <w:rFonts w:ascii="Times New Roman" w:cs="Times New Roman" w:eastAsia="Times New Roman" w:hAnsi="Times New Roman"/>
          <w:sz w:val="20"/>
          <w:szCs w:val="20"/>
          <w:color w:val="auto"/>
        </w:rPr>
        <w:t>” means the NASDAQ Stock Market LLC.</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Non-Qualified Stock Option</w:t>
      </w:r>
      <w:r>
        <w:rPr>
          <w:rFonts w:ascii="Times New Roman" w:cs="Times New Roman" w:eastAsia="Times New Roman" w:hAnsi="Times New Roman"/>
          <w:sz w:val="20"/>
          <w:szCs w:val="20"/>
          <w:color w:val="auto"/>
        </w:rPr>
        <w:t>” means any Stock Option that is not an Incentive Stock Option.</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Option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Stock Option</w:t>
      </w:r>
      <w:r>
        <w:rPr>
          <w:rFonts w:ascii="Times New Roman" w:cs="Times New Roman" w:eastAsia="Times New Roman" w:hAnsi="Times New Roman"/>
          <w:sz w:val="20"/>
          <w:szCs w:val="20"/>
          <w:color w:val="auto"/>
        </w:rPr>
        <w:t>” means any option to purchase shares of Stock granted pursuant to Section 5.</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 xml:space="preserve">“Option Shares” </w:t>
      </w:r>
      <w:r>
        <w:rPr>
          <w:rFonts w:ascii="Times New Roman" w:cs="Times New Roman" w:eastAsia="Times New Roman" w:hAnsi="Times New Roman"/>
          <w:sz w:val="20"/>
          <w:szCs w:val="20"/>
          <w:color w:val="auto"/>
        </w:rPr>
        <w:t>means outstanding shares of Stock that were issued to a Holder upon the exercise of a Stock Option.</w:t>
      </w:r>
    </w:p>
    <w:p>
      <w:pPr>
        <w:spacing w:after="0" w:line="156"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Transferees</w:t>
      </w:r>
      <w:r>
        <w:rPr>
          <w:rFonts w:ascii="Times New Roman" w:cs="Times New Roman" w:eastAsia="Times New Roman" w:hAnsi="Times New Roman"/>
          <w:sz w:val="20"/>
          <w:szCs w:val="20"/>
          <w:color w:val="auto"/>
        </w:rPr>
        <w:t>” shall mean any of the following to whom a Holder may transfer Issued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Times New Roman" w:cs="Times New Roman" w:eastAsia="Times New Roman" w:hAnsi="Times New Roman"/>
          <w:sz w:val="20"/>
          <w:szCs w:val="20"/>
          <w:i w:val="1"/>
          <w:iCs w:val="1"/>
          <w:color w:val="auto"/>
        </w:rPr>
        <w:t>; provided, however,</w:t>
      </w:r>
      <w:r>
        <w:rPr>
          <w:rFonts w:ascii="Times New Roman" w:cs="Times New Roman" w:eastAsia="Times New Roman" w:hAnsi="Times New Roman"/>
          <w:sz w:val="20"/>
          <w:szCs w:val="20"/>
          <w:color w:val="auto"/>
        </w:rPr>
        <w:t xml:space="preserve"> that any such trust does not require or permit distribution of any Issued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12"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shall mean any individual, corporation, partnership (limited or general), limited liability company, limited liability partnership, association, trust, joint venture, unincorporated organization or any similar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21" w:right="339" w:bottom="1440" w:gutter="0" w:footer="0" w:header="0"/>
        </w:sectPr>
      </w:pPr>
    </w:p>
    <w:bookmarkStart w:id="491" w:name="page492"/>
    <w:bookmarkEnd w:id="491"/>
    <w:p>
      <w:pPr>
        <w:ind w:left="600"/>
        <w:spacing w:after="0"/>
        <w:rPr>
          <w:sz w:val="20"/>
          <w:szCs w:val="20"/>
          <w:color w:val="auto"/>
        </w:rPr>
      </w:pPr>
      <w:r>
        <w:rPr>
          <w:rFonts w:ascii="Times New Roman" w:cs="Times New Roman" w:eastAsia="Times New Roman" w:hAnsi="Times New Roman"/>
          <w:sz w:val="20"/>
          <w:szCs w:val="20"/>
          <w:i w:val="1"/>
          <w:iCs w:val="1"/>
          <w:color w:val="auto"/>
        </w:rPr>
        <w:t xml:space="preserve">“Repurchase Event” </w:t>
      </w:r>
      <w:r>
        <w:rPr>
          <w:rFonts w:ascii="Times New Roman" w:cs="Times New Roman" w:eastAsia="Times New Roman" w:hAnsi="Times New Roman"/>
          <w:sz w:val="20"/>
          <w:szCs w:val="20"/>
          <w:color w:val="auto"/>
        </w:rPr>
        <w:t>means (i) a Sale Event or (ii) the Holder’s Bankruptcy.</w:t>
      </w:r>
    </w:p>
    <w:p>
      <w:pPr>
        <w:spacing w:after="0" w:line="156"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i w:val="1"/>
          <w:iCs w:val="1"/>
          <w:color w:val="auto"/>
        </w:rPr>
        <w:t xml:space="preserve">“Restricted Stock Award” </w:t>
      </w:r>
      <w:r>
        <w:rPr>
          <w:rFonts w:ascii="Times New Roman" w:cs="Times New Roman" w:eastAsia="Times New Roman" w:hAnsi="Times New Roman"/>
          <w:sz w:val="20"/>
          <w:szCs w:val="20"/>
          <w:color w:val="auto"/>
        </w:rPr>
        <w:t>means Awards granted pursuant to Section 6 and</w:t>
      </w:r>
      <w:r>
        <w:rPr>
          <w:rFonts w:ascii="Times New Roman" w:cs="Times New Roman" w:eastAsia="Times New Roman" w:hAnsi="Times New Roman"/>
          <w:sz w:val="20"/>
          <w:szCs w:val="20"/>
          <w:i w:val="1"/>
          <w:iCs w:val="1"/>
          <w:color w:val="auto"/>
        </w:rPr>
        <w:t xml:space="preserve"> “Restricted Stock” </w:t>
      </w:r>
      <w:r>
        <w:rPr>
          <w:rFonts w:ascii="Times New Roman" w:cs="Times New Roman" w:eastAsia="Times New Roman" w:hAnsi="Times New Roman"/>
          <w:sz w:val="20"/>
          <w:szCs w:val="20"/>
          <w:color w:val="auto"/>
        </w:rPr>
        <w:t>means Shares granted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Awards.</w:t>
      </w:r>
    </w:p>
    <w:p>
      <w:pPr>
        <w:spacing w:after="0" w:line="84" w:lineRule="exact"/>
        <w:rPr>
          <w:sz w:val="20"/>
          <w:szCs w:val="20"/>
          <w:color w:val="auto"/>
        </w:rPr>
      </w:pPr>
    </w:p>
    <w:p>
      <w:pPr>
        <w:jc w:val="both"/>
        <w:ind w:firstLine="597"/>
        <w:spacing w:after="0" w:line="281" w:lineRule="auto"/>
        <w:rPr>
          <w:sz w:val="20"/>
          <w:szCs w:val="20"/>
          <w:color w:val="auto"/>
        </w:rPr>
      </w:pPr>
      <w:r>
        <w:rPr>
          <w:rFonts w:ascii="Times New Roman" w:cs="Times New Roman" w:eastAsia="Times New Roman" w:hAnsi="Times New Roman"/>
          <w:sz w:val="20"/>
          <w:szCs w:val="20"/>
          <w:i w:val="1"/>
          <w:iCs w:val="1"/>
          <w:color w:val="auto"/>
        </w:rPr>
        <w:t xml:space="preserve">“Restricted Stock Unit” </w:t>
      </w:r>
      <w:r>
        <w:rPr>
          <w:rFonts w:ascii="Times New Roman" w:cs="Times New Roman" w:eastAsia="Times New Roman" w:hAnsi="Times New Roman"/>
          <w:sz w:val="20"/>
          <w:szCs w:val="20"/>
          <w:color w:val="auto"/>
        </w:rPr>
        <w:t>means an Award of phantom stock units to a grantee, which may be settled in cash or stock as determined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Committee, pursuant to Section 8.</w:t>
      </w:r>
    </w:p>
    <w:p>
      <w:pPr>
        <w:spacing w:after="0" w:line="84"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Sale Event”</w:t>
      </w:r>
      <w:r>
        <w:rPr>
          <w:rFonts w:ascii="Times New Roman" w:cs="Times New Roman" w:eastAsia="Times New Roman" w:hAnsi="Times New Roman"/>
          <w:sz w:val="20"/>
          <w:szCs w:val="20"/>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involving the Company in which the shares of voting stock of the Company outstanding immediately prior to such transaction represent or are converted into or exchanged for securities of the surviving or resulting entity immediately upon completion of such transaction which represent less than 50 percent of the outstanding voting power of such surviving or resulting entity,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1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 xml:space="preserve">“Section 409A” </w:t>
      </w:r>
      <w:r>
        <w:rPr>
          <w:rFonts w:ascii="Times New Roman" w:cs="Times New Roman" w:eastAsia="Times New Roman" w:hAnsi="Times New Roman"/>
          <w:sz w:val="20"/>
          <w:szCs w:val="20"/>
          <w:color w:val="auto"/>
        </w:rPr>
        <w:t>means Section 409A of the Code and the regulations and other guidance promulgated thereunder.</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means the Securities Act of 1933, as amended, and the rules and regulations thereunder.</w:t>
      </w:r>
    </w:p>
    <w:p>
      <w:pPr>
        <w:spacing w:after="0" w:line="156" w:lineRule="exact"/>
        <w:rPr>
          <w:sz w:val="20"/>
          <w:szCs w:val="20"/>
          <w:color w:val="auto"/>
        </w:rPr>
      </w:pPr>
    </w:p>
    <w:p>
      <w:pPr>
        <w:jc w:val="both"/>
        <w:ind w:firstLine="597"/>
        <w:spacing w:after="0" w:line="264" w:lineRule="auto"/>
        <w:rPr>
          <w:sz w:val="20"/>
          <w:szCs w:val="20"/>
          <w:color w:val="auto"/>
        </w:rPr>
      </w:pPr>
      <w:r>
        <w:rPr>
          <w:rFonts w:ascii="Times New Roman" w:cs="Times New Roman" w:eastAsia="Times New Roman" w:hAnsi="Times New Roman"/>
          <w:sz w:val="20"/>
          <w:szCs w:val="20"/>
          <w:i w:val="1"/>
          <w:iCs w:val="1"/>
          <w:color w:val="auto"/>
        </w:rPr>
        <w:t xml:space="preserve">“Service Relationship” </w:t>
      </w:r>
      <w:r>
        <w:rPr>
          <w:rFonts w:ascii="Times New Roman" w:cs="Times New Roman" w:eastAsia="Times New Roman" w:hAnsi="Times New Roman"/>
          <w:sz w:val="20"/>
          <w:szCs w:val="20"/>
          <w:color w:val="auto"/>
        </w:rPr>
        <w:t>means any relationship as a full-time employee, part-time employee, director or other key person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Consultants) of the Company or any Subsidiary or any successor entity (e.g., a Service Relationship shall be deemed to continue without interruption in the event an individual’s status changes from full-time employee to part-time employee or Consultant).</w:t>
      </w:r>
    </w:p>
    <w:p>
      <w:pPr>
        <w:spacing w:after="0" w:line="1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 xml:space="preserve">“Shares” </w:t>
      </w:r>
      <w:r>
        <w:rPr>
          <w:rFonts w:ascii="Times New Roman" w:cs="Times New Roman" w:eastAsia="Times New Roman" w:hAnsi="Times New Roman"/>
          <w:sz w:val="20"/>
          <w:szCs w:val="20"/>
          <w:color w:val="auto"/>
        </w:rPr>
        <w:t>means shares of Stock.</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Stock</w:t>
      </w:r>
      <w:r>
        <w:rPr>
          <w:rFonts w:ascii="Times New Roman" w:cs="Times New Roman" w:eastAsia="Times New Roman" w:hAnsi="Times New Roman"/>
          <w:sz w:val="20"/>
          <w:szCs w:val="20"/>
          <w:color w:val="auto"/>
        </w:rPr>
        <w:t>” means the Common Stock, par value $0.0001 per share, of the Company.</w:t>
      </w:r>
    </w:p>
    <w:p>
      <w:pPr>
        <w:spacing w:after="0" w:line="156" w:lineRule="exact"/>
        <w:rPr>
          <w:sz w:val="20"/>
          <w:szCs w:val="20"/>
          <w:color w:val="auto"/>
        </w:rPr>
      </w:pPr>
    </w:p>
    <w:p>
      <w:pPr>
        <w:ind w:right="420" w:firstLine="597"/>
        <w:spacing w:after="0" w:line="28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w:t>
      </w:r>
      <w:r>
        <w:rPr>
          <w:rFonts w:ascii="Times New Roman" w:cs="Times New Roman" w:eastAsia="Times New Roman" w:hAnsi="Times New Roman"/>
          <w:sz w:val="20"/>
          <w:szCs w:val="20"/>
          <w:color w:val="auto"/>
        </w:rPr>
        <w:t>” means any corporation or other entity (other than the Company) in which the Company has more than a 50 percent interest, either directly or indirectly.</w:t>
      </w:r>
    </w:p>
    <w:p>
      <w:pPr>
        <w:spacing w:after="0" w:line="84" w:lineRule="exact"/>
        <w:rPr>
          <w:sz w:val="20"/>
          <w:szCs w:val="20"/>
          <w:color w:val="auto"/>
        </w:rPr>
      </w:pPr>
    </w:p>
    <w:p>
      <w:pPr>
        <w:jc w:val="both"/>
        <w:ind w:firstLine="597"/>
        <w:spacing w:after="0" w:line="264" w:lineRule="auto"/>
        <w:rPr>
          <w:sz w:val="20"/>
          <w:szCs w:val="20"/>
          <w:color w:val="auto"/>
        </w:rPr>
      </w:pPr>
      <w:r>
        <w:rPr>
          <w:rFonts w:ascii="Times New Roman" w:cs="Times New Roman" w:eastAsia="Times New Roman" w:hAnsi="Times New Roman"/>
          <w:sz w:val="20"/>
          <w:szCs w:val="20"/>
          <w:i w:val="1"/>
          <w:iCs w:val="1"/>
          <w:color w:val="auto"/>
        </w:rPr>
        <w:t xml:space="preserve">“Ten Percent Owner” </w:t>
      </w:r>
      <w:r>
        <w:rPr>
          <w:rFonts w:ascii="Times New Roman" w:cs="Times New Roman" w:eastAsia="Times New Roman" w:hAnsi="Times New Roman"/>
          <w:sz w:val="20"/>
          <w:szCs w:val="20"/>
          <w:color w:val="auto"/>
        </w:rPr>
        <w:t>means an employee who owns or is deemed to own (by reason of the attribution rules of Section 424(d)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Code) more than 10 percent of the combined voting power of all classes of stock of the Company or any parent of the Company or any Subsidiary.</w:t>
      </w:r>
    </w:p>
    <w:p>
      <w:pPr>
        <w:spacing w:after="0" w:line="100" w:lineRule="exact"/>
        <w:rPr>
          <w:sz w:val="20"/>
          <w:szCs w:val="20"/>
          <w:color w:val="auto"/>
        </w:rPr>
      </w:pPr>
    </w:p>
    <w:p>
      <w:pPr>
        <w:jc w:val="both"/>
        <w:ind w:firstLine="597"/>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“Termination Event” </w:t>
      </w:r>
      <w:r>
        <w:rPr>
          <w:rFonts w:ascii="Times New Roman" w:cs="Times New Roman" w:eastAsia="Times New Roman" w:hAnsi="Times New Roman"/>
          <w:sz w:val="20"/>
          <w:szCs w:val="20"/>
          <w:color w:val="auto"/>
        </w:rPr>
        <w:t>means the termination of the Award recipient’s Service Relationship with the Company and its Subsidiaries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reason 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17" w:right="339" w:bottom="1440" w:gutter="0" w:footer="0" w:header="0"/>
        </w:sectPr>
      </w:pPr>
    </w:p>
    <w:bookmarkStart w:id="492" w:name="page493"/>
    <w:bookmarkEnd w:id="492"/>
    <w:p>
      <w:pPr>
        <w:jc w:val="both"/>
        <w:spacing w:after="0" w:line="256" w:lineRule="auto"/>
        <w:rPr>
          <w:sz w:val="20"/>
          <w:szCs w:val="20"/>
          <w:color w:val="auto"/>
        </w:rPr>
      </w:pPr>
      <w:r>
        <w:rPr>
          <w:rFonts w:ascii="Times New Roman" w:cs="Times New Roman" w:eastAsia="Times New Roman" w:hAnsi="Times New Roman"/>
          <w:sz w:val="20"/>
          <w:szCs w:val="20"/>
          <w:color w:val="auto"/>
        </w:rPr>
        <w:t>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10" w:lineRule="exact"/>
        <w:rPr>
          <w:sz w:val="20"/>
          <w:szCs w:val="20"/>
          <w:color w:val="auto"/>
        </w:rPr>
      </w:pPr>
    </w:p>
    <w:p>
      <w:pPr>
        <w:jc w:val="both"/>
        <w:ind w:firstLine="597"/>
        <w:spacing w:after="0" w:line="30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i w:val="1"/>
          <w:iCs w:val="1"/>
          <w:color w:val="auto"/>
        </w:rPr>
        <w:t>Unrestricted Stock Award”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means any Award granted pursuant to Section 7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i w:val="1"/>
          <w:iCs w:val="1"/>
          <w:color w:val="auto"/>
        </w:rPr>
        <w:t>“Unrestricted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means Shares granted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pursuant to such Awards.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ADMINISTRATION OF PLAN; COMMITTEE AUTHORITY TO SELECT GRANTEES AND DETERMINE AWARDS</w:t>
      </w:r>
    </w:p>
    <w:p>
      <w:pPr>
        <w:spacing w:after="0" w:line="156" w:lineRule="exact"/>
        <w:rPr>
          <w:sz w:val="20"/>
          <w:szCs w:val="20"/>
          <w:color w:val="auto"/>
        </w:rPr>
      </w:pPr>
    </w:p>
    <w:p>
      <w:pPr>
        <w:jc w:val="both"/>
        <w:ind w:firstLine="597"/>
        <w:spacing w:after="0" w:line="256" w:lineRule="auto"/>
        <w:tabs>
          <w:tab w:leader="none" w:pos="1055"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 of Plan</w:t>
      </w:r>
      <w:r>
        <w:rPr>
          <w:rFonts w:ascii="Times New Roman" w:cs="Times New Roman" w:eastAsia="Times New Roman" w:hAnsi="Times New Roman"/>
          <w:sz w:val="20"/>
          <w:szCs w:val="20"/>
          <w:color w:val="auto"/>
        </w:rPr>
        <w:t>. The Plan shall be administered by the Board, or at the discretion of the Board, by a committee of the Board, comprised, except as contemplated by Section 2(b), of one or more Director(s) of the Company. All references herein to the “Committee” shall be deemed to refer to the group then responsible for administration of the Plan at the relevant time (i.e., either the Board of Directors or a committee or committees of the Board, as applicable).</w:t>
      </w:r>
    </w:p>
    <w:p>
      <w:pPr>
        <w:spacing w:after="0" w:line="113" w:lineRule="exact"/>
        <w:rPr>
          <w:rFonts w:ascii="Times New Roman" w:cs="Times New Roman" w:eastAsia="Times New Roman" w:hAnsi="Times New Roman"/>
          <w:sz w:val="20"/>
          <w:szCs w:val="20"/>
          <w:color w:val="auto"/>
        </w:rPr>
      </w:pPr>
    </w:p>
    <w:p>
      <w:pPr>
        <w:ind w:firstLine="597"/>
        <w:spacing w:after="0" w:line="277" w:lineRule="auto"/>
        <w:tabs>
          <w:tab w:leader="none" w:pos="1028"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Powers of Committee</w:t>
      </w:r>
      <w:r>
        <w:rPr>
          <w:rFonts w:ascii="Times New Roman" w:cs="Times New Roman" w:eastAsia="Times New Roman" w:hAnsi="Times New Roman"/>
          <w:sz w:val="20"/>
          <w:szCs w:val="20"/>
          <w:color w:val="auto"/>
        </w:rPr>
        <w:t>. The Committee shall have the power and authority to grant Awards consistent with the terms of the Plan, including the power and authority:</w:t>
      </w:r>
    </w:p>
    <w:p>
      <w:pPr>
        <w:spacing w:after="0" w:line="91" w:lineRule="exact"/>
        <w:rPr>
          <w:rFonts w:ascii="Times New Roman" w:cs="Times New Roman" w:eastAsia="Times New Roman" w:hAnsi="Times New Roman"/>
          <w:sz w:val="20"/>
          <w:szCs w:val="20"/>
          <w:color w:val="auto"/>
        </w:rPr>
      </w:pPr>
    </w:p>
    <w:p>
      <w:pPr>
        <w:ind w:left="1580" w:hanging="386"/>
        <w:spacing w:after="0"/>
        <w:tabs>
          <w:tab w:leader="none" w:pos="1580"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select the individuals to whom Awards may from time to time be granted;</w:t>
      </w:r>
    </w:p>
    <w:p>
      <w:pPr>
        <w:spacing w:after="0" w:line="155"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57"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105" w:lineRule="exact"/>
        <w:rPr>
          <w:rFonts w:ascii="Times New Roman" w:cs="Times New Roman" w:eastAsia="Times New Roman" w:hAnsi="Times New Roman"/>
          <w:sz w:val="20"/>
          <w:szCs w:val="20"/>
          <w:color w:val="auto"/>
        </w:rPr>
      </w:pPr>
    </w:p>
    <w:p>
      <w:pPr>
        <w:ind w:firstLine="1194"/>
        <w:spacing w:after="0" w:line="277" w:lineRule="auto"/>
        <w:tabs>
          <w:tab w:leader="none" w:pos="1698"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the number of shares of Stock to be covered by any Award and, subject to the provisions of Section 5(a)(i) below, the price, exercise price, conversion ratio or other price relating thereto;</w:t>
      </w:r>
    </w:p>
    <w:p>
      <w:pPr>
        <w:spacing w:after="0" w:line="91"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35"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105" w:lineRule="exact"/>
        <w:rPr>
          <w:rFonts w:ascii="Times New Roman" w:cs="Times New Roman" w:eastAsia="Times New Roman" w:hAnsi="Times New Roman"/>
          <w:sz w:val="20"/>
          <w:szCs w:val="20"/>
          <w:color w:val="auto"/>
        </w:rPr>
      </w:pPr>
    </w:p>
    <w:p>
      <w:pPr>
        <w:ind w:left="1620" w:hanging="426"/>
        <w:spacing w:after="0"/>
        <w:tabs>
          <w:tab w:leader="none" w:pos="1620"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accelerate at any time the exercisability or vesting of all or any portion of any Award;</w:t>
      </w:r>
    </w:p>
    <w:p>
      <w:pPr>
        <w:spacing w:after="0" w:line="155" w:lineRule="exact"/>
        <w:rPr>
          <w:rFonts w:ascii="Times New Roman" w:cs="Times New Roman" w:eastAsia="Times New Roman" w:hAnsi="Times New Roman"/>
          <w:sz w:val="20"/>
          <w:szCs w:val="20"/>
          <w:color w:val="auto"/>
        </w:rPr>
      </w:pPr>
    </w:p>
    <w:p>
      <w:pPr>
        <w:ind w:firstLine="1194"/>
        <w:spacing w:after="0" w:line="277" w:lineRule="auto"/>
        <w:tabs>
          <w:tab w:leader="none" w:pos="1728"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impose any limitations on Awards granted under the Plan, including limitations on transfers, repurchase provisions and the like, and to exercise repurchase rights or obligations;</w:t>
      </w:r>
    </w:p>
    <w:p>
      <w:pPr>
        <w:spacing w:after="0" w:line="91" w:lineRule="exact"/>
        <w:rPr>
          <w:rFonts w:ascii="Times New Roman" w:cs="Times New Roman" w:eastAsia="Times New Roman" w:hAnsi="Times New Roman"/>
          <w:sz w:val="20"/>
          <w:szCs w:val="20"/>
          <w:color w:val="auto"/>
        </w:rPr>
      </w:pPr>
    </w:p>
    <w:p>
      <w:pPr>
        <w:ind w:left="1760" w:hanging="566"/>
        <w:spacing w:after="0"/>
        <w:tabs>
          <w:tab w:leader="none" w:pos="1760" w:val="left"/>
        </w:tabs>
        <w:numPr>
          <w:ilvl w:val="1"/>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any restrictions imposed by Section 409A, to extend at any time the period in which Stock Options may be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0" w:right="339" w:bottom="1440" w:gutter="0" w:footer="0" w:header="0"/>
        </w:sectPr>
      </w:pPr>
    </w:p>
    <w:bookmarkStart w:id="493" w:name="page494"/>
    <w:bookmarkEnd w:id="493"/>
    <w:p>
      <w:pPr>
        <w:jc w:val="both"/>
        <w:ind w:firstLine="1194"/>
        <w:spacing w:after="0" w:line="256" w:lineRule="auto"/>
        <w:tabs>
          <w:tab w:leader="none" w:pos="1798"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and</w:t>
      </w:r>
    </w:p>
    <w:p>
      <w:pPr>
        <w:spacing w:after="0" w:line="113" w:lineRule="exact"/>
        <w:rPr>
          <w:rFonts w:ascii="Times New Roman" w:cs="Times New Roman" w:eastAsia="Times New Roman" w:hAnsi="Times New Roman"/>
          <w:sz w:val="20"/>
          <w:szCs w:val="20"/>
          <w:color w:val="auto"/>
        </w:rPr>
      </w:pPr>
    </w:p>
    <w:p>
      <w:pPr>
        <w:jc w:val="both"/>
        <w:ind w:firstLine="1194"/>
        <w:spacing w:after="0" w:line="262" w:lineRule="auto"/>
        <w:tabs>
          <w:tab w:leader="none" w:pos="1833"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delegate certain administrative authority under the Plan to the Chief Executive Officer of the Company or a committee consisting of the Chief Executive Officer and one or more other officer(s) of the Company, subject to compliance with applicable law.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decisions and interpretations of the Committee shall be binding on all persons, including the Company and Plan grantees.</w:t>
      </w:r>
    </w:p>
    <w:p>
      <w:pPr>
        <w:spacing w:after="0" w:line="156" w:lineRule="exact"/>
        <w:rPr>
          <w:sz w:val="20"/>
          <w:szCs w:val="20"/>
          <w:color w:val="auto"/>
        </w:rPr>
      </w:pPr>
    </w:p>
    <w:p>
      <w:pPr>
        <w:ind w:firstLine="597"/>
        <w:spacing w:after="0" w:line="277" w:lineRule="auto"/>
        <w:tabs>
          <w:tab w:leader="none" w:pos="1092"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Awards under the Plan shall be evidenced by Award Agreements that set forth the terms, conditions and limitations for each Award.</w:t>
      </w:r>
    </w:p>
    <w:p>
      <w:pPr>
        <w:spacing w:after="0" w:line="91" w:lineRule="exact"/>
        <w:rPr>
          <w:rFonts w:ascii="Times New Roman" w:cs="Times New Roman" w:eastAsia="Times New Roman" w:hAnsi="Times New Roman"/>
          <w:sz w:val="20"/>
          <w:szCs w:val="20"/>
          <w:color w:val="auto"/>
        </w:rPr>
      </w:pPr>
    </w:p>
    <w:p>
      <w:pPr>
        <w:jc w:val="both"/>
        <w:ind w:firstLine="597"/>
        <w:spacing w:after="0" w:line="251" w:lineRule="auto"/>
        <w:tabs>
          <w:tab w:leader="none" w:pos="1028"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 be in effect from time to time and/or any indemnification agreement between such individual and the Company.</w:t>
      </w:r>
    </w:p>
    <w:p>
      <w:pPr>
        <w:spacing w:after="0" w:line="120" w:lineRule="exact"/>
        <w:rPr>
          <w:rFonts w:ascii="Times New Roman" w:cs="Times New Roman" w:eastAsia="Times New Roman" w:hAnsi="Times New Roman"/>
          <w:sz w:val="20"/>
          <w:szCs w:val="20"/>
          <w:color w:val="auto"/>
        </w:rPr>
      </w:pPr>
    </w:p>
    <w:p>
      <w:pPr>
        <w:jc w:val="both"/>
        <w:ind w:firstLine="597"/>
        <w:spacing w:after="0" w:line="250" w:lineRule="auto"/>
        <w:tabs>
          <w:tab w:leader="none" w:pos="1030"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Award Recipients</w:t>
      </w:r>
      <w:r>
        <w:rPr>
          <w:rFonts w:ascii="Times New Roman" w:cs="Times New Roman" w:eastAsia="Times New Roman" w:hAnsi="Times New Roman"/>
          <w:sz w:val="20"/>
          <w:szCs w:val="20"/>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21" w:right="33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STOCK ISSUABLE UNDER THE PLAN; MERGERS AND OTHER TRANSACTIONS; SUBSTITUTION</w:t>
      </w:r>
    </w:p>
    <w:p>
      <w:pPr>
        <w:spacing w:after="0" w:line="156" w:lineRule="exact"/>
        <w:rPr>
          <w:sz w:val="20"/>
          <w:szCs w:val="20"/>
          <w:color w:val="auto"/>
        </w:rPr>
      </w:pPr>
    </w:p>
    <w:p>
      <w:pPr>
        <w:ind w:right="360" w:firstLine="597"/>
        <w:spacing w:after="0" w:line="237" w:lineRule="auto"/>
        <w:tabs>
          <w:tab w:leader="none" w:pos="1017" w:val="left"/>
        </w:tabs>
        <w:numPr>
          <w:ilvl w:val="1"/>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Issuable</w:t>
      </w:r>
      <w:r>
        <w:rPr>
          <w:rFonts w:ascii="Times New Roman" w:cs="Times New Roman" w:eastAsia="Times New Roman" w:hAnsi="Times New Roman"/>
          <w:sz w:val="20"/>
          <w:szCs w:val="20"/>
          <w:color w:val="auto"/>
        </w:rPr>
        <w:t xml:space="preserve">. The maximum number of shares of Stock reserved and available for issuance under the Plan shall be </w:t>
      </w:r>
      <w:r>
        <w:rPr>
          <w:rFonts w:ascii="Times New Roman" w:cs="Times New Roman" w:eastAsia="Times New Roman" w:hAnsi="Times New Roman"/>
          <w:sz w:val="20"/>
          <w:szCs w:val="20"/>
          <w:b w:val="1"/>
          <w:bCs w:val="1"/>
          <w:color w:val="auto"/>
        </w:rPr>
        <w:t>28,880,047</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subject to adjustment as provided in Section 3(b). For purposes of this limitation, the shares of Stock underlying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that are forfeited, canceled, withheld upon exercise of an Option or settlement of an Award to cover the exercise price or tax withholding, reacquired by the Company prior to vesting, satisfied without</w:t>
      </w:r>
    </w:p>
    <w:p>
      <w:pPr>
        <w:spacing w:after="0" w:line="238" w:lineRule="exact"/>
        <w:rPr>
          <w:rFonts w:ascii="Times New Roman" w:cs="Times New Roman" w:eastAsia="Times New Roman" w:hAnsi="Times New Roman"/>
          <w:sz w:val="20"/>
          <w:szCs w:val="20"/>
          <w:color w:val="auto"/>
        </w:rPr>
      </w:pPr>
    </w:p>
    <w:p>
      <w:pPr>
        <w:jc w:val="both"/>
        <w:ind w:firstLine="358"/>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The Plan was originally adopted by the Board on February 8, 2010 with 194,000 shares of Common Stock reserved, and this was approved by the stockholders on February 8, 2010. On June 25, 2010, the Board amended the total number of shares of Common Stock reserved under the Plan to increase such number by 30,000 shares, from 194,000 shares to 224,000 shares. The stockholders approved such increase on June 25, 2010. On March 28, 2011, the Company effected a stock split, such that each share of Common Stock of the Company automatically split and converted into ten (10) shares of Common Stock, such that the number of shares reserved under the Plan increased from 224,000 shares to 2,240,000 shares. On March 28, 2011, the Board amended the total number of shares of Common Stock reserved under the Plan to increase such number by 1,568,620 shares, from 2,240,000 shares to 3,808,620 shares. The stockholders approved such increase on March 28, 2011. On September 10, 2012, the Board amended the total number of shares of Common Stock reserved under the Plan to increase such number by 1,659,770 shares, from 3,808,620 shares to 5,468,390 shares. The stockholders approved such increase on September 10, 2012. On July 11, 2014, the Board amended the total number of shares of Common Stock reserved under the Plan to increase such number by 1,601,739 shares, from 5,468,390 shares to 7,070,129 shares. The stockholders approved such increase on July 11, 2014. On December 2, 2014, the Board amended the total number of shares of Common Stock reserved under the Plan to increase such number by 3,000,000 shares, from 7,070,129 shares to 10,070,129 shares. The stockholders approved such increase on February 27, 2015. On August 27, 2015, the Board amended the total number of shares of Common Stock reserved under the Plan to increase such number by 1,976,113 shares, from 10,070,129 shares to 12,046,242 shares. The stockholders approved such increase on August 27, 2015. On September 16, 2016, the Board amended the total number of shares of Common Stock reserved under the Plan to increase such number by 2,700,000 shares, from 12,046,242 shares to 14,756,242 shares. The stockholders approved such increase on November 2, 2016. On October 4, 2017, the Board amended the total number of shares of Common Stock reserved under the Plan to increase such number by 2,000,000 shares, from 14,746,242 shares to 16,746,242 shares. The stockholders approved such increase on October 6, 2017. On January 8, 2018, the Board amended the total number of shares of Common Stock reserved under the Plan to increase such number by 232,301 shares, from 16,746,242 shares to 16,978,543 shares. The stockholders approved such increase on January 8, 2018. On March 22, 2019, the Board amended the total number of shares of Common Stock reserved under the Plan to increase such number by 2,429,397 shares, from 16,978,543 shares to 19,407,940 shares. The stockholders approved such increase on April 15, 2019. On May 22, 2019, the Board amended the total number of shares of Common Stock reserved under the Plan to increase such number by 872,620 shares, from 19,407,940 shares to 20,280,560 shares. The stockholders approved such increase on May 31, 2019. On June 17, 2019, the Board amended the total number of shares of Common Stock reserved under the Plan to increase such number by 1,206,665 shares, from 20,280,560 shares to 21,487,225 shares. The stockholders approved such increase on June 17, 2019. On February 19, 2020, the Board amended the total number of shares of Common Stock reserved under the Plan to increase such number by 1,234,438 shares, from 21,487,225 shares to 22,721,663 shares. The stockholders approved such increase on March 10, 2020. On April 29, 2020, the Board amended the total number of shares of Common Stock reserved under the Plan to increase such number by 660,000 shares, from 22,721,663 to 23,381,663. The stockholders approved an increase to 23,376,663 shares on May 12, 2020. On August 11, 2020, the Board amended the total number of shares of Common Stock reserved under the Plan to increase such number by 4,184,785 shares, from 23,381,663 to 27,561,448. The stockholders approved an increase to 27,561,448 shares on August 14, 2020. On August 26, 2020, the Board amended the total number of shares of Common Stock reserved under the Plan to increase such number by 318,599 shares, from 27,561,448 to 27,880,047. The stockholders approved an increase to 27,880,047 shares on August 26, 2020. On January 22, 2021, the Board amended the total number of shares of Common Stock reserved under the Plan to increase such number by 1,000,000 shares, from 27,880,047 to 28,880,047. The stockholders approved an increase to 28,880,047 shares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-3717925</wp:posOffset>
            </wp:positionV>
            <wp:extent cx="158051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805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21" w:right="339" w:bottom="1440" w:gutter="0" w:footer="0" w:header="0"/>
        </w:sectPr>
      </w:pPr>
    </w:p>
    <w:bookmarkStart w:id="495" w:name="page496"/>
    <w:bookmarkEnd w:id="495"/>
    <w:p>
      <w:pPr>
        <w:spacing w:after="0" w:line="256" w:lineRule="auto"/>
        <w:rPr>
          <w:sz w:val="20"/>
          <w:szCs w:val="20"/>
          <w:color w:val="auto"/>
        </w:rPr>
      </w:pPr>
      <w:r>
        <w:rPr>
          <w:rFonts w:ascii="Times New Roman" w:cs="Times New Roman" w:eastAsia="Times New Roman" w:hAnsi="Times New Roman"/>
          <w:sz w:val="20"/>
          <w:szCs w:val="20"/>
          <w:color w:val="auto"/>
        </w:rPr>
        <w:t xml:space="preserve">the issuance of Stock or otherwise terminated (other than by exercise), in each case shall be added back to the shares of Stock available for issuance under the Plan. Subject to such overall limitations, shares of Stock may be issued up to such maximum number pursuant to any type or types of Award, and no more than </w:t>
      </w:r>
      <w:r>
        <w:rPr>
          <w:rFonts w:ascii="Times New Roman" w:cs="Times New Roman" w:eastAsia="Times New Roman" w:hAnsi="Times New Roman"/>
          <w:sz w:val="20"/>
          <w:szCs w:val="20"/>
          <w:b w:val="1"/>
          <w:bCs w:val="1"/>
          <w:color w:val="auto"/>
        </w:rPr>
        <w:t>169,400,000</w:t>
      </w:r>
      <w:r>
        <w:rPr>
          <w:rFonts w:ascii="Times New Roman" w:cs="Times New Roman" w:eastAsia="Times New Roman" w:hAnsi="Times New Roman"/>
          <w:sz w:val="20"/>
          <w:szCs w:val="20"/>
          <w:color w:val="auto"/>
        </w:rPr>
        <w:t xml:space="preserve"> shares may be issued pursuant to Incentive Stock Options. The shares available for issuance under the Plan may be authorized but unissued shares of Stock or shares of Stock reacquired by the Company.</w:t>
      </w:r>
    </w:p>
    <w:p>
      <w:pPr>
        <w:spacing w:after="0" w:line="114" w:lineRule="exact"/>
        <w:rPr>
          <w:sz w:val="20"/>
          <w:szCs w:val="20"/>
          <w:color w:val="auto"/>
        </w:rPr>
      </w:pPr>
    </w:p>
    <w:p>
      <w:pPr>
        <w:jc w:val="both"/>
        <w:ind w:firstLine="597"/>
        <w:spacing w:after="0" w:line="249" w:lineRule="auto"/>
        <w:tabs>
          <w:tab w:leader="none" w:pos="1091"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Stock</w:t>
      </w:r>
      <w:r>
        <w:rPr>
          <w:rFonts w:ascii="Times New Roman" w:cs="Times New Roman" w:eastAsia="Times New Roman" w:hAnsi="Times New Roman"/>
          <w:sz w:val="20"/>
          <w:szCs w:val="20"/>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without the receipt or consideration by the Company, or, if, as a result of any merger or consolidation, or sale of all or substantially all of the assets of the Company, the outstanding shares of Stock are converted into or exchanged for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provided, however, that the Committee shall in any event make such adjustments as may be required by Section 25102(o) of the California Corporation Code. The adjustment by the Committee shall be final, binding and conclusive. No fractional shares of Stock shall be issued under the Plan resulting from any such adjustment, but the Committee in its discretion may make a cash payment in lieu of fractional shares.</w:t>
      </w:r>
    </w:p>
    <w:p>
      <w:pPr>
        <w:spacing w:after="0" w:line="118" w:lineRule="exact"/>
        <w:rPr>
          <w:rFonts w:ascii="Times New Roman" w:cs="Times New Roman" w:eastAsia="Times New Roman" w:hAnsi="Times New Roman"/>
          <w:sz w:val="20"/>
          <w:szCs w:val="20"/>
          <w:color w:val="auto"/>
        </w:rPr>
      </w:pPr>
    </w:p>
    <w:p>
      <w:pPr>
        <w:ind w:left="1020" w:hanging="423"/>
        <w:spacing w:after="0"/>
        <w:tabs>
          <w:tab w:leader="none" w:pos="1020"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Sale Events</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1580" w:hanging="386"/>
        <w:spacing w:after="0"/>
        <w:tabs>
          <w:tab w:leader="none" w:pos="1580" w:val="left"/>
        </w:tabs>
        <w:numPr>
          <w:ilvl w:val="1"/>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left="600" w:firstLine="1191"/>
        <w:spacing w:after="0" w:line="252" w:lineRule="auto"/>
        <w:tabs>
          <w:tab w:leader="none" w:pos="2295" w:val="left"/>
        </w:tabs>
        <w:numPr>
          <w:ilvl w:val="2"/>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and subject to the consummation of a Sale Event, the Plan and all Options issued hereunder shall terminate upon the effective time of any such Sale Event unless provision is made in connection with the Sale Event for the assumption or continuation of Options theretofore granted by the successor entity, or the substitution of such Options with new Options of the successor entity or parent thereof,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19" w:lineRule="exact"/>
        <w:rPr>
          <w:rFonts w:ascii="Times New Roman" w:cs="Times New Roman" w:eastAsia="Times New Roman" w:hAnsi="Times New Roman"/>
          <w:sz w:val="20"/>
          <w:szCs w:val="20"/>
          <w:color w:val="auto"/>
        </w:rPr>
      </w:pPr>
    </w:p>
    <w:p>
      <w:pPr>
        <w:jc w:val="both"/>
        <w:ind w:left="600" w:firstLine="1191"/>
        <w:spacing w:after="0" w:line="262" w:lineRule="auto"/>
        <w:tabs>
          <w:tab w:leader="none" w:pos="2363" w:val="left"/>
        </w:tabs>
        <w:numPr>
          <w:ilvl w:val="2"/>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termination of the Plan and all Options issued hereunder pursuant to Section 3(c), each Holder of Options shall be permitted, within a specified period of time prior to the consummation of the Sale Event as determined by the Committee, to exercise all such Options which are then exercisable or will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21" w:right="339" w:bottom="1440" w:gutter="0" w:footer="0" w:header="0"/>
        </w:sectPr>
      </w:pPr>
    </w:p>
    <w:bookmarkStart w:id="496" w:name="page497"/>
    <w:bookmarkEnd w:id="496"/>
    <w:p>
      <w:pPr>
        <w:ind w:left="600"/>
        <w:spacing w:after="0" w:line="281" w:lineRule="auto"/>
        <w:rPr>
          <w:sz w:val="20"/>
          <w:szCs w:val="20"/>
          <w:color w:val="auto"/>
        </w:rPr>
      </w:pPr>
      <w:r>
        <w:rPr>
          <w:rFonts w:ascii="Times New Roman" w:cs="Times New Roman" w:eastAsia="Times New Roman" w:hAnsi="Times New Roman"/>
          <w:sz w:val="20"/>
          <w:szCs w:val="20"/>
          <w:color w:val="auto"/>
        </w:rPr>
        <w:t xml:space="preserve">exercisable as of the effective time of the Sale Event;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exercise of Options not exercisable prior to the Sale Event shall be subject to the consummation of the Sale Event.</w:t>
      </w:r>
    </w:p>
    <w:p>
      <w:pPr>
        <w:spacing w:after="0" w:line="88" w:lineRule="exact"/>
        <w:rPr>
          <w:sz w:val="20"/>
          <w:szCs w:val="20"/>
          <w:color w:val="auto"/>
        </w:rPr>
      </w:pPr>
    </w:p>
    <w:p>
      <w:pPr>
        <w:jc w:val="both"/>
        <w:ind w:left="600" w:firstLine="1191"/>
        <w:spacing w:after="0" w:line="252" w:lineRule="auto"/>
        <w:tabs>
          <w:tab w:leader="none" w:pos="2285" w:val="left"/>
        </w:tabs>
        <w:numPr>
          <w:ilvl w:val="1"/>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Section 3(c)(i)(A), in the event of a Sale Event, the Company shall have the right, but not the obligation, to make or provide for a cash payment to the grantees holding Options in exchange for the cancellation thereof, in an amount equal to the difference between (A) the value as determined by the Committee of the consideration payable per share of Stock pursuant to the Sale Event (the “Sale Price”) times the number of shares of Stock subject to outstanding Options (to the extent then vested and exercisable, including by reason of acceleration in connection with such Sale Event, at prices not in excess of the Sale Price) and (B) the aggregate exercise price of all such outstanding vested Options.</w:t>
      </w:r>
    </w:p>
    <w:p>
      <w:pPr>
        <w:spacing w:after="0" w:line="119" w:lineRule="exact"/>
        <w:rPr>
          <w:rFonts w:ascii="Times New Roman" w:cs="Times New Roman" w:eastAsia="Times New Roman" w:hAnsi="Times New Roman"/>
          <w:sz w:val="20"/>
          <w:szCs w:val="20"/>
          <w:color w:val="auto"/>
        </w:rPr>
      </w:pPr>
    </w:p>
    <w:p>
      <w:pPr>
        <w:ind w:firstLine="1194"/>
        <w:spacing w:after="0" w:line="277" w:lineRule="auto"/>
        <w:tabs>
          <w:tab w:leader="none" w:pos="1649"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Shares</w:t>
      </w:r>
      <w:r>
        <w:rPr>
          <w:rFonts w:ascii="Times New Roman" w:cs="Times New Roman" w:eastAsia="Times New Roman" w:hAnsi="Times New Roman"/>
          <w:sz w:val="20"/>
          <w:szCs w:val="20"/>
          <w:color w:val="auto"/>
        </w:rPr>
        <w:t>. Unless otherwise provided in an Award Agreement, in the case of and subject to the consummation of a Sale Event, Option Shares shall be subject to the repurchase right set forth in Section 9(c)(i).</w:t>
      </w:r>
    </w:p>
    <w:p>
      <w:pPr>
        <w:spacing w:after="0" w:line="91" w:lineRule="exact"/>
        <w:rPr>
          <w:rFonts w:ascii="Times New Roman" w:cs="Times New Roman" w:eastAsia="Times New Roman" w:hAnsi="Times New Roman"/>
          <w:sz w:val="20"/>
          <w:szCs w:val="20"/>
          <w:color w:val="auto"/>
        </w:rPr>
      </w:pPr>
    </w:p>
    <w:p>
      <w:pPr>
        <w:ind w:left="1700" w:hanging="506"/>
        <w:spacing w:after="0"/>
        <w:tabs>
          <w:tab w:leader="none" w:pos="1700"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and Restricted Stock Unit Awards</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left="600" w:firstLine="1191"/>
        <w:spacing w:after="0" w:line="251" w:lineRule="auto"/>
        <w:tabs>
          <w:tab w:leader="none" w:pos="2354" w:val="left"/>
        </w:tabs>
        <w:numPr>
          <w:ilvl w:val="1"/>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provision is made in connection with the Sale Event for the assumption or continuation of such Awards by the successor entity, or the substitution of such Awards with new Awards of the successor entity or parent thereof, with an equitable or proportionate adjustment as to the number and kind of shares subject to such Awards as such parties shall agree (after taking into account any acceleration hereunder and/or pursuant to the terms of any Award Agreement).</w:t>
      </w:r>
    </w:p>
    <w:p>
      <w:pPr>
        <w:spacing w:after="0" w:line="120" w:lineRule="exact"/>
        <w:rPr>
          <w:rFonts w:ascii="Times New Roman" w:cs="Times New Roman" w:eastAsia="Times New Roman" w:hAnsi="Times New Roman"/>
          <w:sz w:val="20"/>
          <w:szCs w:val="20"/>
          <w:color w:val="auto"/>
        </w:rPr>
      </w:pPr>
    </w:p>
    <w:p>
      <w:pPr>
        <w:jc w:val="both"/>
        <w:ind w:left="600" w:firstLine="1191"/>
        <w:spacing w:after="0" w:line="256" w:lineRule="auto"/>
        <w:tabs>
          <w:tab w:leader="none" w:pos="2261" w:val="left"/>
        </w:tabs>
        <w:numPr>
          <w:ilvl w:val="1"/>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forfeiture of shares of Restricted Stock issued hereunder pursuant to Section 3(c)(iii)(A), such shares of Restricted Stock shall be repurchased from the Holder thereof at a price per share equal to the lower of the original per share purchase price paid by the recipient (subject to adjustment as provided in Section 3(b)) or the current Fair Market Value of such shares, determined immediately prior to the effective time of the Sale Event.</w:t>
      </w:r>
    </w:p>
    <w:p>
      <w:pPr>
        <w:spacing w:after="0" w:line="113" w:lineRule="exact"/>
        <w:rPr>
          <w:rFonts w:ascii="Times New Roman" w:cs="Times New Roman" w:eastAsia="Times New Roman" w:hAnsi="Times New Roman"/>
          <w:sz w:val="20"/>
          <w:szCs w:val="20"/>
          <w:color w:val="auto"/>
        </w:rPr>
      </w:pPr>
    </w:p>
    <w:p>
      <w:pPr>
        <w:jc w:val="both"/>
        <w:ind w:left="600" w:firstLine="1191"/>
        <w:spacing w:after="0" w:line="256" w:lineRule="auto"/>
        <w:tabs>
          <w:tab w:leader="none" w:pos="2264" w:val="left"/>
        </w:tabs>
        <w:numPr>
          <w:ilvl w:val="1"/>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Section 3(c)(iii)(A), in the event of a Sale Event, the Company shall have the right, but not the obligation, to make or provide for a cash payment to the grantees holding Restricted Stock or Restricted Stock Unit Awards in exchange for the cancellation thereof, in an amount equal to the Sale Price times the number of shares of Stock subject to such Awards, to be paid at the time of such Sale Event or upon the later vesting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17" w:right="339" w:bottom="1440" w:gutter="0" w:footer="0" w:header="0"/>
        </w:sectPr>
      </w:pPr>
    </w:p>
    <w:bookmarkStart w:id="497" w:name="page498"/>
    <w:bookmarkEnd w:id="497"/>
    <w:p>
      <w:pPr>
        <w:ind w:firstLine="1194"/>
        <w:spacing w:after="0" w:line="277" w:lineRule="auto"/>
        <w:tabs>
          <w:tab w:leader="none" w:pos="1706"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Stock Awards</w:t>
      </w:r>
      <w:r>
        <w:rPr>
          <w:rFonts w:ascii="Times New Roman" w:cs="Times New Roman" w:eastAsia="Times New Roman" w:hAnsi="Times New Roman"/>
          <w:sz w:val="20"/>
          <w:szCs w:val="20"/>
          <w:color w:val="auto"/>
        </w:rPr>
        <w:t>. Unless otherwise provided in an Award Agreement, any shares of Unrestricted Stock shall be treated in a Sale Event the same as all other Shares then outstanding.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ELIGIBILITY</w:t>
      </w:r>
    </w:p>
    <w:p>
      <w:pPr>
        <w:spacing w:after="0" w:line="156"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 xml:space="preserve">Grantees under the Plan will be such full or part-time officers and other employees, directors, Consultants and key persons (including prospective employees, but conditioned on their employment) of the Company and any Subsidiary who are selected from time to time by the Committee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Awards shall only be granted to those individuals described in Rule 701(c) of the Securities Act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an Incentive Stock Option may be granted only to a person who, at the time the Incentive Stock Option is granted, is an employee of the Company or any Subsidiary.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STOCK OPTIONS</w:t>
      </w:r>
    </w:p>
    <w:p>
      <w:pPr>
        <w:spacing w:after="0" w:line="156"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Upon the grant of a Stock Option, the Company and the grantee shall enter into a Stock Option Award Agreement. The terms and conditions of each such Stock Option Award Agreement shall be determined by the Committee, and such terms and conditions may differ among individual Awards and grantees.</w:t>
      </w:r>
    </w:p>
    <w:p>
      <w:pPr>
        <w:spacing w:after="0" w:line="105"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4" w:lineRule="exact"/>
        <w:rPr>
          <w:sz w:val="20"/>
          <w:szCs w:val="20"/>
          <w:color w:val="auto"/>
        </w:rPr>
      </w:pPr>
    </w:p>
    <w:p>
      <w:pPr>
        <w:jc w:val="both"/>
        <w:ind w:firstLine="597"/>
        <w:spacing w:after="0" w:line="256" w:lineRule="auto"/>
        <w:tabs>
          <w:tab w:leader="none" w:pos="1079"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Stock Options</w:t>
      </w:r>
      <w:r>
        <w:rPr>
          <w:rFonts w:ascii="Times New Roman" w:cs="Times New Roman" w:eastAsia="Times New Roman" w:hAnsi="Times New Roman"/>
          <w:sz w:val="20"/>
          <w:szCs w:val="20"/>
          <w:color w:val="auto"/>
        </w:rPr>
        <w:t>. The Committee in its discretion may grant Stock Options to eligible officers, employees, directors, Consultants and key persons of the Company or any Subsidiary. Stock Options granted pursuant to this Section 5(a) shall be subject to the following terms and conditions and shall contain such additional terms and conditions, not inconsistent with the terms of the Plan, as the Committee shall deem desirable.</w:t>
      </w:r>
    </w:p>
    <w:p>
      <w:pPr>
        <w:spacing w:after="0" w:line="113" w:lineRule="exact"/>
        <w:rPr>
          <w:rFonts w:ascii="Times New Roman" w:cs="Times New Roman" w:eastAsia="Times New Roman" w:hAnsi="Times New Roman"/>
          <w:sz w:val="20"/>
          <w:szCs w:val="20"/>
          <w:color w:val="auto"/>
        </w:rPr>
      </w:pPr>
    </w:p>
    <w:p>
      <w:pPr>
        <w:jc w:val="both"/>
        <w:ind w:firstLine="1194"/>
        <w:spacing w:after="0" w:line="256" w:lineRule="auto"/>
        <w:tabs>
          <w:tab w:leader="none" w:pos="1631" w:val="left"/>
        </w:tabs>
        <w:numPr>
          <w:ilvl w:val="1"/>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exercise price per share for the Stock covered by a Stock Option granted pursuant to Section 5(a) shall be determined by the Committee at the time of grant but shall not be less than 100 percent of the Fair Market Value on the Grant Date. In the case of an Incentive Stock Option that is granted to a Ten Percent Owner, the option price of such Incentive Stock Option shall not be less than 110 percent of the Fair Market Value on the Grant Date.</w:t>
      </w:r>
    </w:p>
    <w:p>
      <w:pPr>
        <w:spacing w:after="0" w:line="113" w:lineRule="exact"/>
        <w:rPr>
          <w:rFonts w:ascii="Times New Roman" w:cs="Times New Roman" w:eastAsia="Times New Roman" w:hAnsi="Times New Roman"/>
          <w:sz w:val="20"/>
          <w:szCs w:val="20"/>
          <w:color w:val="auto"/>
        </w:rPr>
      </w:pPr>
    </w:p>
    <w:p>
      <w:pPr>
        <w:jc w:val="both"/>
        <w:ind w:firstLine="1194"/>
        <w:spacing w:after="0" w:line="262" w:lineRule="auto"/>
        <w:tabs>
          <w:tab w:leader="none" w:pos="1649" w:val="left"/>
        </w:tabs>
        <w:numPr>
          <w:ilvl w:val="1"/>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The term of each Stock Option shall be fixed by the Committee, but no Stock Option shall be exercisable more than ten years after the date the Stock Option is granted. In the case of an Incentive Stock Option that is granted to a Ten Percent Owner, the term of such Stock Option shall be no more than five years from the Grant Date.</w:t>
      </w:r>
    </w:p>
    <w:p>
      <w:pPr>
        <w:spacing w:after="0" w:line="105" w:lineRule="exact"/>
        <w:rPr>
          <w:rFonts w:ascii="Times New Roman" w:cs="Times New Roman" w:eastAsia="Times New Roman" w:hAnsi="Times New Roman"/>
          <w:sz w:val="20"/>
          <w:szCs w:val="20"/>
          <w:color w:val="auto"/>
        </w:rPr>
      </w:pPr>
    </w:p>
    <w:p>
      <w:pPr>
        <w:ind w:firstLine="1194"/>
        <w:spacing w:after="0" w:line="277" w:lineRule="auto"/>
        <w:tabs>
          <w:tab w:leader="none" w:pos="1754" w:val="left"/>
        </w:tabs>
        <w:numPr>
          <w:ilvl w:val="1"/>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Exercisability; Rights of a Stockholder</w:t>
      </w:r>
      <w:r>
        <w:rPr>
          <w:rFonts w:ascii="Times New Roman" w:cs="Times New Roman" w:eastAsia="Times New Roman" w:hAnsi="Times New Roman"/>
          <w:sz w:val="20"/>
          <w:szCs w:val="20"/>
          <w:color w:val="auto"/>
        </w:rPr>
        <w:t>. Stock Options shall become exercisable and/or vested at such time or times, whether or not in installments, as shall be determined by the Committee at or after the Grant Date. The Award Agreement may permit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21" w:right="339" w:bottom="1440" w:gutter="0" w:footer="0" w:header="0"/>
        </w:sectPr>
      </w:pPr>
    </w:p>
    <w:bookmarkStart w:id="498" w:name="page499"/>
    <w:bookmarkEnd w:id="498"/>
    <w:p>
      <w:pPr>
        <w:jc w:val="both"/>
        <w:spacing w:after="0" w:line="251" w:lineRule="auto"/>
        <w:rPr>
          <w:sz w:val="20"/>
          <w:szCs w:val="20"/>
          <w:color w:val="auto"/>
        </w:rPr>
      </w:pPr>
      <w:r>
        <w:rPr>
          <w:rFonts w:ascii="Times New Roman" w:cs="Times New Roman" w:eastAsia="Times New Roman" w:hAnsi="Times New Roman"/>
          <w:sz w:val="20"/>
          <w:szCs w:val="20"/>
          <w:color w:val="auto"/>
        </w:rPr>
        <w:t>optionee to exercise all or a portion of a Stock Option immediately at grant; provided that the Option Shares issued upon such exercise shall be subject to restrictions and a vesting schedule identical to the vesting schedule of the related Stock Option, such shares shall be deemed to be Restricted Stock for the purpose of the Plan and the optionee shall be required to enter into a Restricted Stock Award Agreement and any other similar documentation required by the Company as a condition to exercise of such Stock Option. An optionee shall have the rights of a stockholder only as to shares acquired upon the exercise of a Stock Option and not as to unexercised Stock Options. An optionee shall not be deemed to have acquired any such shares unless and until a Stock Option shall have been exercised pursuant to the terms hereof and the optionee’s name shall have been entered on the books of the Company as a stockholder.</w:t>
      </w:r>
    </w:p>
    <w:p>
      <w:pPr>
        <w:spacing w:after="0" w:line="121" w:lineRule="exact"/>
        <w:rPr>
          <w:sz w:val="20"/>
          <w:szCs w:val="20"/>
          <w:color w:val="auto"/>
        </w:rPr>
      </w:pPr>
    </w:p>
    <w:p>
      <w:pPr>
        <w:jc w:val="both"/>
        <w:ind w:firstLine="1194"/>
        <w:spacing w:after="0" w:line="262" w:lineRule="auto"/>
        <w:tabs>
          <w:tab w:leader="none" w:pos="1693"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Exercise</w:t>
      </w:r>
      <w:r>
        <w:rPr>
          <w:rFonts w:ascii="Times New Roman" w:cs="Times New Roman" w:eastAsia="Times New Roman" w:hAnsi="Times New Roman"/>
          <w:sz w:val="20"/>
          <w:szCs w:val="20"/>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Option Award Agreement:</w:t>
      </w:r>
    </w:p>
    <w:p>
      <w:pPr>
        <w:spacing w:after="0" w:line="105" w:lineRule="exact"/>
        <w:rPr>
          <w:rFonts w:ascii="Times New Roman" w:cs="Times New Roman" w:eastAsia="Times New Roman" w:hAnsi="Times New Roman"/>
          <w:sz w:val="20"/>
          <w:szCs w:val="20"/>
          <w:color w:val="auto"/>
        </w:rPr>
      </w:pPr>
    </w:p>
    <w:p>
      <w:pPr>
        <w:ind w:left="600" w:firstLine="1191"/>
        <w:spacing w:after="0" w:line="277" w:lineRule="auto"/>
        <w:tabs>
          <w:tab w:leader="none" w:pos="2414"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cash, by certified or bank check, by wire transfer of immediately available funds, or other instrument acceptable to the Committee;</w:t>
      </w:r>
    </w:p>
    <w:p>
      <w:pPr>
        <w:spacing w:after="0" w:line="91" w:lineRule="exact"/>
        <w:rPr>
          <w:rFonts w:ascii="Times New Roman" w:cs="Times New Roman" w:eastAsia="Times New Roman" w:hAnsi="Times New Roman"/>
          <w:sz w:val="20"/>
          <w:szCs w:val="20"/>
          <w:color w:val="auto"/>
        </w:rPr>
      </w:pPr>
    </w:p>
    <w:p>
      <w:pPr>
        <w:jc w:val="both"/>
        <w:ind w:left="600" w:firstLine="1191"/>
        <w:spacing w:after="0" w:line="256" w:lineRule="auto"/>
        <w:tabs>
          <w:tab w:leader="none" w:pos="2298"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least so much of the exercise price as represents the par value of the Stock shall be paid other than with a promissory note if required by state law;</w:t>
      </w:r>
    </w:p>
    <w:p>
      <w:pPr>
        <w:spacing w:after="0" w:line="113" w:lineRule="exact"/>
        <w:rPr>
          <w:rFonts w:ascii="Times New Roman" w:cs="Times New Roman" w:eastAsia="Times New Roman" w:hAnsi="Times New Roman"/>
          <w:sz w:val="20"/>
          <w:szCs w:val="20"/>
          <w:color w:val="auto"/>
        </w:rPr>
      </w:pPr>
    </w:p>
    <w:p>
      <w:pPr>
        <w:jc w:val="both"/>
        <w:ind w:left="600" w:firstLine="1191"/>
        <w:spacing w:after="0" w:line="252" w:lineRule="auto"/>
        <w:tabs>
          <w:tab w:leader="none" w:pos="2341"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permitted by the Committee and the Initial Public Offering has occurred (or the Stock otherwise becomes publicly-traded), through the delivery (or attestation to the ownership) of shares of Stock that have been purchased by the optionee on the open market or that are beneficially owned by the optionee and are not then subject to restrictions under any Company plan. To the extent required to avoid variable accounting treatment under FAS 123R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119" w:lineRule="exact"/>
        <w:rPr>
          <w:rFonts w:ascii="Times New Roman" w:cs="Times New Roman" w:eastAsia="Times New Roman" w:hAnsi="Times New Roman"/>
          <w:sz w:val="20"/>
          <w:szCs w:val="20"/>
          <w:color w:val="auto"/>
        </w:rPr>
      </w:pPr>
    </w:p>
    <w:p>
      <w:pPr>
        <w:jc w:val="both"/>
        <w:ind w:left="600" w:firstLine="1191"/>
        <w:spacing w:after="0" w:line="252" w:lineRule="auto"/>
        <w:tabs>
          <w:tab w:leader="none" w:pos="2350"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21" w:right="339" w:bottom="1440" w:gutter="0" w:footer="0" w:header="0"/>
        </w:sectPr>
      </w:pPr>
    </w:p>
    <w:bookmarkStart w:id="499" w:name="page500"/>
    <w:bookmarkEnd w:id="499"/>
    <w:p>
      <w:pPr>
        <w:jc w:val="both"/>
        <w:ind w:left="600" w:firstLine="1191"/>
        <w:spacing w:after="0" w:line="262" w:lineRule="auto"/>
        <w:tabs>
          <w:tab w:leader="none" w:pos="2318"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permitted by the Committee,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05" w:lineRule="exact"/>
        <w:rPr>
          <w:sz w:val="20"/>
          <w:szCs w:val="20"/>
          <w:color w:val="auto"/>
        </w:rPr>
      </w:pPr>
    </w:p>
    <w:p>
      <w:pPr>
        <w:jc w:val="both"/>
        <w:ind w:firstLine="597"/>
        <w:spacing w:after="0" w:line="248" w:lineRule="auto"/>
        <w:rPr>
          <w:sz w:val="20"/>
          <w:szCs w:val="20"/>
          <w:color w:val="auto"/>
        </w:rPr>
      </w:pPr>
      <w:r>
        <w:rPr>
          <w:rFonts w:ascii="Times New Roman" w:cs="Times New Roman" w:eastAsia="Times New Roman" w:hAnsi="Times New Roman"/>
          <w:sz w:val="20"/>
          <w:szCs w:val="20"/>
          <w:color w:val="auto"/>
        </w:rPr>
        <w:t>Payment instruments will be received subject to collection. No certificates for shares of Stock so purchased will be issued to the optionee or, with respect to uncertificated Stock, no transfer to the optionee on the records of the Company will take place, until the Company has completed all steps required by law to be taken in connection with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thereof, (ii) the legending of any certificate (or notation on any book entry) representing the shares to evidence the foregoing restrictions, (iii) obtaining from optionee payment or provision for all withholding taxes due as a result of the exercise of the Option, and (iv) if required by the Company, the optionee shall have entered into any stockholders agreements or other agreements with the Company and/or certain other of the Company’s stockholders relating to shares of the Stock. The delivery of certificates representing the shares of Stock (or the transfer to the optionee on the records of the Company with respect to uncertificated Stock) to be purchased pursuant to the exercise of a Stock Option will be contingent upon receipt from the optionee (or a purchaser acting in his or her stead in accordance with the provisions of the Stock Option) by the Company of the full purchase price for such shares and the fulfillment of any other requirements contained in the Option Award Agreement or applicable provisions of laws. In the event an optionee chooses to pay the purchase price by previously-owned shares of Stock through the attestation method, the number of shares of Stock transferred to the optionee upon the exercise of the Stock Option shall be net of the number of shares attested to.</w:t>
      </w:r>
    </w:p>
    <w:p>
      <w:pPr>
        <w:spacing w:after="0" w:line="131" w:lineRule="exact"/>
        <w:rPr>
          <w:sz w:val="20"/>
          <w:szCs w:val="20"/>
          <w:color w:val="auto"/>
        </w:rPr>
      </w:pPr>
    </w:p>
    <w:p>
      <w:pPr>
        <w:jc w:val="both"/>
        <w:ind w:firstLine="597"/>
        <w:spacing w:after="0" w:line="254" w:lineRule="auto"/>
        <w:tabs>
          <w:tab w:leader="none" w:pos="1078"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Limit on Incentive Stock Options</w:t>
      </w:r>
      <w:r>
        <w:rPr>
          <w:rFonts w:ascii="Times New Roman" w:cs="Times New Roman" w:eastAsia="Times New Roman" w:hAnsi="Times New Roman"/>
          <w:sz w:val="20"/>
          <w:szCs w:val="20"/>
          <w:color w:val="auto"/>
        </w:rPr>
        <w:t>. To the extent required for “incentive stock option” treatment under Section 422 of the Code, the aggregate Fair Market Value (determined as of the time of grant) of the shares of Stock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14" w:lineRule="exact"/>
        <w:rPr>
          <w:rFonts w:ascii="Times New Roman" w:cs="Times New Roman" w:eastAsia="Times New Roman" w:hAnsi="Times New Roman"/>
          <w:sz w:val="20"/>
          <w:szCs w:val="20"/>
          <w:color w:val="auto"/>
        </w:rPr>
      </w:pPr>
    </w:p>
    <w:p>
      <w:pPr>
        <w:jc w:val="both"/>
        <w:ind w:firstLine="597"/>
        <w:spacing w:after="0" w:line="251" w:lineRule="auto"/>
        <w:tabs>
          <w:tab w:leader="none" w:pos="1055"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In the event that an optionee’s Service Relationship terminates, such optionee may thereafter exercise his, her or its Stock Option, to the extent that it was vested and exercisable on the date of such termination, until the date specified below. Any portion of the Stock Option that is not vested and exercisable on the date of termination of such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six months following the date on which the optionee’s Service Relationship terminates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21" w:right="33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20"/>
          <w:szCs w:val="20"/>
          <w:color w:val="auto"/>
        </w:rPr>
        <w:t>to death or Disability (or such longer period of time as determined by the Committee and set forth in the applicable Option Agreement), or</w:t>
      </w:r>
    </w:p>
    <w:p>
      <w:pPr>
        <w:spacing w:after="0" w:line="28" w:lineRule="exact"/>
        <w:rPr>
          <w:sz w:val="20"/>
          <w:szCs w:val="20"/>
          <w:color w:val="auto"/>
        </w:rPr>
      </w:pPr>
    </w:p>
    <w:p>
      <w:pPr>
        <w:jc w:val="both"/>
        <w:spacing w:after="0" w:line="248" w:lineRule="auto"/>
        <w:tabs>
          <w:tab w:leader="none" w:pos="319"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30 days following the date on which the optionee’s Service Relationship terminates if the termination is due to any other reason (or such longer period of time as determined by the Committee and set forth in the applicable Option Award Agreement), or (ii) the Expiration Date set forth in the Option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an Option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121" w:lineRule="exact"/>
        <w:rPr>
          <w:rFonts w:ascii="Times New Roman" w:cs="Times New Roman" w:eastAsia="Times New Roman" w:hAnsi="Times New Roman"/>
          <w:sz w:val="20"/>
          <w:szCs w:val="20"/>
          <w:color w:val="auto"/>
        </w:rPr>
      </w:pPr>
    </w:p>
    <w:p>
      <w:pPr>
        <w:jc w:val="both"/>
        <w:ind w:firstLine="597"/>
        <w:spacing w:after="0" w:line="251" w:lineRule="auto"/>
        <w:tabs>
          <w:tab w:leader="none" w:pos="1240" w:val="left"/>
        </w:tabs>
        <w:numPr>
          <w:ilvl w:val="1"/>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Right to Cancel Certain Options</w:t>
      </w:r>
      <w:r>
        <w:rPr>
          <w:rFonts w:ascii="Times New Roman" w:cs="Times New Roman" w:eastAsia="Times New Roman" w:hAnsi="Times New Roman"/>
          <w:sz w:val="20"/>
          <w:szCs w:val="20"/>
          <w:color w:val="auto"/>
        </w:rPr>
        <w:t>. Any other provision of the Plan or a Stock Option Award Agreement notwithstanding, the Company shall have the right at any time to cancel an Option that was not granted in compliance with Rule 701 of the Securities Act. Prior to canceling such Option, the Company shall give the Optionee not less than 30 days’ notice in writing. If the Company elects to cancel such Option, it shall deliver to the Optionee consideration with an aggregate Fair Market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RESTRICTED STOCK AWARDS</w:t>
      </w:r>
    </w:p>
    <w:p>
      <w:pPr>
        <w:spacing w:after="0" w:line="156" w:lineRule="exact"/>
        <w:rPr>
          <w:sz w:val="20"/>
          <w:szCs w:val="20"/>
          <w:color w:val="auto"/>
        </w:rPr>
      </w:pPr>
    </w:p>
    <w:p>
      <w:pPr>
        <w:jc w:val="both"/>
        <w:ind w:firstLine="597"/>
        <w:spacing w:after="0" w:line="251" w:lineRule="auto"/>
        <w:tabs>
          <w:tab w:leader="none" w:pos="1030"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Restricted Stock Awards</w:t>
      </w:r>
      <w:r>
        <w:rPr>
          <w:rFonts w:ascii="Times New Roman" w:cs="Times New Roman" w:eastAsia="Times New Roman" w:hAnsi="Times New Roman"/>
          <w:sz w:val="20"/>
          <w:szCs w:val="20"/>
          <w:color w:val="auto"/>
        </w:rPr>
        <w:t>. The Committee may, in its sole discretion, grant (or sell at par value or such other purchase price determined by the Committee) to an eligible person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The grant of a Restricted Stock Award is contingent on the grantee executing a Restricted Stock Award Agreement. The terms and conditions of each such Award Agreement shall be determined by the Committee, and such terms and conditions may differ among individual Awards and grantees, all of whom must be eligible persons under Section 4 hereof.</w:t>
      </w:r>
    </w:p>
    <w:p>
      <w:pPr>
        <w:spacing w:after="0" w:line="120" w:lineRule="exact"/>
        <w:rPr>
          <w:rFonts w:ascii="Times New Roman" w:cs="Times New Roman" w:eastAsia="Times New Roman" w:hAnsi="Times New Roman"/>
          <w:sz w:val="20"/>
          <w:szCs w:val="20"/>
          <w:color w:val="auto"/>
        </w:rPr>
      </w:pPr>
    </w:p>
    <w:p>
      <w:pPr>
        <w:jc w:val="both"/>
        <w:ind w:firstLine="597"/>
        <w:spacing w:after="0" w:line="251" w:lineRule="auto"/>
        <w:tabs>
          <w:tab w:leader="none" w:pos="1116"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xml:space="preserve">. Upon execution of a Restricted Stock Award Agreement and payment of any applicable purchase price, a grantee of Restricted Stock shall be considered the record owner of and shall be entitled to vote the Shares of Restricted Stock if, and to the extent, such Shares are entitled to voting rights, subject to such conditions contained in the Restricted Stock Award Agreement. The grantee shall be entitled to receive all dividends and any other distributions declared on the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is under no duty to declare any such dividends or to make any such distribution. The Restricted Stock Award Agreement may require or permit the immediate payment, waiver, deferral or investment of dividends paid on the Restricted Stock. Unless the Committee shall otherwise determine, certificates evidencing the Restricted Stock shall remain in the possession of the Company until such Restricted Stock is vested as provided in subsection (d) below of this Section,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21" w:right="339" w:bottom="1440" w:gutter="0" w:footer="0" w:header="0"/>
        </w:sectPr>
      </w:pPr>
    </w:p>
    <w:bookmarkStart w:id="501" w:name="page502"/>
    <w:bookmarkEnd w:id="501"/>
    <w:p>
      <w:pPr>
        <w:spacing w:after="0" w:line="277" w:lineRule="auto"/>
        <w:rPr>
          <w:sz w:val="20"/>
          <w:szCs w:val="20"/>
          <w:color w:val="auto"/>
        </w:rPr>
      </w:pPr>
      <w:r>
        <w:rPr>
          <w:rFonts w:ascii="Times New Roman" w:cs="Times New Roman" w:eastAsia="Times New Roman" w:hAnsi="Times New Roman"/>
          <w:sz w:val="20"/>
          <w:szCs w:val="20"/>
          <w:color w:val="auto"/>
        </w:rPr>
        <w:t>grantee shall be required, as a condition of the grant, to deliver to the Company a stock power endorsed in blank and such other instruments of transfer as the Committee may prescribe.</w:t>
      </w:r>
    </w:p>
    <w:p>
      <w:pPr>
        <w:spacing w:after="0" w:line="91" w:lineRule="exact"/>
        <w:rPr>
          <w:sz w:val="20"/>
          <w:szCs w:val="20"/>
          <w:color w:val="auto"/>
        </w:rPr>
      </w:pPr>
    </w:p>
    <w:p>
      <w:pPr>
        <w:jc w:val="both"/>
        <w:ind w:firstLine="597"/>
        <w:spacing w:after="0" w:line="252" w:lineRule="auto"/>
        <w:tabs>
          <w:tab w:leader="none" w:pos="1017"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Restricted Stock may not be sold, assigned, transferred, pledged or otherwise encumbered or disposed of except as specifically provided herein or in the Restricted Stock Award Agreement. Except as may otherwise be provided by the Committee either in the Award Agreement or, subject to Section 12 below, in writing after the Award Agreement is issued, if any, if a grantee’s employment (or other Service Relationship) with the Company and any Subsidiary terminates, the Company or its assigns shall have the right, as may be specified in the relevant instrument, to repurchase some or all of the Shares subject to the Award at such purchase price as is set forth in the Restricted Stock Award Agreement.</w:t>
      </w:r>
    </w:p>
    <w:p>
      <w:pPr>
        <w:spacing w:after="0" w:line="119" w:lineRule="exact"/>
        <w:rPr>
          <w:rFonts w:ascii="Times New Roman" w:cs="Times New Roman" w:eastAsia="Times New Roman" w:hAnsi="Times New Roman"/>
          <w:sz w:val="20"/>
          <w:szCs w:val="20"/>
          <w:color w:val="auto"/>
        </w:rPr>
      </w:pPr>
    </w:p>
    <w:p>
      <w:pPr>
        <w:jc w:val="both"/>
        <w:ind w:firstLine="597"/>
        <w:spacing w:after="0" w:line="256" w:lineRule="auto"/>
        <w:tabs>
          <w:tab w:leader="none" w:pos="1091"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Restricted Stock</w:t>
      </w:r>
      <w:r>
        <w:rPr>
          <w:rFonts w:ascii="Times New Roman" w:cs="Times New Roman" w:eastAsia="Times New Roman" w:hAnsi="Times New Roman"/>
          <w:sz w:val="20"/>
          <w:szCs w:val="20"/>
          <w:color w:val="auto"/>
        </w:rPr>
        <w:t>. The Committee at the time of grant shall specify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Restricted Stock Award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UNRESTRICTED STOCK AWARDS</w:t>
      </w:r>
    </w:p>
    <w:p>
      <w:pPr>
        <w:spacing w:after="0" w:line="156"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RESTRICTED STOCK UNITS</w:t>
      </w:r>
    </w:p>
    <w:p>
      <w:pPr>
        <w:spacing w:after="0" w:line="156" w:lineRule="exact"/>
        <w:rPr>
          <w:sz w:val="20"/>
          <w:szCs w:val="20"/>
          <w:color w:val="auto"/>
        </w:rPr>
      </w:pPr>
    </w:p>
    <w:p>
      <w:pPr>
        <w:jc w:val="both"/>
        <w:ind w:firstLine="597"/>
        <w:spacing w:after="0" w:line="250" w:lineRule="auto"/>
        <w:tabs>
          <w:tab w:leader="none" w:pos="1042"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Restricted Stock Units</w:t>
      </w:r>
      <w:r>
        <w:rPr>
          <w:rFonts w:ascii="Times New Roman" w:cs="Times New Roman" w:eastAsia="Times New Roman" w:hAnsi="Times New Roman"/>
          <w:sz w:val="20"/>
          <w:szCs w:val="20"/>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The grant of Restricted Stock Unit(s) is contingent on the grantee executing a Restricted Stock Unit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w:t>
      </w:r>
    </w:p>
    <w:p>
      <w:pPr>
        <w:spacing w:after="0" w:line="121" w:lineRule="exact"/>
        <w:rPr>
          <w:rFonts w:ascii="Times New Roman" w:cs="Times New Roman" w:eastAsia="Times New Roman" w:hAnsi="Times New Roman"/>
          <w:sz w:val="20"/>
          <w:szCs w:val="20"/>
          <w:color w:val="auto"/>
        </w:rPr>
      </w:pPr>
    </w:p>
    <w:p>
      <w:pPr>
        <w:jc w:val="both"/>
        <w:ind w:firstLine="597"/>
        <w:spacing w:after="0" w:line="256" w:lineRule="auto"/>
        <w:tabs>
          <w:tab w:leader="none" w:pos="1116"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A grantee shall have the rights of a stockholder only as to shares of Stock, if any, acquired upon settlement of a Restricted Stock Unit. A grantee shall not be deemed to have acquired any such shares unless and until a Restricted Stock Unit shall have been settled in Stock pursuant to the terms hereof, the Company shall have issued and delivered a certificate representing the shares to the grantee, and the grantee’s name shall have been entered in the books of the Company as a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21" w:right="339" w:bottom="1440" w:gutter="0" w:footer="0" w:header="0"/>
        </w:sectPr>
      </w:pPr>
    </w:p>
    <w:bookmarkStart w:id="502" w:name="page503"/>
    <w:bookmarkEnd w:id="502"/>
    <w:p>
      <w:pPr>
        <w:jc w:val="both"/>
        <w:ind w:firstLine="597"/>
        <w:spacing w:after="0" w:line="262" w:lineRule="auto"/>
        <w:tabs>
          <w:tab w:leader="none" w:pos="1092"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Except as may otherwise be provided by the Committee either in the Award Agreement or in writing after the Award Agreement is issued, a grantee’s right in all Restricted Stock Units that have not vested shall automatically terminate upon the grantee’s termination of employment (or cessation of Service Relationship) with the Company and any Subsidiary for any reason.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9. T</w:t>
      </w:r>
      <w:r>
        <w:rPr>
          <w:rFonts w:ascii="Times New Roman" w:cs="Times New Roman" w:eastAsia="Times New Roman" w:hAnsi="Times New Roman"/>
          <w:sz w:val="20"/>
          <w:szCs w:val="20"/>
          <w:u w:val="single" w:color="auto"/>
          <w:color w:val="auto"/>
        </w:rPr>
        <w:t>RANSFER RESTRICTIONS RIGHT OF FIRST REFUSAL; COMPANY REPURCHASE RIGHTS</w:t>
      </w:r>
    </w:p>
    <w:p>
      <w:pPr>
        <w:spacing w:after="0" w:line="156" w:lineRule="exact"/>
        <w:rPr>
          <w:sz w:val="20"/>
          <w:szCs w:val="20"/>
          <w:color w:val="auto"/>
        </w:rPr>
      </w:pPr>
    </w:p>
    <w:p>
      <w:pPr>
        <w:ind w:left="1020" w:hanging="423"/>
        <w:spacing w:after="0"/>
        <w:tabs>
          <w:tab w:leader="none" w:pos="1020"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firstLine="1194"/>
        <w:spacing w:after="0" w:line="249" w:lineRule="auto"/>
        <w:tabs>
          <w:tab w:leader="none" w:pos="1644" w:val="left"/>
        </w:tabs>
        <w:numPr>
          <w:ilvl w:val="1"/>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Stock Options</w:t>
      </w:r>
      <w:r>
        <w:rPr>
          <w:rFonts w:ascii="Times New Roman" w:cs="Times New Roman" w:eastAsia="Times New Roman" w:hAnsi="Times New Roman"/>
          <w:sz w:val="20"/>
          <w:szCs w:val="20"/>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or domestic relations order,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Option.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123" w:lineRule="exact"/>
        <w:rPr>
          <w:rFonts w:ascii="Times New Roman" w:cs="Times New Roman" w:eastAsia="Times New Roman" w:hAnsi="Times New Roman"/>
          <w:sz w:val="20"/>
          <w:szCs w:val="20"/>
          <w:color w:val="auto"/>
        </w:rPr>
      </w:pPr>
    </w:p>
    <w:p>
      <w:pPr>
        <w:jc w:val="both"/>
        <w:ind w:firstLine="1194"/>
        <w:spacing w:after="0" w:line="249" w:lineRule="auto"/>
        <w:tabs>
          <w:tab w:leader="none" w:pos="1649" w:val="left"/>
        </w:tabs>
        <w:numPr>
          <w:ilvl w:val="1"/>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Issued Shares</w:t>
      </w:r>
      <w:r>
        <w:rPr>
          <w:rFonts w:ascii="Times New Roman" w:cs="Times New Roman" w:eastAsia="Times New Roman" w:hAnsi="Times New Roman"/>
          <w:sz w:val="20"/>
          <w:szCs w:val="20"/>
          <w:color w:val="auto"/>
        </w:rPr>
        <w:t>. No Issued Shares shall be sold, assigned, transferred, pledged, hypothecated, given away or in any other manner disposed of or encumbered, whether voluntarily or by operation of law, unless (i) such transfer is in compliance with the terms of the applicable Award Agreement, all applicable securities laws (including, without limitation, the Securities Act), and with the terms and conditions of this Section 9, (ii) such transfer does not cause the Company to become subject to the reporting requirements of the Exchange Act, and (iii) the transferee consents in writing to be bound by the provisions of the Plan,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disposition of Issued Shares not in accordance with the terms and conditions of this Section 9 shall be null and void, and the Company shall not reflect on its records any change in record ownership of any Issued Shares as a result of any such disposition, shall otherwise refuse to recognize any such disposition and shall not in any way give effect to any such disposition of Issued Shares. The Company shall be entitled to seek protective orders, injunctive relief and other remedies available at law or in equity including, without limitation, seeking specific performance or the rescission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21" w:right="339" w:bottom="1440" w:gutter="0" w:footer="0" w:header="0"/>
        </w:sectPr>
      </w:pPr>
    </w:p>
    <w:bookmarkStart w:id="503" w:name="page504"/>
    <w:bookmarkEnd w:id="503"/>
    <w:p>
      <w:pPr>
        <w:jc w:val="both"/>
        <w:spacing w:after="0" w:line="256" w:lineRule="auto"/>
        <w:rPr>
          <w:sz w:val="20"/>
          <w:szCs w:val="20"/>
          <w:color w:val="auto"/>
        </w:rPr>
      </w:pPr>
      <w:r>
        <w:rPr>
          <w:rFonts w:ascii="Times New Roman" w:cs="Times New Roman" w:eastAsia="Times New Roman" w:hAnsi="Times New Roman"/>
          <w:sz w:val="20"/>
          <w:szCs w:val="20"/>
          <w:color w:val="auto"/>
        </w:rPr>
        <w:t>disposition not made in strict compliance with the provisions of this Section 9. Subject to the foregoing general provisions, and unless otherwise provided in the applicable Award Agreement, Issued Shares may be transferred pursuant to the following specific terms and conditions (provided that with respect to any transfer of Restricted Stock, all vesting and forfeiture provisions shall continue to apply only with respect to the original recipient):</w:t>
      </w:r>
    </w:p>
    <w:p>
      <w:pPr>
        <w:spacing w:after="0" w:line="114" w:lineRule="exact"/>
        <w:rPr>
          <w:sz w:val="20"/>
          <w:szCs w:val="20"/>
          <w:color w:val="auto"/>
        </w:rPr>
      </w:pPr>
    </w:p>
    <w:p>
      <w:pPr>
        <w:jc w:val="both"/>
        <w:ind w:left="600" w:firstLine="1191"/>
        <w:spacing w:after="0" w:line="252" w:lineRule="auto"/>
        <w:tabs>
          <w:tab w:leader="none" w:pos="2307" w:val="left"/>
        </w:tabs>
        <w:numPr>
          <w:ilvl w:val="1"/>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Transfers to Permitted Transferees</w:t>
      </w:r>
      <w:r>
        <w:rPr>
          <w:rFonts w:ascii="Times New Roman" w:cs="Times New Roman" w:eastAsia="Times New Roman" w:hAnsi="Times New Roman"/>
          <w:sz w:val="20"/>
          <w:szCs w:val="20"/>
          <w:color w:val="auto"/>
        </w:rPr>
        <w:t xml:space="preserve">. The Holder may sell, assign, transfer or give away any or all of the Issued Shares to Permitted Transferees;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following such sale, assignment, transfer or gift, such Issued Shares shall continue to be subject to the terms of this Plan (including this Section 9) and such Permitted Transferee(s) shall, as a condition to any such transfer, deliver a written acknowledgment to that effect to the Company. Notwithstanding the foregoing, the Holder may not sell, assign, transfer or give any or all of the Issued Shares to any Person whom the Company reasonably determines is a direct competitor or a potential competitor of the Company or any of its Subsidiaries.</w:t>
      </w:r>
    </w:p>
    <w:p>
      <w:pPr>
        <w:spacing w:after="0" w:line="119" w:lineRule="exact"/>
        <w:rPr>
          <w:rFonts w:ascii="Times New Roman" w:cs="Times New Roman" w:eastAsia="Times New Roman" w:hAnsi="Times New Roman"/>
          <w:sz w:val="20"/>
          <w:szCs w:val="20"/>
          <w:color w:val="auto"/>
        </w:rPr>
      </w:pPr>
    </w:p>
    <w:p>
      <w:pPr>
        <w:jc w:val="both"/>
        <w:ind w:left="600" w:firstLine="1191"/>
        <w:spacing w:after="0" w:line="256" w:lineRule="auto"/>
        <w:tabs>
          <w:tab w:leader="none" w:pos="2296" w:val="left"/>
        </w:tabs>
        <w:numPr>
          <w:ilvl w:val="1"/>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Transfers Upon Death</w:t>
      </w:r>
      <w:r>
        <w:rPr>
          <w:rFonts w:ascii="Times New Roman" w:cs="Times New Roman" w:eastAsia="Times New Roman" w:hAnsi="Times New Roman"/>
          <w:sz w:val="20"/>
          <w:szCs w:val="20"/>
          <w:color w:val="auto"/>
        </w:rPr>
        <w:t>. Upon the death of the Holder, any Issued Shares then held by the Holder at the time of such death and any Issued Shares acquired thereafter by the Holder’s legal representative shall be subject to the provisions of this Plan, and the Holder’s estate, executors, administrators, personal representatives, heirs, legatees and distributees shall be obligated to convey such Issued Shares to the Company or its assigns under the terms contemplated hereby.</w:t>
      </w:r>
    </w:p>
    <w:p>
      <w:pPr>
        <w:spacing w:after="0" w:line="113" w:lineRule="exact"/>
        <w:rPr>
          <w:rFonts w:ascii="Times New Roman" w:cs="Times New Roman" w:eastAsia="Times New Roman" w:hAnsi="Times New Roman"/>
          <w:sz w:val="20"/>
          <w:szCs w:val="20"/>
          <w:color w:val="auto"/>
        </w:rPr>
      </w:pPr>
    </w:p>
    <w:p>
      <w:pPr>
        <w:jc w:val="both"/>
        <w:ind w:firstLine="597"/>
        <w:spacing w:after="0" w:line="248" w:lineRule="auto"/>
        <w:tabs>
          <w:tab w:leader="none" w:pos="1028"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First Refusal</w:t>
      </w:r>
      <w:r>
        <w:rPr>
          <w:rFonts w:ascii="Times New Roman" w:cs="Times New Roman" w:eastAsia="Times New Roman" w:hAnsi="Times New Roman"/>
          <w:sz w:val="20"/>
          <w:szCs w:val="20"/>
          <w:color w:val="auto"/>
        </w:rPr>
        <w:t>. In the event that a Holder desires at any time to sell or otherwise transfer all or any part of such Holder’s Issued Shares (other than shares of Restricted Stock which by their terms are not transferrable), the Holder first shall give written notice to the Company of the Holder’s intention to make such transfer. Such notice shall state the number of Issued Shares which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may, within 60 days thereafter, sell the Offered Shares to the proposed transferee and at the same price and on the same terms as specified in the Holder’s notice. Any Shares purchased by such proposed transferee shall no longer be subject to the terms of the Plan. Any Shares not sold to the proposed transferee shall remain subject to the Plan. If the Holder is a party to any stockholders agreements or other agreements with the Company and/or certain other of the Company’s stockholders relating to shares of the Stock, (i) the transferring Holder shall comply with the requirements of such stockholders agreements or other agreements relating to any proposed transfer of the Offered Shares, and (ii) any proposed transferee that purchases Offered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21" w:right="339" w:bottom="1440" w:gutter="0" w:footer="0" w:header="0"/>
        </w:sectPr>
      </w:pPr>
    </w:p>
    <w:bookmarkStart w:id="504" w:name="page505"/>
    <w:bookmarkEnd w:id="504"/>
    <w:p>
      <w:pPr>
        <w:spacing w:after="0" w:line="277" w:lineRule="auto"/>
        <w:rPr>
          <w:sz w:val="20"/>
          <w:szCs w:val="20"/>
          <w:color w:val="auto"/>
        </w:rPr>
      </w:pPr>
      <w:r>
        <w:rPr>
          <w:rFonts w:ascii="Times New Roman" w:cs="Times New Roman" w:eastAsia="Times New Roman" w:hAnsi="Times New Roman"/>
          <w:sz w:val="20"/>
          <w:szCs w:val="20"/>
          <w:color w:val="auto"/>
        </w:rPr>
        <w:t>shall enter into such stockholders agreements or other agreements with the Company and/or certain other of the Company’s stockholders relating to the Offered Shares on the same terms and in the same capacity as the transferring Holder.</w:t>
      </w:r>
    </w:p>
    <w:p>
      <w:pPr>
        <w:spacing w:after="0" w:line="91" w:lineRule="exact"/>
        <w:rPr>
          <w:sz w:val="20"/>
          <w:szCs w:val="20"/>
          <w:color w:val="auto"/>
        </w:rPr>
      </w:pPr>
    </w:p>
    <w:p>
      <w:pPr>
        <w:ind w:left="1020" w:hanging="423"/>
        <w:spacing w:after="0"/>
        <w:tabs>
          <w:tab w:leader="none" w:pos="1020"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Company’s Right of Repurchase</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firstLine="1194"/>
        <w:spacing w:after="0" w:line="251" w:lineRule="auto"/>
        <w:tabs>
          <w:tab w:leader="none" w:pos="1619"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Repurchase for Option Shares</w:t>
      </w:r>
      <w:r>
        <w:rPr>
          <w:rFonts w:ascii="Times New Roman" w:cs="Times New Roman" w:eastAsia="Times New Roman" w:hAnsi="Times New Roman"/>
          <w:sz w:val="20"/>
          <w:szCs w:val="20"/>
          <w:color w:val="auto"/>
        </w:rPr>
        <w:t>. The Company or its assigns shall have the right and option upon a Repurchase Event to repurchase from a Holder of Option Shares some or all (as determined by the Company) of the Option Shares held or subsequently acquired upon exercise of a Stock Option by such Holder at the price per share specified below. Such repurchase right may be exercised by the Company within the later of (A) six months following the date of such Repurchase Event or (B) seven months after the acquisition of such Option Shares upon exercise of a Stock Option (the “Option Shares Repurchase Period”). The “Option Shares Repurchase Price” shall be equal to the Fair Market Value of the Option Shares, determined as of the date the Committee elects to exercise its repurchase rights in connection with a Repurchase Event.</w:t>
      </w:r>
    </w:p>
    <w:p>
      <w:pPr>
        <w:spacing w:after="0" w:line="120" w:lineRule="exact"/>
        <w:rPr>
          <w:rFonts w:ascii="Times New Roman" w:cs="Times New Roman" w:eastAsia="Times New Roman" w:hAnsi="Times New Roman"/>
          <w:sz w:val="20"/>
          <w:szCs w:val="20"/>
          <w:color w:val="auto"/>
        </w:rPr>
      </w:pPr>
    </w:p>
    <w:p>
      <w:pPr>
        <w:jc w:val="both"/>
        <w:ind w:firstLine="1194"/>
        <w:spacing w:after="0" w:line="249" w:lineRule="auto"/>
        <w:tabs>
          <w:tab w:leader="none" w:pos="1687"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Repurchase With Respect to Restricted Stock and Shares issued pursuant to an Unrestricted Stock Award or Restricted Stock Unit Award</w:t>
      </w:r>
      <w:r>
        <w:rPr>
          <w:rFonts w:ascii="Times New Roman" w:cs="Times New Roman" w:eastAsia="Times New Roman" w:hAnsi="Times New Roman"/>
          <w:sz w:val="20"/>
          <w:szCs w:val="20"/>
          <w:color w:val="auto"/>
        </w:rPr>
        <w:t>. Unless otherwise set forth in the agreement entered into by the recipient and the Company in connection with a Restricted Stock Award, Unrestricted Stock Award or Restricted Stock Unit Award, the Company or its assigns shall have the right and option upon a Repurchase Event to repurchase from a Holder of Issued Shares received pursuant to a Restricted Stock Award, Unrestricted Stock Award or Restricted Stock Unit Award some or all (as determined by the Company) of such Issued Shares at the price per share specified below. In addition, upon a Termination Event, the Company or its assigns shall have the right and option to repurchase from a Holder of Issued Shares received pursuant to a Restricted Stock Award any Issued Shares which have not vested as of the Termination Event. Such repurchase right may be exercised by the Company within six months following the date of such Repurchase Event or Termination Event as applicable (the “Non-Option Shares Repurchase Period”). The “Non-Option Shares Repurchase Price” shall be (i) in the case of Issued Shares which are vested as of the date of the Repurchase Event, the Fair Market Value of such Issued Shares as of the date the Company elects to exercise its repurchase rights in connection with a Repurchase Event and (ii) in the case of Issued Shares which have not vested as of the date of the Repurchase Event or Termination Event (as applicable), the lower of the original per share purchase price paid by the recipient subject to adjustment as provided in Section 3(b) or the current Fair Market Value of such Issued Shares as of the date the Company elects to exercise its repurchase rights in connection with a Repurchase Event or Termination Event (as applicable).</w:t>
      </w:r>
    </w:p>
    <w:p>
      <w:pPr>
        <w:spacing w:after="0" w:line="118" w:lineRule="exact"/>
        <w:rPr>
          <w:rFonts w:ascii="Times New Roman" w:cs="Times New Roman" w:eastAsia="Times New Roman" w:hAnsi="Times New Roman"/>
          <w:sz w:val="20"/>
          <w:szCs w:val="20"/>
          <w:color w:val="auto"/>
        </w:rPr>
      </w:pPr>
    </w:p>
    <w:p>
      <w:pPr>
        <w:jc w:val="both"/>
        <w:ind w:firstLine="1194"/>
        <w:spacing w:after="0" w:line="254" w:lineRule="auto"/>
        <w:tabs>
          <w:tab w:leader="none" w:pos="1692"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w:t>
      </w:r>
      <w:r>
        <w:rPr>
          <w:rFonts w:ascii="Times New Roman" w:cs="Times New Roman" w:eastAsia="Times New Roman" w:hAnsi="Times New Roman"/>
          <w:sz w:val="20"/>
          <w:szCs w:val="20"/>
          <w:color w:val="auto"/>
        </w:rPr>
        <w:t>. Any repurchase right of the Company shall be exercised by the Company or its assigns by giving the Holder written notice on or before the last day of the Option Shares Repurchase Period or Non-Option Shares Repurchase Period, as applicable,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21" w:right="339" w:bottom="1440" w:gutter="0" w:footer="0" w:header="0"/>
        </w:sectPr>
      </w:pPr>
    </w:p>
    <w:bookmarkStart w:id="505" w:name="page506"/>
    <w:bookmarkEnd w:id="505"/>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Company’s or its assignee’s receipt of the certificates from the Holder, the Company or its assignee or assignees shall deliver to him, her or them a check for the Option Shares Repurchase Price or the Non-Option Shares Repurchase Price, as applicable;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Company may pay the Option Shares Repurchase Price or Non-Option Shares Repurchase Price, as applicable, by offsetting and canceling any indebtedness then owed by the Holder to the Company.</w:t>
      </w:r>
    </w:p>
    <w:p>
      <w:pPr>
        <w:spacing w:after="0" w:line="114" w:lineRule="exact"/>
        <w:rPr>
          <w:sz w:val="20"/>
          <w:szCs w:val="20"/>
          <w:color w:val="auto"/>
        </w:rPr>
      </w:pPr>
    </w:p>
    <w:p>
      <w:pPr>
        <w:jc w:val="both"/>
        <w:ind w:firstLine="597"/>
        <w:spacing w:after="0" w:line="249" w:lineRule="auto"/>
        <w:tabs>
          <w:tab w:leader="none" w:pos="1078"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Drag Along Right</w:t>
      </w:r>
      <w:r>
        <w:rPr>
          <w:rFonts w:ascii="Times New Roman" w:cs="Times New Roman" w:eastAsia="Times New Roman" w:hAnsi="Times New Roman"/>
          <w:sz w:val="20"/>
          <w:szCs w:val="20"/>
          <w:color w:val="auto"/>
        </w:rPr>
        <w:t xml:space="preserve">. In the event the holders of a majority of the Company’s equity securities then outstanding (the “Majority Shareholders”) determine to enter into a Sale Event in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negotiated transaction (a “Sale”), with any non-Affiliate of the Company or any majority shareholder (in each case, the “Buyer”), a Holder of Issued Shares, including any Permitted Transferees, shall be obligated to and shall upon the written request of the Majority Shareholders: (a) sell, transfer and deliver, or cause to be sold, transferred and delivered, to the Buyer, his or her Issued Shares (including for this purpose all of such Holder’s or his or her Permitted Transferee’s Issued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and the exercise of exercisable securities as well as the relative preferences and priorities of preferred stock); and (b) execute and deliver such instruments of conveyance and transfer and take such other action, including voting such Issued Shares in favor of any Sale proposed by the Majority Shareholders and executing any purchase agreements, merger agreements, indemnity agreements, escrow agreements or related documents as the Majority Shareholders or the Buyer may reasonably require in order to carry out the terms and provisions of this Section 9(d).</w:t>
      </w:r>
    </w:p>
    <w:p>
      <w:pPr>
        <w:spacing w:after="0" w:line="123" w:lineRule="exact"/>
        <w:rPr>
          <w:rFonts w:ascii="Times New Roman" w:cs="Times New Roman" w:eastAsia="Times New Roman" w:hAnsi="Times New Roman"/>
          <w:sz w:val="20"/>
          <w:szCs w:val="20"/>
          <w:color w:val="auto"/>
        </w:rPr>
      </w:pPr>
    </w:p>
    <w:p>
      <w:pPr>
        <w:ind w:left="1020" w:hanging="423"/>
        <w:spacing w:after="0"/>
        <w:tabs>
          <w:tab w:leader="none" w:pos="1020"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Escrow Arrangement</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firstLine="1194"/>
        <w:spacing w:after="0" w:line="250" w:lineRule="auto"/>
        <w:tabs>
          <w:tab w:leader="none" w:pos="1693" w:val="left"/>
        </w:tabs>
        <w:numPr>
          <w:ilvl w:val="1"/>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 In order to carry out the provisions of Sections 9(b), (c), and (d) of this Agreement more effectively, the Company shall hold any Issued Shares in escrow together with separate stock powers executed by the Holder in blank for transfer, and any Permitted Transferee shall, as an additional condition to any transfer of Issued Shares, execute a like stock power as to such Issued Shares. The Company shall not dispose of the Issued Shares except as otherwise provided in this Agreement. In the event of any repurchase by the Company (or any of its assigns), the Company is hereby authorized by the Holder and any Permitted Transferee, as the Holder’s and each such Permitted Transferee’s attorney-in-fact, to date and complete the stock powers necessary for the transfer of the Issued Shares being purchased and to transfer such Issued Shares in accordance with the terms hereof. At such time as any Issued Shares are no longer subject to the Company’s repurchase, first refusal and drag along rights, the Company shall, at the written request of the Holder, deliver to the Holder (or the relevant Permitted Transferee) a certificate representing such Issued Shares with the balance of the Issued Shares to be held in escrow pursuant to this Section.</w:t>
      </w:r>
    </w:p>
    <w:p>
      <w:pPr>
        <w:spacing w:after="0" w:line="117" w:lineRule="exact"/>
        <w:rPr>
          <w:rFonts w:ascii="Times New Roman" w:cs="Times New Roman" w:eastAsia="Times New Roman" w:hAnsi="Times New Roman"/>
          <w:sz w:val="20"/>
          <w:szCs w:val="20"/>
          <w:color w:val="auto"/>
        </w:rPr>
      </w:pPr>
    </w:p>
    <w:p>
      <w:pPr>
        <w:jc w:val="both"/>
        <w:ind w:firstLine="1194"/>
        <w:spacing w:after="0" w:line="262" w:lineRule="auto"/>
        <w:tabs>
          <w:tab w:leader="none" w:pos="1699" w:val="left"/>
        </w:tabs>
        <w:numPr>
          <w:ilvl w:val="1"/>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Remedy</w:t>
      </w:r>
      <w:r>
        <w:rPr>
          <w:rFonts w:ascii="Times New Roman" w:cs="Times New Roman" w:eastAsia="Times New Roman" w:hAnsi="Times New Roman"/>
          <w:sz w:val="20"/>
          <w:szCs w:val="20"/>
          <w:color w:val="auto"/>
        </w:rPr>
        <w:t>. Without limitation of any other provision of this Agreement or other rights, in the event that a Holder, any Permitted Transferees or any other Person is required to sell a Holder’s Issued Shares pursuant to the provisions of Sections 9(b), (c), or (d) 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20" w:right="339" w:bottom="1440" w:gutter="0" w:footer="0" w:header="0"/>
        </w:sectPr>
      </w:pPr>
    </w:p>
    <w:bookmarkStart w:id="506" w:name="page507"/>
    <w:bookmarkEnd w:id="506"/>
    <w:p>
      <w:pPr>
        <w:jc w:val="both"/>
        <w:spacing w:after="0" w:line="250" w:lineRule="auto"/>
        <w:rPr>
          <w:sz w:val="20"/>
          <w:szCs w:val="20"/>
          <w:color w:val="auto"/>
        </w:rPr>
      </w:pPr>
      <w:r>
        <w:rPr>
          <w:rFonts w:ascii="Times New Roman" w:cs="Times New Roman" w:eastAsia="Times New Roman" w:hAnsi="Times New Roman"/>
          <w:sz w:val="20"/>
          <w:szCs w:val="20"/>
          <w:color w:val="auto"/>
        </w:rPr>
        <w:t>in the further event that he or she refuses or for any reason fails to deliver to the Company or its designated purchaser of such Issued Shares the certificate or certificates evidencing such Issued Shares together with a related stock power, the Company or such designated purchaser may deposit the applicable purchase price for such Issued Shares with a bank designated by the Company, or with the Company’s independent public accounting firm, as agent or trustee, or in escrow, for such Holder, any Permitted Transferees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Issued Shares to be sold pursuant to the provisions of Sections 9(b) (c), or (d), such Issued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118" w:lineRule="exact"/>
        <w:rPr>
          <w:sz w:val="20"/>
          <w:szCs w:val="20"/>
          <w:color w:val="auto"/>
        </w:rPr>
      </w:pPr>
    </w:p>
    <w:p>
      <w:pPr>
        <w:jc w:val="both"/>
        <w:ind w:firstLine="597"/>
        <w:spacing w:after="0" w:line="254" w:lineRule="auto"/>
        <w:tabs>
          <w:tab w:leader="none" w:pos="1020"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Provision</w:t>
      </w:r>
      <w:r>
        <w:rPr>
          <w:rFonts w:ascii="Times New Roman" w:cs="Times New Roman" w:eastAsia="Times New Roman" w:hAnsi="Times New Roman"/>
          <w:sz w:val="20"/>
          <w:szCs w:val="20"/>
          <w:color w:val="auto"/>
        </w:rPr>
        <w:t>. A Holder agrees, if requested by the Company and any underwriter engaged by the Company, not to sell or otherwise transfer or dispose of any Issued Shares (including, without limitation, pursuant to Rule 144 under the Securities Act) held by him or her for such period following the effective date of any registration statement of the Company filed under the Securities Act as the Company or such underwriter shall specify reasonably and in good faith. If requested by the underwriter engaged by the Company, each Holder shall execute a separate letter reflecting the agreement set forth in this Section.</w:t>
      </w:r>
    </w:p>
    <w:p>
      <w:pPr>
        <w:spacing w:after="0" w:line="114" w:lineRule="exact"/>
        <w:rPr>
          <w:rFonts w:ascii="Times New Roman" w:cs="Times New Roman" w:eastAsia="Times New Roman" w:hAnsi="Times New Roman"/>
          <w:sz w:val="20"/>
          <w:szCs w:val="20"/>
          <w:color w:val="auto"/>
        </w:rPr>
      </w:pPr>
    </w:p>
    <w:p>
      <w:pPr>
        <w:jc w:val="both"/>
        <w:ind w:firstLine="597"/>
        <w:spacing w:after="0" w:line="254" w:lineRule="auto"/>
        <w:tabs>
          <w:tab w:leader="none" w:pos="1140"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for Changes in Capital Structure</w:t>
      </w:r>
      <w:r>
        <w:rPr>
          <w:rFonts w:ascii="Times New Roman" w:cs="Times New Roman" w:eastAsia="Times New Roman" w:hAnsi="Times New Roman"/>
          <w:sz w:val="20"/>
          <w:szCs w:val="20"/>
          <w:color w:val="auto"/>
        </w:rPr>
        <w:t>. If, as a result of any reorganization, recapitalization, reclassification, stock dividend, stock split, reverse stock split or other similar change in the Common Stock, the outstanding shares of Common Stock are increased or decreased or are exchanged for a different number or kind of shares of the Company’s Stock, the restrictions contained in this Section 9 shall apply with equal force to additional and/or substitute securities, if any, received by Holder in exchange for, or by virtue of his or her ownership of, Issued Shares.</w:t>
      </w:r>
    </w:p>
    <w:p>
      <w:pPr>
        <w:spacing w:after="0" w:line="114" w:lineRule="exact"/>
        <w:rPr>
          <w:rFonts w:ascii="Times New Roman" w:cs="Times New Roman" w:eastAsia="Times New Roman" w:hAnsi="Times New Roman"/>
          <w:sz w:val="20"/>
          <w:szCs w:val="20"/>
          <w:color w:val="auto"/>
        </w:rPr>
      </w:pPr>
    </w:p>
    <w:p>
      <w:pPr>
        <w:jc w:val="both"/>
        <w:ind w:firstLine="597"/>
        <w:spacing w:after="0" w:line="254" w:lineRule="auto"/>
        <w:tabs>
          <w:tab w:leader="none" w:pos="1091"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 terms and provisions of Section 9(b), Section 9(c) (except for the Company’s right to repurchase unvested Restricted Stock Awards upon a Termination Event) and Section 9(d) shall terminate upon the closing of the Company’s Initial Public Offering or upon consummation of any Sale Event, in either case as a result of which shares of the Company (or a successor entity) of the same class as the Issued Shares are registered under Section 12 of the Exchange Act and publicly-traded on NASDAQ or any national security exchange.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TAX WITHHOLDING</w:t>
      </w:r>
    </w:p>
    <w:p>
      <w:pPr>
        <w:spacing w:after="0" w:line="156" w:lineRule="exact"/>
        <w:rPr>
          <w:sz w:val="20"/>
          <w:szCs w:val="20"/>
          <w:color w:val="auto"/>
        </w:rPr>
      </w:pPr>
    </w:p>
    <w:p>
      <w:pPr>
        <w:jc w:val="both"/>
        <w:ind w:firstLine="597"/>
        <w:spacing w:after="0" w:line="254" w:lineRule="auto"/>
        <w:tabs>
          <w:tab w:leader="none" w:pos="1092"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by Grantee</w:t>
      </w:r>
      <w:r>
        <w:rPr>
          <w:rFonts w:ascii="Times New Roman" w:cs="Times New Roman" w:eastAsia="Times New Roman" w:hAnsi="Times New Roman"/>
          <w:sz w:val="20"/>
          <w:szCs w:val="20"/>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21" w:right="339" w:bottom="1440" w:gutter="0" w:footer="0" w:header="0"/>
        </w:sectPr>
      </w:pPr>
    </w:p>
    <w:bookmarkStart w:id="507" w:name="page508"/>
    <w:bookmarkEnd w:id="507"/>
    <w:p>
      <w:pPr>
        <w:spacing w:after="0" w:line="277" w:lineRule="auto"/>
        <w:rPr>
          <w:sz w:val="20"/>
          <w:szCs w:val="20"/>
          <w:color w:val="auto"/>
        </w:rPr>
      </w:pPr>
      <w:r>
        <w:rPr>
          <w:rFonts w:ascii="Times New Roman" w:cs="Times New Roman" w:eastAsia="Times New Roman" w:hAnsi="Times New Roman"/>
          <w:sz w:val="20"/>
          <w:szCs w:val="20"/>
          <w:color w:val="auto"/>
        </w:rPr>
        <w:t>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91" w:lineRule="exact"/>
        <w:rPr>
          <w:sz w:val="20"/>
          <w:szCs w:val="20"/>
          <w:color w:val="auto"/>
        </w:rPr>
      </w:pPr>
    </w:p>
    <w:p>
      <w:pPr>
        <w:jc w:val="both"/>
        <w:ind w:firstLine="597"/>
        <w:spacing w:after="0" w:line="262" w:lineRule="auto"/>
        <w:tabs>
          <w:tab w:leader="none" w:pos="1028"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in Stock</w:t>
      </w:r>
      <w:r>
        <w:rPr>
          <w:rFonts w:ascii="Times New Roman" w:cs="Times New Roman" w:eastAsia="Times New Roman" w:hAnsi="Times New Roman"/>
          <w:sz w:val="20"/>
          <w:szCs w:val="20"/>
          <w:color w:val="auto"/>
        </w:rPr>
        <w:t>. Subject to approval by the Committee,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minimum withholding amount due.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SECTION 409A AWARDS.</w:t>
      </w:r>
    </w:p>
    <w:p>
      <w:pPr>
        <w:spacing w:after="0" w:line="156"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20"/>
          <w:szCs w:val="20"/>
          <w:color w:val="auto"/>
        </w:rPr>
        <w:t>To the extent that any Award is determined to constitute “nonqualified deferred compensation” within the meaning of Section 409A (a “409A Award”), the Award shall be subject to such additional rules and requirements as specified by the Committee from time to time in order to comply with Section 409A.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AMENDMENTS AND TERMINATION</w:t>
      </w:r>
    </w:p>
    <w:p>
      <w:pPr>
        <w:spacing w:after="0" w:line="156"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20"/>
          <w:szCs w:val="20"/>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Awards and by granting such holders new Awards in replacement of the cancelled Awards.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STATUS OF PLAN</w:t>
      </w:r>
    </w:p>
    <w:p>
      <w:pPr>
        <w:spacing w:after="0" w:line="156"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With respect to the portion of any Award that has not been exercised and any payments in cash, Stock or other consideration not received by a grantee, a grantee shall have no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21" w:right="339" w:bottom="1440" w:gutter="0" w:footer="0" w:header="0"/>
        </w:sectPr>
      </w:pPr>
    </w:p>
    <w:bookmarkStart w:id="508" w:name="page509"/>
    <w:bookmarkEnd w:id="508"/>
    <w:p>
      <w:pPr>
        <w:spacing w:after="0" w:line="277" w:lineRule="auto"/>
        <w:rPr>
          <w:sz w:val="20"/>
          <w:szCs w:val="20"/>
          <w:color w:val="auto"/>
        </w:rPr>
      </w:pPr>
      <w:r>
        <w:rPr>
          <w:rFonts w:ascii="Times New Roman" w:cs="Times New Roman" w:eastAsia="Times New Roman" w:hAnsi="Times New Roman"/>
          <w:sz w:val="20"/>
          <w:szCs w:val="20"/>
          <w:color w:val="auto"/>
        </w:rPr>
        <w:t>greater than those of a general creditor of the Company unless the Committee shall otherwise expressly so determine in connection with any Award or Awards.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GENERAL PROVISIONS</w:t>
      </w:r>
    </w:p>
    <w:p>
      <w:pPr>
        <w:spacing w:after="0" w:line="156" w:lineRule="exact"/>
        <w:rPr>
          <w:sz w:val="20"/>
          <w:szCs w:val="20"/>
          <w:color w:val="auto"/>
        </w:rPr>
      </w:pPr>
    </w:p>
    <w:p>
      <w:pPr>
        <w:jc w:val="both"/>
        <w:ind w:firstLine="597"/>
        <w:spacing w:after="0" w:line="254" w:lineRule="auto"/>
        <w:tabs>
          <w:tab w:leader="none" w:pos="1017"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Distribution; Compliance with Legal Requirements</w:t>
      </w:r>
      <w:r>
        <w:rPr>
          <w:rFonts w:ascii="Times New Roman" w:cs="Times New Roman" w:eastAsia="Times New Roman" w:hAnsi="Times New Roman"/>
          <w:sz w:val="20"/>
          <w:szCs w:val="20"/>
          <w:color w:val="auto"/>
        </w:rPr>
        <w:t>. The Committee may require each person acquiring Stock pursuant to an Award to represent to and agree with the Company in writing that such person is acquiring the shares of Stock without a view to distribution thereof. No shares of Stock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114" w:lineRule="exact"/>
        <w:rPr>
          <w:rFonts w:ascii="Times New Roman" w:cs="Times New Roman" w:eastAsia="Times New Roman" w:hAnsi="Times New Roman"/>
          <w:sz w:val="20"/>
          <w:szCs w:val="20"/>
          <w:color w:val="auto"/>
        </w:rPr>
      </w:pPr>
    </w:p>
    <w:p>
      <w:pPr>
        <w:jc w:val="both"/>
        <w:ind w:firstLine="597"/>
        <w:spacing w:after="0" w:line="251" w:lineRule="auto"/>
        <w:tabs>
          <w:tab w:leader="none" w:pos="1028"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Stock Certificates</w:t>
      </w:r>
      <w:r>
        <w:rPr>
          <w:rFonts w:ascii="Times New Roman" w:cs="Times New Roman" w:eastAsia="Times New Roman" w:hAnsi="Times New Roman"/>
          <w:sz w:val="20"/>
          <w:szCs w:val="20"/>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116" w:lineRule="exact"/>
        <w:rPr>
          <w:rFonts w:ascii="Times New Roman" w:cs="Times New Roman" w:eastAsia="Times New Roman" w:hAnsi="Times New Roman"/>
          <w:sz w:val="20"/>
          <w:szCs w:val="20"/>
          <w:color w:val="auto"/>
        </w:rPr>
      </w:pPr>
    </w:p>
    <w:p>
      <w:pPr>
        <w:ind w:firstLine="597"/>
        <w:spacing w:after="0" w:line="281" w:lineRule="auto"/>
        <w:tabs>
          <w:tab w:leader="none" w:pos="1017"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Employment Rights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adoption of the Plan and the grant of Awards do not confer upon any Person any right to continued employment or Service Relationship with the Company or any Subsidiary.</w:t>
      </w:r>
    </w:p>
    <w:p>
      <w:pPr>
        <w:spacing w:after="0" w:line="87" w:lineRule="exact"/>
        <w:rPr>
          <w:rFonts w:ascii="Times New Roman" w:cs="Times New Roman" w:eastAsia="Times New Roman" w:hAnsi="Times New Roman"/>
          <w:sz w:val="20"/>
          <w:szCs w:val="20"/>
          <w:color w:val="auto"/>
        </w:rPr>
      </w:pPr>
    </w:p>
    <w:p>
      <w:pPr>
        <w:jc w:val="both"/>
        <w:ind w:firstLine="597"/>
        <w:spacing w:after="0" w:line="262" w:lineRule="auto"/>
        <w:tabs>
          <w:tab w:leader="none" w:pos="1028"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Trading Policy Restrictions</w:t>
      </w:r>
      <w:r>
        <w:rPr>
          <w:rFonts w:ascii="Times New Roman" w:cs="Times New Roman" w:eastAsia="Times New Roman" w:hAnsi="Times New Roman"/>
          <w:sz w:val="20"/>
          <w:szCs w:val="20"/>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105" w:lineRule="exact"/>
        <w:rPr>
          <w:rFonts w:ascii="Times New Roman" w:cs="Times New Roman" w:eastAsia="Times New Roman" w:hAnsi="Times New Roman"/>
          <w:sz w:val="20"/>
          <w:szCs w:val="20"/>
          <w:color w:val="auto"/>
        </w:rPr>
      </w:pPr>
    </w:p>
    <w:p>
      <w:pPr>
        <w:jc w:val="both"/>
        <w:ind w:firstLine="597"/>
        <w:spacing w:after="0" w:line="254" w:lineRule="auto"/>
        <w:tabs>
          <w:tab w:leader="none" w:pos="1092"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Beneficiary</w:t>
      </w:r>
      <w:r>
        <w:rPr>
          <w:rFonts w:ascii="Times New Roman" w:cs="Times New Roman" w:eastAsia="Times New Roman" w:hAnsi="Times New Roman"/>
          <w:sz w:val="20"/>
          <w:szCs w:val="20"/>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114" w:lineRule="exact"/>
        <w:rPr>
          <w:rFonts w:ascii="Times New Roman" w:cs="Times New Roman" w:eastAsia="Times New Roman" w:hAnsi="Times New Roman"/>
          <w:sz w:val="20"/>
          <w:szCs w:val="20"/>
          <w:color w:val="auto"/>
        </w:rPr>
      </w:pPr>
    </w:p>
    <w:p>
      <w:pPr>
        <w:ind w:firstLine="597"/>
        <w:spacing w:after="0" w:line="277" w:lineRule="auto"/>
        <w:tabs>
          <w:tab w:leader="none" w:pos="1070"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w:t>
      </w:r>
      <w:r>
        <w:rPr>
          <w:rFonts w:ascii="Times New Roman" w:cs="Times New Roman" w:eastAsia="Times New Roman" w:hAnsi="Times New Roman"/>
          <w:sz w:val="20"/>
          <w:szCs w:val="20"/>
          <w:color w:val="auto"/>
        </w:rPr>
        <w:t>. Any certificate(s) representing the Issued Shares shall carry substantially the following legend (and with respect to uncertificated Stock, the book entries evidencing such shares shall contain the following notation):</w:t>
      </w:r>
    </w:p>
    <w:p>
      <w:pPr>
        <w:spacing w:after="0" w:line="91" w:lineRule="exact"/>
        <w:rPr>
          <w:sz w:val="20"/>
          <w:szCs w:val="20"/>
          <w:color w:val="auto"/>
        </w:rPr>
      </w:pPr>
    </w:p>
    <w:p>
      <w:pPr>
        <w:ind w:left="1200" w:right="1180"/>
        <w:spacing w:after="0" w:line="277" w:lineRule="auto"/>
        <w:rPr>
          <w:sz w:val="20"/>
          <w:szCs w:val="20"/>
          <w:color w:val="auto"/>
        </w:rPr>
      </w:pPr>
      <w:r>
        <w:rPr>
          <w:rFonts w:ascii="Times New Roman" w:cs="Times New Roman" w:eastAsia="Times New Roman" w:hAnsi="Times New Roman"/>
          <w:sz w:val="20"/>
          <w:szCs w:val="20"/>
          <w:color w:val="auto"/>
        </w:rPr>
        <w:t>The transferability of this certificate and the shares of stock represented hereby are subject to the restrictions, terms and conditions (including repurchase and restrictions against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21" w:right="339" w:bottom="1440" w:gutter="0" w:footer="0" w:header="0"/>
        </w:sectPr>
      </w:pPr>
    </w:p>
    <w:bookmarkStart w:id="509" w:name="page510"/>
    <w:bookmarkEnd w:id="509"/>
    <w:p>
      <w:pPr>
        <w:jc w:val="both"/>
        <w:ind w:left="1200" w:right="1200"/>
        <w:spacing w:after="0" w:line="262" w:lineRule="auto"/>
        <w:rPr>
          <w:sz w:val="20"/>
          <w:szCs w:val="20"/>
          <w:color w:val="auto"/>
        </w:rPr>
      </w:pPr>
      <w:r>
        <w:rPr>
          <w:rFonts w:ascii="Times New Roman" w:cs="Times New Roman" w:eastAsia="Times New Roman" w:hAnsi="Times New Roman"/>
          <w:sz w:val="20"/>
          <w:szCs w:val="20"/>
          <w:color w:val="auto"/>
        </w:rPr>
        <w:t>contained in the ThredUp, Inc. Second Amended and Restated 2010 Stock Incentive Plan and any agreement entered into thereunder by and between the company and the holder of this certificate (a copy of which is available at the offices of the company for examination).</w:t>
      </w:r>
    </w:p>
    <w:p>
      <w:pPr>
        <w:spacing w:after="0" w:line="105" w:lineRule="exact"/>
        <w:rPr>
          <w:sz w:val="20"/>
          <w:szCs w:val="20"/>
          <w:color w:val="auto"/>
        </w:rPr>
      </w:pPr>
    </w:p>
    <w:p>
      <w:pPr>
        <w:jc w:val="both"/>
        <w:ind w:firstLine="597"/>
        <w:spacing w:after="0" w:line="254" w:lineRule="auto"/>
        <w:tabs>
          <w:tab w:leader="none" w:pos="1041"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to Holders of Options</w:t>
      </w:r>
      <w:r>
        <w:rPr>
          <w:rFonts w:ascii="Times New Roman" w:cs="Times New Roman" w:eastAsia="Times New Roman" w:hAnsi="Times New Roman"/>
          <w:sz w:val="20"/>
          <w:szCs w:val="20"/>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EFFECTIVE DATE OF PLAN</w:t>
      </w:r>
    </w:p>
    <w:p>
      <w:pPr>
        <w:spacing w:after="0" w:line="156"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grants, exercises or sales that have already occurred under the Plan shall be rescinded and no additional grants, exercises or sales shall thereafter be made under the Plan. Subject to such approval by stockholders and to the requirement that no Stock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security holders, whichever is earlier.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GOVERNING LAW</w:t>
      </w:r>
    </w:p>
    <w:p>
      <w:pPr>
        <w:spacing w:after="0" w:line="156"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w:t>
      </w:r>
    </w:p>
    <w:p>
      <w:pPr>
        <w:sectPr>
          <w:pgSz w:w="11900" w:h="16838" w:orient="portrait"/>
          <w:cols w:equalWidth="0" w:num="1">
            <w:col w:w="11240"/>
          </w:cols>
          <w:pgMar w:left="320" w:top="1321"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ORIGINALLY ADOPTED BY THE BOARD OF DIRECTORS: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ORIGINALLY APPROVED BY THE STOCKHOLDERS: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MOST RECENTLY AMENDED BY THE BOARD OF DIRECTORS: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MOST RECENTLY APPROVED BY THE STOCKHOLDERS: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8, 2010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8, 2010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22,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1, 2021</w:t>
      </w:r>
    </w:p>
    <w:p>
      <w:pPr>
        <w:spacing w:after="0" w:line="200" w:lineRule="exact"/>
        <w:rPr>
          <w:sz w:val="20"/>
          <w:szCs w:val="20"/>
          <w:color w:val="auto"/>
        </w:rPr>
      </w:pPr>
    </w:p>
    <w:p>
      <w:pPr>
        <w:sectPr>
          <w:pgSz w:w="11900" w:h="16838" w:orient="portrait"/>
          <w:cols w:equalWidth="0" w:num="2">
            <w:col w:w="8300" w:space="720"/>
            <w:col w:w="2220"/>
          </w:cols>
          <w:pgMar w:left="320" w:top="13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21" w:right="339" w:bottom="1440" w:gutter="0" w:footer="0" w:header="0"/>
          <w:type w:val="continuous"/>
        </w:sectPr>
      </w:pPr>
    </w:p>
    <w:bookmarkStart w:id="510" w:name="page511"/>
    <w:bookmarkEnd w:id="510"/>
    <w:p>
      <w:pPr>
        <w:jc w:val="center"/>
        <w:spacing w:after="0"/>
        <w:rPr>
          <w:sz w:val="20"/>
          <w:szCs w:val="20"/>
          <w:color w:val="auto"/>
        </w:rPr>
      </w:pPr>
      <w:r>
        <w:rPr>
          <w:rFonts w:ascii="Times New Roman" w:cs="Times New Roman" w:eastAsia="Times New Roman" w:hAnsi="Times New Roman"/>
          <w:sz w:val="23"/>
          <w:szCs w:val="23"/>
          <w:b w:val="1"/>
          <w:bCs w:val="1"/>
          <w:color w:val="auto"/>
        </w:rPr>
        <w:t>INCENTIVE STOCK OPTION GRANT NOTICE</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UNDER THE THREDUP,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2010 STOCK INCENTIVE PLAN</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Pursuant to the ThredUp, Inc. Second Amended and Restated 2010 Stock Incentive Plan (the “Plan”), ThredUp, Inc., a 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corporation (together with any successor thereto, the “Company”), has granted to the Optionee, who is an employee of the Company or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its Subsidiaries, an option (the “Stock Option”) to purchase on or prior to the Expiration Date, or such earlier date as is specified herein,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or any part of the number of shares of Common Stock, par value $0.0001 per share (“Common Stock”), of the Company indicated above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“Underlying Shares,” and such shares once issued shall be referred to as the “Option Shares”), at the Option Exercise Price per share,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the terms and conditions set forth in this Incentive Stock Option Grant Notice (the “Grant Notice”), the Incentive Stock Option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(the “Agreement”) and in the Plan. This Stock Option is intended to qualify as an “incentive stock option” as defined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422(b) of the Internal Revenue Code of 1986, as amended from time to time (the “Code”). To the extent that any portion of the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 does not so qualify, it shall be deemed a non-qualified stock option.</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Name of Optionee:</w:t>
            </w: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“Optionee”)</w:t>
            </w:r>
          </w:p>
        </w:tc>
      </w:tr>
      <w:tr>
        <w:trPr>
          <w:trHeight w:val="41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No. of Underlying Shares:</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Shares of Common Stock</w:t>
            </w:r>
          </w:p>
        </w:tc>
      </w:tr>
      <w:tr>
        <w:trPr>
          <w:trHeight w:val="41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 Date:</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41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Vesting Commencement Date:</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“Vesting Commencement Date”)</w:t>
            </w:r>
          </w:p>
        </w:tc>
      </w:tr>
      <w:tr>
        <w:trPr>
          <w:trHeight w:val="41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Expiration Date:</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“Expiration Date”)</w:t>
            </w:r>
          </w:p>
        </w:tc>
      </w:tr>
      <w:tr>
        <w:trPr>
          <w:trHeight w:val="45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Option Exercise Price/Share:</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“Option Exercise Price”)</w:t>
            </w:r>
          </w:p>
        </w:tc>
      </w:tr>
      <w:tr>
        <w:trPr>
          <w:trHeight w:val="398"/>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Vesting Schedule:</w:t>
            </w: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25 percent of the Underlying Shares shall vest and become exercisable on the first anniversary</w:t>
            </w:r>
          </w:p>
        </w:tc>
      </w:tr>
      <w:tr>
        <w:trPr>
          <w:trHeight w:val="246"/>
        </w:trPr>
        <w:tc>
          <w:tcPr>
            <w:tcW w:w="3660" w:type="dxa"/>
            <w:vAlign w:val="bottom"/>
          </w:tcPr>
          <w:p>
            <w:pPr>
              <w:spacing w:after="0"/>
              <w:rPr>
                <w:sz w:val="21"/>
                <w:szCs w:val="21"/>
                <w:color w:val="auto"/>
              </w:rPr>
            </w:pP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of the Vesting Commencement Date; provided that the Optionee continues to have a Service</w:t>
            </w:r>
          </w:p>
        </w:tc>
      </w:tr>
    </w:tbl>
    <w:p>
      <w:pPr>
        <w:ind w:left="3680" w:right="60"/>
        <w:spacing w:after="0" w:line="235" w:lineRule="auto"/>
        <w:rPr>
          <w:sz w:val="20"/>
          <w:szCs w:val="20"/>
          <w:color w:val="auto"/>
        </w:rPr>
      </w:pPr>
      <w:r>
        <w:rPr>
          <w:rFonts w:ascii="Times New Roman" w:cs="Times New Roman" w:eastAsia="Times New Roman" w:hAnsi="Times New Roman"/>
          <w:sz w:val="20"/>
          <w:szCs w:val="20"/>
          <w:color w:val="auto"/>
        </w:rPr>
        <w:t>Relationship with the Company at such time. Thereafter, the remaining 75 percent of the Underlying Shares shall vest and become exercisable in 36 equal monthly installments following the first anniversary of the Vesting Commencement Date, provided the Optionee continues to have a Service Relationship with the Company at such time. Notwithstanding anything in the Agreement to the contrary, in the case of a Sale Event, this Stock Option and the Option Shares shall be treated as provided in Section 3(c) of the Plan</w:t>
      </w:r>
      <w:r>
        <w:rPr>
          <w:rFonts w:ascii="Times New Roman" w:cs="Times New Roman" w:eastAsia="Times New Roman" w:hAnsi="Times New Roman"/>
          <w:sz w:val="20"/>
          <w:szCs w:val="20"/>
          <w:b w:val="1"/>
          <w:bCs w:val="1"/>
          <w:color w:val="auto"/>
        </w:rPr>
        <w:t>[ provided; however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INSERT ANY ACCELERATED VESTING PROVISION HERE]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09" w:right="33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9"/>
          <w:szCs w:val="19"/>
          <w:b w:val="1"/>
          <w:bCs w:val="1"/>
          <w:color w:val="auto"/>
        </w:rPr>
        <w:t>Attachments</w:t>
      </w:r>
      <w:r>
        <w:rPr>
          <w:rFonts w:ascii="Times New Roman" w:cs="Times New Roman" w:eastAsia="Times New Roman" w:hAnsi="Times New Roman"/>
          <w:sz w:val="19"/>
          <w:szCs w:val="19"/>
          <w:color w:val="auto"/>
        </w:rPr>
        <w:t>: Incentive Stock Option Agreement, Second Amended and Restated 2010 Stock Incentive Plan</w:t>
      </w:r>
    </w:p>
    <w:p>
      <w:pPr>
        <w:sectPr>
          <w:pgSz w:w="11900" w:h="16838" w:orient="portrait"/>
          <w:cols w:equalWidth="0" w:num="1">
            <w:col w:w="10139"/>
          </w:cols>
          <w:pgMar w:left="320" w:top="1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39"/>
          </w:cols>
          <w:pgMar w:left="320" w:top="1317" w:right="1440" w:bottom="1440" w:gutter="0" w:footer="0" w:header="0"/>
          <w:type w:val="continuous"/>
        </w:sectPr>
      </w:pPr>
    </w:p>
    <w:bookmarkStart w:id="512" w:name="page513"/>
    <w:bookmarkEnd w:id="512"/>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INCENTIVE STOCK OPTION AGREEMENT</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UNDER THE THREDUP,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SECOND AMENDED AND RESTATED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2010 STOCK INCENTIVE PLAN</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All capitalized terms used herein and not otherwise defined shall have the respective meanings set forth in the Grant Notice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34" w:lineRule="exact"/>
        <w:rPr>
          <w:sz w:val="20"/>
          <w:szCs w:val="20"/>
          <w:color w:val="auto"/>
        </w:rPr>
      </w:pPr>
    </w:p>
    <w:p>
      <w:pPr>
        <w:ind w:left="940" w:hanging="343"/>
        <w:spacing w:after="0"/>
        <w:tabs>
          <w:tab w:leader="none" w:pos="940"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Exercisability and Termination</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1620" w:hanging="426"/>
        <w:spacing w:after="0"/>
        <w:tabs>
          <w:tab w:leader="none" w:pos="1620"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this Stock Option may be exercised until such portion shall have vested and become exercisable.</w:t>
      </w:r>
    </w:p>
    <w:p>
      <w:pPr>
        <w:spacing w:after="0" w:line="155" w:lineRule="exact"/>
        <w:rPr>
          <w:rFonts w:ascii="Times New Roman" w:cs="Times New Roman" w:eastAsia="Times New Roman" w:hAnsi="Times New Roman"/>
          <w:sz w:val="20"/>
          <w:szCs w:val="20"/>
          <w:color w:val="auto"/>
        </w:rPr>
      </w:pPr>
    </w:p>
    <w:p>
      <w:pPr>
        <w:ind w:right="160" w:firstLine="1194"/>
        <w:spacing w:after="0" w:line="262" w:lineRule="auto"/>
        <w:tabs>
          <w:tab w:leader="none" w:pos="1626"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below, and subject to the determination of the Committee in its sole discretion to accelerate the vesting schedule hereunder, this Stock Option shall be vested and exercisable with respect to the Underlying Shares on the respective dates indicated below:</w:t>
      </w:r>
    </w:p>
    <w:p>
      <w:pPr>
        <w:spacing w:after="0" w:line="105" w:lineRule="exact"/>
        <w:rPr>
          <w:rFonts w:ascii="Times New Roman" w:cs="Times New Roman" w:eastAsia="Times New Roman" w:hAnsi="Times New Roman"/>
          <w:sz w:val="20"/>
          <w:szCs w:val="20"/>
          <w:color w:val="auto"/>
        </w:rPr>
      </w:pPr>
    </w:p>
    <w:p>
      <w:pPr>
        <w:ind w:left="2160" w:hanging="369"/>
        <w:spacing w:after="0"/>
        <w:tabs>
          <w:tab w:leader="none" w:pos="2160" w:val="left"/>
        </w:tabs>
        <w:numPr>
          <w:ilvl w:val="2"/>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Underlying Shares shall initially be unvested and unexercisable.</w:t>
      </w:r>
    </w:p>
    <w:p>
      <w:pPr>
        <w:spacing w:after="0" w:line="155" w:lineRule="exact"/>
        <w:rPr>
          <w:rFonts w:ascii="Times New Roman" w:cs="Times New Roman" w:eastAsia="Times New Roman" w:hAnsi="Times New Roman"/>
          <w:sz w:val="20"/>
          <w:szCs w:val="20"/>
          <w:color w:val="auto"/>
        </w:rPr>
      </w:pPr>
    </w:p>
    <w:p>
      <w:pPr>
        <w:ind w:left="2240" w:hanging="449"/>
        <w:spacing w:after="0"/>
        <w:tabs>
          <w:tab w:leader="none" w:pos="2240" w:val="left"/>
        </w:tabs>
        <w:numPr>
          <w:ilvl w:val="2"/>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Shares shall vest and become exercisable in accordance with the Vesting Schedule set forth in</w:t>
      </w:r>
    </w:p>
    <w:p>
      <w:pPr>
        <w:spacing w:after="0" w:line="28"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Notice.</w:t>
      </w:r>
    </w:p>
    <w:p>
      <w:pPr>
        <w:spacing w:after="0" w:line="133" w:lineRule="exact"/>
        <w:rPr>
          <w:rFonts w:ascii="Times New Roman" w:cs="Times New Roman" w:eastAsia="Times New Roman" w:hAnsi="Times New Roman"/>
          <w:sz w:val="20"/>
          <w:szCs w:val="20"/>
          <w:color w:val="auto"/>
        </w:rPr>
      </w:pPr>
    </w:p>
    <w:p>
      <w:pPr>
        <w:jc w:val="both"/>
        <w:ind w:right="740" w:firstLine="1194"/>
        <w:spacing w:after="0" w:line="262" w:lineRule="auto"/>
        <w:tabs>
          <w:tab w:leader="none" w:pos="1614"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05" w:lineRule="exact"/>
        <w:rPr>
          <w:rFonts w:ascii="Times New Roman" w:cs="Times New Roman" w:eastAsia="Times New Roman" w:hAnsi="Times New Roman"/>
          <w:sz w:val="20"/>
          <w:szCs w:val="20"/>
          <w:color w:val="auto"/>
        </w:rPr>
      </w:pPr>
    </w:p>
    <w:p>
      <w:pPr>
        <w:ind w:left="600" w:firstLine="1191"/>
        <w:spacing w:after="0" w:line="250" w:lineRule="auto"/>
        <w:tabs>
          <w:tab w:leader="none" w:pos="2182" w:val="left"/>
        </w:tabs>
        <w:numPr>
          <w:ilvl w:val="2"/>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Due to Death or Disability</w:t>
      </w:r>
      <w:r>
        <w:rPr>
          <w:rFonts w:ascii="Times New Roman" w:cs="Times New Roman" w:eastAsia="Times New Roman" w:hAnsi="Times New Roman"/>
          <w:sz w:val="20"/>
          <w:szCs w:val="20"/>
          <w:color w:val="auto"/>
        </w:rPr>
        <w:t>. If the Optionee’s Service Relationship terminates by reason of such Optionee’s death or disability (as defined in Section 422(c) of the Code) and the duration of Optionee’s Service Relationship with the Company is less than 36 months of continuous service, this Stock Option may be exercised, to the extent exercisable on the date of such termination, by the Optionee, the Optionee’s legal representative or legatee for a period of 12 months from the date of death or disability or until the Expiration Date, if earlier. If the Optionee’s Service Relationship terminates by reason of such Optionee’s death or disability (as defined in Section 422(c) of the Code) and the duration of Optionee’s Service Relationship with the Company is equal to or more than 36 months of continuous service, this Stock Option may be exercised, to the extent exercisable on the date of such termination, by the Optionee, the Optionee’s legal representative or legatee for a period of 36 months from the date of death or disability or until the Expiration Date, if earlier.</w:t>
      </w:r>
    </w:p>
    <w:p>
      <w:pPr>
        <w:spacing w:after="0" w:line="121" w:lineRule="exact"/>
        <w:rPr>
          <w:rFonts w:ascii="Times New Roman" w:cs="Times New Roman" w:eastAsia="Times New Roman" w:hAnsi="Times New Roman"/>
          <w:sz w:val="20"/>
          <w:szCs w:val="20"/>
          <w:color w:val="auto"/>
        </w:rPr>
      </w:pPr>
    </w:p>
    <w:p>
      <w:pPr>
        <w:ind w:left="600" w:right="260" w:firstLine="1191"/>
        <w:spacing w:after="0" w:line="262" w:lineRule="auto"/>
        <w:tabs>
          <w:tab w:leader="none" w:pos="2237" w:val="left"/>
        </w:tabs>
        <w:numPr>
          <w:ilvl w:val="2"/>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w:t>
      </w:r>
      <w:r>
        <w:rPr>
          <w:rFonts w:ascii="Times New Roman" w:cs="Times New Roman" w:eastAsia="Times New Roman" w:hAnsi="Times New Roman"/>
          <w:sz w:val="20"/>
          <w:szCs w:val="20"/>
          <w:color w:val="auto"/>
        </w:rPr>
        <w:t>. If the Optionee’s Service Relationship terminates for any reason other than death or disability (as defined in Section 422(c) of the Code) and the duration of Optionee’s Service Relationship with the Company is less than 36 months of continuous service, and unless otherwise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308" w:right="359" w:bottom="1440" w:gutter="0" w:footer="0" w:header="0"/>
        </w:sectPr>
      </w:pPr>
    </w:p>
    <w:bookmarkStart w:id="513" w:name="page514"/>
    <w:bookmarkEnd w:id="513"/>
    <w:p>
      <w:pPr>
        <w:ind w:left="600" w:right="20"/>
        <w:spacing w:after="0" w:line="250" w:lineRule="auto"/>
        <w:rPr>
          <w:sz w:val="20"/>
          <w:szCs w:val="20"/>
          <w:color w:val="auto"/>
        </w:rPr>
      </w:pPr>
      <w:r>
        <w:rPr>
          <w:rFonts w:ascii="Times New Roman" w:cs="Times New Roman" w:eastAsia="Times New Roman" w:hAnsi="Times New Roman"/>
          <w:sz w:val="20"/>
          <w:szCs w:val="20"/>
          <w:color w:val="auto"/>
        </w:rPr>
        <w:t xml:space="preserve">Committee, this Stock Option may be exercised, to the extent exercisable on the date of termination, for a period of 90 days from the date of termination or until the Expiration Date or other termination date, if earlier;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if the Optionee’s Service Relationship is terminated for Cause, this Stock Option shall terminate immediately upon the date of such termination. If the Optionee’s Service Relationship terminates for any reason other than death or disability (as defined in Section 422(c) of the Code) and the duration of Optionee’s Service Relationship with the Company is equal to or more than 36 months of continuous service, and unless otherwise determined by the Committee, this Stock Option may be exercised, to the extent exercisable on the date of termination, for a period of 36 months from the date of termination or until the Expiration Date or other termination date, if earlier;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if the Optionee’s Service Relationship is terminated for Cause, this Stock Option shall terminate immediately upon the date of such termination.</w:t>
      </w:r>
    </w:p>
    <w:p>
      <w:pPr>
        <w:spacing w:after="0" w:line="121"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20"/>
          <w:szCs w:val="20"/>
          <w:color w:val="auto"/>
        </w:rPr>
        <w:t>For purposes hereof, the Committee’s determination of the reason for termination of the Optionee’s Service Relationship shall be conclusive and binding on the Optionee and his or her representatives or legatees. Any portion of this Stock Option that is not exercisable on the date of termination of the Service Relationship shall terminate immediately and be null and void.</w:t>
      </w:r>
    </w:p>
    <w:p>
      <w:pPr>
        <w:spacing w:after="0" w:line="105" w:lineRule="exact"/>
        <w:rPr>
          <w:sz w:val="20"/>
          <w:szCs w:val="20"/>
          <w:color w:val="auto"/>
        </w:rPr>
      </w:pPr>
    </w:p>
    <w:p>
      <w:pPr>
        <w:ind w:right="180" w:firstLine="1194"/>
        <w:spacing w:after="0" w:line="264" w:lineRule="auto"/>
        <w:tabs>
          <w:tab w:leader="none" w:pos="1626" w:val="left"/>
        </w:tabs>
        <w:numPr>
          <w:ilvl w:val="1"/>
          <w:numId w:val="4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Option Shares for which incentive stock option treatment is desired within the one-year period beginning on the day after the day of the transfer of such Option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Option Shares within either of these periods, he or she will notify the Company within 30 days after such disposition. The Optionee also agrees to provide the Company with any information concerning any such dispositions required by the Company for tax purposes. Further, to the extent the Underlying Shares and any other incentive stock options of the Optionee having an aggregate Fair Market Value in excess of $100,000 (determined as of the Grant Date) first become exercisable in any year, such options will not qualify as incentive stock options.</w:t>
      </w:r>
    </w:p>
    <w:p>
      <w:pPr>
        <w:spacing w:after="0" w:line="106" w:lineRule="exact"/>
        <w:rPr>
          <w:rFonts w:ascii="Times New Roman" w:cs="Times New Roman" w:eastAsia="Times New Roman" w:hAnsi="Times New Roman"/>
          <w:sz w:val="19"/>
          <w:szCs w:val="19"/>
          <w:color w:val="auto"/>
        </w:rPr>
      </w:pPr>
    </w:p>
    <w:p>
      <w:pPr>
        <w:ind w:left="940" w:hanging="343"/>
        <w:spacing w:after="0"/>
        <w:tabs>
          <w:tab w:leader="none" w:pos="940"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Stock Option</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right="100" w:firstLine="1194"/>
        <w:spacing w:after="0" w:line="254" w:lineRule="auto"/>
        <w:tabs>
          <w:tab w:leader="none" w:pos="1611" w:val="left"/>
        </w:tabs>
        <w:numPr>
          <w:ilvl w:val="1"/>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hereto indicating his or her election to purchase some or all of the Underlying Shares with respect to which this Stock Option is exercisable at the time of such notice. Such notice shall specify the number of Underlying Shares to be purchased. Payment of the purchase price may be made by one or more of the methods described in Sections 5(a)(iv)(A), (B), (C) or (D) of the Plan, subject to the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321" w:right="359" w:bottom="1440" w:gutter="0" w:footer="0" w:header="0"/>
        </w:sectPr>
      </w:pPr>
    </w:p>
    <w:bookmarkStart w:id="514" w:name="page515"/>
    <w:bookmarkEnd w:id="514"/>
    <w:p>
      <w:pPr>
        <w:ind w:right="560"/>
        <w:spacing w:after="0" w:line="277" w:lineRule="auto"/>
        <w:rPr>
          <w:sz w:val="20"/>
          <w:szCs w:val="20"/>
          <w:color w:val="auto"/>
        </w:rPr>
      </w:pPr>
      <w:r>
        <w:rPr>
          <w:rFonts w:ascii="Times New Roman" w:cs="Times New Roman" w:eastAsia="Times New Roman" w:hAnsi="Times New Roman"/>
          <w:sz w:val="20"/>
          <w:szCs w:val="20"/>
          <w:color w:val="auto"/>
        </w:rPr>
        <w:t>contained in such Sections of the Plan, including the requirement that the Committee specifically approve in advance certain payment methods.</w:t>
      </w:r>
    </w:p>
    <w:p>
      <w:pPr>
        <w:spacing w:after="0" w:line="91" w:lineRule="exact"/>
        <w:rPr>
          <w:sz w:val="20"/>
          <w:szCs w:val="20"/>
          <w:color w:val="auto"/>
        </w:rPr>
      </w:pPr>
    </w:p>
    <w:p>
      <w:pPr>
        <w:ind w:left="1620" w:hanging="426"/>
        <w:spacing w:after="0"/>
        <w:tabs>
          <w:tab w:leader="none" w:pos="1620" w:val="left"/>
        </w:tabs>
        <w:numPr>
          <w:ilvl w:val="1"/>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hereof or of the Plan, no portion of this Stock Option shall be exercisable after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Date.</w:t>
      </w:r>
    </w:p>
    <w:p>
      <w:pPr>
        <w:spacing w:after="0" w:line="133" w:lineRule="exact"/>
        <w:rPr>
          <w:rFonts w:ascii="Times New Roman" w:cs="Times New Roman" w:eastAsia="Times New Roman" w:hAnsi="Times New Roman"/>
          <w:sz w:val="20"/>
          <w:szCs w:val="20"/>
          <w:color w:val="auto"/>
        </w:rPr>
      </w:pPr>
    </w:p>
    <w:p>
      <w:pPr>
        <w:ind w:right="60" w:firstLine="597"/>
        <w:spacing w:after="0" w:line="277" w:lineRule="auto"/>
        <w:tabs>
          <w:tab w:leader="none" w:pos="946"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Plan</w:t>
      </w:r>
      <w:r>
        <w:rPr>
          <w:rFonts w:ascii="Times New Roman" w:cs="Times New Roman" w:eastAsia="Times New Roman" w:hAnsi="Times New Roman"/>
          <w:sz w:val="20"/>
          <w:szCs w:val="20"/>
          <w:color w:val="auto"/>
        </w:rPr>
        <w:t>. Notwithstanding anything herein to the contrary, this Stock Option shall be subject to and governed by all the terms and conditions of the Plan.</w:t>
      </w:r>
    </w:p>
    <w:p>
      <w:pPr>
        <w:spacing w:after="0" w:line="91" w:lineRule="exact"/>
        <w:rPr>
          <w:rFonts w:ascii="Times New Roman" w:cs="Times New Roman" w:eastAsia="Times New Roman" w:hAnsi="Times New Roman"/>
          <w:sz w:val="20"/>
          <w:szCs w:val="20"/>
          <w:color w:val="auto"/>
        </w:rPr>
      </w:pPr>
    </w:p>
    <w:p>
      <w:pPr>
        <w:ind w:right="20" w:firstLine="597"/>
        <w:spacing w:after="0" w:line="251" w:lineRule="auto"/>
        <w:tabs>
          <w:tab w:leader="none" w:pos="946"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 of Stock Option</w:t>
      </w:r>
      <w:r>
        <w:rPr>
          <w:rFonts w:ascii="Times New Roman" w:cs="Times New Roman" w:eastAsia="Times New Roman" w:hAnsi="Times New Roman"/>
          <w:sz w:val="20"/>
          <w:szCs w:val="20"/>
          <w:color w:val="auto"/>
        </w:rPr>
        <w:t>. This Agreement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16" w:lineRule="exact"/>
        <w:rPr>
          <w:rFonts w:ascii="Times New Roman" w:cs="Times New Roman" w:eastAsia="Times New Roman" w:hAnsi="Times New Roman"/>
          <w:sz w:val="20"/>
          <w:szCs w:val="20"/>
          <w:color w:val="auto"/>
        </w:rPr>
      </w:pPr>
    </w:p>
    <w:p>
      <w:pPr>
        <w:ind w:right="380" w:firstLine="597"/>
        <w:spacing w:after="0" w:line="277" w:lineRule="auto"/>
        <w:tabs>
          <w:tab w:leader="none" w:pos="946"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 of Option Shares</w:t>
      </w:r>
      <w:r>
        <w:rPr>
          <w:rFonts w:ascii="Times New Roman" w:cs="Times New Roman" w:eastAsia="Times New Roman" w:hAnsi="Times New Roman"/>
          <w:sz w:val="20"/>
          <w:szCs w:val="20"/>
          <w:color w:val="auto"/>
        </w:rPr>
        <w:t>. The Option Shares acquired upon exercise of the Stock Option shall be subject to certain transfer restrictions and other limitations including, without limitation, the provisions contained in Section 9 of the Plan.</w:t>
      </w:r>
    </w:p>
    <w:p>
      <w:pPr>
        <w:spacing w:after="0" w:line="91" w:lineRule="exact"/>
        <w:rPr>
          <w:rFonts w:ascii="Times New Roman" w:cs="Times New Roman" w:eastAsia="Times New Roman" w:hAnsi="Times New Roman"/>
          <w:sz w:val="20"/>
          <w:szCs w:val="20"/>
          <w:color w:val="auto"/>
        </w:rPr>
      </w:pPr>
    </w:p>
    <w:p>
      <w:pPr>
        <w:ind w:left="940" w:hanging="343"/>
        <w:spacing w:after="0"/>
        <w:tabs>
          <w:tab w:leader="none" w:pos="940"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firstLine="1194"/>
        <w:spacing w:after="0" w:line="262" w:lineRule="auto"/>
        <w:tabs>
          <w:tab w:leader="none" w:pos="1614" w:val="left"/>
        </w:tabs>
        <w:numPr>
          <w:ilvl w:val="1"/>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05" w:lineRule="exact"/>
        <w:rPr>
          <w:rFonts w:ascii="Times New Roman" w:cs="Times New Roman" w:eastAsia="Times New Roman" w:hAnsi="Times New Roman"/>
          <w:sz w:val="20"/>
          <w:szCs w:val="20"/>
          <w:color w:val="auto"/>
        </w:rPr>
      </w:pPr>
    </w:p>
    <w:p>
      <w:pPr>
        <w:ind w:right="20" w:firstLine="1194"/>
        <w:spacing w:after="0" w:line="254" w:lineRule="auto"/>
        <w:tabs>
          <w:tab w:leader="none" w:pos="1626" w:val="left"/>
        </w:tabs>
        <w:numPr>
          <w:ilvl w:val="1"/>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for Changes in Capital Structure</w:t>
      </w:r>
      <w:r>
        <w:rPr>
          <w:rFonts w:ascii="Times New Roman" w:cs="Times New Roman" w:eastAsia="Times New Roman" w:hAnsi="Times New Roman"/>
          <w:sz w:val="20"/>
          <w:szCs w:val="20"/>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shares of the Company’s stock, the restrictions contained in this Agreement shall apply with equal force to additional and/or substitute securities, if any, received by the Optionee in exchange for, or by virtue of his or her ownership of, Option Shares.</w:t>
      </w:r>
    </w:p>
    <w:p>
      <w:pPr>
        <w:spacing w:after="0" w:line="114" w:lineRule="exact"/>
        <w:rPr>
          <w:rFonts w:ascii="Times New Roman" w:cs="Times New Roman" w:eastAsia="Times New Roman" w:hAnsi="Times New Roman"/>
          <w:sz w:val="20"/>
          <w:szCs w:val="20"/>
          <w:color w:val="auto"/>
        </w:rPr>
      </w:pPr>
    </w:p>
    <w:p>
      <w:pPr>
        <w:ind w:right="120" w:firstLine="1194"/>
        <w:spacing w:after="0" w:line="262" w:lineRule="auto"/>
        <w:tabs>
          <w:tab w:leader="none" w:pos="1614" w:val="left"/>
        </w:tabs>
        <w:numPr>
          <w:ilvl w:val="1"/>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and Modifications</w:t>
      </w:r>
      <w:r>
        <w:rPr>
          <w:rFonts w:ascii="Times New Roman" w:cs="Times New Roman" w:eastAsia="Times New Roman" w:hAnsi="Times New Roman"/>
          <w:sz w:val="20"/>
          <w:szCs w:val="20"/>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05" w:lineRule="exact"/>
        <w:rPr>
          <w:rFonts w:ascii="Times New Roman" w:cs="Times New Roman" w:eastAsia="Times New Roman" w:hAnsi="Times New Roman"/>
          <w:sz w:val="20"/>
          <w:szCs w:val="20"/>
          <w:color w:val="auto"/>
        </w:rPr>
      </w:pPr>
    </w:p>
    <w:p>
      <w:pPr>
        <w:jc w:val="both"/>
        <w:ind w:right="140" w:firstLine="1194"/>
        <w:spacing w:after="0" w:line="262" w:lineRule="auto"/>
        <w:tabs>
          <w:tab w:leader="none" w:pos="1626" w:val="left"/>
        </w:tabs>
        <w:numPr>
          <w:ilvl w:val="1"/>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General Corporation Law of the State of Delaware as to matters within the scope hereof, and as to all other matters shall be governed by and construed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321" w:right="359" w:bottom="1440" w:gutter="0" w:footer="0" w:header="0"/>
        </w:sectPr>
      </w:pPr>
    </w:p>
    <w:bookmarkStart w:id="515" w:name="page516"/>
    <w:bookmarkEnd w:id="515"/>
    <w:p>
      <w:pPr>
        <w:ind w:right="160"/>
        <w:spacing w:after="0" w:line="277" w:lineRule="auto"/>
        <w:rPr>
          <w:sz w:val="20"/>
          <w:szCs w:val="20"/>
          <w:color w:val="auto"/>
        </w:rPr>
      </w:pPr>
      <w:r>
        <w:rPr>
          <w:rFonts w:ascii="Times New Roman" w:cs="Times New Roman" w:eastAsia="Times New Roman" w:hAnsi="Times New Roman"/>
          <w:sz w:val="20"/>
          <w:szCs w:val="20"/>
          <w:color w:val="auto"/>
        </w:rPr>
        <w:t>the internal laws of the State of California, without regard to conflict of law principles that would result in the application of any law other than the law of the State of California.</w:t>
      </w:r>
    </w:p>
    <w:p>
      <w:pPr>
        <w:spacing w:after="0" w:line="91" w:lineRule="exact"/>
        <w:rPr>
          <w:sz w:val="20"/>
          <w:szCs w:val="20"/>
          <w:color w:val="auto"/>
        </w:rPr>
      </w:pPr>
    </w:p>
    <w:p>
      <w:pPr>
        <w:ind w:right="40" w:firstLine="1194"/>
        <w:spacing w:after="0" w:line="277" w:lineRule="auto"/>
        <w:tabs>
          <w:tab w:leader="none" w:pos="1614" w:val="left"/>
        </w:tabs>
        <w:numPr>
          <w:ilvl w:val="1"/>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are intended only for convenience in finding the subject matter and do not constitute part of the text of this Agreement and shall not be considered in the interpretation of this Agreement.</w:t>
      </w:r>
    </w:p>
    <w:p>
      <w:pPr>
        <w:spacing w:after="0" w:line="91" w:lineRule="exact"/>
        <w:rPr>
          <w:rFonts w:ascii="Times New Roman" w:cs="Times New Roman" w:eastAsia="Times New Roman" w:hAnsi="Times New Roman"/>
          <w:sz w:val="20"/>
          <w:szCs w:val="20"/>
          <w:color w:val="auto"/>
        </w:rPr>
      </w:pPr>
    </w:p>
    <w:p>
      <w:pPr>
        <w:ind w:right="940" w:firstLine="1194"/>
        <w:spacing w:after="0" w:line="277" w:lineRule="auto"/>
        <w:tabs>
          <w:tab w:leader="none" w:pos="1593" w:val="left"/>
        </w:tabs>
        <w:numPr>
          <w:ilvl w:val="1"/>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Saving Clause</w:t>
      </w:r>
      <w:r>
        <w:rPr>
          <w:rFonts w:ascii="Times New Roman" w:cs="Times New Roman" w:eastAsia="Times New Roman" w:hAnsi="Times New Roman"/>
          <w:sz w:val="20"/>
          <w:szCs w:val="20"/>
          <w:color w:val="auto"/>
        </w:rPr>
        <w:t>. If any provision(s) of this Agreement shall be determined to be illegal or unenforceable, such determination shall in no manner affect the legality or enforceability of any other provision hereof.</w:t>
      </w:r>
    </w:p>
    <w:p>
      <w:pPr>
        <w:spacing w:after="0" w:line="91" w:lineRule="exact"/>
        <w:rPr>
          <w:rFonts w:ascii="Times New Roman" w:cs="Times New Roman" w:eastAsia="Times New Roman" w:hAnsi="Times New Roman"/>
          <w:sz w:val="20"/>
          <w:szCs w:val="20"/>
          <w:color w:val="auto"/>
        </w:rPr>
      </w:pPr>
    </w:p>
    <w:p>
      <w:pPr>
        <w:ind w:firstLine="1194"/>
        <w:spacing w:after="0" w:line="256" w:lineRule="auto"/>
        <w:tabs>
          <w:tab w:leader="none" w:pos="1626" w:val="left"/>
        </w:tabs>
        <w:numPr>
          <w:ilvl w:val="1"/>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13" w:lineRule="exact"/>
        <w:rPr>
          <w:rFonts w:ascii="Times New Roman" w:cs="Times New Roman" w:eastAsia="Times New Roman" w:hAnsi="Times New Roman"/>
          <w:sz w:val="20"/>
          <w:szCs w:val="20"/>
          <w:color w:val="auto"/>
        </w:rPr>
      </w:pPr>
    </w:p>
    <w:p>
      <w:pPr>
        <w:ind w:right="260" w:firstLine="1194"/>
        <w:spacing w:after="0" w:line="262" w:lineRule="auto"/>
        <w:tabs>
          <w:tab w:leader="none" w:pos="1626" w:val="left"/>
        </w:tabs>
        <w:numPr>
          <w:ilvl w:val="1"/>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and Binding Effect</w:t>
      </w:r>
      <w:r>
        <w:rPr>
          <w:rFonts w:ascii="Times New Roman" w:cs="Times New Roman" w:eastAsia="Times New Roman" w:hAnsi="Times New Roman"/>
          <w:sz w:val="20"/>
          <w:szCs w:val="20"/>
          <w:color w:val="auto"/>
        </w:rPr>
        <w:t>. This Agreement shall be binding upon and shall inure to the benefit of the parties hereto, their respective successors, permitted assigns, and legal representatives. The Company has the right to assign this Agreement, and such assignee shall become entitled to all the rights of the Company hereunder to the extent of such assignment.</w:t>
      </w:r>
    </w:p>
    <w:p>
      <w:pPr>
        <w:spacing w:after="0" w:line="105" w:lineRule="exact"/>
        <w:rPr>
          <w:rFonts w:ascii="Times New Roman" w:cs="Times New Roman" w:eastAsia="Times New Roman" w:hAnsi="Times New Roman"/>
          <w:sz w:val="20"/>
          <w:szCs w:val="20"/>
          <w:color w:val="auto"/>
        </w:rPr>
      </w:pPr>
    </w:p>
    <w:p>
      <w:pPr>
        <w:ind w:right="200" w:firstLine="1194"/>
        <w:spacing w:after="0" w:line="277" w:lineRule="auto"/>
        <w:tabs>
          <w:tab w:leader="none" w:pos="1581" w:val="left"/>
        </w:tabs>
        <w:numPr>
          <w:ilvl w:val="1"/>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91" w:lineRule="exact"/>
        <w:rPr>
          <w:rFonts w:ascii="Times New Roman" w:cs="Times New Roman" w:eastAsia="Times New Roman" w:hAnsi="Times New Roman"/>
          <w:sz w:val="20"/>
          <w:szCs w:val="20"/>
          <w:color w:val="auto"/>
        </w:rPr>
      </w:pPr>
    </w:p>
    <w:p>
      <w:pPr>
        <w:ind w:right="200" w:firstLine="1194"/>
        <w:spacing w:after="0" w:line="277" w:lineRule="auto"/>
        <w:tabs>
          <w:tab w:leader="none" w:pos="1581" w:val="left"/>
        </w:tabs>
        <w:numPr>
          <w:ilvl w:val="1"/>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constitutes the entire agreement between the parties with respect to this Stock Option and supersedes all prior agreements and discussions between the parties concerning such subject matter.</w:t>
      </w:r>
    </w:p>
    <w:p>
      <w:pPr>
        <w:spacing w:after="0" w:line="91" w:lineRule="exact"/>
        <w:rPr>
          <w:rFonts w:ascii="Times New Roman" w:cs="Times New Roman" w:eastAsia="Times New Roman" w:hAnsi="Times New Roman"/>
          <w:sz w:val="20"/>
          <w:szCs w:val="20"/>
          <w:color w:val="auto"/>
        </w:rPr>
      </w:pPr>
    </w:p>
    <w:p>
      <w:pPr>
        <w:ind w:left="940" w:hanging="343"/>
        <w:spacing w:after="0"/>
        <w:tabs>
          <w:tab w:leader="none" w:pos="940"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p>
    <w:p>
      <w:pPr>
        <w:spacing w:after="0" w:line="155" w:lineRule="exact"/>
        <w:rPr>
          <w:rFonts w:ascii="Times New Roman" w:cs="Times New Roman" w:eastAsia="Times New Roman" w:hAnsi="Times New Roman"/>
          <w:sz w:val="20"/>
          <w:szCs w:val="20"/>
          <w:color w:val="auto"/>
        </w:rPr>
      </w:pPr>
    </w:p>
    <w:p>
      <w:pPr>
        <w:ind w:right="100" w:firstLine="1194"/>
        <w:spacing w:after="0" w:line="270" w:lineRule="auto"/>
        <w:tabs>
          <w:tab w:leader="none" w:pos="1615" w:val="left"/>
        </w:tabs>
        <w:numPr>
          <w:ilvl w:val="1"/>
          <w:numId w:val="4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San Francisco, California.</w:t>
      </w:r>
    </w:p>
    <w:p>
      <w:pPr>
        <w:spacing w:after="0" w:line="102" w:lineRule="exact"/>
        <w:rPr>
          <w:rFonts w:ascii="Times New Roman" w:cs="Times New Roman" w:eastAsia="Times New Roman" w:hAnsi="Times New Roman"/>
          <w:sz w:val="19"/>
          <w:szCs w:val="19"/>
          <w:color w:val="auto"/>
        </w:rPr>
      </w:pPr>
    </w:p>
    <w:p>
      <w:pPr>
        <w:ind w:right="40" w:firstLine="1194"/>
        <w:spacing w:after="0" w:line="256" w:lineRule="auto"/>
        <w:tabs>
          <w:tab w:leader="none" w:pos="1622"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20" w:top="1321" w:right="379" w:bottom="1440" w:gutter="0" w:footer="0" w:header="0"/>
        </w:sectPr>
      </w:pPr>
    </w:p>
    <w:bookmarkStart w:id="516" w:name="page517"/>
    <w:bookmarkEnd w:id="516"/>
    <w:p>
      <w:pPr>
        <w:ind w:right="100"/>
        <w:spacing w:after="0" w:line="267" w:lineRule="auto"/>
        <w:rPr>
          <w:sz w:val="20"/>
          <w:szCs w:val="20"/>
          <w:color w:val="auto"/>
        </w:rPr>
      </w:pPr>
      <w:r>
        <w:rPr>
          <w:rFonts w:ascii="Times New Roman" w:cs="Times New Roman" w:eastAsia="Times New Roman" w:hAnsi="Times New Roman"/>
          <w:sz w:val="19"/>
          <w:szCs w:val="19"/>
          <w:color w:val="auto"/>
        </w:rPr>
        <w:t>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03" w:lineRule="exact"/>
        <w:rPr>
          <w:sz w:val="20"/>
          <w:szCs w:val="20"/>
          <w:color w:val="auto"/>
        </w:rPr>
      </w:pPr>
    </w:p>
    <w:p>
      <w:pPr>
        <w:ind w:right="160" w:firstLine="1194"/>
        <w:spacing w:after="0" w:line="274" w:lineRule="auto"/>
        <w:tabs>
          <w:tab w:leader="none" w:pos="1611" w:val="left"/>
        </w:tabs>
        <w:numPr>
          <w:ilvl w:val="1"/>
          <w:numId w:val="4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the Optionee, each party to the Agreement and any other holder of Stock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97" w:lineRule="exact"/>
        <w:rPr>
          <w:rFonts w:ascii="Times New Roman" w:cs="Times New Roman" w:eastAsia="Times New Roman" w:hAnsi="Times New Roman"/>
          <w:sz w:val="19"/>
          <w:szCs w:val="19"/>
          <w:color w:val="auto"/>
        </w:rPr>
      </w:pPr>
    </w:p>
    <w:p>
      <w:pPr>
        <w:ind w:firstLine="1194"/>
        <w:spacing w:after="0" w:line="249" w:lineRule="auto"/>
        <w:tabs>
          <w:tab w:leader="none" w:pos="1626" w:val="left"/>
        </w:tabs>
        <w:numPr>
          <w:ilvl w:val="1"/>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25" w:lineRule="exact"/>
        <w:rPr>
          <w:rFonts w:ascii="Times New Roman" w:cs="Times New Roman" w:eastAsia="Times New Roman" w:hAnsi="Times New Roman"/>
          <w:sz w:val="20"/>
          <w:szCs w:val="20"/>
          <w:color w:val="auto"/>
        </w:rPr>
      </w:pPr>
    </w:p>
    <w:p>
      <w:pPr>
        <w:ind w:right="40" w:firstLine="597"/>
        <w:spacing w:after="0" w:line="251" w:lineRule="auto"/>
        <w:tabs>
          <w:tab w:leader="none" w:pos="946" w:val="left"/>
        </w:tabs>
        <w:numPr>
          <w:ilvl w:val="0"/>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Statutory Information Rights</w:t>
      </w:r>
      <w:r>
        <w:rPr>
          <w:rFonts w:ascii="Times New Roman" w:cs="Times New Roman" w:eastAsia="Times New Roman" w:hAnsi="Times New Roman"/>
          <w:sz w:val="20"/>
          <w:szCs w:val="20"/>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321" w:right="359" w:bottom="1440" w:gutter="0" w:footer="0" w:header="0"/>
        </w:sectPr>
      </w:pPr>
    </w:p>
    <w:bookmarkStart w:id="517" w:name="page518"/>
    <w:bookmarkEnd w:id="517"/>
    <w:p>
      <w:pPr>
        <w:spacing w:after="0" w:line="252" w:lineRule="auto"/>
        <w:rPr>
          <w:sz w:val="20"/>
          <w:szCs w:val="20"/>
          <w:color w:val="auto"/>
        </w:rPr>
      </w:pPr>
      <w:r>
        <w:rPr>
          <w:rFonts w:ascii="Times New Roman" w:cs="Times New Roman" w:eastAsia="Times New Roman" w:hAnsi="Times New Roman"/>
          <w:sz w:val="20"/>
          <w:szCs w:val="20"/>
          <w:color w:val="auto"/>
        </w:rPr>
        <w:t>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060"/>
          </w:cols>
          <w:pgMar w:left="320" w:top="1321" w:right="519" w:bottom="1440" w:gutter="0" w:footer="0" w:header="0"/>
        </w:sectPr>
      </w:pPr>
    </w:p>
    <w:bookmarkStart w:id="518" w:name="page519"/>
    <w:bookmarkEnd w:id="518"/>
    <w:p>
      <w:pPr>
        <w:ind w:firstLine="597"/>
        <w:spacing w:after="0" w:line="277" w:lineRule="auto"/>
        <w:rPr>
          <w:sz w:val="20"/>
          <w:szCs w:val="20"/>
          <w:color w:val="auto"/>
        </w:rPr>
      </w:pPr>
      <w:r>
        <w:rPr>
          <w:rFonts w:ascii="Times New Roman" w:cs="Times New Roman" w:eastAsia="Times New Roman" w:hAnsi="Times New Roman"/>
          <w:sz w:val="20"/>
          <w:szCs w:val="20"/>
          <w:color w:val="auto"/>
        </w:rPr>
        <w:t>The foregoing Agreement is hereby accepted and the terms and conditions thereof hereby agreed to by the undersigned as of the date first above written.</w:t>
      </w:r>
    </w:p>
    <w:p>
      <w:pPr>
        <w:spacing w:after="0" w:line="1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THREDUP, INC.</w:t>
      </w:r>
    </w:p>
    <w:p>
      <w:pPr>
        <w:spacing w:after="0" w:line="20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27940</wp:posOffset>
            </wp:positionV>
            <wp:extent cx="336613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6135"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Name:</w:t>
      </w:r>
    </w:p>
    <w:p>
      <w:pPr>
        <w:spacing w:after="0" w:line="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Title:</w:t>
      </w: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502285</wp:posOffset>
            </wp:positionV>
            <wp:extent cx="374523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745230" cy="762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344170</wp:posOffset>
            </wp:positionV>
            <wp:extent cx="374523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745230" cy="762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186055</wp:posOffset>
            </wp:positionV>
            <wp:extent cx="37452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452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undersigned hereby acknowledges receiving and reviewing a copy of the Plan, including, without limitation, Section 9 thereof, and understands that the Stock Option granted hereby is subject to the terms of the Plan and of this Agreement. This Agreement is hereby accepted, and the terms and conditions of the Plan and this Agreement, SPECIFICALLY INCLUDING THE ARBITRATION PROVISIONS IN SECTION 7 AND THE WAIVER OF STATUTORY INFORMATION RIGHTS SET FORTH IN SECTION 8 OF THIS AGREEMENT, are hereby agreed to, by the undersigned as of the date first above written.</w:t>
      </w:r>
    </w:p>
    <w:p>
      <w:pPr>
        <w:spacing w:after="0" w:line="16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186055</wp:posOffset>
            </wp:positionV>
            <wp:extent cx="356362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63620" cy="7620"/>
                    </a:xfrm>
                    <a:prstGeom prst="rect">
                      <a:avLst/>
                    </a:prstGeom>
                    <a:noFill/>
                  </pic:spPr>
                </pic:pic>
              </a:graphicData>
            </a:graphic>
          </wp:anchor>
        </w:drawing>
      </w:r>
    </w:p>
    <w:p>
      <w:pPr>
        <w:spacing w:after="0" w:line="2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Name:</w:t>
      </w:r>
    </w:p>
    <w:p>
      <w:pPr>
        <w:spacing w:after="0" w:line="20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502285</wp:posOffset>
            </wp:positionV>
            <wp:extent cx="356362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63620" cy="762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344170</wp:posOffset>
            </wp:positionV>
            <wp:extent cx="35636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63620" cy="762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186055</wp:posOffset>
            </wp:positionV>
            <wp:extent cx="35636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636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SPOUSE’S CONSENT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 acknowledge that I have read the foregoing Non-Qualified Stock</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Option Agreement and understand the contents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357124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80"/>
          </w:cols>
          <w:pgMar w:left="320" w:top="1321" w:right="399" w:bottom="1440" w:gutter="0" w:footer="0" w:header="0"/>
        </w:sectPr>
      </w:pPr>
    </w:p>
    <w:bookmarkStart w:id="519" w:name="page520"/>
    <w:bookmarkEnd w:id="519"/>
    <w:p>
      <w:pPr>
        <w:ind w:left="4500"/>
        <w:spacing w:after="0"/>
        <w:rPr>
          <w:sz w:val="20"/>
          <w:szCs w:val="20"/>
          <w:color w:val="auto"/>
        </w:rPr>
      </w:pPr>
      <w:r>
        <w:rPr>
          <w:rFonts w:ascii="Times New Roman" w:cs="Times New Roman" w:eastAsia="Times New Roman" w:hAnsi="Times New Roman"/>
          <w:sz w:val="19"/>
          <w:szCs w:val="19"/>
          <w:color w:val="auto"/>
        </w:rPr>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288290</wp:posOffset>
            </wp:positionV>
            <wp:extent cx="357949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79495" cy="762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502285</wp:posOffset>
            </wp:positionV>
            <wp:extent cx="357949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79495" cy="762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344170</wp:posOffset>
            </wp:positionV>
            <wp:extent cx="357949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79495" cy="762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186055</wp:posOffset>
            </wp:positionV>
            <wp:extent cx="357949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794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9019"/>
          </w:cols>
          <w:pgMar w:left="1440" w:top="1370" w:right="1440" w:bottom="1440" w:gutter="0" w:footer="0" w:header="0"/>
        </w:sectPr>
      </w:pPr>
    </w:p>
    <w:bookmarkStart w:id="520" w:name="page521"/>
    <w:bookmarkEnd w:id="52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EXERCISE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ThredUp,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4311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Pursuant to the terms of the stock option agreement between the undersigned and ThredUp, Inc. (the “Company”) dated __________</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“Agreement”) under the ThredUp, Inc. Second Amended and Restated 2010 Stock Incentive Plan, I, [Insert Name] 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hereby [Circle One] partially/fully exercise such option by including herein payment in the amount of $______ representing the purchase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price for [Fill in number of Underlying Shares] _______ Underlying Shares. I have chosen the following form(s) of payment:</w:t>
      </w:r>
    </w:p>
    <w:p>
      <w:pPr>
        <w:spacing w:after="0" w:line="184" w:lineRule="exact"/>
        <w:rPr>
          <w:sz w:val="20"/>
          <w:szCs w:val="20"/>
          <w:color w:val="auto"/>
        </w:rPr>
      </w:pPr>
    </w:p>
    <w:tbl>
      <w:tblPr>
        <w:tblLayout w:type="fixed"/>
        <w:tblInd w:w="1020" w:type="dxa"/>
        <w:tblCellMar>
          <w:top w:w="0" w:type="dxa"/>
          <w:left w:w="0" w:type="dxa"/>
          <w:bottom w:w="0" w:type="dxa"/>
          <w:right w:w="0" w:type="dxa"/>
        </w:tblCellMar>
      </w:tblPr>
      <w:tr>
        <w:trPr>
          <w:trHeight w:val="259"/>
        </w:trPr>
        <w:tc>
          <w:tcPr>
            <w:tcW w:w="74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w w:val="87"/>
              </w:rPr>
              <w:t>[ ]</w:t>
            </w:r>
          </w:p>
        </w:tc>
        <w:tc>
          <w:tcPr>
            <w:tcW w:w="11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w:t>
            </w: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w:t>
            </w:r>
          </w:p>
        </w:tc>
      </w:tr>
      <w:tr>
        <w:trPr>
          <w:trHeight w:val="336"/>
        </w:trPr>
        <w:tc>
          <w:tcPr>
            <w:tcW w:w="74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w w:val="87"/>
              </w:rPr>
              <w:t>[ ]</w:t>
            </w:r>
          </w:p>
        </w:tc>
        <w:tc>
          <w:tcPr>
            <w:tcW w:w="11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w:t>
            </w: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Certified or bank check payable to ThredUp, Inc.</w:t>
            </w:r>
          </w:p>
        </w:tc>
      </w:tr>
      <w:tr>
        <w:trPr>
          <w:trHeight w:val="336"/>
        </w:trPr>
        <w:tc>
          <w:tcPr>
            <w:tcW w:w="74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w w:val="87"/>
              </w:rPr>
              <w:t>[ ]</w:t>
            </w:r>
          </w:p>
        </w:tc>
        <w:tc>
          <w:tcPr>
            <w:tcW w:w="11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w:t>
            </w: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(as referenced in the Agreement and described in the Plan (please describe))</w:t>
            </w:r>
          </w:p>
        </w:tc>
      </w:tr>
      <w:tr>
        <w:trPr>
          <w:trHeight w:val="164"/>
        </w:trPr>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40" w:type="dxa"/>
            <w:vAlign w:val="bottom"/>
            <w:tcBorders>
              <w:bottom w:val="single" w:sz="8" w:color="auto"/>
            </w:tcBorders>
          </w:tcPr>
          <w:p>
            <w:pPr>
              <w:spacing w:after="0"/>
              <w:rPr>
                <w:sz w:val="14"/>
                <w:szCs w:val="14"/>
                <w:color w:val="auto"/>
              </w:rPr>
            </w:pPr>
          </w:p>
        </w:tc>
      </w:tr>
    </w:tbl>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connection with my exercise of the option as set forth above, I hereby represent and warrant to the Company as follows:</w:t>
      </w:r>
    </w:p>
    <w:p>
      <w:pPr>
        <w:spacing w:after="0" w:line="156" w:lineRule="exact"/>
        <w:rPr>
          <w:sz w:val="20"/>
          <w:szCs w:val="20"/>
          <w:color w:val="auto"/>
        </w:rPr>
      </w:pPr>
    </w:p>
    <w:p>
      <w:pPr>
        <w:ind w:left="600" w:right="20" w:firstLine="1191"/>
        <w:spacing w:after="0" w:line="277" w:lineRule="auto"/>
        <w:tabs>
          <w:tab w:leader="none" w:pos="2182"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purchasing the Underlying Shares for my own account for investment only, and not for resale or with a view to the distribution thereof.</w:t>
      </w:r>
    </w:p>
    <w:p>
      <w:pPr>
        <w:spacing w:after="0" w:line="91" w:lineRule="exact"/>
        <w:rPr>
          <w:rFonts w:ascii="Times New Roman" w:cs="Times New Roman" w:eastAsia="Times New Roman" w:hAnsi="Times New Roman"/>
          <w:sz w:val="20"/>
          <w:szCs w:val="20"/>
          <w:color w:val="auto"/>
        </w:rPr>
      </w:pPr>
    </w:p>
    <w:p>
      <w:pPr>
        <w:ind w:left="600" w:right="140" w:firstLine="1191"/>
        <w:spacing w:after="0" w:line="262" w:lineRule="auto"/>
        <w:tabs>
          <w:tab w:leader="none" w:pos="2237"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05" w:lineRule="exact"/>
        <w:rPr>
          <w:rFonts w:ascii="Times New Roman" w:cs="Times New Roman" w:eastAsia="Times New Roman" w:hAnsi="Times New Roman"/>
          <w:sz w:val="20"/>
          <w:szCs w:val="20"/>
          <w:color w:val="auto"/>
        </w:rPr>
      </w:pPr>
    </w:p>
    <w:p>
      <w:pPr>
        <w:ind w:left="600" w:right="520" w:firstLine="1191"/>
        <w:spacing w:after="0" w:line="304" w:lineRule="auto"/>
        <w:tabs>
          <w:tab w:leader="none" w:pos="2292" w:val="left"/>
        </w:tabs>
        <w:numPr>
          <w:ilvl w:val="0"/>
          <w:numId w:val="4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sufficient experience in business, financial and investment matters to be able to evaluate the risks involved in the purchase of the Underlying Shares and to make an informed investment decision with respect to such purchase.</w:t>
      </w:r>
    </w:p>
    <w:p>
      <w:pPr>
        <w:spacing w:after="0" w:line="68" w:lineRule="exact"/>
        <w:rPr>
          <w:rFonts w:ascii="Times New Roman" w:cs="Times New Roman" w:eastAsia="Times New Roman" w:hAnsi="Times New Roman"/>
          <w:sz w:val="19"/>
          <w:szCs w:val="19"/>
          <w:color w:val="auto"/>
        </w:rPr>
      </w:pPr>
    </w:p>
    <w:p>
      <w:pPr>
        <w:ind w:left="600" w:right="120" w:firstLine="1191"/>
        <w:spacing w:after="0" w:line="277" w:lineRule="auto"/>
        <w:tabs>
          <w:tab w:leader="none" w:pos="2281"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can afford a complete loss of the value of the Option Shares and am able to bear the economic risk of holding such Option Shares for an indefinite period of time.</w:t>
      </w:r>
    </w:p>
    <w:p>
      <w:pPr>
        <w:spacing w:after="0" w:line="91" w:lineRule="exact"/>
        <w:rPr>
          <w:rFonts w:ascii="Times New Roman" w:cs="Times New Roman" w:eastAsia="Times New Roman" w:hAnsi="Times New Roman"/>
          <w:sz w:val="20"/>
          <w:szCs w:val="20"/>
          <w:color w:val="auto"/>
        </w:rPr>
      </w:pPr>
    </w:p>
    <w:p>
      <w:pPr>
        <w:ind w:left="600" w:right="140" w:firstLine="1191"/>
        <w:spacing w:after="0" w:line="254" w:lineRule="auto"/>
        <w:tabs>
          <w:tab w:leader="none" w:pos="2226"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the Option Shares may not be registered under the Securities Act of 1933 (it being understood that the Option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17" w:right="339" w:bottom="1440" w:gutter="0" w:footer="0" w:header="0"/>
        </w:sectPr>
      </w:pPr>
    </w:p>
    <w:bookmarkStart w:id="521" w:name="page522"/>
    <w:bookmarkEnd w:id="521"/>
    <w:p>
      <w:pPr>
        <w:ind w:right="340"/>
        <w:spacing w:after="0" w:line="277" w:lineRule="auto"/>
        <w:rPr>
          <w:sz w:val="20"/>
          <w:szCs w:val="20"/>
          <w:color w:val="auto"/>
        </w:rPr>
      </w:pPr>
      <w:r>
        <w:rPr>
          <w:rFonts w:ascii="Times New Roman" w:cs="Times New Roman" w:eastAsia="Times New Roman" w:hAnsi="Times New Roman"/>
          <w:sz w:val="20"/>
          <w:szCs w:val="20"/>
          <w:color w:val="auto"/>
        </w:rPr>
        <w:t>Option Shares will bear restrictive legends reflecting the foregoing and/or that book entries for uncertificated Option Shares will include similar restrictive notations.</w:t>
      </w:r>
    </w:p>
    <w:p>
      <w:pPr>
        <w:spacing w:after="0" w:line="91" w:lineRule="exact"/>
        <w:rPr>
          <w:sz w:val="20"/>
          <w:szCs w:val="20"/>
          <w:color w:val="auto"/>
        </w:rPr>
      </w:pPr>
    </w:p>
    <w:p>
      <w:pPr>
        <w:ind w:right="20" w:firstLine="1191"/>
        <w:spacing w:after="0" w:line="277" w:lineRule="auto"/>
        <w:tabs>
          <w:tab w:leader="none" w:pos="168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read and understand the Plan and acknowledge and agree that the Underlying Shares are subject to all of the relevant terms of the Plan, including without limitation, the transfer restrictions set forth in Section 9 of the Plan.</w:t>
      </w:r>
    </w:p>
    <w:p>
      <w:pPr>
        <w:spacing w:after="0" w:line="91" w:lineRule="exact"/>
        <w:rPr>
          <w:rFonts w:ascii="Times New Roman" w:cs="Times New Roman" w:eastAsia="Times New Roman" w:hAnsi="Times New Roman"/>
          <w:sz w:val="20"/>
          <w:szCs w:val="20"/>
          <w:color w:val="auto"/>
        </w:rPr>
      </w:pPr>
    </w:p>
    <w:p>
      <w:pPr>
        <w:ind w:right="440" w:firstLine="1191"/>
        <w:spacing w:after="0" w:line="277" w:lineRule="auto"/>
        <w:tabs>
          <w:tab w:leader="none" w:pos="1737"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the Company has a right of first refusal with respect to the Underlying Shares pursuant to Section 9(b) of the Plan.</w:t>
      </w:r>
    </w:p>
    <w:p>
      <w:pPr>
        <w:spacing w:after="0" w:line="91" w:lineRule="exact"/>
        <w:rPr>
          <w:rFonts w:ascii="Times New Roman" w:cs="Times New Roman" w:eastAsia="Times New Roman" w:hAnsi="Times New Roman"/>
          <w:sz w:val="20"/>
          <w:szCs w:val="20"/>
          <w:color w:val="auto"/>
        </w:rPr>
      </w:pPr>
    </w:p>
    <w:p>
      <w:pPr>
        <w:ind w:right="120" w:firstLine="1191"/>
        <w:spacing w:after="0" w:line="277" w:lineRule="auto"/>
        <w:tabs>
          <w:tab w:leader="none" w:pos="1792"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the Company has certain repurchase rights with respect to the Underlying Shares pursuant to Section 9(c) of the Plan.</w:t>
      </w:r>
    </w:p>
    <w:p>
      <w:pPr>
        <w:spacing w:after="0" w:line="91" w:lineRule="exact"/>
        <w:rPr>
          <w:rFonts w:ascii="Times New Roman" w:cs="Times New Roman" w:eastAsia="Times New Roman" w:hAnsi="Times New Roman"/>
          <w:sz w:val="20"/>
          <w:szCs w:val="20"/>
          <w:color w:val="auto"/>
        </w:rPr>
      </w:pPr>
    </w:p>
    <w:p>
      <w:pPr>
        <w:ind w:firstLine="1191"/>
        <w:spacing w:after="0" w:line="277" w:lineRule="auto"/>
        <w:tabs>
          <w:tab w:leader="none" w:pos="168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I may not sell or otherwise transfer or dispose of the Underlying Shares for a period of time following the effective date of a public offering by the Company as described in Section 9(f) of the Plan.</w:t>
      </w:r>
    </w:p>
    <w:p>
      <w:pPr>
        <w:spacing w:after="0" w:line="91" w:lineRule="exact"/>
        <w:rPr>
          <w:rFonts w:ascii="Times New Roman" w:cs="Times New Roman" w:eastAsia="Times New Roman" w:hAnsi="Times New Roman"/>
          <w:sz w:val="20"/>
          <w:szCs w:val="20"/>
          <w:color w:val="auto"/>
        </w:rPr>
      </w:pPr>
    </w:p>
    <w:p>
      <w:pPr>
        <w:ind w:left="4780" w:right="160" w:hanging="3589"/>
        <w:spacing w:after="0" w:line="485" w:lineRule="auto"/>
        <w:tabs>
          <w:tab w:leader="none" w:pos="1623"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to the waiver of statutory information rights as set forth in Section 8 of the Agreement. 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176530</wp:posOffset>
            </wp:positionV>
            <wp:extent cx="37376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737610" cy="7620"/>
                    </a:xfrm>
                    <a:prstGeom prst="rect">
                      <a:avLst/>
                    </a:prstGeom>
                    <a:noFill/>
                  </pic:spPr>
                </pic:pic>
              </a:graphicData>
            </a:graphic>
          </wp:anchor>
        </w:drawing>
      </w:r>
    </w:p>
    <w:p>
      <w:pPr>
        <w:spacing w:after="0" w:line="28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Name:</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502285</wp:posOffset>
            </wp:positionV>
            <wp:extent cx="37376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737610" cy="762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344170</wp:posOffset>
            </wp:positionV>
            <wp:extent cx="37376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737610" cy="762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186055</wp:posOffset>
            </wp:positionV>
            <wp:extent cx="373761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7376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560"/>
          </w:cols>
          <w:pgMar w:left="920" w:top="1321" w:right="419" w:bottom="1440" w:gutter="0" w:footer="0" w:header="0"/>
        </w:sectPr>
      </w:pPr>
    </w:p>
    <w:bookmarkStart w:id="522" w:name="page523"/>
    <w:bookmarkEnd w:id="522"/>
    <w:p>
      <w:pPr>
        <w:spacing w:after="0" w:line="167" w:lineRule="exact"/>
        <w:rPr>
          <w:sz w:val="20"/>
          <w:szCs w:val="20"/>
          <w:color w:val="auto"/>
        </w:rPr>
      </w:pPr>
    </w:p>
    <w:p>
      <w:pPr>
        <w:jc w:val="center"/>
        <w:ind w:left="360" w:right="2780"/>
        <w:spacing w:after="0" w:line="263" w:lineRule="auto"/>
        <w:rPr>
          <w:sz w:val="20"/>
          <w:szCs w:val="20"/>
          <w:color w:val="auto"/>
        </w:rPr>
      </w:pPr>
      <w:r>
        <w:rPr>
          <w:rFonts w:ascii="Times New Roman" w:cs="Times New Roman" w:eastAsia="Times New Roman" w:hAnsi="Times New Roman"/>
          <w:sz w:val="23"/>
          <w:szCs w:val="23"/>
          <w:b w:val="1"/>
          <w:bCs w:val="1"/>
          <w:color w:val="auto"/>
        </w:rPr>
        <w:t>NON-QUALIFIED STOCK OPTION GRANT NOTICE UNDER THE THREDUP, INC. SECOND AMENDED AND RESTATED 2010 STOCK INCENTIVE PLAN</w:t>
      </w:r>
    </w:p>
    <w:p>
      <w:pPr>
        <w:spacing w:after="0" w:line="387" w:lineRule="exact"/>
        <w:rPr>
          <w:sz w:val="20"/>
          <w:szCs w:val="20"/>
          <w:color w:val="auto"/>
        </w:rPr>
      </w:pPr>
    </w:p>
    <w:p>
      <w:pPr>
        <w:ind w:right="60" w:firstLine="597"/>
        <w:spacing w:after="0" w:line="250" w:lineRule="auto"/>
        <w:rPr>
          <w:sz w:val="20"/>
          <w:szCs w:val="20"/>
          <w:color w:val="auto"/>
        </w:rPr>
      </w:pPr>
      <w:r>
        <w:rPr>
          <w:rFonts w:ascii="Times New Roman" w:cs="Times New Roman" w:eastAsia="Times New Roman" w:hAnsi="Times New Roman"/>
          <w:sz w:val="20"/>
          <w:szCs w:val="20"/>
          <w:color w:val="auto"/>
        </w:rPr>
        <w:t>Pursuant to the ThredUp, Inc. Second Amended and Restated 2010 Stock Incentive Plan (the “Plan”), ThredUp, Inc., a Delaware corporation (together with any successor thereto, the “Company”), has granted to the Optionee, who is an officer, employee, director, Consultant or other key person of the Company or any of its Subsidiaries, an option (the “Stock Option”) to purchase on or prior to the Expiration Date, or such earlier date as is specified herein, all or any part of the number of shares of Common Stock, par value $0.0001 per share (“Common Stock”), of the Company indicated above (the “Underlying Shares,” and such shares once issued shall be referred to as the “Option Shares”), at the Option Exercise Price per share, subject to the terms and conditions set forth in this Non-Qualified Stock Option Grant Notice (the “Grant Notice”), the Non-Qualified Stock Option Agreement (the “Agreement”) and in the Plan. This Stock Option is not intended to qualify as an “incentive stock option” as defined in Section 422(b) of the Internal Revenue Code of 1986, as amended from time to time (the “Code”).</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Name of Optionee:</w:t>
            </w: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“Optionee”)</w:t>
            </w:r>
          </w:p>
        </w:tc>
      </w:tr>
      <w:tr>
        <w:trPr>
          <w:trHeight w:val="41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No. of Underlying Shares:</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Shares of Common Stock</w:t>
            </w:r>
          </w:p>
        </w:tc>
      </w:tr>
      <w:tr>
        <w:trPr>
          <w:trHeight w:val="41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 Date:</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41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Vesting Commencement Date:</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“Vesting Commencement Date”)</w:t>
            </w:r>
          </w:p>
        </w:tc>
      </w:tr>
      <w:tr>
        <w:trPr>
          <w:trHeight w:val="41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Expiration Date:</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“Expiration Date”)</w:t>
            </w:r>
          </w:p>
        </w:tc>
      </w:tr>
      <w:tr>
        <w:trPr>
          <w:trHeight w:val="41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Option Exercise Price/Share:</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“Option Exercise Price”)</w:t>
            </w:r>
          </w:p>
        </w:tc>
      </w:tr>
      <w:tr>
        <w:trPr>
          <w:trHeight w:val="38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Vesting Schedule:</w:t>
            </w: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25 percent of the Underlying Shares shall vest and become exercisable on the first anniversary</w:t>
            </w:r>
          </w:p>
        </w:tc>
      </w:tr>
      <w:tr>
        <w:trPr>
          <w:trHeight w:val="236"/>
        </w:trPr>
        <w:tc>
          <w:tcPr>
            <w:tcW w:w="3660" w:type="dxa"/>
            <w:vAlign w:val="bottom"/>
          </w:tcPr>
          <w:p>
            <w:pPr>
              <w:spacing w:after="0"/>
              <w:rPr>
                <w:sz w:val="20"/>
                <w:szCs w:val="20"/>
                <w:color w:val="auto"/>
              </w:rPr>
            </w:pP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of the Vesting Commencement Date; provided that the Optionee continues to have a Service</w:t>
            </w:r>
          </w:p>
        </w:tc>
      </w:tr>
      <w:tr>
        <w:trPr>
          <w:trHeight w:val="236"/>
        </w:trPr>
        <w:tc>
          <w:tcPr>
            <w:tcW w:w="3660" w:type="dxa"/>
            <w:vAlign w:val="bottom"/>
          </w:tcPr>
          <w:p>
            <w:pPr>
              <w:spacing w:after="0"/>
              <w:rPr>
                <w:sz w:val="20"/>
                <w:szCs w:val="20"/>
                <w:color w:val="auto"/>
              </w:rPr>
            </w:pP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Relationship with the Company at such time. Thereafter, the remaining 75 percent of the</w:t>
            </w:r>
          </w:p>
        </w:tc>
      </w:tr>
      <w:tr>
        <w:trPr>
          <w:trHeight w:val="236"/>
        </w:trPr>
        <w:tc>
          <w:tcPr>
            <w:tcW w:w="3660" w:type="dxa"/>
            <w:vAlign w:val="bottom"/>
          </w:tcPr>
          <w:p>
            <w:pPr>
              <w:spacing w:after="0"/>
              <w:rPr>
                <w:sz w:val="20"/>
                <w:szCs w:val="20"/>
                <w:color w:val="auto"/>
              </w:rPr>
            </w:pP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Underlying Shares shall vest and become exercisable in 36 equal monthly installments</w:t>
            </w:r>
          </w:p>
        </w:tc>
      </w:tr>
      <w:tr>
        <w:trPr>
          <w:trHeight w:val="258"/>
        </w:trPr>
        <w:tc>
          <w:tcPr>
            <w:tcW w:w="3660" w:type="dxa"/>
            <w:vAlign w:val="bottom"/>
          </w:tcPr>
          <w:p>
            <w:pPr>
              <w:spacing w:after="0"/>
              <w:rPr>
                <w:sz w:val="22"/>
                <w:szCs w:val="22"/>
                <w:color w:val="auto"/>
              </w:rPr>
            </w:pP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following the first anniversary of the Vesting Commencement Date, provided the Optionee</w:t>
            </w:r>
          </w:p>
        </w:tc>
      </w:tr>
    </w:tbl>
    <w:p>
      <w:pPr>
        <w:ind w:left="3680"/>
        <w:spacing w:after="0" w:line="249" w:lineRule="auto"/>
        <w:rPr>
          <w:sz w:val="20"/>
          <w:szCs w:val="20"/>
          <w:color w:val="auto"/>
        </w:rPr>
      </w:pPr>
      <w:r>
        <w:rPr>
          <w:rFonts w:ascii="Times New Roman" w:cs="Times New Roman" w:eastAsia="Times New Roman" w:hAnsi="Times New Roman"/>
          <w:sz w:val="20"/>
          <w:szCs w:val="20"/>
          <w:color w:val="auto"/>
        </w:rPr>
        <w:t xml:space="preserve">continues to have a Service Relationship with the Company at such time. Notwithstanding anything in the Agreement to the contrary, in the case of a Sale Event, this Stock Option and the Option Shares shall be treated as provided in Section 3(c) of the </w:t>
      </w:r>
      <w:r>
        <w:rPr>
          <w:rFonts w:ascii="Times New Roman" w:cs="Times New Roman" w:eastAsia="Times New Roman" w:hAnsi="Times New Roman"/>
          <w:sz w:val="20"/>
          <w:szCs w:val="20"/>
          <w:b w:val="1"/>
          <w:bCs w:val="1"/>
          <w:color w:val="auto"/>
        </w:rPr>
        <w:t>Plan[ provided; however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INSERT ANY ACCELERATED VESTING PROVISION HERE].</w:t>
      </w:r>
    </w:p>
    <w:p>
      <w:pPr>
        <w:sectPr>
          <w:pgSz w:w="11900" w:h="16838" w:orient="portrait"/>
          <w:cols w:equalWidth="0" w:num="1">
            <w:col w:w="11220"/>
          </w:cols>
          <w:pgMar w:left="320" w:top="1440" w:right="35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9"/>
          <w:szCs w:val="19"/>
          <w:b w:val="1"/>
          <w:bCs w:val="1"/>
          <w:color w:val="auto"/>
        </w:rPr>
        <w:t>Attachments</w:t>
      </w:r>
      <w:r>
        <w:rPr>
          <w:rFonts w:ascii="Times New Roman" w:cs="Times New Roman" w:eastAsia="Times New Roman" w:hAnsi="Times New Roman"/>
          <w:sz w:val="19"/>
          <w:szCs w:val="19"/>
          <w:color w:val="auto"/>
        </w:rPr>
        <w:t>: Non-Qualified Stock Option Agreement, Second Amended and Restated 2010 Stock Incentive Plan</w:t>
      </w:r>
    </w:p>
    <w:p>
      <w:pPr>
        <w:sectPr>
          <w:pgSz w:w="11900" w:h="16838" w:orient="portrait"/>
          <w:cols w:equalWidth="0" w:num="1">
            <w:col w:w="10139"/>
          </w:cols>
          <w:pgMar w:left="320" w:top="1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39"/>
          </w:cols>
          <w:pgMar w:left="320" w:top="1317" w:right="1440" w:bottom="1440" w:gutter="0" w:footer="0" w:header="0"/>
          <w:type w:val="continuous"/>
        </w:sectPr>
      </w:pPr>
    </w:p>
    <w:bookmarkStart w:id="524" w:name="page525"/>
    <w:bookmarkEnd w:id="524"/>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NON-QUALIFIED STOCK OPTION AGREEMENT</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UNDER THE THREDUP,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SECOND AMENDED AND RESTATED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2010 STOCK INCENTIVE PLAN</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All capitalized terms used herein and not otherwise defined shall have the respective meanings set forth in the Grant Notice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34" w:lineRule="exact"/>
        <w:rPr>
          <w:sz w:val="20"/>
          <w:szCs w:val="20"/>
          <w:color w:val="auto"/>
        </w:rPr>
      </w:pPr>
    </w:p>
    <w:p>
      <w:pPr>
        <w:ind w:left="940" w:hanging="343"/>
        <w:spacing w:after="0"/>
        <w:tabs>
          <w:tab w:leader="none" w:pos="940"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Exercisability and Termination</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1620" w:hanging="426"/>
        <w:spacing w:after="0"/>
        <w:tabs>
          <w:tab w:leader="none" w:pos="1620" w:val="left"/>
        </w:tabs>
        <w:numPr>
          <w:ilvl w:val="1"/>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this Stock Option may be exercised until such portion shall have vested and become exercisable.</w:t>
      </w:r>
    </w:p>
    <w:p>
      <w:pPr>
        <w:spacing w:after="0" w:line="155" w:lineRule="exact"/>
        <w:rPr>
          <w:rFonts w:ascii="Times New Roman" w:cs="Times New Roman" w:eastAsia="Times New Roman" w:hAnsi="Times New Roman"/>
          <w:sz w:val="20"/>
          <w:szCs w:val="20"/>
          <w:color w:val="auto"/>
        </w:rPr>
      </w:pPr>
    </w:p>
    <w:p>
      <w:pPr>
        <w:ind w:right="160" w:firstLine="1194"/>
        <w:spacing w:after="0" w:line="262" w:lineRule="auto"/>
        <w:tabs>
          <w:tab w:leader="none" w:pos="1626" w:val="left"/>
        </w:tabs>
        <w:numPr>
          <w:ilvl w:val="1"/>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below, and subject to the determination of the Committee in its sole discretion to accelerate the vesting schedule hereunder, this Stock Option shall be vested and exercisable with respect to the Underlying Shares on the respective dates indicated below:</w:t>
      </w:r>
    </w:p>
    <w:p>
      <w:pPr>
        <w:spacing w:after="0" w:line="105" w:lineRule="exact"/>
        <w:rPr>
          <w:rFonts w:ascii="Times New Roman" w:cs="Times New Roman" w:eastAsia="Times New Roman" w:hAnsi="Times New Roman"/>
          <w:sz w:val="20"/>
          <w:szCs w:val="20"/>
          <w:color w:val="auto"/>
        </w:rPr>
      </w:pPr>
    </w:p>
    <w:p>
      <w:pPr>
        <w:ind w:left="2160" w:hanging="369"/>
        <w:spacing w:after="0"/>
        <w:tabs>
          <w:tab w:leader="none" w:pos="2160" w:val="left"/>
        </w:tabs>
        <w:numPr>
          <w:ilvl w:val="2"/>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Underlying Shares shall initially be unvested and unexercisable.</w:t>
      </w:r>
    </w:p>
    <w:p>
      <w:pPr>
        <w:spacing w:after="0" w:line="155" w:lineRule="exact"/>
        <w:rPr>
          <w:rFonts w:ascii="Times New Roman" w:cs="Times New Roman" w:eastAsia="Times New Roman" w:hAnsi="Times New Roman"/>
          <w:sz w:val="20"/>
          <w:szCs w:val="20"/>
          <w:color w:val="auto"/>
        </w:rPr>
      </w:pPr>
    </w:p>
    <w:p>
      <w:pPr>
        <w:ind w:left="2240" w:hanging="449"/>
        <w:spacing w:after="0"/>
        <w:tabs>
          <w:tab w:leader="none" w:pos="2240" w:val="left"/>
        </w:tabs>
        <w:numPr>
          <w:ilvl w:val="2"/>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Shares shall vest and become exercisable in accordance with the Vesting Schedule set forth in</w:t>
      </w:r>
    </w:p>
    <w:p>
      <w:pPr>
        <w:spacing w:after="0" w:line="28"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Notice.</w:t>
      </w:r>
    </w:p>
    <w:p>
      <w:pPr>
        <w:spacing w:after="0" w:line="133" w:lineRule="exact"/>
        <w:rPr>
          <w:rFonts w:ascii="Times New Roman" w:cs="Times New Roman" w:eastAsia="Times New Roman" w:hAnsi="Times New Roman"/>
          <w:sz w:val="20"/>
          <w:szCs w:val="20"/>
          <w:color w:val="auto"/>
        </w:rPr>
      </w:pPr>
    </w:p>
    <w:p>
      <w:pPr>
        <w:jc w:val="both"/>
        <w:ind w:right="740" w:firstLine="1194"/>
        <w:spacing w:after="0" w:line="262" w:lineRule="auto"/>
        <w:tabs>
          <w:tab w:leader="none" w:pos="1614" w:val="left"/>
        </w:tabs>
        <w:numPr>
          <w:ilvl w:val="1"/>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05" w:lineRule="exact"/>
        <w:rPr>
          <w:rFonts w:ascii="Times New Roman" w:cs="Times New Roman" w:eastAsia="Times New Roman" w:hAnsi="Times New Roman"/>
          <w:sz w:val="20"/>
          <w:szCs w:val="20"/>
          <w:color w:val="auto"/>
        </w:rPr>
      </w:pPr>
    </w:p>
    <w:p>
      <w:pPr>
        <w:ind w:left="600" w:firstLine="1191"/>
        <w:spacing w:after="0" w:line="250" w:lineRule="auto"/>
        <w:tabs>
          <w:tab w:leader="none" w:pos="2182" w:val="left"/>
        </w:tabs>
        <w:numPr>
          <w:ilvl w:val="2"/>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Due to Death or Disability</w:t>
      </w:r>
      <w:r>
        <w:rPr>
          <w:rFonts w:ascii="Times New Roman" w:cs="Times New Roman" w:eastAsia="Times New Roman" w:hAnsi="Times New Roman"/>
          <w:sz w:val="20"/>
          <w:szCs w:val="20"/>
          <w:color w:val="auto"/>
        </w:rPr>
        <w:t>. If the Optionee’s Service Relationship terminates by reason of such Optionee’s death or disability (as defined in Section 422(c) of the Code) and the duration of Optionee’s Service Relationship with the Company is less than 36 months of continuous service, this Stock Option may be exercised, to the extent exercisable on the date of such termination, by the Optionee, the Optionee’s legal representative or legatee for a period of 12 months from the date of death or disability or until the Expiration Date, if earlier. If the Optionee’s Service Relationship terminates by reason of such Optionee’s death or disability (as defined in Section 422(c) of the Code) and the duration of Optionee’s Service Relationship with the Company is equal to or more than 36 months of continuous service, this Stock Option may be exercised, to the extent exercisable on the date of such termination, by the Optionee, the Optionee’s legal representative or legatee for a period of 36 months from the date of death or disability or until the Expiration Date, if earlier.</w:t>
      </w:r>
    </w:p>
    <w:p>
      <w:pPr>
        <w:spacing w:after="0" w:line="121" w:lineRule="exact"/>
        <w:rPr>
          <w:rFonts w:ascii="Times New Roman" w:cs="Times New Roman" w:eastAsia="Times New Roman" w:hAnsi="Times New Roman"/>
          <w:sz w:val="20"/>
          <w:szCs w:val="20"/>
          <w:color w:val="auto"/>
        </w:rPr>
      </w:pPr>
    </w:p>
    <w:p>
      <w:pPr>
        <w:ind w:left="600" w:right="260" w:firstLine="1191"/>
        <w:spacing w:after="0" w:line="262" w:lineRule="auto"/>
        <w:tabs>
          <w:tab w:leader="none" w:pos="2237" w:val="left"/>
        </w:tabs>
        <w:numPr>
          <w:ilvl w:val="2"/>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w:t>
      </w:r>
      <w:r>
        <w:rPr>
          <w:rFonts w:ascii="Times New Roman" w:cs="Times New Roman" w:eastAsia="Times New Roman" w:hAnsi="Times New Roman"/>
          <w:sz w:val="20"/>
          <w:szCs w:val="20"/>
          <w:color w:val="auto"/>
        </w:rPr>
        <w:t>. If the Optionee’s Service Relationship terminates for any reason other than death or disability (as defined in Section 422(c) of the Code) and the duration of Optionee’s Service Relationship with the Company is less than 36 months of continuous service, and unless otherwise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308" w:right="359" w:bottom="1440" w:gutter="0" w:footer="0" w:header="0"/>
        </w:sectPr>
      </w:pPr>
    </w:p>
    <w:bookmarkStart w:id="525" w:name="page526"/>
    <w:bookmarkEnd w:id="525"/>
    <w:p>
      <w:pPr>
        <w:ind w:left="600"/>
        <w:spacing w:after="0" w:line="250" w:lineRule="auto"/>
        <w:rPr>
          <w:sz w:val="20"/>
          <w:szCs w:val="20"/>
          <w:color w:val="auto"/>
        </w:rPr>
      </w:pPr>
      <w:r>
        <w:rPr>
          <w:rFonts w:ascii="Times New Roman" w:cs="Times New Roman" w:eastAsia="Times New Roman" w:hAnsi="Times New Roman"/>
          <w:sz w:val="20"/>
          <w:szCs w:val="20"/>
          <w:color w:val="auto"/>
        </w:rPr>
        <w:t xml:space="preserve">Committee, this Stock Option may be exercised, to the extent exercisable on the date of termination, for a period of 90 days from the date of termination or until the Expiration Date or other termination date, if earlier;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if the Optionee’s Service Relationship is terminated for Cause, this Stock Option shall terminate immediately upon the date of such termination. If the Optionee’s Service Relationship terminates for any reason other than death or disability (as defined in Section 422(c) of the Code) and the duration of Optionee’s Service Relationship with the Company is equal to or more than 36 months of continuous service, and unless otherwise determined by the Committee, this Stock Option may be exercised, to the extent exercisable on the date of termination, for a period of 36 months from the date of termination or until the Expiration Date or other termination date, if earlier;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if the Optionee’s Service Relationship is terminated for Cause, this Stock Option shall terminate immediately upon the date of such termination.</w:t>
      </w:r>
    </w:p>
    <w:p>
      <w:pPr>
        <w:spacing w:after="0" w:line="121" w:lineRule="exact"/>
        <w:rPr>
          <w:sz w:val="20"/>
          <w:szCs w:val="20"/>
          <w:color w:val="auto"/>
        </w:rPr>
      </w:pPr>
    </w:p>
    <w:p>
      <w:pPr>
        <w:ind w:right="220" w:firstLine="597"/>
        <w:spacing w:after="0" w:line="282" w:lineRule="auto"/>
        <w:rPr>
          <w:sz w:val="20"/>
          <w:szCs w:val="20"/>
          <w:color w:val="auto"/>
        </w:rPr>
      </w:pPr>
      <w:r>
        <w:rPr>
          <w:rFonts w:ascii="Times New Roman" w:cs="Times New Roman" w:eastAsia="Times New Roman" w:hAnsi="Times New Roman"/>
          <w:sz w:val="19"/>
          <w:szCs w:val="19"/>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exercisable on the date of termination of the Service Relationship shall terminate immediately and be null and void.</w:t>
      </w:r>
    </w:p>
    <w:p>
      <w:pPr>
        <w:spacing w:after="0" w:line="88" w:lineRule="exact"/>
        <w:rPr>
          <w:sz w:val="20"/>
          <w:szCs w:val="20"/>
          <w:color w:val="auto"/>
        </w:rPr>
      </w:pPr>
    </w:p>
    <w:p>
      <w:pPr>
        <w:ind w:left="940" w:hanging="343"/>
        <w:spacing w:after="0"/>
        <w:tabs>
          <w:tab w:leader="none" w:pos="940"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Stock Option</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right="40" w:firstLine="1194"/>
        <w:spacing w:after="0" w:line="252" w:lineRule="auto"/>
        <w:tabs>
          <w:tab w:leader="none" w:pos="1611" w:val="left"/>
        </w:tabs>
        <w:numPr>
          <w:ilvl w:val="1"/>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hereto indicating his or her election to purchase some or all of the Underlying Shares with respect to which this Stock Option is exercisable at the time of such notice. Such notice shall specify the number of Underlying Shares to be purchased. Payment of the purchase price may be made by one or more of the methods described in Sections 5(a)(iv)(A), (B), (C), (D) or (E) of the Plan, subject to the limitations contained in such Sections of the Plan, including the requirement that the Committee specifically approve in advance certain payment methods.</w:t>
      </w:r>
    </w:p>
    <w:p>
      <w:pPr>
        <w:spacing w:after="0" w:line="119" w:lineRule="exact"/>
        <w:rPr>
          <w:rFonts w:ascii="Times New Roman" w:cs="Times New Roman" w:eastAsia="Times New Roman" w:hAnsi="Times New Roman"/>
          <w:sz w:val="20"/>
          <w:szCs w:val="20"/>
          <w:color w:val="auto"/>
        </w:rPr>
      </w:pPr>
    </w:p>
    <w:p>
      <w:pPr>
        <w:ind w:left="1620" w:hanging="426"/>
        <w:spacing w:after="0"/>
        <w:tabs>
          <w:tab w:leader="none" w:pos="1620" w:val="left"/>
        </w:tabs>
        <w:numPr>
          <w:ilvl w:val="1"/>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hereof or of the Plan, no portion of this Stock Option shall be exercisable after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Date.</w:t>
      </w:r>
    </w:p>
    <w:p>
      <w:pPr>
        <w:spacing w:after="0" w:line="133" w:lineRule="exact"/>
        <w:rPr>
          <w:rFonts w:ascii="Times New Roman" w:cs="Times New Roman" w:eastAsia="Times New Roman" w:hAnsi="Times New Roman"/>
          <w:sz w:val="20"/>
          <w:szCs w:val="20"/>
          <w:color w:val="auto"/>
        </w:rPr>
      </w:pPr>
    </w:p>
    <w:p>
      <w:pPr>
        <w:ind w:right="40" w:firstLine="597"/>
        <w:spacing w:after="0" w:line="277" w:lineRule="auto"/>
        <w:tabs>
          <w:tab w:leader="none" w:pos="946"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Plan</w:t>
      </w:r>
      <w:r>
        <w:rPr>
          <w:rFonts w:ascii="Times New Roman" w:cs="Times New Roman" w:eastAsia="Times New Roman" w:hAnsi="Times New Roman"/>
          <w:sz w:val="20"/>
          <w:szCs w:val="20"/>
          <w:color w:val="auto"/>
        </w:rPr>
        <w:t>. Notwithstanding anything herein to the contrary, this Stock Option shall be subject to and governed by all the terms and conditions of the Plan.</w:t>
      </w:r>
    </w:p>
    <w:p>
      <w:pPr>
        <w:spacing w:after="0" w:line="91" w:lineRule="exact"/>
        <w:rPr>
          <w:rFonts w:ascii="Times New Roman" w:cs="Times New Roman" w:eastAsia="Times New Roman" w:hAnsi="Times New Roman"/>
          <w:sz w:val="20"/>
          <w:szCs w:val="20"/>
          <w:color w:val="auto"/>
        </w:rPr>
      </w:pPr>
    </w:p>
    <w:p>
      <w:pPr>
        <w:ind w:firstLine="597"/>
        <w:spacing w:after="0" w:line="251" w:lineRule="auto"/>
        <w:tabs>
          <w:tab w:leader="none" w:pos="946"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 of Stock Option</w:t>
      </w:r>
      <w:r>
        <w:rPr>
          <w:rFonts w:ascii="Times New Roman" w:cs="Times New Roman" w:eastAsia="Times New Roman" w:hAnsi="Times New Roman"/>
          <w:sz w:val="20"/>
          <w:szCs w:val="20"/>
          <w:color w:val="auto"/>
        </w:rPr>
        <w:t>. This Agreement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00"/>
          </w:cols>
          <w:pgMar w:left="320" w:top="1321" w:right="379" w:bottom="1440" w:gutter="0" w:footer="0" w:header="0"/>
        </w:sectPr>
      </w:pPr>
    </w:p>
    <w:bookmarkStart w:id="526" w:name="page527"/>
    <w:bookmarkEnd w:id="526"/>
    <w:p>
      <w:pPr>
        <w:ind w:right="100"/>
        <w:spacing w:after="0" w:line="277" w:lineRule="auto"/>
        <w:rPr>
          <w:sz w:val="20"/>
          <w:szCs w:val="20"/>
          <w:color w:val="auto"/>
        </w:rPr>
      </w:pPr>
      <w:r>
        <w:rPr>
          <w:rFonts w:ascii="Times New Roman" w:cs="Times New Roman" w:eastAsia="Times New Roman" w:hAnsi="Times New Roman"/>
          <w:sz w:val="20"/>
          <w:szCs w:val="20"/>
          <w:color w:val="auto"/>
        </w:rPr>
        <w:t>predeceases the Optionee, the legal representative of the Optionee may exercise this Stock Option to the extent provided herein in the event of the Optionee’s death.</w:t>
      </w:r>
    </w:p>
    <w:p>
      <w:pPr>
        <w:spacing w:after="0" w:line="91" w:lineRule="exact"/>
        <w:rPr>
          <w:sz w:val="20"/>
          <w:szCs w:val="20"/>
          <w:color w:val="auto"/>
        </w:rPr>
      </w:pPr>
    </w:p>
    <w:p>
      <w:pPr>
        <w:ind w:right="380" w:firstLine="597"/>
        <w:spacing w:after="0" w:line="277" w:lineRule="auto"/>
        <w:tabs>
          <w:tab w:leader="none" w:pos="946" w:val="left"/>
        </w:tabs>
        <w:numPr>
          <w:ilvl w:val="0"/>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 of Option Shares</w:t>
      </w:r>
      <w:r>
        <w:rPr>
          <w:rFonts w:ascii="Times New Roman" w:cs="Times New Roman" w:eastAsia="Times New Roman" w:hAnsi="Times New Roman"/>
          <w:sz w:val="20"/>
          <w:szCs w:val="20"/>
          <w:color w:val="auto"/>
        </w:rPr>
        <w:t>. The Option Shares acquired upon exercise of the Stock Option shall be subject to certain transfer restrictions and other limitations including, without limitation, the provisions contained in Section 9 of the Plan.</w:t>
      </w:r>
    </w:p>
    <w:p>
      <w:pPr>
        <w:spacing w:after="0" w:line="91" w:lineRule="exact"/>
        <w:rPr>
          <w:rFonts w:ascii="Times New Roman" w:cs="Times New Roman" w:eastAsia="Times New Roman" w:hAnsi="Times New Roman"/>
          <w:sz w:val="20"/>
          <w:szCs w:val="20"/>
          <w:color w:val="auto"/>
        </w:rPr>
      </w:pPr>
    </w:p>
    <w:p>
      <w:pPr>
        <w:ind w:left="940" w:hanging="343"/>
        <w:spacing w:after="0"/>
        <w:tabs>
          <w:tab w:leader="none" w:pos="940" w:val="left"/>
        </w:tabs>
        <w:numPr>
          <w:ilvl w:val="0"/>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firstLine="1194"/>
        <w:spacing w:after="0" w:line="262" w:lineRule="auto"/>
        <w:tabs>
          <w:tab w:leader="none" w:pos="1614"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05" w:lineRule="exact"/>
        <w:rPr>
          <w:rFonts w:ascii="Times New Roman" w:cs="Times New Roman" w:eastAsia="Times New Roman" w:hAnsi="Times New Roman"/>
          <w:sz w:val="20"/>
          <w:szCs w:val="20"/>
          <w:color w:val="auto"/>
        </w:rPr>
      </w:pPr>
    </w:p>
    <w:p>
      <w:pPr>
        <w:ind w:right="20" w:firstLine="1194"/>
        <w:spacing w:after="0" w:line="254" w:lineRule="auto"/>
        <w:tabs>
          <w:tab w:leader="none" w:pos="1626"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for Changes in Capital Structure</w:t>
      </w:r>
      <w:r>
        <w:rPr>
          <w:rFonts w:ascii="Times New Roman" w:cs="Times New Roman" w:eastAsia="Times New Roman" w:hAnsi="Times New Roman"/>
          <w:sz w:val="20"/>
          <w:szCs w:val="20"/>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shares of the Company’s stock, the restrictions contained in this Agreement shall apply with equal force to additional and/or substitute securities, if any, received by the Optionee in exchange for, or by virtue of his or her ownership of, Option Shares.</w:t>
      </w:r>
    </w:p>
    <w:p>
      <w:pPr>
        <w:spacing w:after="0" w:line="114" w:lineRule="exact"/>
        <w:rPr>
          <w:rFonts w:ascii="Times New Roman" w:cs="Times New Roman" w:eastAsia="Times New Roman" w:hAnsi="Times New Roman"/>
          <w:sz w:val="20"/>
          <w:szCs w:val="20"/>
          <w:color w:val="auto"/>
        </w:rPr>
      </w:pPr>
    </w:p>
    <w:p>
      <w:pPr>
        <w:ind w:right="120" w:firstLine="1194"/>
        <w:spacing w:after="0" w:line="262" w:lineRule="auto"/>
        <w:tabs>
          <w:tab w:leader="none" w:pos="1614"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and Modifications</w:t>
      </w:r>
      <w:r>
        <w:rPr>
          <w:rFonts w:ascii="Times New Roman" w:cs="Times New Roman" w:eastAsia="Times New Roman" w:hAnsi="Times New Roman"/>
          <w:sz w:val="20"/>
          <w:szCs w:val="20"/>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05" w:lineRule="exact"/>
        <w:rPr>
          <w:rFonts w:ascii="Times New Roman" w:cs="Times New Roman" w:eastAsia="Times New Roman" w:hAnsi="Times New Roman"/>
          <w:sz w:val="20"/>
          <w:szCs w:val="20"/>
          <w:color w:val="auto"/>
        </w:rPr>
      </w:pPr>
    </w:p>
    <w:p>
      <w:pPr>
        <w:jc w:val="both"/>
        <w:ind w:right="140" w:firstLine="1194"/>
        <w:spacing w:after="0" w:line="256" w:lineRule="auto"/>
        <w:tabs>
          <w:tab w:leader="none" w:pos="1626"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General Corporation Law of the State of Delaware as to matters within the scope hereof, and as to all other matters shall be governed by and construed in accordance with the internal laws of the State of California, without regard to conflict of law principles that would result in the application of any law other than the law of the State of California.</w:t>
      </w:r>
    </w:p>
    <w:p>
      <w:pPr>
        <w:spacing w:after="0" w:line="113" w:lineRule="exact"/>
        <w:rPr>
          <w:rFonts w:ascii="Times New Roman" w:cs="Times New Roman" w:eastAsia="Times New Roman" w:hAnsi="Times New Roman"/>
          <w:sz w:val="20"/>
          <w:szCs w:val="20"/>
          <w:color w:val="auto"/>
        </w:rPr>
      </w:pPr>
    </w:p>
    <w:p>
      <w:pPr>
        <w:ind w:right="60" w:firstLine="1194"/>
        <w:spacing w:after="0" w:line="277" w:lineRule="auto"/>
        <w:tabs>
          <w:tab w:leader="none" w:pos="1614"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are intended only for convenience in finding the subject matter and do not constitute part of the text of this Agreement and shall not be considered in the interpretation of this Agreement.</w:t>
      </w:r>
    </w:p>
    <w:p>
      <w:pPr>
        <w:spacing w:after="0" w:line="91" w:lineRule="exact"/>
        <w:rPr>
          <w:rFonts w:ascii="Times New Roman" w:cs="Times New Roman" w:eastAsia="Times New Roman" w:hAnsi="Times New Roman"/>
          <w:sz w:val="20"/>
          <w:szCs w:val="20"/>
          <w:color w:val="auto"/>
        </w:rPr>
      </w:pPr>
    </w:p>
    <w:p>
      <w:pPr>
        <w:ind w:right="960" w:firstLine="1194"/>
        <w:spacing w:after="0" w:line="277" w:lineRule="auto"/>
        <w:tabs>
          <w:tab w:leader="none" w:pos="1593"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Saving Clause</w:t>
      </w:r>
      <w:r>
        <w:rPr>
          <w:rFonts w:ascii="Times New Roman" w:cs="Times New Roman" w:eastAsia="Times New Roman" w:hAnsi="Times New Roman"/>
          <w:sz w:val="20"/>
          <w:szCs w:val="20"/>
          <w:color w:val="auto"/>
        </w:rPr>
        <w:t>. If any provision(s) of this Agreement shall be determined to be illegal or unenforceable, such determination shall in no manner affect the legality or enforceability of any other provision hereof.</w:t>
      </w:r>
    </w:p>
    <w:p>
      <w:pPr>
        <w:spacing w:after="0" w:line="91" w:lineRule="exact"/>
        <w:rPr>
          <w:rFonts w:ascii="Times New Roman" w:cs="Times New Roman" w:eastAsia="Times New Roman" w:hAnsi="Times New Roman"/>
          <w:sz w:val="20"/>
          <w:szCs w:val="20"/>
          <w:color w:val="auto"/>
        </w:rPr>
      </w:pPr>
    </w:p>
    <w:p>
      <w:pPr>
        <w:ind w:right="20" w:firstLine="1194"/>
        <w:spacing w:after="0" w:line="256" w:lineRule="auto"/>
        <w:tabs>
          <w:tab w:leader="none" w:pos="1626"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20" w:top="1321" w:right="359" w:bottom="1440" w:gutter="0" w:footer="0" w:header="0"/>
        </w:sectPr>
      </w:pPr>
    </w:p>
    <w:bookmarkStart w:id="527" w:name="page528"/>
    <w:bookmarkEnd w:id="527"/>
    <w:p>
      <w:pPr>
        <w:ind w:right="300" w:firstLine="1194"/>
        <w:spacing w:after="0" w:line="262" w:lineRule="auto"/>
        <w:tabs>
          <w:tab w:leader="none" w:pos="1626" w:val="left"/>
        </w:tabs>
        <w:numPr>
          <w:ilvl w:val="1"/>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and Binding Effect</w:t>
      </w:r>
      <w:r>
        <w:rPr>
          <w:rFonts w:ascii="Times New Roman" w:cs="Times New Roman" w:eastAsia="Times New Roman" w:hAnsi="Times New Roman"/>
          <w:sz w:val="20"/>
          <w:szCs w:val="20"/>
          <w:color w:val="auto"/>
        </w:rPr>
        <w:t>. This Agreement shall be binding upon and shall inure to the benefit of the parties hereto, their respective successors, permitted assigns, and legal representatives. The Company has the right to assign this Agreement, and such assignee shall become entitled to all the rights of the Company hereunder to the extent of such assignment.</w:t>
      </w:r>
    </w:p>
    <w:p>
      <w:pPr>
        <w:spacing w:after="0" w:line="105" w:lineRule="exact"/>
        <w:rPr>
          <w:rFonts w:ascii="Times New Roman" w:cs="Times New Roman" w:eastAsia="Times New Roman" w:hAnsi="Times New Roman"/>
          <w:sz w:val="20"/>
          <w:szCs w:val="20"/>
          <w:color w:val="auto"/>
        </w:rPr>
      </w:pPr>
    </w:p>
    <w:p>
      <w:pPr>
        <w:ind w:right="240" w:firstLine="1194"/>
        <w:spacing w:after="0" w:line="277" w:lineRule="auto"/>
        <w:tabs>
          <w:tab w:leader="none" w:pos="1581" w:val="left"/>
        </w:tabs>
        <w:numPr>
          <w:ilvl w:val="1"/>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91" w:lineRule="exact"/>
        <w:rPr>
          <w:rFonts w:ascii="Times New Roman" w:cs="Times New Roman" w:eastAsia="Times New Roman" w:hAnsi="Times New Roman"/>
          <w:sz w:val="20"/>
          <w:szCs w:val="20"/>
          <w:color w:val="auto"/>
        </w:rPr>
      </w:pPr>
    </w:p>
    <w:p>
      <w:pPr>
        <w:ind w:right="240" w:firstLine="1194"/>
        <w:spacing w:after="0" w:line="277" w:lineRule="auto"/>
        <w:tabs>
          <w:tab w:leader="none" w:pos="1581" w:val="left"/>
        </w:tabs>
        <w:numPr>
          <w:ilvl w:val="1"/>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constitutes the entire agreement between the parties with respect to this Stock Option and supersedes all prior agreements and discussions between the parties concerning such subject matter.</w:t>
      </w:r>
    </w:p>
    <w:p>
      <w:pPr>
        <w:spacing w:after="0" w:line="91" w:lineRule="exact"/>
        <w:rPr>
          <w:rFonts w:ascii="Times New Roman" w:cs="Times New Roman" w:eastAsia="Times New Roman" w:hAnsi="Times New Roman"/>
          <w:sz w:val="20"/>
          <w:szCs w:val="20"/>
          <w:color w:val="auto"/>
        </w:rPr>
      </w:pPr>
    </w:p>
    <w:p>
      <w:pPr>
        <w:ind w:left="940" w:hanging="343"/>
        <w:spacing w:after="0"/>
        <w:tabs>
          <w:tab w:leader="none" w:pos="940"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right="140" w:firstLine="1194"/>
        <w:spacing w:after="0" w:line="270" w:lineRule="auto"/>
        <w:tabs>
          <w:tab w:leader="none" w:pos="1615" w:val="left"/>
        </w:tabs>
        <w:numPr>
          <w:ilvl w:val="1"/>
          <w:numId w:val="4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San Francisco, California.</w:t>
      </w:r>
    </w:p>
    <w:p>
      <w:pPr>
        <w:spacing w:after="0" w:line="102" w:lineRule="exact"/>
        <w:rPr>
          <w:rFonts w:ascii="Times New Roman" w:cs="Times New Roman" w:eastAsia="Times New Roman" w:hAnsi="Times New Roman"/>
          <w:sz w:val="19"/>
          <w:szCs w:val="19"/>
          <w:color w:val="auto"/>
        </w:rPr>
      </w:pPr>
    </w:p>
    <w:p>
      <w:pPr>
        <w:ind w:firstLine="1194"/>
        <w:spacing w:after="0" w:line="249" w:lineRule="auto"/>
        <w:tabs>
          <w:tab w:leader="none" w:pos="1622" w:val="left"/>
        </w:tabs>
        <w:numPr>
          <w:ilvl w:val="1"/>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25" w:lineRule="exact"/>
        <w:rPr>
          <w:rFonts w:ascii="Times New Roman" w:cs="Times New Roman" w:eastAsia="Times New Roman" w:hAnsi="Times New Roman"/>
          <w:sz w:val="20"/>
          <w:szCs w:val="20"/>
          <w:color w:val="auto"/>
        </w:rPr>
      </w:pPr>
    </w:p>
    <w:p>
      <w:pPr>
        <w:ind w:right="460" w:firstLine="1194"/>
        <w:spacing w:after="0" w:line="262" w:lineRule="auto"/>
        <w:tabs>
          <w:tab w:leader="none" w:pos="1611" w:val="left"/>
        </w:tabs>
        <w:numPr>
          <w:ilvl w:val="1"/>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the Optionee, each party to the Agreement and any other holder of Stock issued pursuant to this Agreement (each, a “Party”) covenants and agrees that such party will participate in the arbitration in good faith. This Section 7 applies equally to requests for temporary, preliminary or permanent injunctive relief, except that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21" w:right="339" w:bottom="1440" w:gutter="0" w:footer="0" w:header="0"/>
        </w:sectPr>
      </w:pPr>
    </w:p>
    <w:bookmarkStart w:id="528" w:name="page529"/>
    <w:bookmarkEnd w:id="528"/>
    <w:p>
      <w:pPr>
        <w:ind w:right="560"/>
        <w:spacing w:after="0" w:line="277" w:lineRule="auto"/>
        <w:rPr>
          <w:sz w:val="20"/>
          <w:szCs w:val="20"/>
          <w:color w:val="auto"/>
        </w:rPr>
      </w:pPr>
      <w:r>
        <w:rPr>
          <w:rFonts w:ascii="Times New Roman" w:cs="Times New Roman" w:eastAsia="Times New Roman" w:hAnsi="Times New Roman"/>
          <w:sz w:val="20"/>
          <w:szCs w:val="20"/>
          <w:color w:val="auto"/>
        </w:rPr>
        <w:t>temporary or preliminary injunctive relief any party may proceed in court without prior arbitration for the limited purpose of avoiding immediate and irreparable harm.</w:t>
      </w:r>
    </w:p>
    <w:p>
      <w:pPr>
        <w:spacing w:after="0" w:line="91" w:lineRule="exact"/>
        <w:rPr>
          <w:sz w:val="20"/>
          <w:szCs w:val="20"/>
          <w:color w:val="auto"/>
        </w:rPr>
      </w:pPr>
    </w:p>
    <w:p>
      <w:pPr>
        <w:ind w:firstLine="1194"/>
        <w:spacing w:after="0" w:line="249" w:lineRule="auto"/>
        <w:tabs>
          <w:tab w:leader="none" w:pos="1626" w:val="left"/>
        </w:tabs>
        <w:numPr>
          <w:ilvl w:val="1"/>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25" w:lineRule="exact"/>
        <w:rPr>
          <w:rFonts w:ascii="Times New Roman" w:cs="Times New Roman" w:eastAsia="Times New Roman" w:hAnsi="Times New Roman"/>
          <w:sz w:val="20"/>
          <w:szCs w:val="20"/>
          <w:color w:val="auto"/>
        </w:rPr>
      </w:pPr>
    </w:p>
    <w:p>
      <w:pPr>
        <w:ind w:right="40" w:firstLine="597"/>
        <w:spacing w:after="0" w:line="263" w:lineRule="auto"/>
        <w:tabs>
          <w:tab w:leader="none" w:pos="946" w:val="left"/>
        </w:tabs>
        <w:numPr>
          <w:ilvl w:val="0"/>
          <w:numId w:val="4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Statutory Information Rights</w:t>
      </w:r>
      <w:r>
        <w:rPr>
          <w:rFonts w:ascii="Times New Roman" w:cs="Times New Roman" w:eastAsia="Times New Roman" w:hAnsi="Times New Roman"/>
          <w:sz w:val="19"/>
          <w:szCs w:val="19"/>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321" w:right="359" w:bottom="1440" w:gutter="0" w:footer="0" w:header="0"/>
        </w:sectPr>
      </w:pPr>
    </w:p>
    <w:bookmarkStart w:id="529" w:name="page530"/>
    <w:bookmarkEnd w:id="529"/>
    <w:p>
      <w:pPr>
        <w:ind w:firstLine="597"/>
        <w:spacing w:after="0" w:line="277" w:lineRule="auto"/>
        <w:rPr>
          <w:sz w:val="20"/>
          <w:szCs w:val="20"/>
          <w:color w:val="auto"/>
        </w:rPr>
      </w:pPr>
      <w:r>
        <w:rPr>
          <w:rFonts w:ascii="Times New Roman" w:cs="Times New Roman" w:eastAsia="Times New Roman" w:hAnsi="Times New Roman"/>
          <w:sz w:val="20"/>
          <w:szCs w:val="20"/>
          <w:color w:val="auto"/>
        </w:rPr>
        <w:t>The foregoing Agreement is hereby accepted and the terms and conditions thereof hereby agreed to by the undersigned as of the date first above written.</w:t>
      </w:r>
    </w:p>
    <w:p>
      <w:pPr>
        <w:spacing w:after="0" w:line="1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THREDUP, INC.</w:t>
      </w: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27940</wp:posOffset>
            </wp:positionV>
            <wp:extent cx="34290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00" cy="7620"/>
                    </a:xfrm>
                    <a:prstGeom prst="rect">
                      <a:avLst/>
                    </a:prstGeom>
                    <a:noFill/>
                  </pic:spPr>
                </pic:pic>
              </a:graphicData>
            </a:graphic>
          </wp:anchor>
        </w:drawing>
      </w:r>
    </w:p>
    <w:p>
      <w:pPr>
        <w:spacing w:after="0" w:line="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Name:</w:t>
      </w:r>
    </w:p>
    <w:p>
      <w:pPr>
        <w:spacing w:after="0" w:line="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Title:</w:t>
      </w: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596900</wp:posOffset>
            </wp:positionV>
            <wp:extent cx="37846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784600" cy="76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438785</wp:posOffset>
            </wp:positionV>
            <wp:extent cx="37846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784600" cy="76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280670</wp:posOffset>
            </wp:positionV>
            <wp:extent cx="37846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7846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undersigned hereby acknowledges receiving and reviewing a copy of the Plan, including, without limitation, Section 9 thereof, and understands that the Stock Option granted hereby is subject to the terms of the Plan and of this Agreement. This Agreement is hereby accepted, and the terms and conditions of the Plan and this Agreement, SPECIFICALLY INCLUDING THE ARBITRATION PROVISIONS IN SECTION 7 AND THE WAIVER OF STATUTORY INFORMATION RIGHTS SET FORTH IN SECTION 8 OF THIS AGREEMENT, are hereby agreed to, by the undersigned as of the date first above written.</w:t>
      </w:r>
    </w:p>
    <w:p>
      <w:pPr>
        <w:spacing w:after="0" w:line="16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280670</wp:posOffset>
            </wp:positionV>
            <wp:extent cx="380873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08730" cy="762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Name:</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596900</wp:posOffset>
            </wp:positionV>
            <wp:extent cx="380873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0873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438785</wp:posOffset>
            </wp:positionV>
            <wp:extent cx="380873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0873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280670</wp:posOffset>
            </wp:positionV>
            <wp:extent cx="380873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087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SPOUSE’S CONSENT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 acknowledge that I have read the foregoing Non-Qualified Stock</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Option Agreement and understand the contents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357124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80"/>
          </w:cols>
          <w:pgMar w:left="320" w:top="1321" w:right="399" w:bottom="1440" w:gutter="0" w:footer="0" w:header="0"/>
        </w:sectPr>
      </w:pPr>
    </w:p>
    <w:bookmarkStart w:id="530" w:name="page531"/>
    <w:bookmarkEnd w:id="530"/>
    <w:p>
      <w:pPr>
        <w:ind w:left="4500"/>
        <w:spacing w:after="0"/>
        <w:rPr>
          <w:sz w:val="20"/>
          <w:szCs w:val="20"/>
          <w:color w:val="auto"/>
        </w:rPr>
      </w:pPr>
      <w:r>
        <w:rPr>
          <w:rFonts w:ascii="Times New Roman" w:cs="Times New Roman" w:eastAsia="Times New Roman" w:hAnsi="Times New Roman"/>
          <w:sz w:val="19"/>
          <w:szCs w:val="19"/>
          <w:color w:val="auto"/>
        </w:rPr>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288290</wp:posOffset>
            </wp:positionV>
            <wp:extent cx="357949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579495" cy="762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502285</wp:posOffset>
            </wp:positionV>
            <wp:extent cx="357949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79495" cy="762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344170</wp:posOffset>
            </wp:positionV>
            <wp:extent cx="357949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79495" cy="762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186055</wp:posOffset>
            </wp:positionV>
            <wp:extent cx="357949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794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019"/>
          </w:cols>
          <w:pgMar w:left="1440" w:top="1371" w:right="1440" w:bottom="1440" w:gutter="0" w:footer="0" w:header="0"/>
        </w:sectPr>
      </w:pPr>
    </w:p>
    <w:bookmarkStart w:id="531" w:name="page532"/>
    <w:bookmarkEnd w:id="53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EXERCISE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ThredUp,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4311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Pursuant to the terms of the stock option agreement between the undersigned and ThredUp, Inc. (the “Company”) dated __________</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“Agreement”) under the ThredUp, Inc. Second Amended and Restated 2010 Stock Incentive Plan, I, [Insert Name] 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hereby [Circle One] partially/fully exercise such option by including herein payment in the amount of $______ representing the purchase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price for [Fill in number of Underlying Shares] _______ Underlying Shares. I have chosen the following form(s) of payment:</w:t>
      </w:r>
    </w:p>
    <w:p>
      <w:pPr>
        <w:spacing w:after="0" w:line="184" w:lineRule="exact"/>
        <w:rPr>
          <w:sz w:val="20"/>
          <w:szCs w:val="20"/>
          <w:color w:val="auto"/>
        </w:rPr>
      </w:pPr>
    </w:p>
    <w:tbl>
      <w:tblPr>
        <w:tblLayout w:type="fixed"/>
        <w:tblInd w:w="1020" w:type="dxa"/>
        <w:tblCellMar>
          <w:top w:w="0" w:type="dxa"/>
          <w:left w:w="0" w:type="dxa"/>
          <w:bottom w:w="0" w:type="dxa"/>
          <w:right w:w="0" w:type="dxa"/>
        </w:tblCellMar>
      </w:tblPr>
      <w:tr>
        <w:trPr>
          <w:trHeight w:val="259"/>
        </w:trPr>
        <w:tc>
          <w:tcPr>
            <w:tcW w:w="74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w w:val="87"/>
              </w:rPr>
              <w:t>[ ]</w:t>
            </w:r>
          </w:p>
        </w:tc>
        <w:tc>
          <w:tcPr>
            <w:tcW w:w="11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w:t>
            </w: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w:t>
            </w:r>
          </w:p>
        </w:tc>
      </w:tr>
      <w:tr>
        <w:trPr>
          <w:trHeight w:val="336"/>
        </w:trPr>
        <w:tc>
          <w:tcPr>
            <w:tcW w:w="74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w w:val="87"/>
              </w:rPr>
              <w:t>[ ]</w:t>
            </w:r>
          </w:p>
        </w:tc>
        <w:tc>
          <w:tcPr>
            <w:tcW w:w="11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w:t>
            </w: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Certified or bank check payable to ThredUp, Inc.</w:t>
            </w:r>
          </w:p>
        </w:tc>
      </w:tr>
      <w:tr>
        <w:trPr>
          <w:trHeight w:val="336"/>
        </w:trPr>
        <w:tc>
          <w:tcPr>
            <w:tcW w:w="74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w w:val="87"/>
              </w:rPr>
              <w:t>[ ]</w:t>
            </w:r>
          </w:p>
        </w:tc>
        <w:tc>
          <w:tcPr>
            <w:tcW w:w="11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w:t>
            </w: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(as referenced in the Agreement and described in the Plan (please describe))</w:t>
            </w:r>
          </w:p>
        </w:tc>
      </w:tr>
      <w:tr>
        <w:trPr>
          <w:trHeight w:val="164"/>
        </w:trPr>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40" w:type="dxa"/>
            <w:vAlign w:val="bottom"/>
            <w:tcBorders>
              <w:bottom w:val="single" w:sz="8" w:color="auto"/>
            </w:tcBorders>
          </w:tcPr>
          <w:p>
            <w:pPr>
              <w:spacing w:after="0"/>
              <w:rPr>
                <w:sz w:val="14"/>
                <w:szCs w:val="14"/>
                <w:color w:val="auto"/>
              </w:rPr>
            </w:pPr>
          </w:p>
        </w:tc>
      </w:tr>
    </w:tbl>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connection with my exercise of the option as set forth above, I hereby represent and warrant to the Company as follows:</w:t>
      </w:r>
    </w:p>
    <w:p>
      <w:pPr>
        <w:spacing w:after="0" w:line="156" w:lineRule="exact"/>
        <w:rPr>
          <w:sz w:val="20"/>
          <w:szCs w:val="20"/>
          <w:color w:val="auto"/>
        </w:rPr>
      </w:pPr>
    </w:p>
    <w:p>
      <w:pPr>
        <w:ind w:left="600" w:right="20" w:firstLine="1191"/>
        <w:spacing w:after="0" w:line="277" w:lineRule="auto"/>
        <w:tabs>
          <w:tab w:leader="none" w:pos="2182"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purchasing the Underlying Shares for my own account for investment only, and not for resale or with a view to the distribution thereof.</w:t>
      </w:r>
    </w:p>
    <w:p>
      <w:pPr>
        <w:spacing w:after="0" w:line="91" w:lineRule="exact"/>
        <w:rPr>
          <w:rFonts w:ascii="Times New Roman" w:cs="Times New Roman" w:eastAsia="Times New Roman" w:hAnsi="Times New Roman"/>
          <w:sz w:val="20"/>
          <w:szCs w:val="20"/>
          <w:color w:val="auto"/>
        </w:rPr>
      </w:pPr>
    </w:p>
    <w:p>
      <w:pPr>
        <w:ind w:left="600" w:right="140" w:firstLine="1191"/>
        <w:spacing w:after="0" w:line="262" w:lineRule="auto"/>
        <w:tabs>
          <w:tab w:leader="none" w:pos="2237"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05" w:lineRule="exact"/>
        <w:rPr>
          <w:rFonts w:ascii="Times New Roman" w:cs="Times New Roman" w:eastAsia="Times New Roman" w:hAnsi="Times New Roman"/>
          <w:sz w:val="20"/>
          <w:szCs w:val="20"/>
          <w:color w:val="auto"/>
        </w:rPr>
      </w:pPr>
    </w:p>
    <w:p>
      <w:pPr>
        <w:ind w:left="600" w:right="520" w:firstLine="1191"/>
        <w:spacing w:after="0" w:line="304" w:lineRule="auto"/>
        <w:tabs>
          <w:tab w:leader="none" w:pos="2292" w:val="left"/>
        </w:tabs>
        <w:numPr>
          <w:ilvl w:val="0"/>
          <w:numId w:val="4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sufficient experience in business, financial and investment matters to be able to evaluate the risks involved in the purchase of the Underlying Shares and to make an informed investment decision with respect to such purchase.</w:t>
      </w:r>
    </w:p>
    <w:p>
      <w:pPr>
        <w:spacing w:after="0" w:line="68" w:lineRule="exact"/>
        <w:rPr>
          <w:rFonts w:ascii="Times New Roman" w:cs="Times New Roman" w:eastAsia="Times New Roman" w:hAnsi="Times New Roman"/>
          <w:sz w:val="19"/>
          <w:szCs w:val="19"/>
          <w:color w:val="auto"/>
        </w:rPr>
      </w:pPr>
    </w:p>
    <w:p>
      <w:pPr>
        <w:ind w:left="600" w:right="120" w:firstLine="1191"/>
        <w:spacing w:after="0" w:line="277" w:lineRule="auto"/>
        <w:tabs>
          <w:tab w:leader="none" w:pos="2281"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can afford a complete loss of the value of the Option Shares and am able to bear the economic risk of holding such Option Shares for an indefinite period of time.</w:t>
      </w:r>
    </w:p>
    <w:p>
      <w:pPr>
        <w:spacing w:after="0" w:line="91" w:lineRule="exact"/>
        <w:rPr>
          <w:rFonts w:ascii="Times New Roman" w:cs="Times New Roman" w:eastAsia="Times New Roman" w:hAnsi="Times New Roman"/>
          <w:sz w:val="20"/>
          <w:szCs w:val="20"/>
          <w:color w:val="auto"/>
        </w:rPr>
      </w:pPr>
    </w:p>
    <w:p>
      <w:pPr>
        <w:ind w:left="600" w:right="140" w:firstLine="1191"/>
        <w:spacing w:after="0" w:line="254" w:lineRule="auto"/>
        <w:tabs>
          <w:tab w:leader="none" w:pos="2226"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the Option Shares may not be registered under the Securities Act of 1933 (it being understood that the Option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17" w:right="339" w:bottom="1440" w:gutter="0" w:footer="0" w:header="0"/>
        </w:sectPr>
      </w:pPr>
    </w:p>
    <w:bookmarkStart w:id="532" w:name="page533"/>
    <w:bookmarkEnd w:id="532"/>
    <w:p>
      <w:pPr>
        <w:ind w:right="340"/>
        <w:spacing w:after="0" w:line="277" w:lineRule="auto"/>
        <w:rPr>
          <w:sz w:val="20"/>
          <w:szCs w:val="20"/>
          <w:color w:val="auto"/>
        </w:rPr>
      </w:pPr>
      <w:r>
        <w:rPr>
          <w:rFonts w:ascii="Times New Roman" w:cs="Times New Roman" w:eastAsia="Times New Roman" w:hAnsi="Times New Roman"/>
          <w:sz w:val="20"/>
          <w:szCs w:val="20"/>
          <w:color w:val="auto"/>
        </w:rPr>
        <w:t>Option Shares will bear restrictive legends reflecting the foregoing and/or that book entries for uncertificated Option Shares will include similar restrictive notations.</w:t>
      </w:r>
    </w:p>
    <w:p>
      <w:pPr>
        <w:spacing w:after="0" w:line="91" w:lineRule="exact"/>
        <w:rPr>
          <w:sz w:val="20"/>
          <w:szCs w:val="20"/>
          <w:color w:val="auto"/>
        </w:rPr>
      </w:pPr>
    </w:p>
    <w:p>
      <w:pPr>
        <w:ind w:right="20" w:firstLine="1191"/>
        <w:spacing w:after="0" w:line="277" w:lineRule="auto"/>
        <w:tabs>
          <w:tab w:leader="none" w:pos="1681" w:val="left"/>
        </w:tabs>
        <w:numPr>
          <w:ilvl w:val="0"/>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read and understand the Plan and acknowledge and agree that the Underlying Shares are subject to all of the relevant terms of the Plan, including without limitation, the transfer restrictions set forth in Section 9 of the Plan.</w:t>
      </w:r>
    </w:p>
    <w:p>
      <w:pPr>
        <w:spacing w:after="0" w:line="91" w:lineRule="exact"/>
        <w:rPr>
          <w:rFonts w:ascii="Times New Roman" w:cs="Times New Roman" w:eastAsia="Times New Roman" w:hAnsi="Times New Roman"/>
          <w:sz w:val="20"/>
          <w:szCs w:val="20"/>
          <w:color w:val="auto"/>
        </w:rPr>
      </w:pPr>
    </w:p>
    <w:p>
      <w:pPr>
        <w:ind w:right="440" w:firstLine="1191"/>
        <w:spacing w:after="0" w:line="277" w:lineRule="auto"/>
        <w:tabs>
          <w:tab w:leader="none" w:pos="1737" w:val="left"/>
        </w:tabs>
        <w:numPr>
          <w:ilvl w:val="0"/>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the Company has a right of first refusal with respect to the Underlying Shares pursuant to Section 9(b) of the Plan.</w:t>
      </w:r>
    </w:p>
    <w:p>
      <w:pPr>
        <w:spacing w:after="0" w:line="91" w:lineRule="exact"/>
        <w:rPr>
          <w:rFonts w:ascii="Times New Roman" w:cs="Times New Roman" w:eastAsia="Times New Roman" w:hAnsi="Times New Roman"/>
          <w:sz w:val="20"/>
          <w:szCs w:val="20"/>
          <w:color w:val="auto"/>
        </w:rPr>
      </w:pPr>
    </w:p>
    <w:p>
      <w:pPr>
        <w:ind w:right="120" w:firstLine="1191"/>
        <w:spacing w:after="0" w:line="277" w:lineRule="auto"/>
        <w:tabs>
          <w:tab w:leader="none" w:pos="1792" w:val="left"/>
        </w:tabs>
        <w:numPr>
          <w:ilvl w:val="0"/>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the Company has certain repurchase rights with respect to the Underlying Shares pursuant to Section 9(c) of the Plan.</w:t>
      </w:r>
    </w:p>
    <w:p>
      <w:pPr>
        <w:spacing w:after="0" w:line="91" w:lineRule="exact"/>
        <w:rPr>
          <w:rFonts w:ascii="Times New Roman" w:cs="Times New Roman" w:eastAsia="Times New Roman" w:hAnsi="Times New Roman"/>
          <w:sz w:val="20"/>
          <w:szCs w:val="20"/>
          <w:color w:val="auto"/>
        </w:rPr>
      </w:pPr>
    </w:p>
    <w:p>
      <w:pPr>
        <w:ind w:firstLine="1191"/>
        <w:spacing w:after="0" w:line="277" w:lineRule="auto"/>
        <w:tabs>
          <w:tab w:leader="none" w:pos="1681" w:val="left"/>
        </w:tabs>
        <w:numPr>
          <w:ilvl w:val="0"/>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I may not sell or otherwise transfer or dispose of the Underlying Shares for a period of time following the effective date of a public offering by the Company as described in Section 9(f) of the Plan.</w:t>
      </w:r>
    </w:p>
    <w:p>
      <w:pPr>
        <w:spacing w:after="0" w:line="91" w:lineRule="exact"/>
        <w:rPr>
          <w:rFonts w:ascii="Times New Roman" w:cs="Times New Roman" w:eastAsia="Times New Roman" w:hAnsi="Times New Roman"/>
          <w:sz w:val="20"/>
          <w:szCs w:val="20"/>
          <w:color w:val="auto"/>
        </w:rPr>
      </w:pPr>
    </w:p>
    <w:p>
      <w:pPr>
        <w:ind w:left="4780" w:right="160" w:hanging="3589"/>
        <w:spacing w:after="0" w:line="485" w:lineRule="auto"/>
        <w:tabs>
          <w:tab w:leader="none" w:pos="1623" w:val="left"/>
        </w:tabs>
        <w:numPr>
          <w:ilvl w:val="0"/>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to the waiver of statutory information rights as set forth in Section 8 of the Agreement. 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176530</wp:posOffset>
            </wp:positionV>
            <wp:extent cx="37376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737610" cy="7620"/>
                    </a:xfrm>
                    <a:prstGeom prst="rect">
                      <a:avLst/>
                    </a:prstGeom>
                    <a:noFill/>
                  </pic:spPr>
                </pic:pic>
              </a:graphicData>
            </a:graphic>
          </wp:anchor>
        </w:drawing>
      </w:r>
    </w:p>
    <w:p>
      <w:pPr>
        <w:spacing w:after="0" w:line="28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Name:</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502285</wp:posOffset>
            </wp:positionV>
            <wp:extent cx="37376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737610" cy="762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344170</wp:posOffset>
            </wp:positionV>
            <wp:extent cx="37376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737610" cy="762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186055</wp:posOffset>
            </wp:positionV>
            <wp:extent cx="373761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7376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560"/>
          </w:cols>
          <w:pgMar w:left="920" w:top="1321" w:right="419" w:bottom="1440" w:gutter="0" w:footer="0" w:header="0"/>
        </w:sectPr>
      </w:pPr>
    </w:p>
    <w:bookmarkStart w:id="533" w:name="page534"/>
    <w:bookmarkEnd w:id="533"/>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NON-QUALIFIED STOCK OPTION GRANT NOTICE</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UNDER THE THREDUP,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AMENDED AND RESTATED 2010 STOCK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 NON-U.S. OPTIONEES</w:t>
      </w:r>
    </w:p>
    <w:p>
      <w:pPr>
        <w:spacing w:after="0" w:line="141"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20"/>
          <w:szCs w:val="20"/>
          <w:color w:val="auto"/>
        </w:rPr>
        <w:t>Pursuant to the ThredUp, Inc. Amended and Restated 2010 Stock Incentive Plan (the “Plan”), ThredUp, Inc., a Delaware corporation (together with any successor thereto, the “Company”), has granted to the Optionee, who is an officer, employee, director, Consultant or other key person of the Company or any of its Subsidiaries, an option (the “Stock Option”) to purchase on or prior to the Expiration Date, or such earlier date as is specified herein, all or any part of the number of shares of Common Stock, par value $0.0001 per share (“Common Stock”), of the Company indicated above (the “Underlying Shares,” and such shares once issued shall be referred to as the “Option Shares”), at the Option Exercise Price per share, subject to the terms and conditions set forth in this Non-Qualified Stock Option Grant Notice for Non-U.S. Optionees (the “Grant Notice”), the Non-Qualified Stock Option Agreement for Non-U.S. Optionees, including any special terms and conditions for the Optionee’s country set forth in the addendum attached thereto as Appendix A (the “Addendum”) (collectively, the “Agreement”) and in the Plan. This Stock Option is not intended to qualify as an “incentive stock option” as defined in Section 422(b) of the U.S. Internal Revenue Code of 1986, as amended from time to time (the “Code”).</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Name of Optionee:</w:t>
            </w: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“Optionee”)</w:t>
            </w:r>
          </w:p>
        </w:tc>
      </w:tr>
      <w:tr>
        <w:trPr>
          <w:trHeight w:val="40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No. of Underlying Shares:</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Shares of Common Stock</w:t>
            </w:r>
          </w:p>
        </w:tc>
      </w:tr>
      <w:tr>
        <w:trPr>
          <w:trHeight w:val="40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 Date:</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40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Vesting Commencement Date:</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“Vesting Commencement Date”)</w:t>
            </w:r>
          </w:p>
        </w:tc>
      </w:tr>
      <w:tr>
        <w:trPr>
          <w:trHeight w:val="40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Expiration Date:</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“Expiration Date”)</w:t>
            </w:r>
          </w:p>
        </w:tc>
      </w:tr>
      <w:tr>
        <w:trPr>
          <w:trHeight w:val="40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Option Exercise Price/Share:</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“Option Exercise Price”)</w:t>
            </w:r>
          </w:p>
        </w:tc>
      </w:tr>
      <w:tr>
        <w:trPr>
          <w:trHeight w:val="37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Vesting Schedule:</w:t>
            </w: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25 percent of the Underlying Shares shall vest and become exercisable on the first anniversary</w:t>
            </w:r>
          </w:p>
        </w:tc>
      </w:tr>
      <w:tr>
        <w:trPr>
          <w:trHeight w:val="236"/>
        </w:trPr>
        <w:tc>
          <w:tcPr>
            <w:tcW w:w="3660" w:type="dxa"/>
            <w:vAlign w:val="bottom"/>
          </w:tcPr>
          <w:p>
            <w:pPr>
              <w:spacing w:after="0"/>
              <w:rPr>
                <w:sz w:val="20"/>
                <w:szCs w:val="20"/>
                <w:color w:val="auto"/>
              </w:rPr>
            </w:pP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of the Vesting Commencement Date; provided that the Optionee continues to have a Service</w:t>
            </w:r>
          </w:p>
        </w:tc>
      </w:tr>
      <w:tr>
        <w:trPr>
          <w:trHeight w:val="258"/>
        </w:trPr>
        <w:tc>
          <w:tcPr>
            <w:tcW w:w="3660" w:type="dxa"/>
            <w:vAlign w:val="bottom"/>
          </w:tcPr>
          <w:p>
            <w:pPr>
              <w:spacing w:after="0"/>
              <w:rPr>
                <w:sz w:val="22"/>
                <w:szCs w:val="22"/>
                <w:color w:val="auto"/>
              </w:rPr>
            </w:pPr>
          </w:p>
        </w:tc>
        <w:tc>
          <w:tcPr>
            <w:tcW w:w="75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Relationship at such time. Thereafter, the remaining 75 percent of the Underlying Shares shall</w:t>
            </w:r>
          </w:p>
        </w:tc>
      </w:tr>
    </w:tbl>
    <w:p>
      <w:pPr>
        <w:ind w:left="3680" w:right="140"/>
        <w:spacing w:after="0" w:line="248" w:lineRule="auto"/>
        <w:rPr>
          <w:sz w:val="20"/>
          <w:szCs w:val="20"/>
          <w:color w:val="auto"/>
        </w:rPr>
      </w:pPr>
      <w:r>
        <w:rPr>
          <w:rFonts w:ascii="Times New Roman" w:cs="Times New Roman" w:eastAsia="Times New Roman" w:hAnsi="Times New Roman"/>
          <w:sz w:val="20"/>
          <w:szCs w:val="20"/>
          <w:color w:val="auto"/>
        </w:rPr>
        <w:t xml:space="preserve">vest and become exercisable in 36 equal monthly installments following the first anniversary of the Vesting Commencement Date, provided the Optionee continues to have a Service Relationship at such time. Notwithstanding anything in the Agreement to the contrary, in the case of a Sale Event, this Stock Option and the Option Shares shall be treated as provided in Section 3(c) of the Plan; </w:t>
      </w:r>
      <w:r>
        <w:rPr>
          <w:rFonts w:ascii="Times New Roman" w:cs="Times New Roman" w:eastAsia="Times New Roman" w:hAnsi="Times New Roman"/>
          <w:sz w:val="20"/>
          <w:szCs w:val="20"/>
          <w:b w:val="1"/>
          <w:bCs w:val="1"/>
          <w:color w:val="auto"/>
        </w:rPr>
        <w:t>provided, however [INSERT ANY ACCELERATED 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PROVISION HERE]</w:t>
      </w:r>
      <w:r>
        <w:rPr>
          <w:rFonts w:ascii="Times New Roman" w:cs="Times New Roman" w:eastAsia="Times New Roman" w:hAnsi="Times New Roman"/>
          <w:sz w:val="20"/>
          <w:szCs w:val="20"/>
          <w:color w:val="auto"/>
        </w:rPr>
        <w:t>.</w:t>
      </w:r>
    </w:p>
    <w:p>
      <w:pPr>
        <w:sectPr>
          <w:pgSz w:w="11900" w:h="16838" w:orient="portrait"/>
          <w:cols w:equalWidth="0" w:num="1">
            <w:col w:w="11220"/>
          </w:cols>
          <w:pgMar w:left="320" w:top="1440" w:right="359" w:bottom="1440" w:gutter="0" w:footer="0" w:header="0"/>
        </w:sectPr>
      </w:pPr>
    </w:p>
    <w:bookmarkStart w:id="534" w:name="page535"/>
    <w:bookmarkEnd w:id="534"/>
    <w:p>
      <w:pPr>
        <w:spacing w:after="0" w:line="281" w:lineRule="auto"/>
        <w:rPr>
          <w:sz w:val="20"/>
          <w:szCs w:val="20"/>
          <w:color w:val="auto"/>
        </w:rPr>
      </w:pP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 Non-Qualified Stock Option Agreement for Non-U.S. Optionees (including the Addendum), Amended and Restated 2010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00"/>
          </w:cols>
          <w:pgMar w:left="320" w:top="1317" w:right="679" w:bottom="1440" w:gutter="0" w:footer="0" w:header="0"/>
        </w:sectPr>
      </w:pPr>
    </w:p>
    <w:bookmarkStart w:id="535" w:name="page536"/>
    <w:bookmarkEnd w:id="535"/>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NON-QUALIFIED STOCK OPTION AGREEMENT</w:t>
      </w:r>
    </w:p>
    <w:p>
      <w:pPr>
        <w:spacing w:after="0" w:line="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UNDER THE THREDUP,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AMENDED AND RESTATED 2010 STOCK INCENTIVE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FOR NON-U.S. OPTIONEES</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All capitalized terms used herein and not otherwise defined shall have the respective meanings set forth in the Grant Notice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34" w:lineRule="exact"/>
        <w:rPr>
          <w:sz w:val="20"/>
          <w:szCs w:val="20"/>
          <w:color w:val="auto"/>
        </w:rPr>
      </w:pPr>
    </w:p>
    <w:p>
      <w:pPr>
        <w:ind w:left="940" w:hanging="343"/>
        <w:spacing w:after="0"/>
        <w:tabs>
          <w:tab w:leader="none" w:pos="940" w:val="left"/>
        </w:tabs>
        <w:numPr>
          <w:ilvl w:val="0"/>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Exercisability and Termination</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1620" w:hanging="426"/>
        <w:spacing w:after="0"/>
        <w:tabs>
          <w:tab w:leader="none" w:pos="1620"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this Stock Option may be exercised until such portion shall have vested and become exercisable.</w:t>
      </w:r>
    </w:p>
    <w:p>
      <w:pPr>
        <w:spacing w:after="0" w:line="155" w:lineRule="exact"/>
        <w:rPr>
          <w:rFonts w:ascii="Times New Roman" w:cs="Times New Roman" w:eastAsia="Times New Roman" w:hAnsi="Times New Roman"/>
          <w:sz w:val="20"/>
          <w:szCs w:val="20"/>
          <w:color w:val="auto"/>
        </w:rPr>
      </w:pPr>
    </w:p>
    <w:p>
      <w:pPr>
        <w:ind w:right="100" w:firstLine="1194"/>
        <w:spacing w:after="0" w:line="262" w:lineRule="auto"/>
        <w:tabs>
          <w:tab w:leader="none" w:pos="1626"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below, and subject to the determination of the Committee in its sole discretion to accelerate the vesting schedule hereunder, this Stock Option shall be vested and exercisable with respect to the Underlying Shares on the respective dates indicated below:</w:t>
      </w:r>
    </w:p>
    <w:p>
      <w:pPr>
        <w:spacing w:after="0" w:line="105" w:lineRule="exact"/>
        <w:rPr>
          <w:rFonts w:ascii="Times New Roman" w:cs="Times New Roman" w:eastAsia="Times New Roman" w:hAnsi="Times New Roman"/>
          <w:sz w:val="20"/>
          <w:szCs w:val="20"/>
          <w:color w:val="auto"/>
        </w:rPr>
      </w:pPr>
    </w:p>
    <w:p>
      <w:pPr>
        <w:ind w:left="2160" w:hanging="369"/>
        <w:spacing w:after="0"/>
        <w:tabs>
          <w:tab w:leader="none" w:pos="2160" w:val="left"/>
        </w:tabs>
        <w:numPr>
          <w:ilvl w:val="2"/>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Underlying Shares shall initially be unvested and unexercisable.</w:t>
      </w:r>
    </w:p>
    <w:p>
      <w:pPr>
        <w:spacing w:after="0" w:line="155" w:lineRule="exact"/>
        <w:rPr>
          <w:rFonts w:ascii="Times New Roman" w:cs="Times New Roman" w:eastAsia="Times New Roman" w:hAnsi="Times New Roman"/>
          <w:sz w:val="20"/>
          <w:szCs w:val="20"/>
          <w:color w:val="auto"/>
        </w:rPr>
      </w:pPr>
    </w:p>
    <w:p>
      <w:pPr>
        <w:ind w:left="2240" w:hanging="449"/>
        <w:spacing w:after="0"/>
        <w:tabs>
          <w:tab w:leader="none" w:pos="2240" w:val="left"/>
        </w:tabs>
        <w:numPr>
          <w:ilvl w:val="2"/>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Shares shall vest and become exercisable in accordance with the Vesting Schedule set forth in</w:t>
      </w:r>
    </w:p>
    <w:p>
      <w:pPr>
        <w:spacing w:after="0" w:line="28"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Notice.</w:t>
      </w:r>
    </w:p>
    <w:p>
      <w:pPr>
        <w:spacing w:after="0" w:line="133" w:lineRule="exact"/>
        <w:rPr>
          <w:rFonts w:ascii="Times New Roman" w:cs="Times New Roman" w:eastAsia="Times New Roman" w:hAnsi="Times New Roman"/>
          <w:sz w:val="20"/>
          <w:szCs w:val="20"/>
          <w:color w:val="auto"/>
        </w:rPr>
      </w:pPr>
    </w:p>
    <w:p>
      <w:pPr>
        <w:jc w:val="both"/>
        <w:ind w:right="680" w:firstLine="1194"/>
        <w:spacing w:after="0" w:line="262" w:lineRule="auto"/>
        <w:tabs>
          <w:tab w:leader="none" w:pos="1614"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05" w:lineRule="exact"/>
        <w:rPr>
          <w:rFonts w:ascii="Times New Roman" w:cs="Times New Roman" w:eastAsia="Times New Roman" w:hAnsi="Times New Roman"/>
          <w:sz w:val="20"/>
          <w:szCs w:val="20"/>
          <w:color w:val="auto"/>
        </w:rPr>
      </w:pPr>
    </w:p>
    <w:p>
      <w:pPr>
        <w:ind w:left="600" w:firstLine="1191"/>
        <w:spacing w:after="0" w:line="256" w:lineRule="auto"/>
        <w:tabs>
          <w:tab w:leader="none" w:pos="2182" w:val="left"/>
        </w:tabs>
        <w:numPr>
          <w:ilvl w:val="2"/>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Due to Death or Disability</w:t>
      </w:r>
      <w:r>
        <w:rPr>
          <w:rFonts w:ascii="Times New Roman" w:cs="Times New Roman" w:eastAsia="Times New Roman" w:hAnsi="Times New Roman"/>
          <w:sz w:val="20"/>
          <w:szCs w:val="20"/>
          <w:color w:val="auto"/>
        </w:rPr>
        <w:t>. If the Optionee’s Service Relationship terminates by reason of such Optionee’s death or disability (as defined in Section 422(c) of the Code),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13" w:lineRule="exact"/>
        <w:rPr>
          <w:rFonts w:ascii="Times New Roman" w:cs="Times New Roman" w:eastAsia="Times New Roman" w:hAnsi="Times New Roman"/>
          <w:sz w:val="20"/>
          <w:szCs w:val="20"/>
          <w:color w:val="auto"/>
        </w:rPr>
      </w:pPr>
    </w:p>
    <w:p>
      <w:pPr>
        <w:ind w:left="600" w:right="120" w:firstLine="1191"/>
        <w:spacing w:after="0" w:line="254" w:lineRule="auto"/>
        <w:tabs>
          <w:tab w:leader="none" w:pos="2237" w:val="left"/>
        </w:tabs>
        <w:numPr>
          <w:ilvl w:val="2"/>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w:t>
      </w:r>
      <w:r>
        <w:rPr>
          <w:rFonts w:ascii="Times New Roman" w:cs="Times New Roman" w:eastAsia="Times New Roman" w:hAnsi="Times New Roman"/>
          <w:sz w:val="20"/>
          <w:szCs w:val="20"/>
          <w:color w:val="auto"/>
        </w:rPr>
        <w:t xml:space="preserve">. If the Optionee’s Service Relationship terminates for any reason other than death or disability (as defined in Section 422(c) of the Code), and unless otherwise determined by the Committee, this Stock Option may be exercised, to the extent exercisable on the date of termination, for a period of 90 days from the date of termination or until the Expiration Date or other termination date, if earlier;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if the Optionee’s Service Relationship is terminated for Cause, this Stock Option shall terminate immediately upon the date of such termination.</w:t>
      </w:r>
    </w:p>
    <w:p>
      <w:pPr>
        <w:spacing w:after="0" w:line="114" w:lineRule="exact"/>
        <w:rPr>
          <w:sz w:val="20"/>
          <w:szCs w:val="20"/>
          <w:color w:val="auto"/>
        </w:rPr>
      </w:pPr>
    </w:p>
    <w:p>
      <w:pPr>
        <w:ind w:right="280" w:firstLine="597"/>
        <w:spacing w:after="0" w:line="277" w:lineRule="auto"/>
        <w:rPr>
          <w:sz w:val="20"/>
          <w:szCs w:val="20"/>
          <w:color w:val="auto"/>
        </w:rPr>
      </w:pPr>
      <w:r>
        <w:rPr>
          <w:rFonts w:ascii="Times New Roman" w:cs="Times New Roman" w:eastAsia="Times New Roman" w:hAnsi="Times New Roman"/>
          <w:sz w:val="20"/>
          <w:szCs w:val="20"/>
          <w:color w:val="auto"/>
        </w:rPr>
        <w:t>For purposes hereof, the Committee’s determination of the reason for termination of the Optionee’s Service Relationship shall be conclusive and binding on the Optionee and his or her representatives or legatees and any Permitted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60"/>
          </w:cols>
          <w:pgMar w:left="320" w:top="1309" w:right="419" w:bottom="1440" w:gutter="0" w:footer="0" w:header="0"/>
        </w:sectPr>
      </w:pPr>
    </w:p>
    <w:bookmarkStart w:id="536" w:name="page537"/>
    <w:bookmarkEnd w:id="536"/>
    <w:p>
      <w:pPr>
        <w:ind w:firstLine="597"/>
        <w:spacing w:after="0" w:line="249" w:lineRule="auto"/>
        <w:rPr>
          <w:sz w:val="20"/>
          <w:szCs w:val="20"/>
          <w:color w:val="auto"/>
        </w:rPr>
      </w:pPr>
      <w:r>
        <w:rPr>
          <w:rFonts w:ascii="Times New Roman" w:cs="Times New Roman" w:eastAsia="Times New Roman" w:hAnsi="Times New Roman"/>
          <w:sz w:val="20"/>
          <w:szCs w:val="20"/>
          <w:color w:val="auto"/>
        </w:rPr>
        <w:t>Furthermore, for purposes of this Stock Option, the Optionee’s Service Relationship will be considered terminated as of the date the Optionee is no longer actively providing services to the Company or one of its Subsidiaries (regardless of the reason for such termination and whether or not later found to be invalid or in breach of employment or other laws in the jurisdiction where the Optionee is employed or otherwise rendering services or the terms of the Optionee’s employment or service agreement, if any). Unless otherwise expressly provided in this Agreement, the Plan or determined by the Company, the Optionee’s right to vest in this Stock Option under the Plan, if any, will terminate as of such date, and the period (if any) during which the Optionee may exercise this Stock Option after termination of the Optionee’s Service Relationship will commence on such date (the “Termination Date”). The Termination Date will not be extended by any notice period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the Optionee’s period of service would not include any contractual notice period or any period of “garden leave” or similar period mandated under employment or other laws in the jurisdiction where the Optionee is employed or otherwise rendering services or the terms of the Optionee’s employment or service agreement, if any). The Committee shall have the exclusive discretion to determine when the Optionee is no longer actively providing services for purposes of his or her Stock Option grant (including whether the Optionee may still be considered to be providing services while on a leave of absence). Any portion of this Stock Option that is not exercisable on the Termination Date shall terminate immediately and be null and void.</w:t>
      </w:r>
    </w:p>
    <w:p>
      <w:pPr>
        <w:spacing w:after="0" w:line="121" w:lineRule="exact"/>
        <w:rPr>
          <w:sz w:val="20"/>
          <w:szCs w:val="20"/>
          <w:color w:val="auto"/>
        </w:rPr>
      </w:pPr>
    </w:p>
    <w:p>
      <w:pPr>
        <w:ind w:left="940" w:hanging="343"/>
        <w:spacing w:after="0"/>
        <w:tabs>
          <w:tab w:leader="none" w:pos="940"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Stock Option</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right="100" w:firstLine="1194"/>
        <w:spacing w:after="0" w:line="252" w:lineRule="auto"/>
        <w:tabs>
          <w:tab w:leader="none" w:pos="1611" w:val="left"/>
        </w:tabs>
        <w:numPr>
          <w:ilvl w:val="1"/>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xml:space="preserve"> hereto indicating his or her election to purchase some or all of the Underlying Shares with respect to which this Stock Option is exercisable at the time of such notice. Such notice shall specify the number of Underlying Shares to be purchased. Payment of the Option Exercise Price may be made by one or more of the methods described in Sections 5(a)(iv)(A), (B), (C), (D) or (E) of the Plan, subject to the limitations contained in such Sections of the Plan, including the requirement that the Committee specifically approve in advance certain payment methods.</w:t>
      </w:r>
    </w:p>
    <w:p>
      <w:pPr>
        <w:spacing w:after="0" w:line="119" w:lineRule="exact"/>
        <w:rPr>
          <w:rFonts w:ascii="Times New Roman" w:cs="Times New Roman" w:eastAsia="Times New Roman" w:hAnsi="Times New Roman"/>
          <w:sz w:val="20"/>
          <w:szCs w:val="20"/>
          <w:color w:val="auto"/>
        </w:rPr>
      </w:pPr>
    </w:p>
    <w:p>
      <w:pPr>
        <w:ind w:left="1620" w:hanging="426"/>
        <w:spacing w:after="0"/>
        <w:tabs>
          <w:tab w:leader="none" w:pos="1620" w:val="left"/>
        </w:tabs>
        <w:numPr>
          <w:ilvl w:val="1"/>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hereof or of the Plan, no portion of this Stock Option shall be exercisable after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Date.</w:t>
      </w:r>
    </w:p>
    <w:p>
      <w:pPr>
        <w:spacing w:after="0" w:line="133" w:lineRule="exact"/>
        <w:rPr>
          <w:rFonts w:ascii="Times New Roman" w:cs="Times New Roman" w:eastAsia="Times New Roman" w:hAnsi="Times New Roman"/>
          <w:sz w:val="20"/>
          <w:szCs w:val="20"/>
          <w:color w:val="auto"/>
        </w:rPr>
      </w:pPr>
    </w:p>
    <w:p>
      <w:pPr>
        <w:ind w:right="40" w:firstLine="597"/>
        <w:spacing w:after="0" w:line="277" w:lineRule="auto"/>
        <w:tabs>
          <w:tab w:leader="none" w:pos="946"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Plan</w:t>
      </w:r>
      <w:r>
        <w:rPr>
          <w:rFonts w:ascii="Times New Roman" w:cs="Times New Roman" w:eastAsia="Times New Roman" w:hAnsi="Times New Roman"/>
          <w:sz w:val="20"/>
          <w:szCs w:val="20"/>
          <w:color w:val="auto"/>
        </w:rPr>
        <w:t>. Notwithstanding anything herein to the contrary, this Stock Option shall be subject to and governed by all the terms and conditions of the Plan.</w:t>
      </w:r>
    </w:p>
    <w:p>
      <w:pPr>
        <w:spacing w:after="0" w:line="91" w:lineRule="exact"/>
        <w:rPr>
          <w:rFonts w:ascii="Times New Roman" w:cs="Times New Roman" w:eastAsia="Times New Roman" w:hAnsi="Times New Roman"/>
          <w:sz w:val="20"/>
          <w:szCs w:val="20"/>
          <w:color w:val="auto"/>
        </w:rPr>
      </w:pPr>
    </w:p>
    <w:p>
      <w:pPr>
        <w:ind w:firstLine="597"/>
        <w:spacing w:after="0" w:line="251" w:lineRule="auto"/>
        <w:tabs>
          <w:tab w:leader="none" w:pos="946"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 of Stock Option</w:t>
      </w:r>
      <w:r>
        <w:rPr>
          <w:rFonts w:ascii="Times New Roman" w:cs="Times New Roman" w:eastAsia="Times New Roman" w:hAnsi="Times New Roman"/>
          <w:sz w:val="20"/>
          <w:szCs w:val="20"/>
          <w:color w:val="auto"/>
        </w:rPr>
        <w:t>. This Agreement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If permitted by the Company, the Optionee may elect to designate a beneficiary by providing written notice of the name of such beneficiary to the Company, and may revoke or change such designation at any time by filing written notice of revocation or change with the Company; if validly designated under applicable law, such beneficiary may exercise the Optionee’s Stock Option in the event of the Optionee’s death to the extent provided herein.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00"/>
          </w:cols>
          <w:pgMar w:left="320" w:top="1321" w:right="379" w:bottom="1440" w:gutter="0" w:footer="0" w:header="0"/>
        </w:sectPr>
      </w:pPr>
    </w:p>
    <w:bookmarkStart w:id="537" w:name="page538"/>
    <w:bookmarkEnd w:id="537"/>
    <w:p>
      <w:pPr>
        <w:ind w:right="180"/>
        <w:spacing w:after="0" w:line="262" w:lineRule="auto"/>
        <w:rPr>
          <w:sz w:val="20"/>
          <w:szCs w:val="20"/>
          <w:color w:val="auto"/>
        </w:rPr>
      </w:pPr>
      <w:r>
        <w:rPr>
          <w:rFonts w:ascii="Times New Roman" w:cs="Times New Roman" w:eastAsia="Times New Roman" w:hAnsi="Times New Roman"/>
          <w:sz w:val="20"/>
          <w:szCs w:val="20"/>
          <w:color w:val="auto"/>
        </w:rPr>
        <w:t>the Optionee does not designate a beneficiary, if the designated beneficiary predeceases the Optionee, if a beneficiary designation is not permitted by the Company or not valid under applicable law, the legal representative of the Optionee may exercise this Stock Option to the extent provided herein in the event of the Optionee’s death.</w:t>
      </w:r>
    </w:p>
    <w:p>
      <w:pPr>
        <w:spacing w:after="0" w:line="105" w:lineRule="exact"/>
        <w:rPr>
          <w:sz w:val="20"/>
          <w:szCs w:val="20"/>
          <w:color w:val="auto"/>
        </w:rPr>
      </w:pPr>
    </w:p>
    <w:p>
      <w:pPr>
        <w:ind w:right="400" w:firstLine="597"/>
        <w:spacing w:after="0" w:line="277" w:lineRule="auto"/>
        <w:tabs>
          <w:tab w:leader="none" w:pos="946"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 of Option Shares</w:t>
      </w:r>
      <w:r>
        <w:rPr>
          <w:rFonts w:ascii="Times New Roman" w:cs="Times New Roman" w:eastAsia="Times New Roman" w:hAnsi="Times New Roman"/>
          <w:sz w:val="20"/>
          <w:szCs w:val="20"/>
          <w:color w:val="auto"/>
        </w:rPr>
        <w:t>. The Option Shares acquired upon exercise of the Stock Option shall be subject to certain transfer restrictions and other limitations including, without limitation, the provisions contained in Section 9 of the Plan.</w:t>
      </w:r>
    </w:p>
    <w:p>
      <w:pPr>
        <w:spacing w:after="0" w:line="91" w:lineRule="exact"/>
        <w:rPr>
          <w:rFonts w:ascii="Times New Roman" w:cs="Times New Roman" w:eastAsia="Times New Roman" w:hAnsi="Times New Roman"/>
          <w:sz w:val="20"/>
          <w:szCs w:val="20"/>
          <w:color w:val="auto"/>
        </w:rPr>
      </w:pPr>
    </w:p>
    <w:p>
      <w:pPr>
        <w:ind w:left="940" w:hanging="343"/>
        <w:spacing w:after="0"/>
        <w:tabs>
          <w:tab w:leader="none" w:pos="940"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p>
    <w:p>
      <w:pPr>
        <w:spacing w:after="0" w:line="155" w:lineRule="exact"/>
        <w:rPr>
          <w:rFonts w:ascii="Times New Roman" w:cs="Times New Roman" w:eastAsia="Times New Roman" w:hAnsi="Times New Roman"/>
          <w:sz w:val="20"/>
          <w:szCs w:val="20"/>
          <w:color w:val="auto"/>
        </w:rPr>
      </w:pPr>
    </w:p>
    <w:p>
      <w:pPr>
        <w:ind w:firstLine="1194"/>
        <w:spacing w:after="0" w:line="249" w:lineRule="auto"/>
        <w:tabs>
          <w:tab w:leader="none" w:pos="1611" w:val="left"/>
        </w:tabs>
        <w:numPr>
          <w:ilvl w:val="1"/>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acknowledges that, regardless of any action taken by the Company or, if different, the Subsidiary or other company for which the Optionee provides services (the “Service Recipient”), the ultimate liability for all income tax, social insurance, payroll tax, fringe benefits tax, payment on account or other tax-related items related to the Optionee’s participation in the Plan and legally applicable to the Optionee (“Tax-Related Items”) is and remains the Optionee’s responsibility and may exceed the amount actually withheld by the Company or the Service Recipient. The Optionee further acknowledges that the Company and/or the Service Recipient (i) make no representations or undertakings regarding the treatment of any Tax-Related Items in connection with any aspect of this Stock Option, including, but not limited to, the grant, vesting or exercise of this Stock Option, the subsequent sale of Option Shares acquired upon the exercise of this Stock Option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Service Recipient (or former service recipient, as applicable) may be required to withhold or account for Tax-Related Items in more than one jurisdiction.</w:t>
      </w:r>
    </w:p>
    <w:p>
      <w:pPr>
        <w:spacing w:after="0" w:line="123" w:lineRule="exact"/>
        <w:rPr>
          <w:rFonts w:ascii="Times New Roman" w:cs="Times New Roman" w:eastAsia="Times New Roman" w:hAnsi="Times New Roman"/>
          <w:sz w:val="20"/>
          <w:szCs w:val="20"/>
          <w:color w:val="auto"/>
        </w:rPr>
      </w:pPr>
    </w:p>
    <w:p>
      <w:pPr>
        <w:ind w:firstLine="1194"/>
        <w:spacing w:after="0" w:line="266" w:lineRule="auto"/>
        <w:tabs>
          <w:tab w:leader="none" w:pos="1626" w:val="left"/>
        </w:tabs>
        <w:numPr>
          <w:ilvl w:val="1"/>
          <w:numId w:val="4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relevant taxable or tax withholding event, as applicable, the Optionee agrees to make adequate arrangements satisfactory to the Company and/or the Service Recipient to satisfy all Tax-Related Items. In this regard, the Optionee authorizes the Company and/or the Service Recipient, or their respective agents, at their discretion, to satisfy any applicable withholding obligations with regard to all Tax-Related Items by one or a combination of the following: (i) withholding from the Optionee’s wages or other compensation paid to the Optionee by the Company or the Service Recipient, (ii) withholding from proceeds of the sale of the Option Shares acquired upon the exercise of this Stock Option either through a voluntary sale or through a mandatory sale arranged by the Company (on the Optionee’s behalf pursuant to this authorization) without further consent, (iii) withholding from the Option Shares otherwise issuable at exercise of this Stock Option, or (iv) any method determined by the Committee to be in compliance with applicable laws.</w:t>
      </w:r>
    </w:p>
    <w:p>
      <w:pPr>
        <w:spacing w:after="0" w:line="104" w:lineRule="exact"/>
        <w:rPr>
          <w:sz w:val="20"/>
          <w:szCs w:val="20"/>
          <w:color w:val="auto"/>
        </w:rPr>
      </w:pPr>
    </w:p>
    <w:p>
      <w:pPr>
        <w:ind w:right="240" w:firstLine="1195"/>
        <w:spacing w:after="0" w:line="256" w:lineRule="auto"/>
        <w:rPr>
          <w:sz w:val="20"/>
          <w:szCs w:val="20"/>
          <w:color w:val="auto"/>
        </w:rPr>
      </w:pPr>
      <w:r>
        <w:rPr>
          <w:rFonts w:ascii="Times New Roman" w:cs="Times New Roman" w:eastAsia="Times New Roman" w:hAnsi="Times New Roman"/>
          <w:sz w:val="20"/>
          <w:szCs w:val="20"/>
          <w:color w:val="auto"/>
        </w:rPr>
        <w:t>Depending on the withholding method, the Company and/or Service Recipient may withhold or account for Tax-Related Items by considering applicable minimum statutory withholding amounts or other applicable withholding rates, including maximum applicable rates, in which case the Optionee may receive a refund of any over-withheld amount in cash and will have no entitlement to the Common Stock equivalent. If the obligation for Tax-Related Items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1" w:right="339" w:bottom="1440" w:gutter="0" w:footer="0" w:header="0"/>
        </w:sectPr>
      </w:pPr>
    </w:p>
    <w:bookmarkStart w:id="538" w:name="page539"/>
    <w:bookmarkEnd w:id="538"/>
    <w:p>
      <w:pPr>
        <w:ind w:right="140"/>
        <w:spacing w:after="0" w:line="262" w:lineRule="auto"/>
        <w:rPr>
          <w:sz w:val="20"/>
          <w:szCs w:val="20"/>
          <w:color w:val="auto"/>
        </w:rPr>
      </w:pPr>
      <w:r>
        <w:rPr>
          <w:rFonts w:ascii="Times New Roman" w:cs="Times New Roman" w:eastAsia="Times New Roman" w:hAnsi="Times New Roman"/>
          <w:sz w:val="20"/>
          <w:szCs w:val="20"/>
          <w:color w:val="auto"/>
        </w:rPr>
        <w:t>satisfied by withholding in Option Shares, for tax purposes, the Optionee is deemed to have been issued the full number of Option Shares subject to the exercised Stock Option, notwithstanding that a number of the Option Shares is held back solely for the purpose of paying the Tax-Related Items.</w:t>
      </w:r>
    </w:p>
    <w:p>
      <w:pPr>
        <w:spacing w:after="0" w:line="105" w:lineRule="exact"/>
        <w:rPr>
          <w:sz w:val="20"/>
          <w:szCs w:val="20"/>
          <w:color w:val="auto"/>
        </w:rPr>
      </w:pPr>
    </w:p>
    <w:p>
      <w:pPr>
        <w:ind w:firstLine="1194"/>
        <w:spacing w:after="0" w:line="254" w:lineRule="auto"/>
        <w:tabs>
          <w:tab w:leader="none" w:pos="1615" w:val="left"/>
        </w:tabs>
        <w:numPr>
          <w:ilvl w:val="1"/>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Finally, the Optionee agrees to pay to the Company or the Service Recipient any amount of Tax-Related Items that the Company or the Service Recipient may be required to withhold or account for as a result of the Optionee’s participation in the Plan that cannot be satisfied by the means previously described. The Company may refuse to issue or deliver the Underlying Shares or the proceeds of the sale of the Option Shares acquired upon the exercise of this Stock Option, if the Optionee fails to comply with his or her obligations in connection with the Tax-Related Items.</w:t>
      </w:r>
    </w:p>
    <w:p>
      <w:pPr>
        <w:spacing w:after="0" w:line="114" w:lineRule="exact"/>
        <w:rPr>
          <w:rFonts w:ascii="Times New Roman" w:cs="Times New Roman" w:eastAsia="Times New Roman" w:hAnsi="Times New Roman"/>
          <w:sz w:val="20"/>
          <w:szCs w:val="20"/>
          <w:color w:val="auto"/>
        </w:rPr>
      </w:pPr>
    </w:p>
    <w:p>
      <w:pPr>
        <w:ind w:left="940" w:hanging="343"/>
        <w:spacing w:after="0"/>
        <w:tabs>
          <w:tab w:leader="none" w:pos="940" w:val="left"/>
        </w:tabs>
        <w:numPr>
          <w:ilvl w:val="0"/>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In accepting this Stock Option, the Optionee acknowledges, understands and agrees that:</w:t>
      </w:r>
    </w:p>
    <w:p>
      <w:pPr>
        <w:spacing w:after="0" w:line="155" w:lineRule="exact"/>
        <w:rPr>
          <w:rFonts w:ascii="Times New Roman" w:cs="Times New Roman" w:eastAsia="Times New Roman" w:hAnsi="Times New Roman"/>
          <w:sz w:val="20"/>
          <w:szCs w:val="20"/>
          <w:color w:val="auto"/>
        </w:rPr>
      </w:pPr>
    </w:p>
    <w:p>
      <w:pPr>
        <w:ind w:right="680" w:firstLine="1194"/>
        <w:spacing w:after="0" w:line="277" w:lineRule="auto"/>
        <w:tabs>
          <w:tab w:leader="none" w:pos="1615"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91" w:lineRule="exact"/>
        <w:rPr>
          <w:rFonts w:ascii="Times New Roman" w:cs="Times New Roman" w:eastAsia="Times New Roman" w:hAnsi="Times New Roman"/>
          <w:sz w:val="20"/>
          <w:szCs w:val="20"/>
          <w:color w:val="auto"/>
        </w:rPr>
      </w:pPr>
    </w:p>
    <w:p>
      <w:pPr>
        <w:ind w:right="40" w:firstLine="1194"/>
        <w:spacing w:after="0" w:line="277" w:lineRule="auto"/>
        <w:tabs>
          <w:tab w:leader="none" w:pos="1626"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91" w:lineRule="exact"/>
        <w:rPr>
          <w:rFonts w:ascii="Times New Roman" w:cs="Times New Roman" w:eastAsia="Times New Roman" w:hAnsi="Times New Roman"/>
          <w:sz w:val="20"/>
          <w:szCs w:val="20"/>
          <w:color w:val="auto"/>
        </w:rPr>
      </w:pPr>
    </w:p>
    <w:p>
      <w:pPr>
        <w:ind w:left="1620" w:hanging="426"/>
        <w:spacing w:after="0"/>
        <w:tabs>
          <w:tab w:leader="none" w:pos="1620"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stock options or other grants, if any, will be at the sole discretion of the Company;</w:t>
      </w:r>
    </w:p>
    <w:p>
      <w:pPr>
        <w:spacing w:after="0" w:line="155" w:lineRule="exact"/>
        <w:rPr>
          <w:rFonts w:ascii="Times New Roman" w:cs="Times New Roman" w:eastAsia="Times New Roman" w:hAnsi="Times New Roman"/>
          <w:sz w:val="20"/>
          <w:szCs w:val="20"/>
          <w:color w:val="auto"/>
        </w:rPr>
      </w:pPr>
    </w:p>
    <w:p>
      <w:pPr>
        <w:ind w:right="220" w:firstLine="1194"/>
        <w:spacing w:after="0" w:line="262" w:lineRule="auto"/>
        <w:tabs>
          <w:tab w:leader="none" w:pos="1626"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this Stock Option and the Optionee’s participation in the Plan shall not create a right to employment or be interpreted as forming a Service Relationship and shall not interfere with the ability of the Service Recipient to terminate the Optionee’s Service Relationship (if any);</w:t>
      </w:r>
    </w:p>
    <w:p>
      <w:pPr>
        <w:spacing w:after="0" w:line="105" w:lineRule="exact"/>
        <w:rPr>
          <w:rFonts w:ascii="Times New Roman" w:cs="Times New Roman" w:eastAsia="Times New Roman" w:hAnsi="Times New Roman"/>
          <w:sz w:val="20"/>
          <w:szCs w:val="20"/>
          <w:color w:val="auto"/>
        </w:rPr>
      </w:pPr>
    </w:p>
    <w:p>
      <w:pPr>
        <w:ind w:left="1620" w:hanging="426"/>
        <w:spacing w:after="0"/>
        <w:tabs>
          <w:tab w:leader="none" w:pos="1620"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is voluntarily participating in the Plan;</w:t>
      </w:r>
    </w:p>
    <w:p>
      <w:pPr>
        <w:spacing w:after="0" w:line="155" w:lineRule="exact"/>
        <w:rPr>
          <w:rFonts w:ascii="Times New Roman" w:cs="Times New Roman" w:eastAsia="Times New Roman" w:hAnsi="Times New Roman"/>
          <w:sz w:val="20"/>
          <w:szCs w:val="20"/>
          <w:color w:val="auto"/>
        </w:rPr>
      </w:pPr>
    </w:p>
    <w:p>
      <w:pPr>
        <w:ind w:right="220" w:firstLine="1194"/>
        <w:spacing w:after="0" w:line="277" w:lineRule="auto"/>
        <w:tabs>
          <w:tab w:leader="none" w:pos="1593"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Stock Option and the Underlying Shares subject to this Stock Option, and the income from and value of same, are not intended to replace any pension rights or compensation;</w:t>
      </w:r>
    </w:p>
    <w:p>
      <w:pPr>
        <w:spacing w:after="0" w:line="91" w:lineRule="exact"/>
        <w:rPr>
          <w:rFonts w:ascii="Times New Roman" w:cs="Times New Roman" w:eastAsia="Times New Roman" w:hAnsi="Times New Roman"/>
          <w:sz w:val="20"/>
          <w:szCs w:val="20"/>
          <w:color w:val="auto"/>
        </w:rPr>
      </w:pPr>
    </w:p>
    <w:p>
      <w:pPr>
        <w:ind w:right="180" w:firstLine="1194"/>
        <w:spacing w:after="0" w:line="256" w:lineRule="auto"/>
        <w:tabs>
          <w:tab w:leader="none" w:pos="1626"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Stock Option and the Underlying Shares subject to this Stock Option, and the income from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13" w:lineRule="exact"/>
        <w:rPr>
          <w:rFonts w:ascii="Times New Roman" w:cs="Times New Roman" w:eastAsia="Times New Roman" w:hAnsi="Times New Roman"/>
          <w:sz w:val="20"/>
          <w:szCs w:val="20"/>
          <w:color w:val="auto"/>
        </w:rPr>
      </w:pPr>
    </w:p>
    <w:p>
      <w:pPr>
        <w:ind w:left="1620" w:hanging="426"/>
        <w:spacing w:after="0"/>
        <w:tabs>
          <w:tab w:leader="none" w:pos="1620"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Option Shares is unknown, indeterminable, and cannot be predicted with certainty;</w:t>
      </w:r>
    </w:p>
    <w:p>
      <w:pPr>
        <w:spacing w:after="0" w:line="155" w:lineRule="exact"/>
        <w:rPr>
          <w:rFonts w:ascii="Times New Roman" w:cs="Times New Roman" w:eastAsia="Times New Roman" w:hAnsi="Times New Roman"/>
          <w:sz w:val="20"/>
          <w:szCs w:val="20"/>
          <w:color w:val="auto"/>
        </w:rPr>
      </w:pPr>
    </w:p>
    <w:p>
      <w:pPr>
        <w:ind w:left="1580" w:hanging="386"/>
        <w:spacing w:after="0"/>
        <w:tabs>
          <w:tab w:leader="none" w:pos="1580"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 Shares do not increase in value, this Stock Option will have no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320" w:right="359" w:bottom="1440" w:gutter="0" w:footer="0" w:header="0"/>
        </w:sectPr>
      </w:pPr>
    </w:p>
    <w:bookmarkStart w:id="539" w:name="page540"/>
    <w:bookmarkEnd w:id="539"/>
    <w:p>
      <w:pPr>
        <w:ind w:right="40" w:firstLine="1194"/>
        <w:spacing w:after="0" w:line="277" w:lineRule="auto"/>
        <w:tabs>
          <w:tab w:leader="none" w:pos="1582"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 exercises this Stock Option and acquires Option Shares, the value of such Option Shares may increase or decrease in value, even below the Option Exercise Price;</w:t>
      </w:r>
    </w:p>
    <w:p>
      <w:pPr>
        <w:spacing w:after="0" w:line="91" w:lineRule="exact"/>
        <w:rPr>
          <w:rFonts w:ascii="Times New Roman" w:cs="Times New Roman" w:eastAsia="Times New Roman" w:hAnsi="Times New Roman"/>
          <w:sz w:val="20"/>
          <w:szCs w:val="20"/>
          <w:color w:val="auto"/>
        </w:rPr>
      </w:pPr>
    </w:p>
    <w:p>
      <w:pPr>
        <w:ind w:right="100" w:firstLine="1194"/>
        <w:spacing w:after="0" w:line="254" w:lineRule="auto"/>
        <w:tabs>
          <w:tab w:leader="none" w:pos="1626"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this Stock Option resulting from the termination of the Optionee’s Service Relationship (for any reason whatsoever, whether or not later found to be invalid or in breach of employment or other laws in the jurisdiction where the Optionee is employed or otherwise rendering services or the terms of the Optionee’s employment or service agreement, if any), and in consideration of the grant of this Stock Option, the Optionee agrees not to institute any claim against the Company, the Service Recipient or any other Subsidiary;</w:t>
      </w:r>
    </w:p>
    <w:p>
      <w:pPr>
        <w:spacing w:after="0" w:line="114" w:lineRule="exact"/>
        <w:rPr>
          <w:rFonts w:ascii="Times New Roman" w:cs="Times New Roman" w:eastAsia="Times New Roman" w:hAnsi="Times New Roman"/>
          <w:sz w:val="20"/>
          <w:szCs w:val="20"/>
          <w:color w:val="auto"/>
        </w:rPr>
      </w:pPr>
    </w:p>
    <w:p>
      <w:pPr>
        <w:jc w:val="both"/>
        <w:ind w:right="140" w:firstLine="1194"/>
        <w:spacing w:after="0" w:line="262" w:lineRule="auto"/>
        <w:tabs>
          <w:tab w:leader="none" w:pos="1582"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this Stock Option and any Option Shares acquired upon the exercise of this Stock Option, and the income from and value of same, are not granted as consideration for, or in connection with, any service the Optionee may provide as a director of any Subsidiary;</w:t>
      </w:r>
    </w:p>
    <w:p>
      <w:pPr>
        <w:spacing w:after="0" w:line="105" w:lineRule="exact"/>
        <w:rPr>
          <w:rFonts w:ascii="Times New Roman" w:cs="Times New Roman" w:eastAsia="Times New Roman" w:hAnsi="Times New Roman"/>
          <w:sz w:val="20"/>
          <w:szCs w:val="20"/>
          <w:color w:val="auto"/>
        </w:rPr>
      </w:pPr>
    </w:p>
    <w:p>
      <w:pPr>
        <w:ind w:right="40" w:firstLine="1194"/>
        <w:spacing w:after="0" w:line="282" w:lineRule="auto"/>
        <w:tabs>
          <w:tab w:leader="none" w:pos="1681" w:val="left"/>
        </w:tabs>
        <w:numPr>
          <w:ilvl w:val="0"/>
          <w:numId w:val="4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Common Stock; and</w:t>
      </w:r>
    </w:p>
    <w:p>
      <w:pPr>
        <w:spacing w:after="0" w:line="88" w:lineRule="exact"/>
        <w:rPr>
          <w:rFonts w:ascii="Times New Roman" w:cs="Times New Roman" w:eastAsia="Times New Roman" w:hAnsi="Times New Roman"/>
          <w:sz w:val="19"/>
          <w:szCs w:val="19"/>
          <w:color w:val="auto"/>
        </w:rPr>
      </w:pPr>
    </w:p>
    <w:p>
      <w:pPr>
        <w:jc w:val="both"/>
        <w:ind w:right="500" w:firstLine="1194"/>
        <w:spacing w:after="0" w:line="256" w:lineRule="auto"/>
        <w:tabs>
          <w:tab w:leader="none" w:pos="1626"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Service Recipient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Option Shares acquired upon the exercise of this Stock Option.</w:t>
      </w:r>
    </w:p>
    <w:p>
      <w:pPr>
        <w:spacing w:after="0" w:line="108" w:lineRule="exact"/>
        <w:rPr>
          <w:sz w:val="20"/>
          <w:szCs w:val="20"/>
          <w:color w:val="auto"/>
        </w:rPr>
      </w:pPr>
    </w:p>
    <w:p>
      <w:pPr>
        <w:ind w:right="40" w:firstLine="597"/>
        <w:spacing w:after="0" w:line="259" w:lineRule="auto"/>
        <w:tabs>
          <w:tab w:leader="none" w:pos="946"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The Optionee hereby explicitly and unambiguously consents to the collection, use and transfer, in electronic or other form, of the Optionee’s personal data as described in this Agreement and any other grant materials by and among, as applicable, the Company, the Service Recipient and any other Subsidiary for the exclusive purpose of implementing, administering and managing the Optionee’s participation in the Plan.</w:t>
      </w:r>
    </w:p>
    <w:p>
      <w:pPr>
        <w:spacing w:after="0" w:line="102" w:lineRule="exact"/>
        <w:rPr>
          <w:sz w:val="20"/>
          <w:szCs w:val="20"/>
          <w:color w:val="auto"/>
        </w:rPr>
      </w:pPr>
    </w:p>
    <w:p>
      <w:pPr>
        <w:ind w:firstLine="1195"/>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The Optionee understands that the Company and the Service Recipient may hold certain personal information about the Optionee, including, but not limited to, the Optionee’s name, home address, email address and telephone number, date of birth, social insurance number, passport or other identification number, salary, nationality, job title, any shares or directorships held in the Company, details of all Stock Options or any other entitlement to Option Shares awarded, canceled, exercised, vested, unvested or outstanding in the Optionee’s favor (“Data”), for the exclusive purpose of implementing, administering and managing the Plan.</w:t>
      </w:r>
    </w:p>
    <w:p>
      <w:pPr>
        <w:spacing w:after="0" w:line="110" w:lineRule="exact"/>
        <w:rPr>
          <w:sz w:val="20"/>
          <w:szCs w:val="20"/>
          <w:color w:val="auto"/>
        </w:rPr>
      </w:pPr>
    </w:p>
    <w:p>
      <w:pPr>
        <w:jc w:val="both"/>
        <w:ind w:right="160" w:firstLine="1195"/>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The Optionee understands that Data may be transferred to a third party stock plan service provider, which may assist the Company (presently or in the future) with the implementation, administration and management of the Plan. The Optionee understands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321" w:right="359" w:bottom="1440" w:gutter="0" w:footer="0" w:header="0"/>
        </w:sectPr>
      </w:pPr>
    </w:p>
    <w:bookmarkStart w:id="540" w:name="page541"/>
    <w:bookmarkEnd w:id="540"/>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recipients of the Data may be located in the United States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Optionee’s participation in the Plan.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Optionee understands that he or she is providing the consents herein on a purely voluntary basis. If the Optionee does not consent, or if the Optionee later seeks to revoke his or her consent, his or her Service Relationship will not be affected; the only consequence of refusing or withdrawing the Optionee’s consent is that the Company would not be able to grant this Stock Option or other equity awards to the Optionee or administer or maintain such awards.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121" w:lineRule="exact"/>
        <w:rPr>
          <w:sz w:val="20"/>
          <w:szCs w:val="20"/>
          <w:color w:val="auto"/>
        </w:rPr>
      </w:pPr>
    </w:p>
    <w:p>
      <w:pPr>
        <w:ind w:left="940" w:hanging="343"/>
        <w:spacing w:after="0"/>
        <w:tabs>
          <w:tab w:leader="none" w:pos="940"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firstLine="1194"/>
        <w:spacing w:after="0" w:line="262" w:lineRule="auto"/>
        <w:tabs>
          <w:tab w:leader="none" w:pos="1614" w:val="left"/>
        </w:tabs>
        <w:numPr>
          <w:ilvl w:val="1"/>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05" w:lineRule="exact"/>
        <w:rPr>
          <w:rFonts w:ascii="Times New Roman" w:cs="Times New Roman" w:eastAsia="Times New Roman" w:hAnsi="Times New Roman"/>
          <w:sz w:val="20"/>
          <w:szCs w:val="20"/>
          <w:color w:val="auto"/>
        </w:rPr>
      </w:pPr>
    </w:p>
    <w:p>
      <w:pPr>
        <w:ind w:right="20" w:firstLine="1194"/>
        <w:spacing w:after="0" w:line="254" w:lineRule="auto"/>
        <w:tabs>
          <w:tab w:leader="none" w:pos="1626" w:val="left"/>
        </w:tabs>
        <w:numPr>
          <w:ilvl w:val="1"/>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for Changes in Capital Structure</w:t>
      </w:r>
      <w:r>
        <w:rPr>
          <w:rFonts w:ascii="Times New Roman" w:cs="Times New Roman" w:eastAsia="Times New Roman" w:hAnsi="Times New Roman"/>
          <w:sz w:val="20"/>
          <w:szCs w:val="20"/>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shares of the Company’s stock, the restrictions contained in this Agreement shall apply with equal force to additional and/or substitute securities, if any, received by the Optionee in exchange for, or by virtue of his or her ownership of, Option Shares.</w:t>
      </w:r>
    </w:p>
    <w:p>
      <w:pPr>
        <w:spacing w:after="0" w:line="114" w:lineRule="exact"/>
        <w:rPr>
          <w:rFonts w:ascii="Times New Roman" w:cs="Times New Roman" w:eastAsia="Times New Roman" w:hAnsi="Times New Roman"/>
          <w:sz w:val="20"/>
          <w:szCs w:val="20"/>
          <w:color w:val="auto"/>
        </w:rPr>
      </w:pPr>
    </w:p>
    <w:p>
      <w:pPr>
        <w:ind w:right="520" w:firstLine="1194"/>
        <w:spacing w:after="0" w:line="277" w:lineRule="auto"/>
        <w:tabs>
          <w:tab w:leader="none" w:pos="1614" w:val="left"/>
        </w:tabs>
        <w:numPr>
          <w:ilvl w:val="1"/>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and Modifications</w:t>
      </w:r>
      <w:r>
        <w:rPr>
          <w:rFonts w:ascii="Times New Roman" w:cs="Times New Roman" w:eastAsia="Times New Roman" w:hAnsi="Times New Roman"/>
          <w:sz w:val="20"/>
          <w:szCs w:val="20"/>
          <w:color w:val="auto"/>
        </w:rPr>
        <w:t>. This Agreement may not be orally changed, modified or terminated, nor shall any oral waiver of any of its terms be effective.</w:t>
      </w:r>
    </w:p>
    <w:p>
      <w:pPr>
        <w:spacing w:after="0" w:line="91" w:lineRule="exact"/>
        <w:rPr>
          <w:rFonts w:ascii="Times New Roman" w:cs="Times New Roman" w:eastAsia="Times New Roman" w:hAnsi="Times New Roman"/>
          <w:sz w:val="20"/>
          <w:szCs w:val="20"/>
          <w:color w:val="auto"/>
        </w:rPr>
      </w:pPr>
    </w:p>
    <w:p>
      <w:pPr>
        <w:jc w:val="both"/>
        <w:ind w:right="140" w:firstLine="1194"/>
        <w:spacing w:after="0" w:line="262" w:lineRule="auto"/>
        <w:tabs>
          <w:tab w:leader="none" w:pos="1626" w:val="left"/>
        </w:tabs>
        <w:numPr>
          <w:ilvl w:val="1"/>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General Corporation Law of the State of Delaware as to matters within the scope hereof, and as to all other matters shall be governed by and construed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20" w:top="1315" w:right="359" w:bottom="1440" w:gutter="0" w:footer="0" w:header="0"/>
        </w:sectPr>
      </w:pPr>
    </w:p>
    <w:bookmarkStart w:id="541" w:name="page542"/>
    <w:bookmarkEnd w:id="541"/>
    <w:p>
      <w:pPr>
        <w:ind w:right="200"/>
        <w:spacing w:after="0" w:line="277" w:lineRule="auto"/>
        <w:rPr>
          <w:sz w:val="20"/>
          <w:szCs w:val="20"/>
          <w:color w:val="auto"/>
        </w:rPr>
      </w:pPr>
      <w:r>
        <w:rPr>
          <w:rFonts w:ascii="Times New Roman" w:cs="Times New Roman" w:eastAsia="Times New Roman" w:hAnsi="Times New Roman"/>
          <w:sz w:val="20"/>
          <w:szCs w:val="20"/>
          <w:color w:val="auto"/>
        </w:rPr>
        <w:t>the internal laws of the State of California, without regard to conflict of law principles that would result in the application of any law other than the law of the State of California.</w:t>
      </w:r>
    </w:p>
    <w:p>
      <w:pPr>
        <w:spacing w:after="0" w:line="91" w:lineRule="exact"/>
        <w:rPr>
          <w:sz w:val="20"/>
          <w:szCs w:val="20"/>
          <w:color w:val="auto"/>
        </w:rPr>
      </w:pPr>
    </w:p>
    <w:p>
      <w:pPr>
        <w:ind w:firstLine="1194"/>
        <w:spacing w:after="0" w:line="249" w:lineRule="auto"/>
        <w:tabs>
          <w:tab w:leader="none" w:pos="1614"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Notwithstanding any other provision in the Plan or this Agreement, unless there is an available exemption from registration, qualification or other legal requirement applicable to the Common Stock, the Company shall not be required to permit the exercise of this Stock Option and/or delivery any Option Shares prior to the completion of any registration or qualification of the shares of Common Stock under any U.S. or non-U.S. local, state or federal securities or exchange control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Common Stock with the SEC or any state or non-U.S. securities commission or to seek approval or clearance from any governmental authority for the issuance or sale of the Option Shares. Further, the Optionee agrees that the Company shall have unilateral authority to amend this Agreement without the Optionee’s consent to the extent necessary to comply with securities or other laws applicable to the issuance of Option Shares.</w:t>
      </w:r>
    </w:p>
    <w:p>
      <w:pPr>
        <w:spacing w:after="0" w:line="125" w:lineRule="exact"/>
        <w:rPr>
          <w:rFonts w:ascii="Times New Roman" w:cs="Times New Roman" w:eastAsia="Times New Roman" w:hAnsi="Times New Roman"/>
          <w:sz w:val="20"/>
          <w:szCs w:val="20"/>
          <w:color w:val="auto"/>
        </w:rPr>
      </w:pPr>
    </w:p>
    <w:p>
      <w:pPr>
        <w:ind w:right="40" w:firstLine="1194"/>
        <w:spacing w:after="0" w:line="251" w:lineRule="auto"/>
        <w:tabs>
          <w:tab w:leader="none" w:pos="1593"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 Restrictions/Market Abuse Laws</w:t>
      </w:r>
      <w:r>
        <w:rPr>
          <w:rFonts w:ascii="Times New Roman" w:cs="Times New Roman" w:eastAsia="Times New Roman" w:hAnsi="Times New Roman"/>
          <w:sz w:val="20"/>
          <w:szCs w:val="20"/>
          <w:color w:val="auto"/>
        </w:rPr>
        <w:t>. The Optionee acknowledges that, depending on his or her country, the Optionee may be subject to insider trading restrictions and/or market abuse laws in applicable jurisdictions, which may affect his or her ability to acquire, sell or attempt to sell Option Shares or rights to shares of Common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Stock Options) under the Plan during such times as the Optionee is considered to have “inside information” regarding the Company (as defined by laws in the applicable jurisdiction or the Optionee’s country).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as well as any applicable Company insider trading policy, and the Optionee is advised to speak to his or her personal advisor on this matter.</w:t>
      </w:r>
    </w:p>
    <w:p>
      <w:pPr>
        <w:spacing w:after="0" w:line="116" w:lineRule="exact"/>
        <w:rPr>
          <w:rFonts w:ascii="Times New Roman" w:cs="Times New Roman" w:eastAsia="Times New Roman" w:hAnsi="Times New Roman"/>
          <w:sz w:val="20"/>
          <w:szCs w:val="20"/>
          <w:color w:val="auto"/>
        </w:rPr>
      </w:pPr>
    </w:p>
    <w:p>
      <w:pPr>
        <w:ind w:right="60" w:firstLine="1194"/>
        <w:spacing w:after="0" w:line="277" w:lineRule="auto"/>
        <w:tabs>
          <w:tab w:leader="none" w:pos="1626"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are intended only for convenience in finding the subject matter and do not constitute part of the text of this Agreement and shall not be considered in the interpretation of this Agreement.</w:t>
      </w:r>
    </w:p>
    <w:p>
      <w:pPr>
        <w:spacing w:after="0" w:line="91" w:lineRule="exact"/>
        <w:rPr>
          <w:rFonts w:ascii="Times New Roman" w:cs="Times New Roman" w:eastAsia="Times New Roman" w:hAnsi="Times New Roman"/>
          <w:sz w:val="20"/>
          <w:szCs w:val="20"/>
          <w:color w:val="auto"/>
        </w:rPr>
      </w:pPr>
    </w:p>
    <w:p>
      <w:pPr>
        <w:ind w:right="940" w:firstLine="1194"/>
        <w:spacing w:after="0" w:line="277" w:lineRule="auto"/>
        <w:tabs>
          <w:tab w:leader="none" w:pos="1626"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Saving Clause</w:t>
      </w:r>
      <w:r>
        <w:rPr>
          <w:rFonts w:ascii="Times New Roman" w:cs="Times New Roman" w:eastAsia="Times New Roman" w:hAnsi="Times New Roman"/>
          <w:sz w:val="20"/>
          <w:szCs w:val="20"/>
          <w:color w:val="auto"/>
        </w:rPr>
        <w:t>. If any provision(s) of this Agreement shall be determined to be illegal or unenforceable, such determination shall in no manner affect the legality or enforceability of any other provision hereof.</w:t>
      </w:r>
    </w:p>
    <w:p>
      <w:pPr>
        <w:spacing w:after="0" w:line="91" w:lineRule="exact"/>
        <w:rPr>
          <w:rFonts w:ascii="Times New Roman" w:cs="Times New Roman" w:eastAsia="Times New Roman" w:hAnsi="Times New Roman"/>
          <w:sz w:val="20"/>
          <w:szCs w:val="20"/>
          <w:color w:val="auto"/>
        </w:rPr>
      </w:pPr>
    </w:p>
    <w:p>
      <w:pPr>
        <w:ind w:right="40" w:firstLine="1194"/>
        <w:spacing w:after="0" w:line="256" w:lineRule="auto"/>
        <w:tabs>
          <w:tab w:leader="none" w:pos="1581"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21" w:right="339" w:bottom="1440" w:gutter="0" w:footer="0" w:header="0"/>
        </w:sectPr>
      </w:pPr>
    </w:p>
    <w:bookmarkStart w:id="542" w:name="page543"/>
    <w:bookmarkEnd w:id="542"/>
    <w:p>
      <w:pPr>
        <w:ind w:firstLine="1194"/>
        <w:spacing w:after="0" w:line="256" w:lineRule="auto"/>
        <w:tabs>
          <w:tab w:leader="none" w:pos="1581"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Pan through an on-line electronic system established and maintained by the Company or a third party designated by the Company.</w:t>
      </w:r>
    </w:p>
    <w:p>
      <w:pPr>
        <w:spacing w:after="0" w:line="113" w:lineRule="exact"/>
        <w:rPr>
          <w:rFonts w:ascii="Times New Roman" w:cs="Times New Roman" w:eastAsia="Times New Roman" w:hAnsi="Times New Roman"/>
          <w:sz w:val="20"/>
          <w:szCs w:val="20"/>
          <w:color w:val="auto"/>
        </w:rPr>
      </w:pPr>
    </w:p>
    <w:p>
      <w:pPr>
        <w:ind w:right="300" w:firstLine="1194"/>
        <w:spacing w:after="0" w:line="262" w:lineRule="auto"/>
        <w:tabs>
          <w:tab w:leader="none" w:pos="1626"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and Binding Effect</w:t>
      </w:r>
      <w:r>
        <w:rPr>
          <w:rFonts w:ascii="Times New Roman" w:cs="Times New Roman" w:eastAsia="Times New Roman" w:hAnsi="Times New Roman"/>
          <w:sz w:val="20"/>
          <w:szCs w:val="20"/>
          <w:color w:val="auto"/>
        </w:rPr>
        <w:t>. This Agreement shall be binding upon and shall inure to the benefit of the parties hereto, their respective successors, permitted assigns, and legal representatives. The Company has the right to assign this Agreement, and such assignee shall become entitled to all the rights of the Company hereunder to the extent of such assignment.</w:t>
      </w:r>
    </w:p>
    <w:p>
      <w:pPr>
        <w:spacing w:after="0" w:line="105" w:lineRule="exact"/>
        <w:rPr>
          <w:rFonts w:ascii="Times New Roman" w:cs="Times New Roman" w:eastAsia="Times New Roman" w:hAnsi="Times New Roman"/>
          <w:sz w:val="20"/>
          <w:szCs w:val="20"/>
          <w:color w:val="auto"/>
        </w:rPr>
      </w:pPr>
    </w:p>
    <w:p>
      <w:pPr>
        <w:ind w:right="240" w:firstLine="1194"/>
        <w:spacing w:after="0" w:line="277" w:lineRule="auto"/>
        <w:tabs>
          <w:tab w:leader="none" w:pos="1581"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91" w:lineRule="exact"/>
        <w:rPr>
          <w:rFonts w:ascii="Times New Roman" w:cs="Times New Roman" w:eastAsia="Times New Roman" w:hAnsi="Times New Roman"/>
          <w:sz w:val="20"/>
          <w:szCs w:val="20"/>
          <w:color w:val="auto"/>
        </w:rPr>
      </w:pPr>
    </w:p>
    <w:p>
      <w:pPr>
        <w:ind w:right="140" w:firstLine="1194"/>
        <w:spacing w:after="0" w:line="277" w:lineRule="auto"/>
        <w:tabs>
          <w:tab w:leader="none" w:pos="1681"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constitutes the entire agreement between the parties with respect to this Stock Option and supersedes all prior agreements and discussions between the parties concerning such subject matter.</w:t>
      </w:r>
    </w:p>
    <w:p>
      <w:pPr>
        <w:spacing w:after="0" w:line="91" w:lineRule="exact"/>
        <w:rPr>
          <w:rFonts w:ascii="Times New Roman" w:cs="Times New Roman" w:eastAsia="Times New Roman" w:hAnsi="Times New Roman"/>
          <w:sz w:val="20"/>
          <w:szCs w:val="20"/>
          <w:color w:val="auto"/>
        </w:rPr>
      </w:pPr>
    </w:p>
    <w:p>
      <w:pPr>
        <w:ind w:right="220" w:firstLine="1194"/>
        <w:spacing w:after="0" w:line="262" w:lineRule="auto"/>
        <w:tabs>
          <w:tab w:leader="none" w:pos="1626"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If the Optionee has received this Agreement, or any other document related to this Stock Option and/or the Plan translated into a language other than English and if the meaning of the translated version is different than the English version, the English version will control.</w:t>
      </w:r>
    </w:p>
    <w:p>
      <w:pPr>
        <w:spacing w:after="0" w:line="105" w:lineRule="exact"/>
        <w:rPr>
          <w:rFonts w:ascii="Times New Roman" w:cs="Times New Roman" w:eastAsia="Times New Roman" w:hAnsi="Times New Roman"/>
          <w:sz w:val="20"/>
          <w:szCs w:val="20"/>
          <w:color w:val="auto"/>
        </w:rPr>
      </w:pPr>
    </w:p>
    <w:p>
      <w:pPr>
        <w:ind w:firstLine="1194"/>
        <w:spacing w:after="0" w:line="252" w:lineRule="auto"/>
        <w:tabs>
          <w:tab w:leader="none" w:pos="1626"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Addendum</w:t>
      </w:r>
      <w:r>
        <w:rPr>
          <w:rFonts w:ascii="Times New Roman" w:cs="Times New Roman" w:eastAsia="Times New Roman" w:hAnsi="Times New Roman"/>
          <w:sz w:val="20"/>
          <w:szCs w:val="20"/>
          <w:color w:val="auto"/>
        </w:rPr>
        <w:t>. Notwithstanding any provisions in this Non-Qualified Stock Option Agreement for Non-U.S. Optionees, this Stock Option shall be subject to any special terms and conditions for the Optionee’s country set forth in the Addendum attached hereto as Appendix A. Moreover, if the Optionee relocates to one of the countries included in the Addendum, the special terms and conditions for such country will apply to the Optionee, to the extent the Company determines that the application of such terms and conditions is necessary or advisable for legal or administrative reasons. The Addendum constitutes part of this Non-Qualified Stock Option Agreement for Non-U.S. Optionees.</w:t>
      </w:r>
    </w:p>
    <w:p>
      <w:pPr>
        <w:spacing w:after="0" w:line="119" w:lineRule="exact"/>
        <w:rPr>
          <w:rFonts w:ascii="Times New Roman" w:cs="Times New Roman" w:eastAsia="Times New Roman" w:hAnsi="Times New Roman"/>
          <w:sz w:val="20"/>
          <w:szCs w:val="20"/>
          <w:color w:val="auto"/>
        </w:rPr>
      </w:pPr>
    </w:p>
    <w:p>
      <w:pPr>
        <w:ind w:right="320" w:firstLine="1194"/>
        <w:spacing w:after="0" w:line="256" w:lineRule="auto"/>
        <w:tabs>
          <w:tab w:leader="none" w:pos="1626"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Optionee’s participation in the Plan, on this Stock Option and on the Option Shares acquired upon the exercise of this Stock Option, to the extent the Company determines it is necessary or advisable for legal or administrative reasons, and to require the Optionee to sign any additional agreements or undertakings that may be necessary to accomplish the foregoing.</w:t>
      </w:r>
    </w:p>
    <w:p>
      <w:pPr>
        <w:spacing w:after="0" w:line="113" w:lineRule="exact"/>
        <w:rPr>
          <w:rFonts w:ascii="Times New Roman" w:cs="Times New Roman" w:eastAsia="Times New Roman" w:hAnsi="Times New Roman"/>
          <w:sz w:val="20"/>
          <w:szCs w:val="20"/>
          <w:color w:val="auto"/>
        </w:rPr>
      </w:pPr>
    </w:p>
    <w:p>
      <w:pPr>
        <w:jc w:val="both"/>
        <w:ind w:right="160" w:firstLine="1194"/>
        <w:spacing w:after="0" w:line="262" w:lineRule="auto"/>
        <w:tabs>
          <w:tab w:leader="none" w:pos="1626"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05" w:lineRule="exact"/>
        <w:rPr>
          <w:rFonts w:ascii="Times New Roman" w:cs="Times New Roman" w:eastAsia="Times New Roman" w:hAnsi="Times New Roman"/>
          <w:sz w:val="20"/>
          <w:szCs w:val="20"/>
          <w:color w:val="auto"/>
        </w:rPr>
      </w:pPr>
    </w:p>
    <w:p>
      <w:pPr>
        <w:ind w:right="360" w:firstLine="1194"/>
        <w:spacing w:after="0" w:line="277" w:lineRule="auto"/>
        <w:tabs>
          <w:tab w:leader="none" w:pos="1593"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Reporting Requirements</w:t>
      </w:r>
      <w:r>
        <w:rPr>
          <w:rFonts w:ascii="Times New Roman" w:cs="Times New Roman" w:eastAsia="Times New Roman" w:hAnsi="Times New Roman"/>
          <w:sz w:val="20"/>
          <w:szCs w:val="20"/>
          <w:color w:val="auto"/>
        </w:rPr>
        <w:t>. The Optionee acknowledges that there may be certain foreign asset and/or account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21" w:right="339" w:bottom="1440" w:gutter="0" w:footer="0" w:header="0"/>
        </w:sectPr>
      </w:pPr>
    </w:p>
    <w:bookmarkStart w:id="543" w:name="page544"/>
    <w:bookmarkEnd w:id="543"/>
    <w:p>
      <w:pPr>
        <w:ind w:right="160"/>
        <w:spacing w:after="0" w:line="252" w:lineRule="auto"/>
        <w:rPr>
          <w:sz w:val="20"/>
          <w:szCs w:val="20"/>
          <w:color w:val="auto"/>
        </w:rPr>
      </w:pPr>
      <w:r>
        <w:rPr>
          <w:rFonts w:ascii="Times New Roman" w:cs="Times New Roman" w:eastAsia="Times New Roman" w:hAnsi="Times New Roman"/>
          <w:sz w:val="20"/>
          <w:szCs w:val="20"/>
          <w:color w:val="auto"/>
        </w:rPr>
        <w:t>which may affect the Optionee’s ability to acquire or hold the Option Shares acquired under the Plan or cash received from participating in the Plan (including from any dividends paid on the Option Shares acquired under the Plan) in a brokerage or bank account outside the Optionee’s country. The Optionee may be required to report such accounts, assets or transactions to the tax or other authorities in his or her country. The Optionee also may be required to repatriate sale proceeds or other funds received as a result of participating in the Plan to the Optionee’s country through a designated bank or broker within a certain time after receipt. The Optionee acknowledges that it is his or her responsibility to be compliant with such regulations, and the Optionee should speak to his or her personal advisor on this matter.</w:t>
      </w:r>
    </w:p>
    <w:p>
      <w:pPr>
        <w:spacing w:after="0" w:line="119" w:lineRule="exact"/>
        <w:rPr>
          <w:sz w:val="20"/>
          <w:szCs w:val="20"/>
          <w:color w:val="auto"/>
        </w:rPr>
      </w:pPr>
    </w:p>
    <w:p>
      <w:pPr>
        <w:ind w:left="1040" w:hanging="443"/>
        <w:spacing w:after="0"/>
        <w:tabs>
          <w:tab w:leader="none" w:pos="1040" w:val="left"/>
        </w:tabs>
        <w:numPr>
          <w:ilvl w:val="0"/>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right="140" w:firstLine="1194"/>
        <w:spacing w:after="0" w:line="270" w:lineRule="auto"/>
        <w:tabs>
          <w:tab w:leader="none" w:pos="1615" w:val="left"/>
        </w:tabs>
        <w:numPr>
          <w:ilvl w:val="1"/>
          <w:numId w:val="4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San Francisco, California.</w:t>
      </w:r>
    </w:p>
    <w:p>
      <w:pPr>
        <w:spacing w:after="0" w:line="102" w:lineRule="exact"/>
        <w:rPr>
          <w:rFonts w:ascii="Times New Roman" w:cs="Times New Roman" w:eastAsia="Times New Roman" w:hAnsi="Times New Roman"/>
          <w:sz w:val="19"/>
          <w:szCs w:val="19"/>
          <w:color w:val="auto"/>
        </w:rPr>
      </w:pPr>
    </w:p>
    <w:p>
      <w:pPr>
        <w:ind w:firstLine="1194"/>
        <w:spacing w:after="0" w:line="249" w:lineRule="auto"/>
        <w:tabs>
          <w:tab w:leader="none" w:pos="1622" w:val="left"/>
        </w:tabs>
        <w:numPr>
          <w:ilvl w:val="1"/>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25" w:lineRule="exact"/>
        <w:rPr>
          <w:rFonts w:ascii="Times New Roman" w:cs="Times New Roman" w:eastAsia="Times New Roman" w:hAnsi="Times New Roman"/>
          <w:sz w:val="20"/>
          <w:szCs w:val="20"/>
          <w:color w:val="auto"/>
        </w:rPr>
      </w:pPr>
    </w:p>
    <w:p>
      <w:pPr>
        <w:ind w:firstLine="1194"/>
        <w:spacing w:after="0" w:line="274" w:lineRule="auto"/>
        <w:tabs>
          <w:tab w:leader="none" w:pos="1611" w:val="left"/>
        </w:tabs>
        <w:numPr>
          <w:ilvl w:val="1"/>
          <w:numId w:val="4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the Optionee, each party to the Agreement and any other holder of Common Stock issued pursuant to this Agreement (each, a “Party”) covenants and agrees that such party will participate in the arbitration in good faith. This Section 10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97" w:lineRule="exact"/>
        <w:rPr>
          <w:rFonts w:ascii="Times New Roman" w:cs="Times New Roman" w:eastAsia="Times New Roman" w:hAnsi="Times New Roman"/>
          <w:sz w:val="19"/>
          <w:szCs w:val="19"/>
          <w:color w:val="auto"/>
        </w:rPr>
      </w:pPr>
    </w:p>
    <w:p>
      <w:pPr>
        <w:ind w:right="920" w:firstLine="1194"/>
        <w:spacing w:after="0" w:line="277" w:lineRule="auto"/>
        <w:tabs>
          <w:tab w:leader="none" w:pos="1626" w:val="left"/>
        </w:tabs>
        <w:numPr>
          <w:ilvl w:val="1"/>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(i) hereby irrevocably submits to the jurisdiction of any United States District Court of competent jurisdiction for the purpose of enforcing the award or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21" w:right="339" w:bottom="1440" w:gutter="0" w:footer="0" w:header="0"/>
        </w:sectPr>
      </w:pPr>
    </w:p>
    <w:bookmarkStart w:id="544" w:name="page545"/>
    <w:bookmarkEnd w:id="544"/>
    <w:p>
      <w:pPr>
        <w:spacing w:after="0" w:line="250" w:lineRule="auto"/>
        <w:rPr>
          <w:sz w:val="20"/>
          <w:szCs w:val="20"/>
          <w:color w:val="auto"/>
        </w:rPr>
      </w:pPr>
      <w:r>
        <w:rPr>
          <w:rFonts w:ascii="Times New Roman" w:cs="Times New Roman" w:eastAsia="Times New Roman" w:hAnsi="Times New Roman"/>
          <w:sz w:val="20"/>
          <w:szCs w:val="20"/>
          <w:color w:val="auto"/>
        </w:rPr>
        <w:t>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20" w:right="339" w:bottom="1440" w:gutter="0" w:footer="0" w:header="0"/>
        </w:sectPr>
      </w:pPr>
    </w:p>
    <w:bookmarkStart w:id="545" w:name="page546"/>
    <w:bookmarkEnd w:id="545"/>
    <w:p>
      <w:pPr>
        <w:ind w:firstLine="597"/>
        <w:spacing w:after="0" w:line="277" w:lineRule="auto"/>
        <w:rPr>
          <w:sz w:val="20"/>
          <w:szCs w:val="20"/>
          <w:color w:val="auto"/>
        </w:rPr>
      </w:pPr>
      <w:r>
        <w:rPr>
          <w:rFonts w:ascii="Times New Roman" w:cs="Times New Roman" w:eastAsia="Times New Roman" w:hAnsi="Times New Roman"/>
          <w:sz w:val="20"/>
          <w:szCs w:val="20"/>
          <w:color w:val="auto"/>
        </w:rPr>
        <w:t>The foregoing Agreement is hereby accepted and the terms and conditions thereof hereby agreed to by the undersigned as of the date first above written.</w:t>
      </w:r>
    </w:p>
    <w:p>
      <w:pPr>
        <w:spacing w:after="0" w:line="19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THREDUP, INC.</w:t>
      </w:r>
    </w:p>
    <w:p>
      <w:pPr>
        <w:spacing w:after="0" w:line="20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27940</wp:posOffset>
            </wp:positionV>
            <wp:extent cx="338201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82010" cy="7620"/>
                    </a:xfrm>
                    <a:prstGeom prst="rect">
                      <a:avLst/>
                    </a:prstGeom>
                    <a:noFill/>
                  </pic:spPr>
                </pic:pic>
              </a:graphicData>
            </a:graphic>
          </wp:anchor>
        </w:drawing>
      </w:r>
    </w:p>
    <w:p>
      <w:pPr>
        <w:spacing w:after="0" w:line="4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Name:</w:t>
      </w:r>
    </w:p>
    <w:p>
      <w:pPr>
        <w:spacing w:after="0" w:line="5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Title:</w:t>
      </w: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502285</wp:posOffset>
            </wp:positionV>
            <wp:extent cx="376110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61105" cy="762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344170</wp:posOffset>
            </wp:positionV>
            <wp:extent cx="376110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61105" cy="762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186055</wp:posOffset>
            </wp:positionV>
            <wp:extent cx="376110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761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0"/>
          <w:szCs w:val="20"/>
          <w:color w:val="auto"/>
        </w:rPr>
        <w:t>The undersigned hereby acknowledges receiving and reviewing a copy of the Plan, including, without limitation, Section 9 thereof, and understands that the Stock Option granted hereby is subject to the terms of the Plan and of this Agreement. This Agreement is hereby accepted, and the terms and conditions of the Plan and this Agreement, SPECIFICALLY INCLUDING THE ARBITRATION PROVISIONS IN SECTION 10 OF THIS AGREEMENT, are hereby agreed to, by the undersigned as of the date first above written.</w:t>
      </w:r>
    </w:p>
    <w:p>
      <w:pPr>
        <w:spacing w:after="0" w:line="1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186055</wp:posOffset>
            </wp:positionV>
            <wp:extent cx="399796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997960" cy="7620"/>
                    </a:xfrm>
                    <a:prstGeom prst="rect">
                      <a:avLst/>
                    </a:prstGeom>
                    <a:noFill/>
                  </pic:spPr>
                </pic:pic>
              </a:graphicData>
            </a:graphic>
          </wp:anchor>
        </w:drawing>
      </w:r>
    </w:p>
    <w:p>
      <w:pPr>
        <w:spacing w:after="0" w:line="29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Name:</w:t>
      </w:r>
    </w:p>
    <w:p>
      <w:pPr>
        <w:spacing w:after="0" w:line="2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502285</wp:posOffset>
            </wp:positionV>
            <wp:extent cx="399796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997960" cy="762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344170</wp:posOffset>
            </wp:positionV>
            <wp:extent cx="399796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997960" cy="762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186055</wp:posOffset>
            </wp:positionV>
            <wp:extent cx="399796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979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80"/>
          </w:cols>
          <w:pgMar w:left="320" w:top="1321" w:right="399" w:bottom="1440" w:gutter="0" w:footer="0" w:header="0"/>
        </w:sectPr>
      </w:pPr>
    </w:p>
    <w:bookmarkStart w:id="546" w:name="page547"/>
    <w:bookmarkEnd w:id="54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ADDENDUM</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SPECIAL TERMS AND CONDITIONS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TO NON-QUALIFIED STOCK OPTION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UNDER THE THREDUP,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AMENDED AND RESTATED 2010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 NON-U.S. OPTIONEES</w:t>
      </w:r>
    </w:p>
    <w:p>
      <w:pPr>
        <w:spacing w:after="0" w:line="141"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auto"/>
        </w:rPr>
        <w:t>Capitalized terms, unless explicitly defined in this Addendum, shall have the meanings given to them in the Non-Qualified Stock Option Agreement for Non-U.S. Optionees (“Stock Option Agreement”) or in the Plan.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This Addendum includes special terms and conditions that govern the Optionee’s Stock Option if the Optionee resides and/or works in one of the countries listed below. If the Optionee is a citizen or resident (or is considered as such for local law purposes) of a country other than the country in which the Optionee is currently residing and/or working, or if the Optionee transfers to another country after the grant of this Stock Option, the Company shall, in its discretion, determine to what extent the special terms and conditions contained herein shall be applicable to the Optionee.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This Addendum also includes information regarding securities, exchange control, tax and certain other issues of which the Optionee should be aware with respect to the Optionee’s participation in the Plan. The information is based on the securities, exchange control, tax and other laws in effect in the respective countries as of October 2020. Such laws are often complex and change frequently. As a result, the Company strongly recommends that the Optionee not rely on the information contained herein as the only source of information relating to the consequences of the Optionee’s participation in the Plan because the information may be out of date at the time the Optionee exercises this Stock Option or at the time the Optionee sells the Option Shares acquired upon the exercise of this Stock Option. In addition, the information is general in nature and may not apply to the Optionee’s particular situation, and the Company is not in a position to assure the Optionee of any particular result; therefore, the Optionee is advised to seek appropriate professional advice as to how the relevant laws in the Optionee’s country may apply to the Optionee’s individual situation.</w:t>
      </w:r>
    </w:p>
    <w:p>
      <w:pPr>
        <w:spacing w:after="0" w:line="121"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20"/>
          <w:szCs w:val="20"/>
          <w:color w:val="auto"/>
        </w:rPr>
        <w:t>If the Optionee is a citizen or resident (or is considered as such for local tax purposes) of a country other than the country in which the Optionee is currently residing and/or working, or if the Optionee transfers to another country after the grant of this Stock Option, the notifications contained herein may not be applicable to the Optionee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17" w:right="33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color w:val="auto"/>
        </w:rPr>
        <w:t>Language Consent</w:t>
      </w:r>
      <w:r>
        <w:rPr>
          <w:rFonts w:ascii="Times New Roman" w:cs="Times New Roman" w:eastAsia="Times New Roman" w:hAnsi="Times New Roman"/>
          <w:sz w:val="20"/>
          <w:szCs w:val="20"/>
          <w:color w:val="auto"/>
        </w:rPr>
        <w:t>. By accepting this Stock Option, the Optionee confirms having read and understood the Plan and Stock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which were provided in the English language. The Optionee accepts the terms of those documents accordingly.</w:t>
      </w:r>
    </w:p>
    <w:p>
      <w:pPr>
        <w:spacing w:after="0" w:line="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Consentement Relatif à la Langue Utilisée. </w:t>
      </w:r>
      <w:r>
        <w:rPr>
          <w:rFonts w:ascii="Times New Roman" w:cs="Times New Roman" w:eastAsia="Times New Roman" w:hAnsi="Times New Roman"/>
          <w:sz w:val="20"/>
          <w:szCs w:val="20"/>
          <w:i w:val="1"/>
          <w:iCs w:val="1"/>
          <w:color w:val="auto"/>
        </w:rPr>
        <w:t>En acceptant l’attribution, le Bénéficiaire de l’Option confirme avoir lu et compris le Plan et 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Contrat, qui ont été communiqués en langue anglaise. le Bénéficiaire de l’Option accepte les termes de ces documents en connaissance de cause.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Optionee may hold Option Shares acquired under the Plan outside of France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Optionee declares all foreign bank and brokerage accounts (including accounts opened or closed during the tax year) in the Optionee’s income tax return. Failure to comply could trigger significant penalties.</w:t>
      </w:r>
    </w:p>
    <w:p>
      <w:pPr>
        <w:spacing w:after="0" w:line="1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Tax Information. </w:t>
      </w:r>
      <w:r>
        <w:rPr>
          <w:rFonts w:ascii="Times New Roman" w:cs="Times New Roman" w:eastAsia="Times New Roman" w:hAnsi="Times New Roman"/>
          <w:sz w:val="20"/>
          <w:szCs w:val="20"/>
          <w:color w:val="auto"/>
        </w:rPr>
        <w:t>This Stock Option is not intended to qualify for special tax and social insurance treatment in France under Section L. 225-177 to L. 225-186-1.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Stock Option</w:t>
      </w:r>
      <w:r>
        <w:rPr>
          <w:rFonts w:ascii="Times New Roman" w:cs="Times New Roman" w:eastAsia="Times New Roman" w:hAnsi="Times New Roman"/>
          <w:sz w:val="20"/>
          <w:szCs w:val="20"/>
          <w:color w:val="auto"/>
        </w:rPr>
        <w:t>. The following provisions supplement Section 2 of the Stock Option Agreement: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Notwithstanding any provision of the Stock Option Agreement or the Plan, the Optionee may not exercise this Stock Option until the date that is the earlier of (i) the Company’s Initial Public Offering; or (ii) t the Option Shares subject to the Stock Option are otherwise listed on a recognized exchange (whether in or outside of India), provided, however, that the Committee, in its sole discretion, may allow for an earlier exercise of the Stock Option.</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Notwithstanding any provision of the Stock Option Agreement or the Plan, the Optionee may pay the Option Exercise Price only by using the method described in Section 5(a)(iv)(D) of the Plan. The Company reserves the right to provide the Optionee with additional methods of exercise depending on the development of local law.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The Optionee understands that he or she must repatriate any proceeds from the sale of Option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acquired under the Plan or the receipt of dividends paid on such Option Shares to India within such time prescribed under applicable Indian exchange control laws as may be amended from time to time. The Optionee will receive a foreign inward remittance certificate (“FIRC”) from the bank where he or she deposits the foreign currency. The Optionee should maintain the FIRC as evidence of the repatriation of the proceeds in the event the Reserve Bank of India or the Service Recipient requests proof of repatriation.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17" w:right="339" w:bottom="1440" w:gutter="0" w:footer="0" w:header="0"/>
        </w:sectPr>
      </w:pPr>
    </w:p>
    <w:bookmarkStart w:id="548" w:name="page549"/>
    <w:bookmarkEnd w:id="548"/>
    <w:p>
      <w:pPr>
        <w:jc w:val="both"/>
        <w:spacing w:after="0" w:line="277" w:lineRule="auto"/>
        <w:rPr>
          <w:sz w:val="20"/>
          <w:szCs w:val="20"/>
          <w:color w:val="auto"/>
        </w:rPr>
      </w:pPr>
      <w:r>
        <w:rPr>
          <w:rFonts w:ascii="Times New Roman" w:cs="Times New Roman" w:eastAsia="Times New Roman" w:hAnsi="Times New Roman"/>
          <w:sz w:val="20"/>
          <w:szCs w:val="20"/>
          <w:color w:val="auto"/>
        </w:rPr>
        <w:t>Optionee is also responsible for complying with any other exchange control laws in India that may apply to the Stock Option or the Option Shares acquired under the Plan.</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Optionee is required to declare any foreign bank accounts for which Optionee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signing authority and any foreign financial assets (including Option Shares acquired under the Plan) in his or her annual tax return. It is the Optionee’s responsibility to comply with this reporting obligation and the Optionee should consult his or her personal advisor in this regard.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Nature of Grant</w:t>
      </w:r>
      <w:r>
        <w:rPr>
          <w:rFonts w:ascii="Times New Roman" w:cs="Times New Roman" w:eastAsia="Times New Roman" w:hAnsi="Times New Roman"/>
          <w:sz w:val="20"/>
          <w:szCs w:val="20"/>
          <w:color w:val="auto"/>
        </w:rPr>
        <w:t>. The following provision supplements Section 7 of the Stock Option Agreement (Nature of Grant):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By accepting this Stock Option, the Optionee acknowledges that he or she has received a copy of the Plan and the Stock Option Agreement, which he or she has reviewed. The Optionee further acknowledges that he or she accepts all the provisions of the Plan and the Stock Option Agreement. The Optionee also acknowledges that he or she has read and specifically and expressly approves the terms and conditions set forth in the “Nature of Grant” section in Section 7 of the Stock Option Agreement, which clearly provides as follows:</w:t>
      </w:r>
    </w:p>
    <w:p>
      <w:pPr>
        <w:spacing w:after="0" w:line="164" w:lineRule="exact"/>
        <w:rPr>
          <w:sz w:val="20"/>
          <w:szCs w:val="20"/>
          <w:color w:val="auto"/>
        </w:rPr>
      </w:pPr>
    </w:p>
    <w:p>
      <w:pPr>
        <w:ind w:left="720" w:hanging="422"/>
        <w:spacing w:after="0"/>
        <w:tabs>
          <w:tab w:leader="none" w:pos="720"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Optionee’s participation in the Plan does not constitute an acquired right;</w:t>
      </w:r>
    </w:p>
    <w:p>
      <w:pPr>
        <w:spacing w:after="0" w:line="205" w:lineRule="exact"/>
        <w:rPr>
          <w:rFonts w:ascii="Times New Roman" w:cs="Times New Roman" w:eastAsia="Times New Roman" w:hAnsi="Times New Roman"/>
          <w:sz w:val="20"/>
          <w:szCs w:val="20"/>
          <w:color w:val="auto"/>
        </w:rPr>
      </w:pPr>
    </w:p>
    <w:p>
      <w:pPr>
        <w:ind w:left="720" w:hanging="422"/>
        <w:spacing w:after="0"/>
        <w:tabs>
          <w:tab w:leader="none" w:pos="720"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 the Optionee’s participation in it are offered by the Company on a wholly discretionary basis;</w:t>
      </w:r>
    </w:p>
    <w:p>
      <w:pPr>
        <w:spacing w:after="0" w:line="205" w:lineRule="exact"/>
        <w:rPr>
          <w:rFonts w:ascii="Times New Roman" w:cs="Times New Roman" w:eastAsia="Times New Roman" w:hAnsi="Times New Roman"/>
          <w:sz w:val="20"/>
          <w:szCs w:val="20"/>
          <w:color w:val="auto"/>
        </w:rPr>
      </w:pPr>
    </w:p>
    <w:p>
      <w:pPr>
        <w:ind w:left="720" w:hanging="422"/>
        <w:spacing w:after="0"/>
        <w:tabs>
          <w:tab w:leader="none" w:pos="720"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Optionee’s participation in the Plan is voluntary; and</w:t>
      </w:r>
    </w:p>
    <w:p>
      <w:pPr>
        <w:spacing w:after="0" w:line="205" w:lineRule="exact"/>
        <w:rPr>
          <w:rFonts w:ascii="Times New Roman" w:cs="Times New Roman" w:eastAsia="Times New Roman" w:hAnsi="Times New Roman"/>
          <w:sz w:val="20"/>
          <w:szCs w:val="20"/>
          <w:color w:val="auto"/>
        </w:rPr>
      </w:pPr>
    </w:p>
    <w:p>
      <w:pPr>
        <w:ind w:left="900" w:right="120" w:hanging="602"/>
        <w:spacing w:after="0" w:line="277" w:lineRule="auto"/>
        <w:tabs>
          <w:tab w:leader="none" w:pos="734"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are not responsible for any decrease in the value of any Option Shares acquired upon exercise of this Stock Option.</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Labor Law Policy and Acknowledgement</w:t>
      </w:r>
      <w:r>
        <w:rPr>
          <w:rFonts w:ascii="Times New Roman" w:cs="Times New Roman" w:eastAsia="Times New Roman" w:hAnsi="Times New Roman"/>
          <w:sz w:val="20"/>
          <w:szCs w:val="20"/>
          <w:color w:val="auto"/>
        </w:rPr>
        <w:t>. By accepting this Stock Option, the Optionee acknowledges that ThredUp, Inc. with registered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offices at 114 Sansome Street, 5th floor, San Francisco, California 94104, U.S.A., is solely responsible for the administration of the Plan and that the Optionee’s participation in the Plan and acquisition of this Stock Option or any Option Shares under the Plan do not constitute a service agreement and do not guarantee the Optionee the right to continue his or her service with the Company or any Subsidiary since the Optionee is participating in the Plan on a wholly commercial basis. Based on the foregoing, the Optionee expressly recognizes that the Plan and the benefits that he or she may derive from participating in the Plan, do not establish any rights between the Optionee and the Company, and do not form part of any service agreement between the Optionee and the Company or any Subsidiary, and any modification of the Plan or its termination shall not constitute a change or impairment of the terms and conditions of the Optionee’s service agreement.</w:t>
      </w:r>
    </w:p>
    <w:p>
      <w:pPr>
        <w:spacing w:after="0" w:line="1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Optionee further understands that his or her participation in the Plan is the result of a unilateral and discretionary decision of the Company; therefore, the Company reserves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21" w:right="33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20"/>
          <w:szCs w:val="20"/>
          <w:color w:val="auto"/>
        </w:rPr>
        <w:t>absolute right to amend and/or discontinue the Optionee’s participation in the Plan at any time, without any liability to the Optionee.</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Finally, the Optionee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any Subsidiary, affiliates, branches, representation offices, shareholders, officers, agents and legal representatives, with respect to any claim that may arise.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Términos y Condiciones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auto"/>
        </w:rPr>
        <w:t>Naturaleza de la Concesión</w:t>
      </w:r>
      <w:r>
        <w:rPr>
          <w:rFonts w:ascii="Times New Roman" w:cs="Times New Roman" w:eastAsia="Times New Roman" w:hAnsi="Times New Roman"/>
          <w:sz w:val="19"/>
          <w:szCs w:val="19"/>
          <w:i w:val="1"/>
          <w:iCs w:val="1"/>
          <w:color w:val="auto"/>
        </w:rPr>
        <w:t>. Esta disposición suplementa la Sección 7 del Contrato de la Opción de Compra de Acciones(“Naturaleza de la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Concesión” o “Nature of Grant,” en Ingles):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Al aceptar esta Opción de Compra de Acciones, el Beneficiario reconoce que ha recibido una copia del Plan y del Contrato de la Opción de Compra de Acciones, que el Beneficiario ha revisado. El Beneficiario reconoce, además, que acepta todas las disposiciones del Plan y del Contrato de la Opción de Compra de Acciones . El Beneficiario también reconoce que ha leído la Sección 7 del Contrato de la Opción de Compra de Acciones intitulada “Naturaleza de la Concesión” y que específica y expresamente aprueba los términos y condiciones establecidos en dicha sección, que claramente establece lo siguiente:</w:t>
      </w:r>
    </w:p>
    <w:p>
      <w:pPr>
        <w:spacing w:after="0" w:line="159" w:lineRule="exact"/>
        <w:rPr>
          <w:sz w:val="20"/>
          <w:szCs w:val="20"/>
          <w:color w:val="auto"/>
        </w:rPr>
      </w:pPr>
    </w:p>
    <w:p>
      <w:pPr>
        <w:ind w:left="720" w:hanging="422"/>
        <w:spacing w:after="0"/>
        <w:tabs>
          <w:tab w:leader="none" w:pos="720" w:val="left"/>
        </w:tabs>
        <w:numPr>
          <w:ilvl w:val="0"/>
          <w:numId w:val="45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La participación del Beneficiario en el Plan no constituye un derecho adquirido;</w:t>
      </w:r>
    </w:p>
    <w:p>
      <w:pPr>
        <w:spacing w:after="0" w:line="205" w:lineRule="exact"/>
        <w:rPr>
          <w:rFonts w:ascii="Times New Roman" w:cs="Times New Roman" w:eastAsia="Times New Roman" w:hAnsi="Times New Roman"/>
          <w:sz w:val="20"/>
          <w:szCs w:val="20"/>
          <w:i w:val="1"/>
          <w:iCs w:val="1"/>
          <w:color w:val="auto"/>
        </w:rPr>
      </w:pPr>
    </w:p>
    <w:p>
      <w:pPr>
        <w:ind w:left="720" w:hanging="422"/>
        <w:spacing w:after="0"/>
        <w:tabs>
          <w:tab w:leader="none" w:pos="720" w:val="left"/>
        </w:tabs>
        <w:numPr>
          <w:ilvl w:val="0"/>
          <w:numId w:val="45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El Plan y la participación del Beneficiario en el Plan se ofrecen por la Compañía de manera totalmente discrecional;</w:t>
      </w:r>
    </w:p>
    <w:p>
      <w:pPr>
        <w:spacing w:after="0" w:line="205" w:lineRule="exact"/>
        <w:rPr>
          <w:rFonts w:ascii="Times New Roman" w:cs="Times New Roman" w:eastAsia="Times New Roman" w:hAnsi="Times New Roman"/>
          <w:sz w:val="20"/>
          <w:szCs w:val="20"/>
          <w:i w:val="1"/>
          <w:iCs w:val="1"/>
          <w:color w:val="auto"/>
        </w:rPr>
      </w:pPr>
    </w:p>
    <w:p>
      <w:pPr>
        <w:ind w:left="720" w:hanging="422"/>
        <w:spacing w:after="0"/>
        <w:tabs>
          <w:tab w:leader="none" w:pos="720" w:val="left"/>
        </w:tabs>
        <w:numPr>
          <w:ilvl w:val="0"/>
          <w:numId w:val="45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La participación del Beneficiario en el Plan es voluntaria; y</w:t>
      </w:r>
    </w:p>
    <w:p>
      <w:pPr>
        <w:spacing w:after="0" w:line="205" w:lineRule="exact"/>
        <w:rPr>
          <w:rFonts w:ascii="Times New Roman" w:cs="Times New Roman" w:eastAsia="Times New Roman" w:hAnsi="Times New Roman"/>
          <w:sz w:val="20"/>
          <w:szCs w:val="20"/>
          <w:i w:val="1"/>
          <w:iCs w:val="1"/>
          <w:color w:val="auto"/>
        </w:rPr>
      </w:pPr>
    </w:p>
    <w:p>
      <w:pPr>
        <w:ind w:left="900" w:hanging="602"/>
        <w:spacing w:after="0" w:line="281" w:lineRule="auto"/>
        <w:tabs>
          <w:tab w:leader="none" w:pos="734" w:val="left"/>
        </w:tabs>
        <w:numPr>
          <w:ilvl w:val="0"/>
          <w:numId w:val="45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La Compañía y sus Subsidiarias no son responsables por cualquier disminución en el valor de las Acciones adquiridas al ejercer la Opción de Compra de Acciones.</w:t>
      </w:r>
    </w:p>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u w:val="single" w:color="auto"/>
          <w:color w:val="auto"/>
        </w:rPr>
        <w:t>Política de Ley Laboral y Reconocimiento</w:t>
      </w:r>
      <w:r>
        <w:rPr>
          <w:rFonts w:ascii="Times New Roman" w:cs="Times New Roman" w:eastAsia="Times New Roman" w:hAnsi="Times New Roman"/>
          <w:sz w:val="19"/>
          <w:szCs w:val="19"/>
          <w:i w:val="1"/>
          <w:iCs w:val="1"/>
          <w:color w:val="auto"/>
        </w:rPr>
        <w:t>. Al aceptar esta Opción de Compra de Acciones, el Beneficiario reconoce que ThredUp, Inc. con oficinas registradas en 114 Sansome Street, 15th floor, San Francisco, California 94104, EE.UU., es únicamente responsable por la administración del Plan. Además, el Beneficiario reconoce que su participación en el Plan, el otorgamiento de esta Opción de Compra de Acciones y cualquier adquisición de Acciones de conformidad con el Plan no constituyen un acuerdo de servicios y no garantizan el derecho del Beneficiario de continuar prestando sus servicios a la Compañía o cualquier Subsidiaria, ya que el Beneficiario está participando en el Plan sobre una base exclusivamente comercial. Con base en lo anterior, el Beneficiario expresamente reconoce que el Plan y los beneficios que el Beneficiario podría derivar al participar en el Plan no establecen derecho alguno entre el Beneficiario y la Compañía y no forman parte de ningún acuerdo de servicios celebrado entre el Beneficiario y la Compañía o cualquier Subsidiaria, y cualquier modificación del Plan o su terminación no constituirá un cambio o deterioro de los términos y condiciones del acuerdo de servicios del Beneficiario.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21" w:right="339" w:bottom="1440" w:gutter="0" w:footer="0" w:header="0"/>
        </w:sectPr>
      </w:pPr>
    </w:p>
    <w:bookmarkStart w:id="550" w:name="page551"/>
    <w:bookmarkEnd w:id="550"/>
    <w:p>
      <w:pPr>
        <w:jc w:val="both"/>
        <w:spacing w:after="0" w:line="264" w:lineRule="auto"/>
        <w:rPr>
          <w:sz w:val="20"/>
          <w:szCs w:val="20"/>
          <w:color w:val="auto"/>
        </w:rPr>
      </w:pPr>
      <w:r>
        <w:rPr>
          <w:rFonts w:ascii="Times New Roman" w:cs="Times New Roman" w:eastAsia="Times New Roman" w:hAnsi="Times New Roman"/>
          <w:sz w:val="20"/>
          <w:szCs w:val="20"/>
          <w:i w:val="1"/>
          <w:iCs w:val="1"/>
          <w:color w:val="auto"/>
        </w:rPr>
        <w:t>Además, el Beneficiario entiende que su participación en el Plan re resulta de una decisión unilateral y discrecional de la Compañía y, por lo tanto, la Compañía se reserva el derecho absoluto de modificar y/o discontinuar la participación del Beneficiario en el Plan en cualquier momento, sin responsabilidad alguna para con el Beneficiario.</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Finalmente, el Beneficiario en este acto manifiesta que no se reserva ninguna acción o derecho para interponer una demanda o reclamación en contra de la Compañía por cualquier compensación o daño o perjuicio en relación con cualquier disposición del Plan o los beneficios derivados del Plan y, en consecuencia, otorga un amplio y total finiquito a la Compañía, cualquier Subsidiaria, afiliadas, sucursales, oficinas de representación, accionistas, funcionarios, agentes y representantes con respecto a cualquier demanda o reclamación que pudiera surgir.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UKRAINE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5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Ukrainian residents are subject to exchange control restrictions which may affect their ability to remit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funds abroad for the purchase of foreign securities and/or their ability to hold securities or cash in an account outside of Ukraine. In particular, Ukrainian residents may be required to obtain an “investment license” (for the purchase of Option Shares) and/or a “placement license” (for the placement of shares of Common Stock or cash outside of Ukraine) from the National Bank of Ukraine.</w:t>
      </w:r>
    </w:p>
    <w:p>
      <w:pPr>
        <w:spacing w:after="0" w:line="11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In addition, Ukrainian residents may be required to notify the National Bank of Ukraine within three days of opening a foreign brokerage account.</w:t>
      </w:r>
    </w:p>
    <w:p>
      <w:pPr>
        <w:spacing w:after="0" w:line="9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Because exchange control restrictions in the Ukraine are subject to frequent changes, Ukrainian residents should consult with their personal legal advisor to determine their responsibilities under Ukrainian exchange control laws prior to exercising this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17" w:right="339" w:bottom="1440" w:gutter="0" w:footer="0" w:header="0"/>
        </w:sectPr>
      </w:pPr>
    </w:p>
    <w:bookmarkStart w:id="551" w:name="page552"/>
    <w:bookmarkEnd w:id="551"/>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1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STOCK OPTION EXERCISE NOTICE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NON-U.S. OPTIONEES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ThredUp,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4311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20" w:firstLine="597"/>
        <w:spacing w:after="0" w:line="271" w:lineRule="auto"/>
        <w:rPr>
          <w:sz w:val="20"/>
          <w:szCs w:val="20"/>
          <w:color w:val="auto"/>
        </w:rPr>
      </w:pPr>
      <w:r>
        <w:rPr>
          <w:rFonts w:ascii="Times New Roman" w:cs="Times New Roman" w:eastAsia="Times New Roman" w:hAnsi="Times New Roman"/>
          <w:sz w:val="19"/>
          <w:szCs w:val="19"/>
          <w:color w:val="auto"/>
        </w:rPr>
        <w:t>Pursuant to the terms of the non-qualified stock option agreement for non-U.S. Optionees between the undersigned and ThredUp, Inc. (the “Company”) dated __________ (including the addendum attached thereto, the “Agreement”) under the ThredUp, Inc. Amended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Restated 2010 Stock Incentive Plan , I, [Insert Name] ________________, hereby [Circle One] partially/fully exercise such option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herein payment in the amount of $______ representing the purchase price for [Fill in number of Underlying Shares] _______</w:t>
      </w:r>
    </w:p>
    <w:p>
      <w:pPr>
        <w:spacing w:after="0" w:line="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Underlying Shares. Unless I am restricted to using a prescribed method of payment pursuant to the terms of the Agreement, I have chosen the following form(s) of payment:</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259"/>
        </w:trPr>
        <w:tc>
          <w:tcPr>
            <w:tcW w:w="78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w w:val="87"/>
              </w:rPr>
              <w:t>[ ]</w:t>
            </w: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1.</w:t>
            </w: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w:t>
            </w:r>
          </w:p>
        </w:tc>
      </w:tr>
      <w:tr>
        <w:trPr>
          <w:trHeight w:val="336"/>
        </w:trPr>
        <w:tc>
          <w:tcPr>
            <w:tcW w:w="78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w w:val="87"/>
              </w:rPr>
              <w:t>[ ]</w:t>
            </w: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w:t>
            </w: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Certified or bank check payable to ThredUp, Inc.</w:t>
            </w:r>
          </w:p>
        </w:tc>
      </w:tr>
      <w:tr>
        <w:trPr>
          <w:trHeight w:val="313"/>
        </w:trPr>
        <w:tc>
          <w:tcPr>
            <w:tcW w:w="78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w w:val="87"/>
              </w:rPr>
              <w:t>[ ]</w:t>
            </w:r>
          </w:p>
        </w:tc>
        <w:tc>
          <w:tcPr>
            <w:tcW w:w="12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3.</w:t>
            </w: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(as referenced in the Agreement and described in the Plan provided such form of payment has</w:t>
            </w:r>
          </w:p>
        </w:tc>
      </w:tr>
      <w:tr>
        <w:trPr>
          <w:trHeight w:val="259"/>
        </w:trPr>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been permitted by the Company (please describe))</w:t>
            </w:r>
          </w:p>
        </w:tc>
      </w:tr>
      <w:tr>
        <w:trPr>
          <w:trHeight w:val="152"/>
        </w:trPr>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bl>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connection with my exercise of the option as set forth above, I hereby represent and warrant to the Company as follows:</w:t>
      </w:r>
    </w:p>
    <w:p>
      <w:pPr>
        <w:spacing w:after="0" w:line="156" w:lineRule="exact"/>
        <w:rPr>
          <w:sz w:val="20"/>
          <w:szCs w:val="20"/>
          <w:color w:val="auto"/>
        </w:rPr>
      </w:pPr>
    </w:p>
    <w:p>
      <w:pPr>
        <w:ind w:left="600" w:right="20" w:firstLine="1191"/>
        <w:spacing w:after="0" w:line="277" w:lineRule="auto"/>
        <w:tabs>
          <w:tab w:leader="none" w:pos="2182"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purchasing the Underlying Shares for my own account for investment only, and not for resale or with a view to the distribution thereof.</w:t>
      </w:r>
    </w:p>
    <w:p>
      <w:pPr>
        <w:spacing w:after="0" w:line="91" w:lineRule="exact"/>
        <w:rPr>
          <w:rFonts w:ascii="Times New Roman" w:cs="Times New Roman" w:eastAsia="Times New Roman" w:hAnsi="Times New Roman"/>
          <w:sz w:val="20"/>
          <w:szCs w:val="20"/>
          <w:color w:val="auto"/>
        </w:rPr>
      </w:pPr>
    </w:p>
    <w:p>
      <w:pPr>
        <w:ind w:left="600" w:right="140" w:firstLine="1191"/>
        <w:spacing w:after="0" w:line="262" w:lineRule="auto"/>
        <w:tabs>
          <w:tab w:leader="none" w:pos="2237"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05" w:lineRule="exact"/>
        <w:rPr>
          <w:rFonts w:ascii="Times New Roman" w:cs="Times New Roman" w:eastAsia="Times New Roman" w:hAnsi="Times New Roman"/>
          <w:sz w:val="20"/>
          <w:szCs w:val="20"/>
          <w:color w:val="auto"/>
        </w:rPr>
      </w:pPr>
    </w:p>
    <w:p>
      <w:pPr>
        <w:ind w:left="600" w:right="520" w:firstLine="1191"/>
        <w:spacing w:after="0" w:line="304" w:lineRule="auto"/>
        <w:tabs>
          <w:tab w:leader="none" w:pos="2292" w:val="left"/>
        </w:tabs>
        <w:numPr>
          <w:ilvl w:val="0"/>
          <w:numId w:val="4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sufficient experience in business, financial and investment matters to be able to evaluate the risks involved in the purchase of the Underlying Shares and to make an informed investment decision with respect to such purchase.</w:t>
      </w:r>
    </w:p>
    <w:p>
      <w:pPr>
        <w:spacing w:after="0" w:line="68" w:lineRule="exact"/>
        <w:rPr>
          <w:rFonts w:ascii="Times New Roman" w:cs="Times New Roman" w:eastAsia="Times New Roman" w:hAnsi="Times New Roman"/>
          <w:sz w:val="19"/>
          <w:szCs w:val="19"/>
          <w:color w:val="auto"/>
        </w:rPr>
      </w:pPr>
    </w:p>
    <w:p>
      <w:pPr>
        <w:ind w:left="600" w:right="120" w:firstLine="1191"/>
        <w:spacing w:after="0" w:line="277" w:lineRule="auto"/>
        <w:tabs>
          <w:tab w:leader="none" w:pos="2281"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can afford a complete loss of the value of the Option Shares and am able to bear the economic risk of holding such Option Shares for an indefinite period of time.</w:t>
      </w:r>
    </w:p>
    <w:p>
      <w:pPr>
        <w:spacing w:after="0" w:line="91" w:lineRule="exact"/>
        <w:rPr>
          <w:rFonts w:ascii="Times New Roman" w:cs="Times New Roman" w:eastAsia="Times New Roman" w:hAnsi="Times New Roman"/>
          <w:sz w:val="20"/>
          <w:szCs w:val="20"/>
          <w:color w:val="auto"/>
        </w:rPr>
      </w:pPr>
    </w:p>
    <w:p>
      <w:pPr>
        <w:ind w:left="600" w:right="140" w:firstLine="1191"/>
        <w:spacing w:after="0" w:line="304" w:lineRule="auto"/>
        <w:tabs>
          <w:tab w:leader="none" w:pos="2226" w:val="left"/>
        </w:tabs>
        <w:numPr>
          <w:ilvl w:val="0"/>
          <w:numId w:val="4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the Option Shares may not be registered under the Securities Act of 1933 (it being understood that the Option Shares are being issued and sold in reliance on the exemption provided in Rule 701 thereunder) or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17" w:right="339" w:bottom="1440" w:gutter="0" w:footer="0" w:header="0"/>
        </w:sectPr>
      </w:pPr>
    </w:p>
    <w:bookmarkStart w:id="552" w:name="page553"/>
    <w:bookmarkEnd w:id="552"/>
    <w:p>
      <w:pPr>
        <w:spacing w:after="0" w:line="254" w:lineRule="auto"/>
        <w:rPr>
          <w:sz w:val="20"/>
          <w:szCs w:val="20"/>
          <w:color w:val="auto"/>
        </w:rPr>
      </w:pPr>
      <w:r>
        <w:rPr>
          <w:rFonts w:ascii="Times New Roman" w:cs="Times New Roman" w:eastAsia="Times New Roman" w:hAnsi="Times New Roman"/>
          <w:sz w:val="20"/>
          <w:szCs w:val="20"/>
          <w:color w:val="auto"/>
        </w:rPr>
        <w:t>state securities or “blue sky” or foreign laws and may not be sold or otherwise transferred or disposed of in the absence of an effective registration statement under the U.S. Securities Act of 1933 and under any applicable state securities or “blue sky” or foreign laws (or exemptions from the registration requirement thereof). I further acknowledge that certificates representing Option Shares will bear restrictive legends reflecting the foregoing and/or that book entries for uncertificated Option Shares will include similar restrictive notations.</w:t>
      </w:r>
    </w:p>
    <w:p>
      <w:pPr>
        <w:spacing w:after="0" w:line="16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344170</wp:posOffset>
            </wp:positionV>
            <wp:extent cx="373761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37610" cy="76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Name:</w:t>
      </w:r>
    </w:p>
    <w:p>
      <w:pPr>
        <w:spacing w:after="0" w:line="2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502285</wp:posOffset>
            </wp:positionV>
            <wp:extent cx="37376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737610" cy="762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344170</wp:posOffset>
            </wp:positionV>
            <wp:extent cx="373761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737610" cy="762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186055</wp:posOffset>
            </wp:positionV>
            <wp:extent cx="373761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7376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380"/>
          </w:cols>
          <w:pgMar w:left="920" w:top="1320" w:right="599" w:bottom="1440" w:gutter="0" w:footer="0" w:header="0"/>
        </w:sectPr>
      </w:pPr>
    </w:p>
    <w:bookmarkStart w:id="553" w:name="page554"/>
    <w:bookmarkEnd w:id="553"/>
    <w:p>
      <w:pPr>
        <w:jc w:val="right"/>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THREDUP INC.</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SENIOR EXECUTIVE CASH INCENTIVE BONUS PLAN</w:t>
      </w:r>
    </w:p>
    <w:p>
      <w:pPr>
        <w:spacing w:after="0" w:line="200" w:lineRule="exact"/>
        <w:rPr>
          <w:sz w:val="20"/>
          <w:szCs w:val="20"/>
          <w:color w:val="auto"/>
        </w:rPr>
      </w:pPr>
    </w:p>
    <w:p>
      <w:pPr>
        <w:spacing w:after="0" w:line="220" w:lineRule="exact"/>
        <w:rPr>
          <w:sz w:val="20"/>
          <w:szCs w:val="20"/>
          <w:color w:val="auto"/>
        </w:rPr>
      </w:pPr>
    </w:p>
    <w:p>
      <w:pPr>
        <w:ind w:left="600" w:hanging="600"/>
        <w:spacing w:after="0"/>
        <w:tabs>
          <w:tab w:leader="none" w:pos="600" w:val="left"/>
        </w:tabs>
        <w:numPr>
          <w:ilvl w:val="0"/>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p>
    <w:p>
      <w:pPr>
        <w:spacing w:after="0" w:line="206" w:lineRule="exact"/>
        <w:rPr>
          <w:sz w:val="20"/>
          <w:szCs w:val="20"/>
          <w:color w:val="auto"/>
        </w:rPr>
      </w:pPr>
    </w:p>
    <w:p>
      <w:pPr>
        <w:ind w:right="100" w:firstLine="597"/>
        <w:spacing w:after="0" w:line="256" w:lineRule="auto"/>
        <w:rPr>
          <w:sz w:val="20"/>
          <w:szCs w:val="20"/>
          <w:color w:val="auto"/>
        </w:rPr>
      </w:pPr>
      <w:r>
        <w:rPr>
          <w:rFonts w:ascii="Times New Roman" w:cs="Times New Roman" w:eastAsia="Times New Roman" w:hAnsi="Times New Roman"/>
          <w:sz w:val="20"/>
          <w:szCs w:val="20"/>
          <w:color w:val="auto"/>
        </w:rPr>
        <w:t>This Senior Executive Cash Incentive Bonus Plan (the “Incentive Plan”) is intended to provide an incentive for superior work and to motivate eligible executives of ThredUp Inc. (the “Company”)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spacing w:after="0" w:line="164" w:lineRule="exact"/>
        <w:rPr>
          <w:sz w:val="20"/>
          <w:szCs w:val="20"/>
          <w:color w:val="auto"/>
        </w:rPr>
      </w:pPr>
    </w:p>
    <w:p>
      <w:pPr>
        <w:ind w:left="600" w:hanging="600"/>
        <w:spacing w:after="0"/>
        <w:tabs>
          <w:tab w:leader="none" w:pos="600"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Covered Executives</w:t>
      </w:r>
    </w:p>
    <w:p>
      <w:pPr>
        <w:spacing w:after="0" w:line="206" w:lineRule="exact"/>
        <w:rPr>
          <w:sz w:val="20"/>
          <w:szCs w:val="20"/>
          <w:color w:val="auto"/>
        </w:rPr>
      </w:pPr>
    </w:p>
    <w:p>
      <w:pPr>
        <w:ind w:right="60" w:firstLine="597"/>
        <w:spacing w:after="0" w:line="262" w:lineRule="auto"/>
        <w:rPr>
          <w:sz w:val="20"/>
          <w:szCs w:val="20"/>
          <w:color w:val="auto"/>
        </w:rPr>
      </w:pPr>
      <w:r>
        <w:rPr>
          <w:rFonts w:ascii="Times New Roman" w:cs="Times New Roman" w:eastAsia="Times New Roman" w:hAnsi="Times New Roman"/>
          <w:sz w:val="20"/>
          <w:szCs w:val="20"/>
          <w:color w:val="auto"/>
        </w:rPr>
        <w:t>From time to time, the Compensation Committee of the Board of Directors of the Company (the “Compensation Committee”) may select certain key executives (the “Covered Executives”) to be eligible to receive bonuses hereunder. Participation in the Incentive Plan does not change the “at will” nature of a Covered Executive’s employment with the Company.</w:t>
      </w:r>
    </w:p>
    <w:p>
      <w:pPr>
        <w:spacing w:after="0" w:line="155" w:lineRule="exact"/>
        <w:rPr>
          <w:sz w:val="20"/>
          <w:szCs w:val="20"/>
          <w:color w:val="auto"/>
        </w:rPr>
      </w:pPr>
    </w:p>
    <w:p>
      <w:pPr>
        <w:ind w:left="600" w:hanging="600"/>
        <w:spacing w:after="0"/>
        <w:tabs>
          <w:tab w:leader="none" w:pos="600"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p>
    <w:p>
      <w:pPr>
        <w:spacing w:after="0" w:line="205"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Committee shall have the sole discretion and authority to administer and interpret the Incentive Plan.</w:t>
      </w:r>
    </w:p>
    <w:p>
      <w:pPr>
        <w:spacing w:after="0" w:line="205"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Bonus Determinations</w:t>
      </w:r>
    </w:p>
    <w:p>
      <w:pPr>
        <w:spacing w:after="0" w:line="205" w:lineRule="exact"/>
        <w:rPr>
          <w:rFonts w:ascii="Times New Roman" w:cs="Times New Roman" w:eastAsia="Times New Roman" w:hAnsi="Times New Roman"/>
          <w:sz w:val="20"/>
          <w:szCs w:val="20"/>
          <w:color w:val="auto"/>
        </w:rPr>
      </w:pPr>
    </w:p>
    <w:p>
      <w:pPr>
        <w:ind w:firstLine="597"/>
        <w:spacing w:after="0" w:line="249" w:lineRule="auto"/>
        <w:tabs>
          <w:tab w:leader="none" w:pos="1192" w:val="left"/>
        </w:tabs>
        <w:numPr>
          <w:ilvl w:val="1"/>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Performance Goals</w:t>
      </w:r>
      <w:r>
        <w:rPr>
          <w:rFonts w:ascii="Times New Roman" w:cs="Times New Roman" w:eastAsia="Times New Roman" w:hAnsi="Times New Roman"/>
          <w:sz w:val="20"/>
          <w:szCs w:val="20"/>
          <w:color w:val="auto"/>
        </w:rPr>
        <w:t>. A Covered Executive may receive a bonus payment under the Incentive Plan based upon the attainment of one or more performance objectives that are established by the Compensation Committee and relate to financial and operational metrics with respect to the Company or any of its subsidiaries (the “Corporate Performance Goals”), including without limitation any of the following: developmental, publication, clinical, regulatory, business development or commercial milestones; organizational metrics such as employee turnover rates, engagement survey results, establishment of a company values program, etc.; earnings before interest, taxes, depreciation and amortization; cash flow (including, but not limited to, operating cash flow and free cash flow); revenue; corporate revenue; net income (loss) (either before or after interest, taxes, depreciation and/or amortization); changes in the market price of the Company’s Class A common stock; economic value-added;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Class A common stock; sales or market shares; number of customers, number of new customers or customer references; operating income and/or net annual recurring revenue, any of which may be (A) measured in absolute terms or compared to any incremental increase, (B) measured in terms of growth, (C) compared</w:t>
      </w:r>
    </w:p>
    <w:p>
      <w:pPr>
        <w:sectPr>
          <w:pgSz w:w="11900" w:h="16838" w:orient="portrait"/>
          <w:cols w:equalWidth="0" w:num="1">
            <w:col w:w="11240"/>
          </w:cols>
          <w:pgMar w:left="320" w:top="118" w:right="339" w:bottom="1440" w:gutter="0" w:footer="0" w:header="0"/>
        </w:sectPr>
      </w:pPr>
    </w:p>
    <w:bookmarkStart w:id="554" w:name="page555"/>
    <w:bookmarkEnd w:id="554"/>
    <w:p>
      <w:pPr>
        <w:ind w:right="20"/>
        <w:spacing w:after="0" w:line="256" w:lineRule="auto"/>
        <w:rPr>
          <w:sz w:val="20"/>
          <w:szCs w:val="20"/>
          <w:color w:val="auto"/>
        </w:rPr>
      </w:pPr>
      <w:r>
        <w:rPr>
          <w:rFonts w:ascii="Times New Roman" w:cs="Times New Roman" w:eastAsia="Times New Roman" w:hAnsi="Times New Roman"/>
          <w:sz w:val="20"/>
          <w:szCs w:val="20"/>
          <w:color w:val="auto"/>
        </w:rPr>
        <w:t>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w:t>
      </w:r>
    </w:p>
    <w:p>
      <w:pPr>
        <w:spacing w:after="0" w:line="164" w:lineRule="exact"/>
        <w:rPr>
          <w:sz w:val="20"/>
          <w:szCs w:val="20"/>
          <w:color w:val="auto"/>
        </w:rPr>
      </w:pPr>
    </w:p>
    <w:p>
      <w:pPr>
        <w:ind w:right="220" w:firstLine="597"/>
        <w:spacing w:after="0" w:line="252" w:lineRule="auto"/>
        <w:tabs>
          <w:tab w:leader="none" w:pos="1190"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Calculation of Corporate Performance Goals</w:t>
      </w:r>
      <w:r>
        <w:rPr>
          <w:rFonts w:ascii="Times New Roman" w:cs="Times New Roman" w:eastAsia="Times New Roman" w:hAnsi="Times New Roman"/>
          <w:sz w:val="20"/>
          <w:szCs w:val="20"/>
          <w:color w:val="auto"/>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spacing w:after="0" w:line="168" w:lineRule="exact"/>
        <w:rPr>
          <w:rFonts w:ascii="Times New Roman" w:cs="Times New Roman" w:eastAsia="Times New Roman" w:hAnsi="Times New Roman"/>
          <w:sz w:val="20"/>
          <w:szCs w:val="20"/>
          <w:color w:val="auto"/>
        </w:rPr>
      </w:pPr>
    </w:p>
    <w:p>
      <w:pPr>
        <w:ind w:right="400" w:firstLine="597"/>
        <w:spacing w:after="0" w:line="277" w:lineRule="auto"/>
        <w:tabs>
          <w:tab w:leader="none" w:pos="1191"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Target; Minimum; Maximum</w:t>
      </w:r>
      <w:r>
        <w:rPr>
          <w:rFonts w:ascii="Times New Roman" w:cs="Times New Roman" w:eastAsia="Times New Roman" w:hAnsi="Times New Roman"/>
          <w:sz w:val="20"/>
          <w:szCs w:val="20"/>
          <w:color w:val="auto"/>
        </w:rPr>
        <w:t>. Each Corporate Performance Goal shall have a “target” (i.e., 100 percent attainment of the Corporate Performance Goal) and may also have a “minimum” hurdle and/or a “maximum” amount.</w:t>
      </w:r>
    </w:p>
    <w:p>
      <w:pPr>
        <w:spacing w:after="0" w:line="141" w:lineRule="exact"/>
        <w:rPr>
          <w:rFonts w:ascii="Times New Roman" w:cs="Times New Roman" w:eastAsia="Times New Roman" w:hAnsi="Times New Roman"/>
          <w:sz w:val="20"/>
          <w:szCs w:val="20"/>
          <w:color w:val="auto"/>
        </w:rPr>
      </w:pPr>
    </w:p>
    <w:p>
      <w:pPr>
        <w:ind w:firstLine="597"/>
        <w:spacing w:after="0" w:line="250" w:lineRule="auto"/>
        <w:tabs>
          <w:tab w:leader="none" w:pos="1190"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Bonus Requirements; Individual Goals</w:t>
      </w:r>
      <w:r>
        <w:rPr>
          <w:rFonts w:ascii="Times New Roman" w:cs="Times New Roman" w:eastAsia="Times New Roman" w:hAnsi="Times New Roman"/>
          <w:sz w:val="20"/>
          <w:szCs w:val="20"/>
          <w:color w:val="auto"/>
        </w:rPr>
        <w:t>.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w:t>
      </w:r>
    </w:p>
    <w:p>
      <w:pPr>
        <w:spacing w:after="0" w:line="167" w:lineRule="exact"/>
        <w:rPr>
          <w:rFonts w:ascii="Times New Roman" w:cs="Times New Roman" w:eastAsia="Times New Roman" w:hAnsi="Times New Roman"/>
          <w:sz w:val="20"/>
          <w:szCs w:val="20"/>
          <w:color w:val="auto"/>
        </w:rPr>
      </w:pPr>
    </w:p>
    <w:p>
      <w:pPr>
        <w:ind w:right="80" w:firstLine="597"/>
        <w:spacing w:after="0" w:line="256" w:lineRule="auto"/>
        <w:tabs>
          <w:tab w:leader="none" w:pos="1191"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Individual Target Bonuses</w:t>
      </w:r>
      <w:r>
        <w:rPr>
          <w:rFonts w:ascii="Times New Roman" w:cs="Times New Roman" w:eastAsia="Times New Roman" w:hAnsi="Times New Roman"/>
          <w:sz w:val="20"/>
          <w:szCs w:val="20"/>
          <w:color w:val="auto"/>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163" w:lineRule="exact"/>
        <w:rPr>
          <w:rFonts w:ascii="Times New Roman" w:cs="Times New Roman" w:eastAsia="Times New Roman" w:hAnsi="Times New Roman"/>
          <w:sz w:val="20"/>
          <w:szCs w:val="20"/>
          <w:color w:val="auto"/>
        </w:rPr>
      </w:pPr>
    </w:p>
    <w:p>
      <w:pPr>
        <w:ind w:right="120" w:firstLine="597"/>
        <w:spacing w:after="0" w:line="274" w:lineRule="auto"/>
        <w:tabs>
          <w:tab w:leader="none" w:pos="1194"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 Requirement</w:t>
      </w:r>
      <w:r>
        <w:rPr>
          <w:rFonts w:ascii="Times New Roman" w:cs="Times New Roman" w:eastAsia="Times New Roman" w:hAnsi="Times New Roman"/>
          <w:sz w:val="19"/>
          <w:szCs w:val="19"/>
          <w:color w:val="auto"/>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21" w:right="339" w:bottom="1440" w:gutter="0" w:footer="0" w:header="0"/>
        </w:sectPr>
      </w:pPr>
    </w:p>
    <w:bookmarkStart w:id="555" w:name="page556"/>
    <w:bookmarkEnd w:id="555"/>
    <w:p>
      <w:pPr>
        <w:ind w:left="600" w:hanging="600"/>
        <w:spacing w:after="0"/>
        <w:tabs>
          <w:tab w:leader="none" w:pos="600"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Timing of Payment</w:t>
      </w:r>
    </w:p>
    <w:p>
      <w:pPr>
        <w:spacing w:after="0" w:line="205" w:lineRule="exact"/>
        <w:rPr>
          <w:rFonts w:ascii="Times New Roman" w:cs="Times New Roman" w:eastAsia="Times New Roman" w:hAnsi="Times New Roman"/>
          <w:sz w:val="20"/>
          <w:szCs w:val="20"/>
          <w:color w:val="auto"/>
        </w:rPr>
      </w:pPr>
    </w:p>
    <w:p>
      <w:pPr>
        <w:ind w:right="100" w:firstLine="597"/>
        <w:spacing w:after="0" w:line="254" w:lineRule="auto"/>
        <w:tabs>
          <w:tab w:leader="none" w:pos="1192" w:val="left"/>
        </w:tabs>
        <w:numPr>
          <w:ilvl w:val="1"/>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74 days after the end of the fiscal year in which such performance period ends.</w:t>
      </w:r>
    </w:p>
    <w:p>
      <w:pPr>
        <w:spacing w:after="0" w:line="164" w:lineRule="exact"/>
        <w:rPr>
          <w:rFonts w:ascii="Times New Roman" w:cs="Times New Roman" w:eastAsia="Times New Roman" w:hAnsi="Times New Roman"/>
          <w:sz w:val="20"/>
          <w:szCs w:val="20"/>
          <w:color w:val="auto"/>
        </w:rPr>
      </w:pPr>
    </w:p>
    <w:p>
      <w:pPr>
        <w:ind w:right="100" w:firstLine="597"/>
        <w:spacing w:after="0" w:line="274" w:lineRule="auto"/>
        <w:tabs>
          <w:tab w:leader="none" w:pos="1191" w:val="left"/>
        </w:tabs>
        <w:numPr>
          <w:ilvl w:val="1"/>
          <w:numId w:val="4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 74 days after the end of the relevant fiscal year.</w:t>
      </w:r>
    </w:p>
    <w:p>
      <w:pPr>
        <w:spacing w:after="0" w:line="147" w:lineRule="exact"/>
        <w:rPr>
          <w:rFonts w:ascii="Times New Roman" w:cs="Times New Roman" w:eastAsia="Times New Roman" w:hAnsi="Times New Roman"/>
          <w:sz w:val="19"/>
          <w:szCs w:val="19"/>
          <w:color w:val="auto"/>
        </w:rPr>
      </w:pPr>
    </w:p>
    <w:p>
      <w:pPr>
        <w:ind w:firstLine="597"/>
        <w:spacing w:after="0" w:line="277" w:lineRule="auto"/>
        <w:tabs>
          <w:tab w:leader="none" w:pos="1192" w:val="left"/>
        </w:tabs>
        <w:numPr>
          <w:ilvl w:val="1"/>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bonuses earned at any time in a fiscal year must be paid no later than 74 days after the last day of such fiscal year.</w:t>
      </w:r>
    </w:p>
    <w:p>
      <w:pPr>
        <w:spacing w:after="0" w:line="141"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Termination</w:t>
      </w:r>
    </w:p>
    <w:p>
      <w:pPr>
        <w:spacing w:after="0" w:line="205"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reserves the right to amend or terminate the Incentive Plan at any time in its sole discretion.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Approved</w:t>
      </w:r>
      <w:r>
        <w:rPr>
          <w:rFonts w:ascii="Times New Roman" w:cs="Times New Roman" w:eastAsia="Times New Roman" w:hAnsi="Times New Roman"/>
          <w:sz w:val="20"/>
          <w:szCs w:val="20"/>
          <w:color w:val="auto"/>
        </w:rPr>
        <w:t>: February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80"/>
          </w:cols>
          <w:pgMar w:left="320" w:top="1321" w:right="399" w:bottom="1440" w:gutter="0" w:footer="0" w:header="0"/>
        </w:sectPr>
      </w:pPr>
    </w:p>
    <w:bookmarkStart w:id="556" w:name="page557"/>
    <w:bookmarkEnd w:id="556"/>
    <w:p>
      <w:pPr>
        <w:jc w:val="right"/>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THREDUP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EXECUTIVE SEVERANCE PLAN</w:t>
      </w:r>
    </w:p>
    <w:p>
      <w:pPr>
        <w:spacing w:after="0" w:line="221" w:lineRule="exact"/>
        <w:rPr>
          <w:sz w:val="20"/>
          <w:szCs w:val="20"/>
          <w:color w:val="auto"/>
        </w:rPr>
      </w:pPr>
    </w:p>
    <w:p>
      <w:pPr>
        <w:ind w:right="40" w:firstLine="597"/>
        <w:spacing w:after="0" w:line="250" w:lineRule="auto"/>
        <w:tabs>
          <w:tab w:leader="none" w:pos="1195"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xml:space="preserve">. ThredUp Inc. (the “Company”) considers it essential to the best interests of its stockholders to foster the continuous employment of key management personnel. The Board of Directors of the Company (the “Board”) recognizes, however, that the possibility of an involuntary termination of employment, either before or after a Change in Control (as defined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 exists and that such possibility, and the uncertainty and questions that it may raise among management, may result in the departure or distraction of management personnel to the detriment of the Company and its stockholders. Therefore, the Board has determined that the ThredUp Inc. Executive Severance Plan (the “Plan”) should be adopted to reinforce and encourage the continued attention and dedication of the Company’s Covered Executives (as defined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 to their assigned duties without distraction. Nothing in this Plan shall be construed as creating an express or implied contract of employment and nothing shall alter the “at will” nature of the Covered Executives’ employment with the Company.</w:t>
      </w:r>
    </w:p>
    <w:p>
      <w:pPr>
        <w:spacing w:after="0" w:line="170" w:lineRule="exact"/>
        <w:rPr>
          <w:rFonts w:ascii="Times New Roman" w:cs="Times New Roman" w:eastAsia="Times New Roman" w:hAnsi="Times New Roman"/>
          <w:sz w:val="20"/>
          <w:szCs w:val="20"/>
          <w:color w:val="auto"/>
        </w:rPr>
      </w:pPr>
    </w:p>
    <w:p>
      <w:pPr>
        <w:ind w:left="1200" w:hanging="603"/>
        <w:spacing w:after="0"/>
        <w:tabs>
          <w:tab w:leader="none" w:pos="1200"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shall be defined as set forth below:</w:t>
      </w:r>
    </w:p>
    <w:p>
      <w:pPr>
        <w:spacing w:after="0" w:line="201"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“Accounting Firm” </w:t>
      </w:r>
      <w:r>
        <w:rPr>
          <w:rFonts w:ascii="Times New Roman" w:cs="Times New Roman" w:eastAsia="Times New Roman" w:hAnsi="Times New Roman"/>
          <w:sz w:val="20"/>
          <w:szCs w:val="20"/>
          <w:color w:val="auto"/>
        </w:rPr>
        <w:t>shall mean a nationally recognized accounting firm selected by the Company.</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“Administrator” </w:t>
      </w:r>
      <w:r>
        <w:rPr>
          <w:rFonts w:ascii="Times New Roman" w:cs="Times New Roman" w:eastAsia="Times New Roman" w:hAnsi="Times New Roman"/>
          <w:sz w:val="20"/>
          <w:szCs w:val="20"/>
          <w:color w:val="auto"/>
        </w:rPr>
        <w:t>means the Board or a committee thereof.</w:t>
      </w:r>
    </w:p>
    <w:p>
      <w:pPr>
        <w:spacing w:after="0" w:line="205" w:lineRule="exact"/>
        <w:rPr>
          <w:rFonts w:ascii="Times New Roman" w:cs="Times New Roman" w:eastAsia="Times New Roman" w:hAnsi="Times New Roman"/>
          <w:sz w:val="20"/>
          <w:szCs w:val="20"/>
          <w:color w:val="auto"/>
        </w:rPr>
      </w:pPr>
    </w:p>
    <w:p>
      <w:pPr>
        <w:ind w:right="220" w:firstLine="1194"/>
        <w:spacing w:after="0" w:line="264" w:lineRule="auto"/>
        <w:tabs>
          <w:tab w:leader="none" w:pos="1789" w:val="left"/>
        </w:tabs>
        <w:numPr>
          <w:ilvl w:val="1"/>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Base Salary</w:t>
      </w:r>
      <w:r>
        <w:rPr>
          <w:rFonts w:ascii="Times New Roman" w:cs="Times New Roman" w:eastAsia="Times New Roman" w:hAnsi="Times New Roman"/>
          <w:sz w:val="20"/>
          <w:szCs w:val="20"/>
          <w:color w:val="auto"/>
        </w:rPr>
        <w:t>” shall mean the higher of the Covered Executive’s (i) annual base salary in effect immediately prior to the Date of Termination or (ii) annual base salary in effect for the fiscal year immediately prior to the fiscal year in which the Date of Termination occurs.</w:t>
      </w:r>
    </w:p>
    <w:p>
      <w:pPr>
        <w:spacing w:after="0" w:line="149"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Cause</w:t>
      </w:r>
      <w:r>
        <w:rPr>
          <w:rFonts w:ascii="Times New Roman" w:cs="Times New Roman" w:eastAsia="Times New Roman" w:hAnsi="Times New Roman"/>
          <w:sz w:val="20"/>
          <w:szCs w:val="20"/>
          <w:color w:val="auto"/>
        </w:rPr>
        <w:t>” shall mean, and shall be limited to, the occurrence of any one or more of the following events:</w:t>
      </w:r>
    </w:p>
    <w:p>
      <w:pPr>
        <w:spacing w:after="0" w:line="209" w:lineRule="exact"/>
        <w:rPr>
          <w:rFonts w:ascii="Times New Roman" w:cs="Times New Roman" w:eastAsia="Times New Roman" w:hAnsi="Times New Roman"/>
          <w:sz w:val="20"/>
          <w:szCs w:val="20"/>
          <w:color w:val="auto"/>
        </w:rPr>
      </w:pPr>
    </w:p>
    <w:p>
      <w:pPr>
        <w:ind w:left="600" w:right="260" w:firstLine="1191"/>
        <w:spacing w:after="0" w:line="262" w:lineRule="auto"/>
        <w:tabs>
          <w:tab w:leader="none" w:pos="2381" w:val="left"/>
        </w:tabs>
        <w:numPr>
          <w:ilvl w:val="2"/>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conduct by the Covered Executive constituting a material act of misconduct in connection with the performance of his or her duties, including, without limitation, misappropriation of funds or property of the Company or any of its subsidiaries or affiliates other than the occasional, customary and de minimis use of Company property for personal purposes;</w:t>
      </w:r>
    </w:p>
    <w:p>
      <w:pPr>
        <w:spacing w:after="0" w:line="155" w:lineRule="exact"/>
        <w:rPr>
          <w:rFonts w:ascii="Times New Roman" w:cs="Times New Roman" w:eastAsia="Times New Roman" w:hAnsi="Times New Roman"/>
          <w:sz w:val="20"/>
          <w:szCs w:val="20"/>
          <w:color w:val="auto"/>
        </w:rPr>
      </w:pPr>
    </w:p>
    <w:p>
      <w:pPr>
        <w:ind w:left="600" w:right="180" w:firstLine="1191"/>
        <w:spacing w:after="0" w:line="256" w:lineRule="auto"/>
        <w:tabs>
          <w:tab w:leader="none" w:pos="2386" w:val="left"/>
        </w:tabs>
        <w:numPr>
          <w:ilvl w:val="2"/>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commission by the Covered Executive of, or plea of guilty or no contest to, any felony or any crime involving moral turpitude, deceit, dishonesty or fraud, or any conduct by the Covered Executive that would reasonably be expected to result in material injury or reputational harm to the Company or any of its subsidiaries and affiliates if he or she were retained in his or her position;</w:t>
      </w:r>
    </w:p>
    <w:p>
      <w:pPr>
        <w:spacing w:after="0" w:line="163" w:lineRule="exact"/>
        <w:rPr>
          <w:rFonts w:ascii="Times New Roman" w:cs="Times New Roman" w:eastAsia="Times New Roman" w:hAnsi="Times New Roman"/>
          <w:sz w:val="20"/>
          <w:szCs w:val="20"/>
          <w:color w:val="auto"/>
        </w:rPr>
      </w:pPr>
    </w:p>
    <w:p>
      <w:pPr>
        <w:ind w:left="600" w:right="500" w:firstLine="1191"/>
        <w:spacing w:after="0" w:line="277" w:lineRule="auto"/>
        <w:tabs>
          <w:tab w:leader="none" w:pos="2392" w:val="left"/>
        </w:tabs>
        <w:numPr>
          <w:ilvl w:val="2"/>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non-performance by the Covered Executive of his or her duties to the Company (other than by reason of the Covered Executive’s physical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8" w:right="339" w:bottom="1440" w:gutter="0" w:footer="0" w:header="0"/>
        </w:sectPr>
      </w:pPr>
    </w:p>
    <w:bookmarkStart w:id="557" w:name="page558"/>
    <w:bookmarkEnd w:id="557"/>
    <w:p>
      <w:pPr>
        <w:ind w:left="580" w:right="120"/>
        <w:spacing w:after="0" w:line="277" w:lineRule="auto"/>
        <w:rPr>
          <w:sz w:val="20"/>
          <w:szCs w:val="20"/>
          <w:color w:val="auto"/>
        </w:rPr>
      </w:pPr>
      <w:r>
        <w:rPr>
          <w:rFonts w:ascii="Times New Roman" w:cs="Times New Roman" w:eastAsia="Times New Roman" w:hAnsi="Times New Roman"/>
          <w:sz w:val="20"/>
          <w:szCs w:val="20"/>
          <w:color w:val="auto"/>
        </w:rPr>
        <w:t>mental illness, incapacity or Disability) which has continued for 30 days following written notice of such non-performance from the Company;</w:t>
      </w:r>
    </w:p>
    <w:p>
      <w:pPr>
        <w:spacing w:after="0" w:line="141" w:lineRule="exact"/>
        <w:rPr>
          <w:sz w:val="20"/>
          <w:szCs w:val="20"/>
          <w:color w:val="auto"/>
        </w:rPr>
      </w:pPr>
    </w:p>
    <w:p>
      <w:pPr>
        <w:ind w:left="580" w:right="700" w:firstLine="1191"/>
        <w:spacing w:after="0" w:line="262" w:lineRule="auto"/>
        <w:tabs>
          <w:tab w:leader="none" w:pos="2361" w:val="left"/>
        </w:tabs>
        <w:numPr>
          <w:ilvl w:val="1"/>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violation by the Covered Executive of any of the provisions contained in any confidential information and invention assignment agreement entered into between the Covered Executive and the Company or any other confidentiality, invention assignment or similar agreement between the Covered Executive and the Company;</w:t>
      </w:r>
    </w:p>
    <w:p>
      <w:pPr>
        <w:spacing w:after="0" w:line="155" w:lineRule="exact"/>
        <w:rPr>
          <w:rFonts w:ascii="Times New Roman" w:cs="Times New Roman" w:eastAsia="Times New Roman" w:hAnsi="Times New Roman"/>
          <w:sz w:val="20"/>
          <w:szCs w:val="20"/>
          <w:color w:val="auto"/>
        </w:rPr>
      </w:pPr>
    </w:p>
    <w:p>
      <w:pPr>
        <w:ind w:left="580" w:right="200" w:firstLine="1191"/>
        <w:spacing w:after="0" w:line="277" w:lineRule="auto"/>
        <w:tabs>
          <w:tab w:leader="none" w:pos="2368" w:val="left"/>
        </w:tabs>
        <w:numPr>
          <w:ilvl w:val="1"/>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violation by the Covered Executive of the Company’s written employment policies, including, but not limited to, the Company’s codes of conduct and anti-harassment policies as may be amended from time to time; or</w:t>
      </w:r>
    </w:p>
    <w:p>
      <w:pPr>
        <w:spacing w:after="0" w:line="141" w:lineRule="exact"/>
        <w:rPr>
          <w:rFonts w:ascii="Times New Roman" w:cs="Times New Roman" w:eastAsia="Times New Roman" w:hAnsi="Times New Roman"/>
          <w:sz w:val="20"/>
          <w:szCs w:val="20"/>
          <w:color w:val="auto"/>
        </w:rPr>
      </w:pPr>
    </w:p>
    <w:p>
      <w:pPr>
        <w:ind w:left="580" w:right="20" w:firstLine="1191"/>
        <w:spacing w:after="0" w:line="256" w:lineRule="auto"/>
        <w:tabs>
          <w:tab w:leader="none" w:pos="2361" w:val="left"/>
        </w:tabs>
        <w:numPr>
          <w:ilvl w:val="1"/>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Covered Executive’s failure to cooperate with a bona fide internal investigation or an investigation by regulatory or law enforcement authorities, after being instructed by the Company to cooperate, or the Covered Executive’s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59" w:lineRule="exact"/>
        <w:rPr>
          <w:rFonts w:ascii="Times New Roman" w:cs="Times New Roman" w:eastAsia="Times New Roman" w:hAnsi="Times New Roman"/>
          <w:sz w:val="20"/>
          <w:szCs w:val="20"/>
          <w:color w:val="auto"/>
        </w:rPr>
      </w:pPr>
    </w:p>
    <w:p>
      <w:pPr>
        <w:ind w:left="-20" w:right="100" w:firstLine="1194"/>
        <w:spacing w:after="0" w:line="281" w:lineRule="auto"/>
        <w:tabs>
          <w:tab w:leader="none" w:pos="1769"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shall mean a “Sale Event” as defined in the ThredUp Inc. 2021 Stock Option and Incentive Plan (as may be amended from time to time).</w:t>
      </w:r>
    </w:p>
    <w:p>
      <w:pPr>
        <w:spacing w:after="0" w:line="133" w:lineRule="exact"/>
        <w:rPr>
          <w:rFonts w:ascii="Times New Roman" w:cs="Times New Roman" w:eastAsia="Times New Roman" w:hAnsi="Times New Roman"/>
          <w:sz w:val="20"/>
          <w:szCs w:val="20"/>
          <w:color w:val="auto"/>
        </w:rPr>
      </w:pPr>
    </w:p>
    <w:p>
      <w:pPr>
        <w:ind w:left="-20" w:firstLine="1194"/>
        <w:spacing w:after="0" w:line="281" w:lineRule="auto"/>
        <w:tabs>
          <w:tab w:leader="none" w:pos="1772"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in Control Period</w:t>
      </w:r>
      <w:r>
        <w:rPr>
          <w:rFonts w:ascii="Times New Roman" w:cs="Times New Roman" w:eastAsia="Times New Roman" w:hAnsi="Times New Roman"/>
          <w:sz w:val="20"/>
          <w:szCs w:val="20"/>
          <w:color w:val="auto"/>
        </w:rPr>
        <w:t>” shall mean the period beginning three (3) months prior to, and ending twelve (12) months after, the date of a Change in Control.</w:t>
      </w:r>
    </w:p>
    <w:p>
      <w:pPr>
        <w:spacing w:after="0" w:line="133" w:lineRule="exact"/>
        <w:rPr>
          <w:rFonts w:ascii="Times New Roman" w:cs="Times New Roman" w:eastAsia="Times New Roman" w:hAnsi="Times New Roman"/>
          <w:sz w:val="20"/>
          <w:szCs w:val="20"/>
          <w:color w:val="auto"/>
        </w:rPr>
      </w:pPr>
    </w:p>
    <w:p>
      <w:pPr>
        <w:ind w:left="1760" w:hanging="586"/>
        <w:spacing w:after="0"/>
        <w:tabs>
          <w:tab w:leader="none" w:pos="1760"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shall mean the Internal Revenue Code of 1986, as amended.</w:t>
      </w:r>
    </w:p>
    <w:p>
      <w:pPr>
        <w:spacing w:after="0" w:line="205" w:lineRule="exact"/>
        <w:rPr>
          <w:rFonts w:ascii="Times New Roman" w:cs="Times New Roman" w:eastAsia="Times New Roman" w:hAnsi="Times New Roman"/>
          <w:sz w:val="20"/>
          <w:szCs w:val="20"/>
          <w:color w:val="auto"/>
        </w:rPr>
      </w:pPr>
    </w:p>
    <w:p>
      <w:pPr>
        <w:ind w:left="-20" w:right="20" w:firstLine="1194"/>
        <w:spacing w:after="0" w:line="281" w:lineRule="auto"/>
        <w:tabs>
          <w:tab w:leader="none" w:pos="1768"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Covered Executives</w:t>
      </w:r>
      <w:r>
        <w:rPr>
          <w:rFonts w:ascii="Times New Roman" w:cs="Times New Roman" w:eastAsia="Times New Roman" w:hAnsi="Times New Roman"/>
          <w:sz w:val="20"/>
          <w:szCs w:val="20"/>
          <w:color w:val="auto"/>
        </w:rPr>
        <w:t xml:space="preserve">” shall mean those officers and other executives or individuals designated by the Administrator in its sole discretion to participate in the Plan and, in each case, who meet the eligibility requirements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Plan.</w:t>
      </w:r>
    </w:p>
    <w:p>
      <w:pPr>
        <w:spacing w:after="0" w:line="133" w:lineRule="exact"/>
        <w:rPr>
          <w:rFonts w:ascii="Times New Roman" w:cs="Times New Roman" w:eastAsia="Times New Roman" w:hAnsi="Times New Roman"/>
          <w:sz w:val="20"/>
          <w:szCs w:val="20"/>
          <w:color w:val="auto"/>
        </w:rPr>
      </w:pPr>
    </w:p>
    <w:p>
      <w:pPr>
        <w:ind w:left="-20" w:right="100" w:firstLine="1194"/>
        <w:spacing w:after="0" w:line="258" w:lineRule="auto"/>
        <w:tabs>
          <w:tab w:leader="none" w:pos="1761"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Date of Termination</w:t>
      </w:r>
      <w:r>
        <w:rPr>
          <w:rFonts w:ascii="Times New Roman" w:cs="Times New Roman" w:eastAsia="Times New Roman" w:hAnsi="Times New Roman"/>
          <w:sz w:val="20"/>
          <w:szCs w:val="20"/>
          <w:color w:val="auto"/>
        </w:rPr>
        <w:t>” shall mean the date that a Covered Executive’s employment, in any and all capacities, with the Company (or any successor) ends, which date shall be specified in the Notice of Termination. Notwithstanding the foregoing, a Covered Executive’s employment shall not be deemed to have been terminated solely as a result of the Covered Executive becoming an employee of any direct or indirect successor to the business or assets of the Company.</w:t>
      </w:r>
    </w:p>
    <w:p>
      <w:pPr>
        <w:spacing w:after="0" w:line="155" w:lineRule="exact"/>
        <w:rPr>
          <w:rFonts w:ascii="Times New Roman" w:cs="Times New Roman" w:eastAsia="Times New Roman" w:hAnsi="Times New Roman"/>
          <w:sz w:val="20"/>
          <w:szCs w:val="20"/>
          <w:color w:val="auto"/>
        </w:rPr>
      </w:pPr>
    </w:p>
    <w:p>
      <w:pPr>
        <w:ind w:left="1760" w:hanging="586"/>
        <w:spacing w:after="0"/>
        <w:tabs>
          <w:tab w:leader="none" w:pos="1760"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shall mean “disability” as defined in Section 422(c) of the Code.</w:t>
      </w:r>
    </w:p>
    <w:p>
      <w:pPr>
        <w:spacing w:after="0" w:line="205" w:lineRule="exact"/>
        <w:rPr>
          <w:rFonts w:ascii="Times New Roman" w:cs="Times New Roman" w:eastAsia="Times New Roman" w:hAnsi="Times New Roman"/>
          <w:sz w:val="20"/>
          <w:szCs w:val="20"/>
          <w:color w:val="auto"/>
        </w:rPr>
      </w:pPr>
    </w:p>
    <w:p>
      <w:pPr>
        <w:ind w:left="1760" w:hanging="586"/>
        <w:spacing w:after="0"/>
        <w:tabs>
          <w:tab w:leader="none" w:pos="1760"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Good Reason</w:t>
      </w:r>
      <w:r>
        <w:rPr>
          <w:rFonts w:ascii="Times New Roman" w:cs="Times New Roman" w:eastAsia="Times New Roman" w:hAnsi="Times New Roman"/>
          <w:sz w:val="20"/>
          <w:szCs w:val="20"/>
          <w:color w:val="auto"/>
        </w:rPr>
        <w:t>” shall mean as specified in a Covered Executive’s Participation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40" w:top="1321" w:right="339" w:bottom="1440" w:gutter="0" w:footer="0" w:header="0"/>
        </w:sectPr>
      </w:pPr>
    </w:p>
    <w:bookmarkStart w:id="558" w:name="page559"/>
    <w:bookmarkEnd w:id="558"/>
    <w:p>
      <w:pPr>
        <w:ind w:left="1780" w:hanging="586"/>
        <w:spacing w:after="0"/>
        <w:tabs>
          <w:tab w:leader="none" w:pos="1780" w:val="left"/>
        </w:tabs>
        <w:numPr>
          <w:ilvl w:val="0"/>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Good Reason Process</w:t>
      </w:r>
      <w:r>
        <w:rPr>
          <w:rFonts w:ascii="Times New Roman" w:cs="Times New Roman" w:eastAsia="Times New Roman" w:hAnsi="Times New Roman"/>
          <w:sz w:val="20"/>
          <w:szCs w:val="20"/>
          <w:color w:val="auto"/>
        </w:rPr>
        <w:t>” shall mean:</w:t>
      </w:r>
    </w:p>
    <w:p>
      <w:pPr>
        <w:spacing w:after="0" w:line="209" w:lineRule="exact"/>
        <w:rPr>
          <w:rFonts w:ascii="Times New Roman" w:cs="Times New Roman" w:eastAsia="Times New Roman" w:hAnsi="Times New Roman"/>
          <w:sz w:val="20"/>
          <w:szCs w:val="20"/>
          <w:color w:val="auto"/>
        </w:rPr>
      </w:pPr>
    </w:p>
    <w:p>
      <w:pPr>
        <w:ind w:left="2380" w:hanging="589"/>
        <w:spacing w:after="0"/>
        <w:tabs>
          <w:tab w:leader="none" w:pos="2380"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Covered Executive reasonably determines in good faith that a Good Reason condition has occurred;</w:t>
      </w:r>
    </w:p>
    <w:p>
      <w:pPr>
        <w:spacing w:after="0" w:line="205" w:lineRule="exact"/>
        <w:rPr>
          <w:rFonts w:ascii="Times New Roman" w:cs="Times New Roman" w:eastAsia="Times New Roman" w:hAnsi="Times New Roman"/>
          <w:sz w:val="20"/>
          <w:szCs w:val="20"/>
          <w:color w:val="auto"/>
        </w:rPr>
      </w:pPr>
    </w:p>
    <w:p>
      <w:pPr>
        <w:ind w:left="600" w:right="100" w:firstLine="1191"/>
        <w:spacing w:after="0" w:line="277" w:lineRule="auto"/>
        <w:tabs>
          <w:tab w:leader="none" w:pos="2386"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Covered Executive notifies the Company or its successor in writing of the occurrence of the Good Reason condition within sixty (60) days of the occurrence of such condition;</w:t>
      </w:r>
    </w:p>
    <w:p>
      <w:pPr>
        <w:spacing w:after="0" w:line="141" w:lineRule="exact"/>
        <w:rPr>
          <w:rFonts w:ascii="Times New Roman" w:cs="Times New Roman" w:eastAsia="Times New Roman" w:hAnsi="Times New Roman"/>
          <w:sz w:val="20"/>
          <w:szCs w:val="20"/>
          <w:color w:val="auto"/>
        </w:rPr>
      </w:pPr>
    </w:p>
    <w:p>
      <w:pPr>
        <w:ind w:left="600" w:right="180" w:firstLine="1191"/>
        <w:spacing w:after="0" w:line="277" w:lineRule="auto"/>
        <w:tabs>
          <w:tab w:leader="none" w:pos="2392"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Covered Executive cooperates in good faith with the Company’s or its successor’s efforts, for a period of thirty (30) days following such notice (the “Cure Period”), to remedy the condition;</w:t>
      </w:r>
    </w:p>
    <w:p>
      <w:pPr>
        <w:spacing w:after="0" w:line="141" w:lineRule="exact"/>
        <w:rPr>
          <w:rFonts w:ascii="Times New Roman" w:cs="Times New Roman" w:eastAsia="Times New Roman" w:hAnsi="Times New Roman"/>
          <w:sz w:val="20"/>
          <w:szCs w:val="20"/>
          <w:color w:val="auto"/>
        </w:rPr>
      </w:pPr>
    </w:p>
    <w:p>
      <w:pPr>
        <w:ind w:left="2380" w:hanging="589"/>
        <w:spacing w:after="0"/>
        <w:tabs>
          <w:tab w:leader="none" w:pos="2380"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such efforts, the Good Reason condition continues to exist following the Cure Period; and</w:t>
      </w:r>
    </w:p>
    <w:p>
      <w:pPr>
        <w:spacing w:after="0" w:line="205" w:lineRule="exact"/>
        <w:rPr>
          <w:rFonts w:ascii="Times New Roman" w:cs="Times New Roman" w:eastAsia="Times New Roman" w:hAnsi="Times New Roman"/>
          <w:sz w:val="20"/>
          <w:szCs w:val="20"/>
          <w:color w:val="auto"/>
        </w:rPr>
      </w:pPr>
    </w:p>
    <w:p>
      <w:pPr>
        <w:ind w:left="600" w:right="300" w:firstLine="1191"/>
        <w:spacing w:after="0" w:line="277" w:lineRule="auto"/>
        <w:tabs>
          <w:tab w:leader="none" w:pos="2388" w:val="left"/>
        </w:tabs>
        <w:numPr>
          <w:ilvl w:val="1"/>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Covered Executive terminates his or her employment and provides the Company or its successor with a Notice of Termination with respect to such termination, each within sixty (60) days after the end of the Cure Period.</w:t>
      </w:r>
    </w:p>
    <w:p>
      <w:pPr>
        <w:spacing w:after="0" w:line="141" w:lineRule="exact"/>
        <w:rPr>
          <w:sz w:val="20"/>
          <w:szCs w:val="20"/>
          <w:color w:val="auto"/>
        </w:rPr>
      </w:pPr>
    </w:p>
    <w:p>
      <w:pPr>
        <w:ind w:right="40" w:firstLine="597"/>
        <w:spacing w:after="0" w:line="277" w:lineRule="auto"/>
        <w:rPr>
          <w:sz w:val="20"/>
          <w:szCs w:val="20"/>
          <w:color w:val="auto"/>
        </w:rPr>
      </w:pPr>
      <w:r>
        <w:rPr>
          <w:rFonts w:ascii="Times New Roman" w:cs="Times New Roman" w:eastAsia="Times New Roman" w:hAnsi="Times New Roman"/>
          <w:sz w:val="20"/>
          <w:szCs w:val="20"/>
          <w:color w:val="auto"/>
        </w:rPr>
        <w:t>If the Company or the successor cures the Good Reason condition during the Cure Period, Good Reason shall be deemed not to have occurred.</w:t>
      </w:r>
    </w:p>
    <w:p>
      <w:pPr>
        <w:spacing w:after="0" w:line="137" w:lineRule="exact"/>
        <w:rPr>
          <w:sz w:val="20"/>
          <w:szCs w:val="20"/>
          <w:color w:val="auto"/>
        </w:rPr>
      </w:pPr>
    </w:p>
    <w:p>
      <w:pPr>
        <w:ind w:firstLine="1194"/>
        <w:spacing w:after="0" w:line="281" w:lineRule="auto"/>
        <w:tabs>
          <w:tab w:leader="none" w:pos="1781" w:val="left"/>
        </w:tabs>
        <w:numPr>
          <w:ilvl w:val="1"/>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Notice of Termination</w:t>
      </w:r>
      <w:r>
        <w:rPr>
          <w:rFonts w:ascii="Times New Roman" w:cs="Times New Roman" w:eastAsia="Times New Roman" w:hAnsi="Times New Roman"/>
          <w:sz w:val="20"/>
          <w:szCs w:val="20"/>
          <w:color w:val="auto"/>
        </w:rPr>
        <w:t>” shall mean a written notice which shall indicate the specific termination provision in this Plan relied upon for the termination of a Covered Executive’s employment and the Date of Termination.</w:t>
      </w:r>
    </w:p>
    <w:p>
      <w:pPr>
        <w:spacing w:after="0" w:line="133" w:lineRule="exact"/>
        <w:rPr>
          <w:rFonts w:ascii="Times New Roman" w:cs="Times New Roman" w:eastAsia="Times New Roman" w:hAnsi="Times New Roman"/>
          <w:sz w:val="20"/>
          <w:szCs w:val="20"/>
          <w:color w:val="auto"/>
        </w:rPr>
      </w:pPr>
    </w:p>
    <w:p>
      <w:pPr>
        <w:ind w:right="1040" w:firstLine="1194"/>
        <w:spacing w:after="0" w:line="281" w:lineRule="auto"/>
        <w:tabs>
          <w:tab w:leader="none" w:pos="1788" w:val="left"/>
        </w:tabs>
        <w:numPr>
          <w:ilvl w:val="1"/>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Participation Agreement</w:t>
      </w:r>
      <w:r>
        <w:rPr>
          <w:rFonts w:ascii="Times New Roman" w:cs="Times New Roman" w:eastAsia="Times New Roman" w:hAnsi="Times New Roman"/>
          <w:sz w:val="20"/>
          <w:szCs w:val="20"/>
          <w:color w:val="auto"/>
        </w:rPr>
        <w:t>” shall mean an agreement between a Covered Executive and the Company that acknowledges the Covered Executive’s participation in the Plan.</w:t>
      </w:r>
    </w:p>
    <w:p>
      <w:pPr>
        <w:spacing w:after="0" w:line="137" w:lineRule="exact"/>
        <w:rPr>
          <w:rFonts w:ascii="Times New Roman" w:cs="Times New Roman" w:eastAsia="Times New Roman" w:hAnsi="Times New Roman"/>
          <w:sz w:val="20"/>
          <w:szCs w:val="20"/>
          <w:color w:val="auto"/>
        </w:rPr>
      </w:pPr>
    </w:p>
    <w:p>
      <w:pPr>
        <w:ind w:left="1200" w:hanging="603"/>
        <w:spacing w:after="0"/>
        <w:tabs>
          <w:tab w:leader="none" w:pos="1200"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 of the Plan.</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The Plan shall be administered by the Administrator.</w:t>
      </w:r>
    </w:p>
    <w:p>
      <w:pPr>
        <w:spacing w:after="0" w:line="205" w:lineRule="exact"/>
        <w:rPr>
          <w:rFonts w:ascii="Times New Roman" w:cs="Times New Roman" w:eastAsia="Times New Roman" w:hAnsi="Times New Roman"/>
          <w:sz w:val="20"/>
          <w:szCs w:val="20"/>
          <w:color w:val="auto"/>
        </w:rPr>
      </w:pPr>
    </w:p>
    <w:p>
      <w:pPr>
        <w:jc w:val="both"/>
        <w:ind w:right="440" w:firstLine="1194"/>
        <w:spacing w:after="0" w:line="262" w:lineRule="auto"/>
        <w:tabs>
          <w:tab w:leader="none" w:pos="1788" w:val="left"/>
        </w:tabs>
        <w:numPr>
          <w:ilvl w:val="1"/>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Powers of Administrator</w:t>
      </w:r>
      <w:r>
        <w:rPr>
          <w:rFonts w:ascii="Times New Roman" w:cs="Times New Roman" w:eastAsia="Times New Roman" w:hAnsi="Times New Roman"/>
          <w:sz w:val="20"/>
          <w:szCs w:val="20"/>
          <w:color w:val="auto"/>
        </w:rPr>
        <w:t>. The Administrator shall have all powers necessary to enable it to properly carry out its duties with respect to the complete control of the administration of the Plan. Not in limitation, but in amplification of the foregoing, the Administrator shall have the power and authority in its sole discretion to:</w:t>
      </w:r>
    </w:p>
    <w:p>
      <w:pPr>
        <w:spacing w:after="0" w:line="155" w:lineRule="exact"/>
        <w:rPr>
          <w:rFonts w:ascii="Times New Roman" w:cs="Times New Roman" w:eastAsia="Times New Roman" w:hAnsi="Times New Roman"/>
          <w:sz w:val="20"/>
          <w:szCs w:val="20"/>
          <w:color w:val="auto"/>
        </w:rPr>
      </w:pPr>
    </w:p>
    <w:p>
      <w:pPr>
        <w:ind w:left="2380" w:hanging="589"/>
        <w:spacing w:after="0"/>
        <w:tabs>
          <w:tab w:leader="none" w:pos="2380" w:val="left"/>
        </w:tabs>
        <w:numPr>
          <w:ilvl w:val="2"/>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construe the Plan to determine all questions that shall arise as to interpretation of any of the Plan’s provisions;</w:t>
      </w:r>
    </w:p>
    <w:p>
      <w:pPr>
        <w:spacing w:after="0" w:line="205" w:lineRule="exact"/>
        <w:rPr>
          <w:rFonts w:ascii="Times New Roman" w:cs="Times New Roman" w:eastAsia="Times New Roman" w:hAnsi="Times New Roman"/>
          <w:sz w:val="20"/>
          <w:szCs w:val="20"/>
          <w:color w:val="auto"/>
        </w:rPr>
      </w:pPr>
    </w:p>
    <w:p>
      <w:pPr>
        <w:ind w:left="600" w:right="20" w:firstLine="1191"/>
        <w:spacing w:after="0" w:line="304" w:lineRule="auto"/>
        <w:tabs>
          <w:tab w:leader="none" w:pos="2386" w:val="left"/>
        </w:tabs>
        <w:numPr>
          <w:ilvl w:val="2"/>
          <w:numId w:val="4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which individuals are and are not Covered Executives, determine the benefits to which any Covered Executives may be entitled, the eligibility requirements for participation in the Plan and all other matters pertaining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317" w:right="359" w:bottom="1440" w:gutter="0" w:footer="0" w:header="0"/>
        </w:sectPr>
      </w:pPr>
    </w:p>
    <w:bookmarkStart w:id="559" w:name="page560"/>
    <w:bookmarkEnd w:id="559"/>
    <w:p>
      <w:pPr>
        <w:ind w:left="600" w:firstLine="1191"/>
        <w:spacing w:after="0" w:line="277" w:lineRule="auto"/>
        <w:tabs>
          <w:tab w:leader="none" w:pos="2392" w:val="left"/>
        </w:tabs>
        <w:numPr>
          <w:ilvl w:val="2"/>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amendments to the Plan which are deemed necessary or desirable to comply with all applicable laws and regulations, including but not limited to Section 409A of the Code and the guidance thereunder;</w:t>
      </w:r>
    </w:p>
    <w:p>
      <w:pPr>
        <w:spacing w:after="0" w:line="141" w:lineRule="exact"/>
        <w:rPr>
          <w:rFonts w:ascii="Times New Roman" w:cs="Times New Roman" w:eastAsia="Times New Roman" w:hAnsi="Times New Roman"/>
          <w:sz w:val="20"/>
          <w:szCs w:val="20"/>
          <w:color w:val="auto"/>
        </w:rPr>
      </w:pPr>
    </w:p>
    <w:p>
      <w:pPr>
        <w:ind w:left="600" w:right="480" w:firstLine="1191"/>
        <w:spacing w:after="0" w:line="277" w:lineRule="auto"/>
        <w:tabs>
          <w:tab w:leader="none" w:pos="2381" w:val="left"/>
        </w:tabs>
        <w:numPr>
          <w:ilvl w:val="2"/>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determinations it deems advisable for the administration of the Plan, including the authority and ability to delegate administrative functions to a third party;</w:t>
      </w:r>
    </w:p>
    <w:p>
      <w:pPr>
        <w:spacing w:after="0" w:line="141" w:lineRule="exact"/>
        <w:rPr>
          <w:rFonts w:ascii="Times New Roman" w:cs="Times New Roman" w:eastAsia="Times New Roman" w:hAnsi="Times New Roman"/>
          <w:sz w:val="20"/>
          <w:szCs w:val="20"/>
          <w:color w:val="auto"/>
        </w:rPr>
      </w:pPr>
    </w:p>
    <w:p>
      <w:pPr>
        <w:ind w:left="2380" w:hanging="589"/>
        <w:spacing w:after="0"/>
        <w:tabs>
          <w:tab w:leader="none" w:pos="2380" w:val="left"/>
        </w:tabs>
        <w:numPr>
          <w:ilvl w:val="2"/>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decide all disputes arising in connection with the Plan; and</w:t>
      </w:r>
    </w:p>
    <w:p>
      <w:pPr>
        <w:spacing w:after="0" w:line="205" w:lineRule="exact"/>
        <w:rPr>
          <w:rFonts w:ascii="Times New Roman" w:cs="Times New Roman" w:eastAsia="Times New Roman" w:hAnsi="Times New Roman"/>
          <w:sz w:val="20"/>
          <w:szCs w:val="20"/>
          <w:color w:val="auto"/>
        </w:rPr>
      </w:pPr>
    </w:p>
    <w:p>
      <w:pPr>
        <w:ind w:left="2380" w:hanging="589"/>
        <w:spacing w:after="0"/>
        <w:tabs>
          <w:tab w:leader="none" w:pos="2380" w:val="left"/>
        </w:tabs>
        <w:numPr>
          <w:ilvl w:val="2"/>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supervise the administration of the Plan.</w:t>
      </w:r>
    </w:p>
    <w:p>
      <w:pPr>
        <w:spacing w:after="0" w:line="205"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and interpretations of the Administrator shall be binding on all persons, including the Company and the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Executives.</w:t>
      </w:r>
    </w:p>
    <w:p>
      <w:pPr>
        <w:spacing w:after="0" w:line="183" w:lineRule="exact"/>
        <w:rPr>
          <w:rFonts w:ascii="Times New Roman" w:cs="Times New Roman" w:eastAsia="Times New Roman" w:hAnsi="Times New Roman"/>
          <w:sz w:val="20"/>
          <w:szCs w:val="20"/>
          <w:color w:val="auto"/>
        </w:rPr>
      </w:pPr>
    </w:p>
    <w:p>
      <w:pPr>
        <w:ind w:right="640" w:firstLine="597"/>
        <w:spacing w:after="0" w:line="277" w:lineRule="auto"/>
        <w:tabs>
          <w:tab w:leader="none" w:pos="1195" w:val="left"/>
        </w:tabs>
        <w:numPr>
          <w:ilvl w:val="0"/>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xml:space="preserve"> All Covered Executives who have executed and submitted to the Company a Participation Agreement, and satisfied such other requirements as may be determined by the Administrator, are eligible to participate in the Plan.</w:t>
      </w:r>
    </w:p>
    <w:p>
      <w:pPr>
        <w:spacing w:after="0" w:line="141" w:lineRule="exact"/>
        <w:rPr>
          <w:rFonts w:ascii="Times New Roman" w:cs="Times New Roman" w:eastAsia="Times New Roman" w:hAnsi="Times New Roman"/>
          <w:sz w:val="20"/>
          <w:szCs w:val="20"/>
          <w:color w:val="auto"/>
        </w:rPr>
      </w:pPr>
    </w:p>
    <w:p>
      <w:pPr>
        <w:ind w:right="200" w:firstLine="597"/>
        <w:spacing w:after="0" w:line="256" w:lineRule="auto"/>
        <w:tabs>
          <w:tab w:leader="none" w:pos="1195" w:val="left"/>
        </w:tabs>
        <w:numPr>
          <w:ilvl w:val="0"/>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Benefits Generally.</w:t>
      </w:r>
      <w:r>
        <w:rPr>
          <w:rFonts w:ascii="Times New Roman" w:cs="Times New Roman" w:eastAsia="Times New Roman" w:hAnsi="Times New Roman"/>
          <w:sz w:val="20"/>
          <w:szCs w:val="20"/>
          <w:color w:val="auto"/>
        </w:rPr>
        <w:t xml:space="preserve"> In the event a Covered Executive’s employment with the Company is terminated for any reason, the Company shall pay or provide to the Covered Executive any earned but unpaid salary, unpaid expense reimbursements and accrued but unused vacation or paid time off, if applicable, within the time required by law but in no event more than thirty (30) days after the Date of Termination (collectively, the “Accrued Benefits”).</w:t>
      </w:r>
    </w:p>
    <w:p>
      <w:pPr>
        <w:spacing w:after="0" w:line="163" w:lineRule="exact"/>
        <w:rPr>
          <w:rFonts w:ascii="Times New Roman" w:cs="Times New Roman" w:eastAsia="Times New Roman" w:hAnsi="Times New Roman"/>
          <w:sz w:val="20"/>
          <w:szCs w:val="20"/>
          <w:color w:val="auto"/>
        </w:rPr>
      </w:pPr>
    </w:p>
    <w:p>
      <w:pPr>
        <w:ind w:firstLine="597"/>
        <w:spacing w:after="0" w:line="251" w:lineRule="auto"/>
        <w:tabs>
          <w:tab w:leader="none" w:pos="1195" w:val="left"/>
        </w:tabs>
        <w:numPr>
          <w:ilvl w:val="0"/>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Not in Connection with a Change in Control.</w:t>
      </w:r>
      <w:r>
        <w:rPr>
          <w:rFonts w:ascii="Times New Roman" w:cs="Times New Roman" w:eastAsia="Times New Roman" w:hAnsi="Times New Roman"/>
          <w:sz w:val="20"/>
          <w:szCs w:val="20"/>
          <w:color w:val="auto"/>
        </w:rPr>
        <w:t xml:space="preserve"> In the event the employment of a Covered Executive is (i) terminated by the Company for any reason other than for Cause, death or Disability or, in the case of the Company’s Chief Executive Officer only, terminated by the Company’s Chief Executive Officer for Good Reason and (ii) in each case, such termination occurs outside of the Change in Control Period, then, with respect to such Covered Executive and in addition to the Accrued Benefits, subject to his or her execution of a separation agreement containing, among other provisions, an effective general release of claims in favor of the Company and related persons and entities, confidentiality, return of property and non-disparagement, in a form and manner satisfactory to the Company (the “Separation Agreement and Release”) by the Covered Executive and the Separation Agreement and Release becoming irrevocable within sixty (60) days of the Date of Termination (the “Release Requirement”), the Company shall:</w:t>
      </w:r>
    </w:p>
    <w:p>
      <w:pPr>
        <w:spacing w:after="0" w:line="166" w:lineRule="exact"/>
        <w:rPr>
          <w:rFonts w:ascii="Times New Roman" w:cs="Times New Roman" w:eastAsia="Times New Roman" w:hAnsi="Times New Roman"/>
          <w:sz w:val="20"/>
          <w:szCs w:val="20"/>
          <w:color w:val="auto"/>
        </w:rPr>
      </w:pPr>
    </w:p>
    <w:p>
      <w:pPr>
        <w:ind w:right="460" w:firstLine="1194"/>
        <w:spacing w:after="0" w:line="277" w:lineRule="auto"/>
        <w:tabs>
          <w:tab w:leader="none" w:pos="1789"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Covered Executive an amount equal to 100% of the Covered Executive’s Base Salary for the Company’s Chief Executive Officer and 50% of such Covered Executive’s Base Salary for each other Covered Executives; and</w:t>
      </w:r>
    </w:p>
    <w:p>
      <w:pPr>
        <w:spacing w:after="0" w:line="141" w:lineRule="exact"/>
        <w:rPr>
          <w:rFonts w:ascii="Times New Roman" w:cs="Times New Roman" w:eastAsia="Times New Roman" w:hAnsi="Times New Roman"/>
          <w:sz w:val="20"/>
          <w:szCs w:val="20"/>
          <w:color w:val="auto"/>
        </w:rPr>
      </w:pPr>
    </w:p>
    <w:p>
      <w:pPr>
        <w:ind w:right="200" w:firstLine="1194"/>
        <w:spacing w:after="0" w:line="262" w:lineRule="auto"/>
        <w:tabs>
          <w:tab w:leader="none" w:pos="1788"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Covered Executive was participating in the Company’s group health plan immediately prior to the Date of Termination and elects COBRA health continuation, then the Company shall pay to the Covered Executive a monthly cash payment for (i) twelve (12) months for the Company’s Chief Executive Officer and six (6) months for each other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321" w:right="359" w:bottom="1440" w:gutter="0" w:footer="0" w:header="0"/>
        </w:sectPr>
      </w:pPr>
    </w:p>
    <w:bookmarkStart w:id="560" w:name="page561"/>
    <w:bookmarkEnd w:id="560"/>
    <w:p>
      <w:pPr>
        <w:jc w:val="both"/>
        <w:ind w:right="240"/>
        <w:spacing w:after="0" w:line="262" w:lineRule="auto"/>
        <w:rPr>
          <w:sz w:val="20"/>
          <w:szCs w:val="20"/>
          <w:color w:val="auto"/>
        </w:rPr>
      </w:pPr>
      <w:r>
        <w:rPr>
          <w:rFonts w:ascii="Times New Roman" w:cs="Times New Roman" w:eastAsia="Times New Roman" w:hAnsi="Times New Roman"/>
          <w:sz w:val="20"/>
          <w:szCs w:val="20"/>
          <w:color w:val="auto"/>
        </w:rPr>
        <w:t>Executive, or (ii) the Covered Executive’s COBRA health continuation period, whichever ends earlier, in an amount equal to the monthly employer contribution that the Company would have made to provide health insurance to the Covered Executive if the Covered Executive had remained employed by the Company.</w:t>
      </w:r>
    </w:p>
    <w:p>
      <w:pPr>
        <w:spacing w:after="0" w:line="15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amounts payable under Section 6(a) and (b) hereof shall be paid by the Company in substantially equal installments in accordance with the Company’s standard payroll practices over a period of twelve (12) months for the Company’s Chief Executive Officer and over a period of six (6) months for each other Covered Executive, in each case, commencing within sixty (60) days after the Date of Termination; provided, however, that if such 60-day period begins in one calendar year and ends in a second calendar year, such amounts payable to the Covered Executive under Section 6(a) and (b) hereof shall begin to be paid in the second calendar year by the last day of such 60-day period; provided further, that the initial payment shall include a catch-up payment to cover amounts retroactive to the day immediately following the Date of Termination. Each payment pursuant to this Plan is intended to constitute a separate payment for purposes of Treasury Regulation Section 1.409A-2(b)(2).</w:t>
      </w:r>
    </w:p>
    <w:p>
      <w:pPr>
        <w:spacing w:after="0" w:line="166" w:lineRule="exact"/>
        <w:rPr>
          <w:sz w:val="20"/>
          <w:szCs w:val="20"/>
          <w:color w:val="auto"/>
        </w:rPr>
      </w:pPr>
    </w:p>
    <w:p>
      <w:pPr>
        <w:ind w:right="120" w:firstLine="597"/>
        <w:spacing w:after="0" w:line="256" w:lineRule="auto"/>
        <w:tabs>
          <w:tab w:leader="none" w:pos="1195" w:val="left"/>
        </w:tabs>
        <w:numPr>
          <w:ilvl w:val="0"/>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in Connection with a Change in Control.</w:t>
      </w:r>
      <w:r>
        <w:rPr>
          <w:rFonts w:ascii="Times New Roman" w:cs="Times New Roman" w:eastAsia="Times New Roman" w:hAnsi="Times New Roman"/>
          <w:sz w:val="20"/>
          <w:szCs w:val="20"/>
          <w:color w:val="auto"/>
        </w:rPr>
        <w:t xml:space="preserve"> In the event the employment of a Covered Executive is terminated (i) by the Company for any reason other than for Cause, death or Disability or (ii) by the Covered Executive for Good Reason, and, in each case, such termination occurs during the Change in Control Period, then with respect to such Covered Executive, in addition to the Accrued Benefits, subject to his or her satisfaction of the Release Requirement, the Company shall:</w:t>
      </w:r>
    </w:p>
    <w:p>
      <w:pPr>
        <w:spacing w:after="0" w:line="163" w:lineRule="exact"/>
        <w:rPr>
          <w:rFonts w:ascii="Times New Roman" w:cs="Times New Roman" w:eastAsia="Times New Roman" w:hAnsi="Times New Roman"/>
          <w:sz w:val="20"/>
          <w:szCs w:val="20"/>
          <w:color w:val="auto"/>
        </w:rPr>
      </w:pPr>
    </w:p>
    <w:p>
      <w:pPr>
        <w:ind w:right="100" w:firstLine="1194"/>
        <w:spacing w:after="0" w:line="262" w:lineRule="auto"/>
        <w:tabs>
          <w:tab w:leader="none" w:pos="1789" w:val="left"/>
        </w:tabs>
        <w:numPr>
          <w:ilvl w:val="1"/>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100% of the shares underlying any outstanding and unvested equity awards held by the Covered Executive that are subject to time-based vesting to immediately become fully exercisable and vested as of the Date of Termination; provided, that any unvested and outstanding performance-based equity awards shall vest as specified in the applicable award agreements.</w:t>
      </w:r>
    </w:p>
    <w:p>
      <w:pPr>
        <w:spacing w:after="0" w:line="155" w:lineRule="exact"/>
        <w:rPr>
          <w:rFonts w:ascii="Times New Roman" w:cs="Times New Roman" w:eastAsia="Times New Roman" w:hAnsi="Times New Roman"/>
          <w:sz w:val="20"/>
          <w:szCs w:val="20"/>
          <w:color w:val="auto"/>
        </w:rPr>
      </w:pPr>
    </w:p>
    <w:p>
      <w:pPr>
        <w:ind w:right="60" w:firstLine="1194"/>
        <w:spacing w:after="0" w:line="254" w:lineRule="auto"/>
        <w:tabs>
          <w:tab w:leader="none" w:pos="1788" w:val="left"/>
        </w:tabs>
        <w:numPr>
          <w:ilvl w:val="1"/>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Covered Executive a single lump sum cash amount equal to the sum of (i) 150% of the Covered Executive’s Base Salary for the Company’s Chief Executive Officer and 100% of such Covered Executive’s Base Salary for each other Covered Executive and (ii) 100% of the Covered Executive’s target cash incentive bonus for the fiscal year during which such termination occurs. Such amounts shall be paid as soon as reasonably practicable, but not later than sixty (60) days after the end of the year in which the Date of Termination occurs; and</w:t>
      </w:r>
    </w:p>
    <w:p>
      <w:pPr>
        <w:spacing w:after="0" w:line="164" w:lineRule="exact"/>
        <w:rPr>
          <w:rFonts w:ascii="Times New Roman" w:cs="Times New Roman" w:eastAsia="Times New Roman" w:hAnsi="Times New Roman"/>
          <w:sz w:val="20"/>
          <w:szCs w:val="20"/>
          <w:color w:val="auto"/>
        </w:rPr>
      </w:pPr>
    </w:p>
    <w:p>
      <w:pPr>
        <w:ind w:right="100" w:firstLine="1194"/>
        <w:spacing w:after="0" w:line="252" w:lineRule="auto"/>
        <w:tabs>
          <w:tab w:leader="none" w:pos="1789" w:val="left"/>
        </w:tabs>
        <w:numPr>
          <w:ilvl w:val="1"/>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Covered Executive was participating in the Company’s group health plan immediately prior to the Date of Termination and elects COBRA health continuation, then the Company shall pay to the Covered Executive a monthly cash payment for (i) eighteen (18) months for the Company’s Chief Executive Officer and twelve (12) months for each other Covered Executive, or (ii) the Covered Executive’s COBRA health continuation period, whichever ends earlier, in an amount equal to the monthly employer contribution that the Company would have made to provide health insurance to the Covered Executive if the Covered Executive had remained employed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1" w:right="339" w:bottom="1440" w:gutter="0" w:footer="0" w:header="0"/>
        </w:sectPr>
      </w:pPr>
    </w:p>
    <w:bookmarkStart w:id="561" w:name="page562"/>
    <w:bookmarkEnd w:id="561"/>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 xml:space="preserve">For the avoidance of doubt, the severance pay and benefits provided in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shall apply in lieu of, and expressly supersede, the provisions of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and no Covered Executive shall receive severance pay and benefits under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if such Covered Executive is receiving severance pay and benefits under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hereof.</w:t>
      </w:r>
    </w:p>
    <w:p>
      <w:pPr>
        <w:spacing w:after="0" w:line="155" w:lineRule="exact"/>
        <w:rPr>
          <w:sz w:val="20"/>
          <w:szCs w:val="20"/>
          <w:color w:val="auto"/>
        </w:rPr>
      </w:pPr>
    </w:p>
    <w:p>
      <w:pPr>
        <w:ind w:left="1200" w:hanging="603"/>
        <w:spacing w:after="0"/>
        <w:tabs>
          <w:tab w:leader="none" w:pos="1200"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Limitation.</w:t>
      </w:r>
    </w:p>
    <w:p>
      <w:pPr>
        <w:spacing w:after="0" w:line="205" w:lineRule="exact"/>
        <w:rPr>
          <w:rFonts w:ascii="Times New Roman" w:cs="Times New Roman" w:eastAsia="Times New Roman" w:hAnsi="Times New Roman"/>
          <w:sz w:val="20"/>
          <w:szCs w:val="20"/>
          <w:color w:val="auto"/>
        </w:rPr>
      </w:pPr>
    </w:p>
    <w:p>
      <w:pPr>
        <w:ind w:firstLine="1194"/>
        <w:spacing w:after="0" w:line="249" w:lineRule="auto"/>
        <w:tabs>
          <w:tab w:leader="none" w:pos="1789" w:val="left"/>
        </w:tabs>
        <w:numPr>
          <w:ilvl w:val="1"/>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Plan to the contrary notwithstanding, in the event that the amount of any compensation, payment or distribution by the Company to or for the benefit of the Covered Executive, whether paid or payable or distributed or distributable pursuant to the terms of this Plan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Covered Executive becomes subject to the excise tax imposed by Section 4999 of the Code; provided that such reduction shall only occur if it would result in the Covered Executive receiving a higher After Tax Amount (as defined below) than the Covered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68" w:lineRule="exact"/>
        <w:rPr>
          <w:rFonts w:ascii="Times New Roman" w:cs="Times New Roman" w:eastAsia="Times New Roman" w:hAnsi="Times New Roman"/>
          <w:sz w:val="20"/>
          <w:szCs w:val="20"/>
          <w:color w:val="auto"/>
        </w:rPr>
      </w:pPr>
    </w:p>
    <w:p>
      <w:pPr>
        <w:ind w:firstLine="1194"/>
        <w:spacing w:after="0" w:line="251" w:lineRule="auto"/>
        <w:tabs>
          <w:tab w:leader="none" w:pos="1788" w:val="left"/>
        </w:tabs>
        <w:numPr>
          <w:ilvl w:val="1"/>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“After Tax Amount” means the amount of the Aggregate Payments less all federal, state, and local income, excise, employment and social security taxes imposed on the Covered Executive as a result of the Covered Executive’s receipt of the Aggregate Payments. For purposes of determining the After Tax Amount, the Covered Executive shall be deemed to pay federal income taxes at the highest marginal rate of federal income taxation applicable to individuals for the calendar year in which the determination is to be made, and state and local income taxes and social security at the highest marginal rates of individual taxation in each applicable state and locality, net of the maximum reduction in federal income taxes which could be obtained from deduction of such state and local taxes.</w:t>
      </w:r>
    </w:p>
    <w:p>
      <w:pPr>
        <w:spacing w:after="0" w:line="170" w:lineRule="exact"/>
        <w:rPr>
          <w:rFonts w:ascii="Times New Roman" w:cs="Times New Roman" w:eastAsia="Times New Roman" w:hAnsi="Times New Roman"/>
          <w:sz w:val="20"/>
          <w:szCs w:val="20"/>
          <w:color w:val="auto"/>
        </w:rPr>
      </w:pPr>
    </w:p>
    <w:p>
      <w:pPr>
        <w:ind w:right="120" w:firstLine="1194"/>
        <w:spacing w:after="0" w:line="274" w:lineRule="auto"/>
        <w:tabs>
          <w:tab w:leader="none" w:pos="1789" w:val="left"/>
        </w:tabs>
        <w:numPr>
          <w:ilvl w:val="1"/>
          <w:numId w:val="4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determination as to whether a reduction in the Aggregate Payments shall be made pursuant to </w:t>
      </w:r>
      <w:r>
        <w:rPr>
          <w:rFonts w:ascii="Times New Roman" w:cs="Times New Roman" w:eastAsia="Times New Roman" w:hAnsi="Times New Roman"/>
          <w:sz w:val="19"/>
          <w:szCs w:val="19"/>
          <w:u w:val="single" w:color="auto"/>
          <w:color w:val="auto"/>
        </w:rPr>
        <w:t>Section 8(a)</w:t>
      </w:r>
      <w:r>
        <w:rPr>
          <w:rFonts w:ascii="Times New Roman" w:cs="Times New Roman" w:eastAsia="Times New Roman" w:hAnsi="Times New Roman"/>
          <w:sz w:val="19"/>
          <w:szCs w:val="19"/>
          <w:color w:val="auto"/>
        </w:rPr>
        <w:t xml:space="preserve"> shall be made by the Accounting Firm, which shall provide detailed supporting calculations both to the Company and the Covered Executive within 15 business days of the Date of Termination, if applicable, or at such earlier time as is reasonably requested by the Company or the Covered Executive. Any determination by the Accounting Firm shall be binding upon the Company and the Covered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60"/>
          </w:cols>
          <w:pgMar w:left="320" w:top="1321" w:right="419" w:bottom="1440" w:gutter="0" w:footer="0" w:header="0"/>
        </w:sectPr>
      </w:pPr>
    </w:p>
    <w:bookmarkStart w:id="562" w:name="page563"/>
    <w:bookmarkEnd w:id="562"/>
    <w:p>
      <w:pPr>
        <w:ind w:left="-20" w:firstLine="597"/>
        <w:spacing w:after="0" w:line="254" w:lineRule="auto"/>
        <w:tabs>
          <w:tab w:leader="none" w:pos="1175" w:val="left"/>
        </w:tabs>
        <w:numPr>
          <w:ilvl w:val="0"/>
          <w:numId w:val="4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 and Invention Assignment Agreement.</w:t>
      </w:r>
      <w:r>
        <w:rPr>
          <w:rFonts w:ascii="Times New Roman" w:cs="Times New Roman" w:eastAsia="Times New Roman" w:hAnsi="Times New Roman"/>
          <w:sz w:val="20"/>
          <w:szCs w:val="20"/>
          <w:color w:val="auto"/>
        </w:rPr>
        <w:t xml:space="preserve"> As a condition to participating in the Plan, each Covered Executive shall continue to comply with the terms and conditions contained in the Confidential Information and Invention Assignment Agreement entered into between the Covered Executive and the Company. If a Covered Executive has not entered into a Confidential Information and Invention Assignment Agreement or similar agreement with the Company, he or she shall enter into such agreement prior to participating in the Plan.</w:t>
      </w:r>
    </w:p>
    <w:p>
      <w:pPr>
        <w:spacing w:after="0" w:line="164" w:lineRule="exact"/>
        <w:rPr>
          <w:rFonts w:ascii="Times New Roman" w:cs="Times New Roman" w:eastAsia="Times New Roman" w:hAnsi="Times New Roman"/>
          <w:sz w:val="20"/>
          <w:szCs w:val="20"/>
          <w:color w:val="auto"/>
        </w:rPr>
      </w:pPr>
    </w:p>
    <w:p>
      <w:pPr>
        <w:ind w:left="-20" w:right="100" w:firstLine="597"/>
        <w:spacing w:after="0" w:line="277" w:lineRule="auto"/>
        <w:tabs>
          <w:tab w:leader="none" w:pos="1175" w:val="left"/>
        </w:tabs>
        <w:numPr>
          <w:ilvl w:val="0"/>
          <w:numId w:val="4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xml:space="preserve"> All payments made by the Company under this Plan shall be subject to any tax or other amounts required to be withheld by the Company under applicable law.</w:t>
      </w:r>
    </w:p>
    <w:p>
      <w:pPr>
        <w:spacing w:after="0" w:line="141" w:lineRule="exact"/>
        <w:rPr>
          <w:rFonts w:ascii="Times New Roman" w:cs="Times New Roman" w:eastAsia="Times New Roman" w:hAnsi="Times New Roman"/>
          <w:sz w:val="20"/>
          <w:szCs w:val="20"/>
          <w:color w:val="auto"/>
        </w:rPr>
      </w:pPr>
    </w:p>
    <w:p>
      <w:pPr>
        <w:ind w:left="1160" w:hanging="583"/>
        <w:spacing w:after="0"/>
        <w:tabs>
          <w:tab w:leader="none" w:pos="1160" w:val="left"/>
        </w:tabs>
        <w:numPr>
          <w:ilvl w:val="0"/>
          <w:numId w:val="4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p>
    <w:p>
      <w:pPr>
        <w:spacing w:after="0" w:line="205" w:lineRule="exact"/>
        <w:rPr>
          <w:rFonts w:ascii="Times New Roman" w:cs="Times New Roman" w:eastAsia="Times New Roman" w:hAnsi="Times New Roman"/>
          <w:sz w:val="20"/>
          <w:szCs w:val="20"/>
          <w:color w:val="auto"/>
        </w:rPr>
      </w:pPr>
    </w:p>
    <w:p>
      <w:pPr>
        <w:ind w:left="-20" w:right="120" w:firstLine="1194"/>
        <w:spacing w:after="0" w:line="265" w:lineRule="auto"/>
        <w:tabs>
          <w:tab w:leader="none" w:pos="1769" w:val="left"/>
        </w:tabs>
        <w:numPr>
          <w:ilvl w:val="1"/>
          <w:numId w:val="4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Plan to the contrary notwithstanding, if at the time of the Covered Executive’s “separation from service” within the meaning of Section 409A of the Code, the Company determines that the Covered Executive is a “specified employee” within the meaning of Section 409A(a)(2)(B)(i) of the Code, then to the extent any payment or benefit that the Covered Executive becomes entitled to under this Plan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Covered Executive’s separation from service, or (B) the Covered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55" w:lineRule="exact"/>
        <w:rPr>
          <w:rFonts w:ascii="Times New Roman" w:cs="Times New Roman" w:eastAsia="Times New Roman" w:hAnsi="Times New Roman"/>
          <w:sz w:val="19"/>
          <w:szCs w:val="19"/>
          <w:color w:val="auto"/>
        </w:rPr>
      </w:pPr>
    </w:p>
    <w:p>
      <w:pPr>
        <w:ind w:left="-20" w:right="40" w:firstLine="1194"/>
        <w:spacing w:after="0" w:line="251" w:lineRule="auto"/>
        <w:tabs>
          <w:tab w:leader="none" w:pos="1768" w:val="left"/>
        </w:tabs>
        <w:numPr>
          <w:ilvl w:val="1"/>
          <w:numId w:val="4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intend that this Plan will be administered in accordance with Section 409A of the Code and that all amounts payable hereunder shall be exempt from the requirements of such section as a result of being “short term deferrals” for purposes of Section 409A of the Code to the greatest extent possible. To the extent that any provision of this Plan is not exempt from Section 409A of the Code and ambiguous as to its compliance with Section 409A of the Code, the provision shall be read in such a manner to comply with Section 409A of the Code. Each payment pursuant to this Plan is intended to constitute a separate payment for purposes of Treasury Regulation Section 1.409A2(b)(2). The parties agree that this Plan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6" w:lineRule="exact"/>
        <w:rPr>
          <w:rFonts w:ascii="Times New Roman" w:cs="Times New Roman" w:eastAsia="Times New Roman" w:hAnsi="Times New Roman"/>
          <w:sz w:val="20"/>
          <w:szCs w:val="20"/>
          <w:color w:val="auto"/>
        </w:rPr>
      </w:pPr>
    </w:p>
    <w:p>
      <w:pPr>
        <w:ind w:left="-20" w:right="320" w:firstLine="1194"/>
        <w:spacing w:after="0" w:line="256" w:lineRule="auto"/>
        <w:tabs>
          <w:tab w:leader="none" w:pos="1769" w:val="left"/>
        </w:tabs>
        <w:numPr>
          <w:ilvl w:val="1"/>
          <w:numId w:val="4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payment or benefit described in this Plan constitutes “non-qualified deferred compensation” under Section 409A of the Code, and to the extent that such payment or benefit is payable upon the Covered Executive’s termination of employment, then such payments or benefits shall be payable only upon the Covered Executive’s “separation from service.” The determination of whether and when a separation from service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00"/>
          </w:cols>
          <w:pgMar w:left="340" w:top="1321" w:right="35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20"/>
          <w:szCs w:val="20"/>
          <w:color w:val="auto"/>
        </w:rPr>
        <w:t>shall be made in accordance with the presumptions set forth in Treasury Regulation Section 1.409A-1(h).</w:t>
      </w:r>
    </w:p>
    <w:p>
      <w:pPr>
        <w:spacing w:after="0" w:line="206" w:lineRule="exact"/>
        <w:rPr>
          <w:sz w:val="20"/>
          <w:szCs w:val="20"/>
          <w:color w:val="auto"/>
        </w:rPr>
      </w:pPr>
    </w:p>
    <w:p>
      <w:pPr>
        <w:ind w:firstLine="1194"/>
        <w:spacing w:after="0" w:line="251" w:lineRule="auto"/>
        <w:tabs>
          <w:tab w:leader="none" w:pos="1788" w:val="left"/>
        </w:tabs>
        <w:numPr>
          <w:ilvl w:val="1"/>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in-kind benefits provided and expenses eligible for reimbursement under this Plan shall be provided by the Company or incurred by the Covered Executive during the time periods set forth in this Plan.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0" w:lineRule="exact"/>
        <w:rPr>
          <w:rFonts w:ascii="Times New Roman" w:cs="Times New Roman" w:eastAsia="Times New Roman" w:hAnsi="Times New Roman"/>
          <w:sz w:val="20"/>
          <w:szCs w:val="20"/>
          <w:color w:val="auto"/>
        </w:rPr>
      </w:pPr>
    </w:p>
    <w:p>
      <w:pPr>
        <w:ind w:right="120" w:firstLine="1194"/>
        <w:spacing w:after="0" w:line="262" w:lineRule="auto"/>
        <w:tabs>
          <w:tab w:leader="none" w:pos="1789" w:val="left"/>
        </w:tabs>
        <w:numPr>
          <w:ilvl w:val="1"/>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makes no representation or warranty and shall have no liability to the Covered Executive or any other person if any provisions of this Plan are determined to constitute deferred compensation subject to Section 409A of the Code but do not satisfy an exemption from, or the conditions of, such Section.</w:t>
      </w:r>
    </w:p>
    <w:p>
      <w:pPr>
        <w:spacing w:after="0" w:line="155" w:lineRule="exact"/>
        <w:rPr>
          <w:rFonts w:ascii="Times New Roman" w:cs="Times New Roman" w:eastAsia="Times New Roman" w:hAnsi="Times New Roman"/>
          <w:sz w:val="20"/>
          <w:szCs w:val="20"/>
          <w:color w:val="auto"/>
        </w:rPr>
      </w:pPr>
    </w:p>
    <w:p>
      <w:pPr>
        <w:ind w:left="1200" w:hanging="603"/>
        <w:spacing w:after="0"/>
        <w:tabs>
          <w:tab w:leader="none" w:pos="1200" w:val="left"/>
        </w:tabs>
        <w:numPr>
          <w:ilvl w:val="0"/>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p>
    <w:p>
      <w:pPr>
        <w:spacing w:after="0" w:line="205" w:lineRule="exact"/>
        <w:rPr>
          <w:rFonts w:ascii="Times New Roman" w:cs="Times New Roman" w:eastAsia="Times New Roman" w:hAnsi="Times New Roman"/>
          <w:sz w:val="20"/>
          <w:szCs w:val="20"/>
          <w:color w:val="auto"/>
        </w:rPr>
      </w:pPr>
    </w:p>
    <w:p>
      <w:pPr>
        <w:ind w:right="220" w:firstLine="1194"/>
        <w:spacing w:after="0" w:line="277" w:lineRule="auto"/>
        <w:tabs>
          <w:tab w:leader="none" w:pos="1789" w:val="left"/>
        </w:tabs>
        <w:numPr>
          <w:ilvl w:val="1"/>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 termination of the Covered Executive’s employment shall be communicated by Notice of Termination from the Company to the Covered Executive or vice versa in accordance with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141" w:lineRule="exact"/>
        <w:rPr>
          <w:rFonts w:ascii="Times New Roman" w:cs="Times New Roman" w:eastAsia="Times New Roman" w:hAnsi="Times New Roman"/>
          <w:sz w:val="20"/>
          <w:szCs w:val="20"/>
          <w:color w:val="auto"/>
        </w:rPr>
      </w:pPr>
    </w:p>
    <w:p>
      <w:pPr>
        <w:ind w:right="20" w:firstLine="1194"/>
        <w:spacing w:after="0" w:line="262" w:lineRule="auto"/>
        <w:tabs>
          <w:tab w:leader="none" w:pos="1788" w:val="left"/>
        </w:tabs>
        <w:numPr>
          <w:ilvl w:val="1"/>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to the Company</w:t>
      </w:r>
      <w:r>
        <w:rPr>
          <w:rFonts w:ascii="Times New Roman" w:cs="Times New Roman" w:eastAsia="Times New Roman" w:hAnsi="Times New Roman"/>
          <w:sz w:val="20"/>
          <w:szCs w:val="20"/>
          <w:color w:val="auto"/>
        </w:rPr>
        <w:t>. Any notices, requests, demands, and other communications provided for by this Plan shall be sufficient if in writing and delivered in person or sent by registered or certified mail, postage prepaid, to a Covered Executive at the last address the Covered Executive has filed in writing with the Company, or to the Company at the following physical or email address:</w:t>
      </w:r>
    </w:p>
    <w:p>
      <w:pPr>
        <w:spacing w:after="0" w:line="15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ThredUp Inc.</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969 Broadway, Suite 200</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Oakland, CA 94607</w:t>
      </w:r>
    </w:p>
    <w:p>
      <w:pPr>
        <w:spacing w:after="0" w:line="184" w:lineRule="exact"/>
        <w:rPr>
          <w:sz w:val="20"/>
          <w:szCs w:val="20"/>
          <w:color w:val="auto"/>
        </w:rPr>
      </w:pPr>
    </w:p>
    <w:p>
      <w:pPr>
        <w:ind w:right="440" w:firstLine="597"/>
        <w:spacing w:after="0" w:line="277" w:lineRule="auto"/>
        <w:tabs>
          <w:tab w:leader="none" w:pos="1195"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Mitigation.</w:t>
      </w:r>
      <w:r>
        <w:rPr>
          <w:rFonts w:ascii="Times New Roman" w:cs="Times New Roman" w:eastAsia="Times New Roman" w:hAnsi="Times New Roman"/>
          <w:sz w:val="20"/>
          <w:szCs w:val="20"/>
          <w:color w:val="auto"/>
        </w:rPr>
        <w:t xml:space="preserve"> The Covered Executive is not required to seek other employment or to attempt in any way to reduce any amounts payable to the Covered Executive by the Company under this Plan.</w:t>
      </w:r>
    </w:p>
    <w:p>
      <w:pPr>
        <w:spacing w:after="0" w:line="141" w:lineRule="exact"/>
        <w:rPr>
          <w:rFonts w:ascii="Times New Roman" w:cs="Times New Roman" w:eastAsia="Times New Roman" w:hAnsi="Times New Roman"/>
          <w:sz w:val="20"/>
          <w:szCs w:val="20"/>
          <w:color w:val="auto"/>
        </w:rPr>
      </w:pPr>
    </w:p>
    <w:p>
      <w:pPr>
        <w:ind w:right="320" w:firstLine="597"/>
        <w:spacing w:after="0" w:line="256" w:lineRule="auto"/>
        <w:tabs>
          <w:tab w:leader="none" w:pos="1195"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w:t>
      </w:r>
      <w:r>
        <w:rPr>
          <w:rFonts w:ascii="Times New Roman" w:cs="Times New Roman" w:eastAsia="Times New Roman" w:hAnsi="Times New Roman"/>
          <w:sz w:val="20"/>
          <w:szCs w:val="20"/>
          <w:color w:val="auto"/>
        </w:rPr>
        <w:t xml:space="preserve"> The Covered Executives consent to the jurisdiction of the state and federal courts in the State of California. Accordingly, with respect to any such court action, each Covered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80"/>
          </w:cols>
          <w:pgMar w:left="320" w:top="1320" w:right="399" w:bottom="1440" w:gutter="0" w:footer="0" w:header="0"/>
        </w:sectPr>
      </w:pPr>
    </w:p>
    <w:bookmarkStart w:id="564" w:name="page565"/>
    <w:bookmarkEnd w:id="564"/>
    <w:p>
      <w:pPr>
        <w:ind w:left="-20" w:right="20" w:firstLine="597"/>
        <w:spacing w:after="0" w:line="254" w:lineRule="auto"/>
        <w:tabs>
          <w:tab w:leader="none" w:pos="1175"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 and Burdens.</w:t>
      </w:r>
      <w:r>
        <w:rPr>
          <w:rFonts w:ascii="Times New Roman" w:cs="Times New Roman" w:eastAsia="Times New Roman" w:hAnsi="Times New Roman"/>
          <w:sz w:val="20"/>
          <w:szCs w:val="20"/>
          <w:color w:val="auto"/>
        </w:rPr>
        <w:t xml:space="preserve"> This Plan shall inure to the benefit of and be binding upon the Company and the Covered Executives, their respective successors, executors, administrators, heirs and permitted assigns. In the event of a Covered Executive’s death after a termination of employment but prior to the completion by the Company of all payments due to him or her under this Plan, the Company shall continue such payments to the Covered Executive’s beneficiary designated in writing to the Company prior to his or her death (or to his or her estate, if the Covered Executive fails to make such designation).</w:t>
      </w:r>
    </w:p>
    <w:p>
      <w:pPr>
        <w:spacing w:after="0" w:line="164" w:lineRule="exact"/>
        <w:rPr>
          <w:rFonts w:ascii="Times New Roman" w:cs="Times New Roman" w:eastAsia="Times New Roman" w:hAnsi="Times New Roman"/>
          <w:sz w:val="20"/>
          <w:szCs w:val="20"/>
          <w:color w:val="auto"/>
        </w:rPr>
      </w:pPr>
    </w:p>
    <w:p>
      <w:pPr>
        <w:ind w:left="-20" w:right="20" w:firstLine="597"/>
        <w:spacing w:after="0" w:line="256" w:lineRule="auto"/>
        <w:tabs>
          <w:tab w:leader="none" w:pos="1175"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xml:space="preserve"> If any portion or provision of this Plan shall to any extent be declared illegal or unenforceable by a court of competent jurisdiction, then the remainder of this Plan, or the application of such portion or provision in circumstances other than those as to which it is so declared illegal or unenforceable, shall not be affected thereby, and each portion and provision of this Plan shall be valid and enforceable to the fullest extent permitted by law.</w:t>
      </w:r>
    </w:p>
    <w:p>
      <w:pPr>
        <w:spacing w:after="0" w:line="163" w:lineRule="exact"/>
        <w:rPr>
          <w:rFonts w:ascii="Times New Roman" w:cs="Times New Roman" w:eastAsia="Times New Roman" w:hAnsi="Times New Roman"/>
          <w:sz w:val="20"/>
          <w:szCs w:val="20"/>
          <w:color w:val="auto"/>
        </w:rPr>
      </w:pPr>
    </w:p>
    <w:p>
      <w:pPr>
        <w:ind w:left="-20" w:right="200" w:firstLine="597"/>
        <w:spacing w:after="0" w:line="262" w:lineRule="auto"/>
        <w:tabs>
          <w:tab w:leader="none" w:pos="1175"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xml:space="preserve"> No waiver of any provision hereof shall be effective unless made in writing and signed by the waiving party. The failure of any party to require the performance of any term or obligation of this Plan, or the waiver by any party of any breach of this Plan, shall not prevent any subsequent enforcement of such term or obligation or be deemed a waiver of any subsequent breach.</w:t>
      </w:r>
    </w:p>
    <w:p>
      <w:pPr>
        <w:spacing w:after="0" w:line="155" w:lineRule="exact"/>
        <w:rPr>
          <w:rFonts w:ascii="Times New Roman" w:cs="Times New Roman" w:eastAsia="Times New Roman" w:hAnsi="Times New Roman"/>
          <w:sz w:val="20"/>
          <w:szCs w:val="20"/>
          <w:color w:val="auto"/>
        </w:rPr>
      </w:pPr>
    </w:p>
    <w:p>
      <w:pPr>
        <w:jc w:val="both"/>
        <w:ind w:left="-20" w:right="180" w:firstLine="597"/>
        <w:spacing w:after="0" w:line="262" w:lineRule="auto"/>
        <w:tabs>
          <w:tab w:leader="none" w:pos="1175"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Non-Duplication of Benefits and Effect on Other Plans.</w:t>
      </w:r>
      <w:r>
        <w:rPr>
          <w:rFonts w:ascii="Times New Roman" w:cs="Times New Roman" w:eastAsia="Times New Roman" w:hAnsi="Times New Roman"/>
          <w:sz w:val="20"/>
          <w:szCs w:val="20"/>
          <w:color w:val="auto"/>
        </w:rPr>
        <w:t xml:space="preserve"> Notwithstanding any other provision in the Plan to the contrary, the benefits provided hereunder shall be in lieu of any other severance payments and/or benefits provided by the Company, including any such payments and/or benefits pursuant to an employment agreement or offer letter between the Company and the Covered Executive.</w:t>
      </w:r>
    </w:p>
    <w:p>
      <w:pPr>
        <w:spacing w:after="0" w:line="155" w:lineRule="exact"/>
        <w:rPr>
          <w:rFonts w:ascii="Times New Roman" w:cs="Times New Roman" w:eastAsia="Times New Roman" w:hAnsi="Times New Roman"/>
          <w:sz w:val="20"/>
          <w:szCs w:val="20"/>
          <w:color w:val="auto"/>
        </w:rPr>
      </w:pPr>
    </w:p>
    <w:p>
      <w:pPr>
        <w:ind w:left="-20" w:firstLine="597"/>
        <w:spacing w:after="0" w:line="277" w:lineRule="auto"/>
        <w:tabs>
          <w:tab w:leader="none" w:pos="1175"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Contract of Employment.</w:t>
      </w:r>
      <w:r>
        <w:rPr>
          <w:rFonts w:ascii="Times New Roman" w:cs="Times New Roman" w:eastAsia="Times New Roman" w:hAnsi="Times New Roman"/>
          <w:sz w:val="20"/>
          <w:szCs w:val="20"/>
          <w:color w:val="auto"/>
        </w:rPr>
        <w:t xml:space="preserve"> Nothing in this Plan shall be construed as giving any Covered Executive any right to be retained in the employ of the Company or shall affect the terms and conditions of a Covered Executive’s employment with the Company.</w:t>
      </w:r>
    </w:p>
    <w:p>
      <w:pPr>
        <w:spacing w:after="0" w:line="141" w:lineRule="exact"/>
        <w:rPr>
          <w:rFonts w:ascii="Times New Roman" w:cs="Times New Roman" w:eastAsia="Times New Roman" w:hAnsi="Times New Roman"/>
          <w:sz w:val="20"/>
          <w:szCs w:val="20"/>
          <w:color w:val="auto"/>
        </w:rPr>
      </w:pPr>
    </w:p>
    <w:p>
      <w:pPr>
        <w:ind w:left="-20" w:right="40" w:firstLine="597"/>
        <w:spacing w:after="0" w:line="277" w:lineRule="auto"/>
        <w:tabs>
          <w:tab w:leader="none" w:pos="1175"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 of Plan.</w:t>
      </w:r>
      <w:r>
        <w:rPr>
          <w:rFonts w:ascii="Times New Roman" w:cs="Times New Roman" w:eastAsia="Times New Roman" w:hAnsi="Times New Roman"/>
          <w:sz w:val="20"/>
          <w:szCs w:val="20"/>
          <w:color w:val="auto"/>
        </w:rPr>
        <w:t xml:space="preserve"> The Company may amend or terminate this Plan at any time or from time to time, but no such action shall adversely affect the rights of any Covered Executive without the Covered Executive’s written consent.</w:t>
      </w:r>
    </w:p>
    <w:p>
      <w:pPr>
        <w:spacing w:after="0" w:line="141" w:lineRule="exact"/>
        <w:rPr>
          <w:rFonts w:ascii="Times New Roman" w:cs="Times New Roman" w:eastAsia="Times New Roman" w:hAnsi="Times New Roman"/>
          <w:sz w:val="20"/>
          <w:szCs w:val="20"/>
          <w:color w:val="auto"/>
        </w:rPr>
      </w:pPr>
    </w:p>
    <w:p>
      <w:pPr>
        <w:ind w:left="1180" w:hanging="603"/>
        <w:spacing w:after="0"/>
        <w:tabs>
          <w:tab w:leader="none" w:pos="1180"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Plan shall be construed under and be governed in all respects by the laws of the State of California.</w:t>
      </w:r>
    </w:p>
    <w:p>
      <w:pPr>
        <w:spacing w:after="0" w:line="205" w:lineRule="exact"/>
        <w:rPr>
          <w:rFonts w:ascii="Times New Roman" w:cs="Times New Roman" w:eastAsia="Times New Roman" w:hAnsi="Times New Roman"/>
          <w:sz w:val="20"/>
          <w:szCs w:val="20"/>
          <w:color w:val="auto"/>
        </w:rPr>
      </w:pPr>
    </w:p>
    <w:p>
      <w:pPr>
        <w:ind w:left="-20" w:right="120" w:firstLine="597"/>
        <w:spacing w:after="0" w:line="256" w:lineRule="auto"/>
        <w:tabs>
          <w:tab w:leader="none" w:pos="1175"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Successors.</w:t>
      </w:r>
      <w:r>
        <w:rPr>
          <w:rFonts w:ascii="Times New Roman" w:cs="Times New Roman" w:eastAsia="Times New Roman" w:hAnsi="Times New Roman"/>
          <w:sz w:val="20"/>
          <w:szCs w:val="20"/>
          <w:color w:val="auto"/>
        </w:rPr>
        <w:t xml:space="preserve"> In addition to any obligations imposed by law upon any successor to the Company, any successor (whether direct or indirect, by purchase, merger, consolidation or otherwise) to all or substantially all of the business or assets of the Company shall expressly assume and agree to perform this Plan in the same manner and to the same extent that the Company would be required to perform if no such succession had taken place.</w:t>
      </w:r>
    </w:p>
    <w:p>
      <w:pPr>
        <w:spacing w:after="0" w:line="163" w:lineRule="exact"/>
        <w:rPr>
          <w:rFonts w:ascii="Times New Roman" w:cs="Times New Roman" w:eastAsia="Times New Roman" w:hAnsi="Times New Roman"/>
          <w:sz w:val="20"/>
          <w:szCs w:val="20"/>
          <w:color w:val="auto"/>
        </w:rPr>
      </w:pPr>
    </w:p>
    <w:p>
      <w:pPr>
        <w:ind w:left="-20" w:right="100" w:firstLine="597"/>
        <w:spacing w:after="0" w:line="304" w:lineRule="auto"/>
        <w:tabs>
          <w:tab w:leader="none" w:pos="1175" w:val="left"/>
        </w:tabs>
        <w:numPr>
          <w:ilvl w:val="0"/>
          <w:numId w:val="4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Effectiveness and Term.</w:t>
      </w:r>
      <w:r>
        <w:rPr>
          <w:rFonts w:ascii="Times New Roman" w:cs="Times New Roman" w:eastAsia="Times New Roman" w:hAnsi="Times New Roman"/>
          <w:sz w:val="19"/>
          <w:szCs w:val="19"/>
          <w:color w:val="auto"/>
        </w:rPr>
        <w:t xml:space="preserve"> This Plan is effective as of November 4, 2020 (the “Effective Date”) and shall remain effective for a term of three years from the Effective Date (the “Initial Term”), with the effectiveness of the Plan renewing automatically for a term of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40" w:top="1321" w:right="339" w:bottom="1440" w:gutter="0" w:footer="0" w:header="0"/>
        </w:sectPr>
      </w:pPr>
    </w:p>
    <w:bookmarkStart w:id="565" w:name="page566"/>
    <w:bookmarkEnd w:id="565"/>
    <w:p>
      <w:pPr>
        <w:spacing w:after="0" w:line="262" w:lineRule="auto"/>
        <w:rPr>
          <w:sz w:val="20"/>
          <w:szCs w:val="20"/>
          <w:color w:val="auto"/>
        </w:rPr>
      </w:pPr>
      <w:r>
        <w:rPr>
          <w:rFonts w:ascii="Times New Roman" w:cs="Times New Roman" w:eastAsia="Times New Roman" w:hAnsi="Times New Roman"/>
          <w:sz w:val="20"/>
          <w:szCs w:val="20"/>
          <w:color w:val="auto"/>
        </w:rPr>
        <w:t>year (the “Renewal Term”) upon the last day of the Initial Term and upon the last day of each Renewal Term thereafter, unless the Company, taking action by resolution of the Board at least three months prior to the last day of the Initial Term or the last day of any such subsequent Renewal Term, as applicable, determines that the Plan shall not be renewed.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20" w:top="1321" w:right="379" w:bottom="1440" w:gutter="0" w:footer="0" w:header="0"/>
        </w:sectPr>
      </w:pPr>
    </w:p>
    <w:bookmarkStart w:id="566" w:name="page567"/>
    <w:bookmarkEnd w:id="566"/>
    <w:p>
      <w:pPr>
        <w:jc w:val="right"/>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THREDUP INC.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8" w:lineRule="exact"/>
        <w:rPr>
          <w:sz w:val="20"/>
          <w:szCs w:val="20"/>
          <w:color w:val="auto"/>
        </w:rPr>
      </w:pPr>
    </w:p>
    <w:p>
      <w:pPr>
        <w:jc w:val="both"/>
        <w:ind w:firstLine="597"/>
        <w:spacing w:after="0" w:line="253" w:lineRule="auto"/>
        <w:rPr>
          <w:sz w:val="20"/>
          <w:szCs w:val="20"/>
          <w:color w:val="auto"/>
        </w:rPr>
      </w:pPr>
      <w:r>
        <w:rPr>
          <w:rFonts w:ascii="Times New Roman" w:cs="Times New Roman" w:eastAsia="Times New Roman" w:hAnsi="Times New Roman"/>
          <w:sz w:val="18"/>
          <w:szCs w:val="18"/>
          <w:color w:val="auto"/>
        </w:rPr>
        <w:t>The purpose of this Non-Employee Director Compensation Policy (the “Policy”) of ThredUp Inc., a Delaware corporation (the “Company”), is to provide a total compensation package that enables the Company to attract and retain, on a long-term basis, high-caliber directors who are not employees or officers of the Company or its subsidiaries (“Outside Directors”). This Policy will become effective as of the effective time of the registration statement for the Company’s initial public offering of equity securities (the “Effective Date”). In furtherance of the purpose stated above, all Outside Directors shall be paid compensation for services provided to the Company as set forth below:</w:t>
      </w:r>
    </w:p>
    <w:p>
      <w:pPr>
        <w:spacing w:after="0" w:line="162" w:lineRule="exact"/>
        <w:rPr>
          <w:sz w:val="20"/>
          <w:szCs w:val="20"/>
          <w:color w:val="auto"/>
        </w:rPr>
      </w:pPr>
    </w:p>
    <w:p>
      <w:pPr>
        <w:ind w:firstLine="298"/>
        <w:spacing w:after="0" w:line="284" w:lineRule="auto"/>
        <w:tabs>
          <w:tab w:leader="none" w:pos="589" w:val="left"/>
        </w:tabs>
        <w:numPr>
          <w:ilvl w:val="0"/>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Retainers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cash retainers as set forth below will be paid in advance to Outside Directors in quarterly installments on the first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calendar quarter following the Effective Date.</w:t>
      </w:r>
    </w:p>
    <w:p>
      <w:pPr>
        <w:spacing w:after="0" w:line="161" w:lineRule="exact"/>
        <w:rPr>
          <w:rFonts w:ascii="Times New Roman" w:cs="Times New Roman" w:eastAsia="Times New Roman" w:hAnsi="Times New Roman"/>
          <w:sz w:val="18"/>
          <w:szCs w:val="18"/>
          <w:b w:val="1"/>
          <w:bCs w:val="1"/>
          <w:color w:val="auto"/>
        </w:rPr>
      </w:pPr>
    </w:p>
    <w:p>
      <w:pPr>
        <w:ind w:firstLine="597"/>
        <w:spacing w:after="0" w:line="252" w:lineRule="auto"/>
        <w:tabs>
          <w:tab w:leader="none" w:pos="1191"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Annual Retainer for Board Membership</w:t>
      </w:r>
      <w:r>
        <w:rPr>
          <w:rFonts w:ascii="Times New Roman" w:cs="Times New Roman" w:eastAsia="Times New Roman" w:hAnsi="Times New Roman"/>
          <w:sz w:val="18"/>
          <w:szCs w:val="18"/>
          <w:color w:val="auto"/>
        </w:rPr>
        <w:t>: $40,000 for general availability and participation in meetings and conference calls of our Board of Directors. No additional compensation for attending individual Board meetings.</w:t>
      </w:r>
    </w:p>
    <w:p>
      <w:pPr>
        <w:spacing w:after="0" w:line="15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80" w:type="dxa"/>
            <w:vAlign w:val="bottom"/>
          </w:tcPr>
          <w:p>
            <w:pPr>
              <w:spacing w:after="0"/>
              <w:rPr>
                <w:sz w:val="19"/>
                <w:szCs w:val="19"/>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Annual Retainer for Chair of the Board of Directors:</w:t>
            </w:r>
          </w:p>
        </w:tc>
        <w:tc>
          <w:tcPr>
            <w:tcW w:w="2640" w:type="dxa"/>
            <w:vAlign w:val="bottom"/>
          </w:tcPr>
          <w:p>
            <w:pPr>
              <w:jc w:val="right"/>
              <w:ind w:right="1849"/>
              <w:spacing w:after="0"/>
              <w:rPr>
                <w:sz w:val="20"/>
                <w:szCs w:val="20"/>
                <w:color w:val="auto"/>
              </w:rPr>
            </w:pPr>
            <w:r>
              <w:rPr>
                <w:rFonts w:ascii="Times New Roman" w:cs="Times New Roman" w:eastAsia="Times New Roman" w:hAnsi="Times New Roman"/>
                <w:sz w:val="18"/>
                <w:szCs w:val="18"/>
                <w:color w:val="auto"/>
              </w:rPr>
              <w:t>$20,000</w:t>
            </w:r>
          </w:p>
        </w:tc>
      </w:tr>
      <w:tr>
        <w:trPr>
          <w:trHeight w:val="416"/>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Additional Annual Retainers for Committee Membership:</w:t>
            </w:r>
          </w:p>
        </w:tc>
        <w:tc>
          <w:tcPr>
            <w:tcW w:w="4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82"/>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780" w:type="dxa"/>
            <w:vAlign w:val="bottom"/>
            <w:gridSpan w:val="2"/>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61"/>
        </w:trPr>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Audit Committee Member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61"/>
        </w:trPr>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61"/>
        </w:trPr>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61"/>
        </w:trPr>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Nomination and Corporate Governance Committee Chairperson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61"/>
        </w:trPr>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Nomination and Corporate Governance Committee Member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211" w:lineRule="exact"/>
        <w:rPr>
          <w:sz w:val="20"/>
          <w:szCs w:val="20"/>
          <w:color w:val="auto"/>
        </w:rPr>
      </w:pPr>
    </w:p>
    <w:p>
      <w:pPr>
        <w:jc w:val="both"/>
        <w:ind w:firstLine="597"/>
        <w:spacing w:after="0" w:line="247" w:lineRule="auto"/>
        <w:tabs>
          <w:tab w:leader="none" w:pos="1190" w:val="left"/>
        </w:tabs>
        <w:numPr>
          <w:ilvl w:val="1"/>
          <w:numId w:val="48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Cash Retainer Election</w:t>
      </w:r>
      <w:r>
        <w:rPr>
          <w:rFonts w:ascii="Times New Roman" w:cs="Times New Roman" w:eastAsia="Times New Roman" w:hAnsi="Times New Roman"/>
          <w:sz w:val="18"/>
          <w:szCs w:val="18"/>
          <w:color w:val="auto"/>
        </w:rPr>
        <w:t>: Outside Directors may elect to receive all of their cash retainers in the form of an equity award of fully vested restricted stock units having a Value (as defined below) equal to the amount of such cash retainer. To make such an election, the Outside Director must provide notice to the Board of Directors and specify that he or she wishes to receive such cash retainer in the form of fully-vested shares of restricted stock units.</w:t>
      </w:r>
    </w:p>
    <w:p>
      <w:pPr>
        <w:spacing w:after="0" w:line="165" w:lineRule="exact"/>
        <w:rPr>
          <w:rFonts w:ascii="Times New Roman" w:cs="Times New Roman" w:eastAsia="Times New Roman" w:hAnsi="Times New Roman"/>
          <w:sz w:val="20"/>
          <w:szCs w:val="20"/>
          <w:color w:val="auto"/>
        </w:rPr>
      </w:pPr>
    </w:p>
    <w:p>
      <w:pPr>
        <w:ind w:left="880" w:hanging="582"/>
        <w:spacing w:after="0"/>
        <w:tabs>
          <w:tab w:leader="none" w:pos="880" w:val="left"/>
        </w:tabs>
        <w:numPr>
          <w:ilvl w:val="0"/>
          <w:numId w:val="4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Retainers</w:t>
      </w:r>
    </w:p>
    <w:p>
      <w:pPr>
        <w:spacing w:after="0" w:line="20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All grants of equity retainer awards to Outside Directors pursuant to this Policy will be automatic and nondiscretionary and will be made in accordance with the following provisions:</w:t>
      </w:r>
    </w:p>
    <w:p>
      <w:pPr>
        <w:spacing w:after="0" w:line="166" w:lineRule="exact"/>
        <w:rPr>
          <w:sz w:val="20"/>
          <w:szCs w:val="20"/>
          <w:color w:val="auto"/>
        </w:rPr>
      </w:pPr>
    </w:p>
    <w:p>
      <w:pPr>
        <w:jc w:val="both"/>
        <w:ind w:firstLine="597"/>
        <w:spacing w:after="0" w:line="246" w:lineRule="auto"/>
        <w:tabs>
          <w:tab w:leader="none" w:pos="1191" w:val="left"/>
        </w:tabs>
        <w:numPr>
          <w:ilvl w:val="0"/>
          <w:numId w:val="4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For purposes of this Policy, “Value” means with respect to (i) any award of stock options the grant date fair value of the option (i.e., Black-Scholes Value) determined in accordance with the reasonable assumptions and methodologies employed by the Company for calculating the fair value of options under ASC 718; and (ii) any award of restricted stock and restricted stock units the product of (A) the average closing market price on Nasdaq (or such other market on which the Company’s Class A common stock is then principally listed) of one share of the Company’s Class A common stock over the</w:t>
      </w:r>
    </w:p>
    <w:p>
      <w:pPr>
        <w:sectPr>
          <w:pgSz w:w="11900" w:h="16838" w:orient="portrait"/>
          <w:cols w:equalWidth="0" w:num="1">
            <w:col w:w="11240"/>
          </w:cols>
          <w:pgMar w:left="320" w:top="119" w:right="339" w:bottom="1440" w:gutter="0" w:footer="0" w:header="0"/>
        </w:sectPr>
      </w:pPr>
    </w:p>
    <w:bookmarkStart w:id="567" w:name="page568"/>
    <w:bookmarkEnd w:id="567"/>
    <w:p>
      <w:pPr>
        <w:spacing w:after="0" w:line="279" w:lineRule="auto"/>
        <w:rPr>
          <w:sz w:val="20"/>
          <w:szCs w:val="20"/>
          <w:color w:val="auto"/>
        </w:rPr>
      </w:pPr>
      <w:r>
        <w:rPr>
          <w:rFonts w:ascii="Times New Roman" w:cs="Times New Roman" w:eastAsia="Times New Roman" w:hAnsi="Times New Roman"/>
          <w:sz w:val="18"/>
          <w:szCs w:val="18"/>
          <w:color w:val="auto"/>
        </w:rPr>
        <w:t>trailing 30-day period ending on the last day of the month immediately prior to the month of the grant date, and (B) the aggregate number of shares pursuant to such award.</w:t>
      </w:r>
    </w:p>
    <w:p>
      <w:pPr>
        <w:spacing w:after="0" w:line="166" w:lineRule="exact"/>
        <w:rPr>
          <w:sz w:val="20"/>
          <w:szCs w:val="20"/>
          <w:color w:val="auto"/>
        </w:rPr>
      </w:pPr>
    </w:p>
    <w:p>
      <w:pPr>
        <w:jc w:val="both"/>
        <w:ind w:firstLine="597"/>
        <w:spacing w:after="0" w:line="248" w:lineRule="auto"/>
        <w:tabs>
          <w:tab w:leader="none" w:pos="1190" w:val="left"/>
        </w:tabs>
        <w:numPr>
          <w:ilvl w:val="1"/>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Revisions</w:t>
      </w:r>
      <w:r>
        <w:rPr>
          <w:rFonts w:ascii="Times New Roman" w:cs="Times New Roman" w:eastAsia="Times New Roman" w:hAnsi="Times New Roman"/>
          <w:sz w:val="18"/>
          <w:szCs w:val="18"/>
          <w:color w:val="auto"/>
        </w:rPr>
        <w:t>. Subject to approval from the Board of Directors, the Compensation Committee may change and otherwise revise the terms of awards to be granted under this Policy, including, without limitation, the number of shares subject thereto, for awards of the same or different type granted on or after the date the Board determines to make any such change or revision.</w:t>
      </w:r>
    </w:p>
    <w:p>
      <w:pPr>
        <w:spacing w:after="0" w:line="193" w:lineRule="exact"/>
        <w:rPr>
          <w:rFonts w:ascii="Times New Roman" w:cs="Times New Roman" w:eastAsia="Times New Roman" w:hAnsi="Times New Roman"/>
          <w:sz w:val="20"/>
          <w:szCs w:val="20"/>
          <w:color w:val="auto"/>
        </w:rPr>
      </w:pPr>
    </w:p>
    <w:p>
      <w:pPr>
        <w:ind w:firstLine="597"/>
        <w:spacing w:after="0" w:line="252" w:lineRule="auto"/>
        <w:tabs>
          <w:tab w:leader="none" w:pos="1191" w:val="left"/>
        </w:tabs>
        <w:numPr>
          <w:ilvl w:val="1"/>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Sale Event Acceleration</w:t>
      </w:r>
      <w:r>
        <w:rPr>
          <w:rFonts w:ascii="Times New Roman" w:cs="Times New Roman" w:eastAsia="Times New Roman" w:hAnsi="Times New Roman"/>
          <w:sz w:val="18"/>
          <w:szCs w:val="18"/>
          <w:color w:val="auto"/>
        </w:rPr>
        <w:t>. In the event of a Sale Event (as defined in the Company’s 2021 Stock Option and Incentive Plan (the “2021 Plan”)), the equity retainer awards granted to Outside Directors pursuant to this Policy shall become 100% vested and exercisable.</w:t>
      </w:r>
    </w:p>
    <w:p>
      <w:pPr>
        <w:spacing w:after="0" w:line="188" w:lineRule="exact"/>
        <w:rPr>
          <w:rFonts w:ascii="Times New Roman" w:cs="Times New Roman" w:eastAsia="Times New Roman" w:hAnsi="Times New Roman"/>
          <w:sz w:val="20"/>
          <w:szCs w:val="20"/>
          <w:color w:val="auto"/>
        </w:rPr>
      </w:pPr>
    </w:p>
    <w:p>
      <w:pPr>
        <w:jc w:val="both"/>
        <w:ind w:firstLine="597"/>
        <w:spacing w:after="0" w:line="246" w:lineRule="auto"/>
        <w:tabs>
          <w:tab w:leader="none" w:pos="1190" w:val="left"/>
        </w:tabs>
        <w:numPr>
          <w:ilvl w:val="1"/>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IPO Grant</w:t>
      </w:r>
      <w:r>
        <w:rPr>
          <w:rFonts w:ascii="Times New Roman" w:cs="Times New Roman" w:eastAsia="Times New Roman" w:hAnsi="Times New Roman"/>
          <w:sz w:val="18"/>
          <w:szCs w:val="18"/>
          <w:color w:val="auto"/>
        </w:rPr>
        <w:t>. Upon the Effective Date, each Outside Director serving as of such date shall receive a one-time restricted stock unit grant with a value of $150,000 (which shall be pro-rated based on the estimated number of calendar days to be served from the Effective Date until the anticipated date of the next annual meeting of stockholders if there is expected to be less than one year between the Effective Date and the anticipated date of the next annual meeting of stockholders) based on the “Price to the Public” (or equivalent) set forth on the cover page for the final prospectus relating to the Company’s initial public offering, that vest in full on the earlier of (i) the one-year anniversary of the grant date or (ii) the next annual meeting of stockholders; provided, however, that all vesting ceases if the director resigns from our Board of Directors or otherwise ceases to serve as a director, unless the Board of Directors determines that the circumstances warrant continuation of vesting.</w:t>
      </w:r>
    </w:p>
    <w:p>
      <w:pPr>
        <w:spacing w:after="0" w:line="196" w:lineRule="exact"/>
        <w:rPr>
          <w:rFonts w:ascii="Times New Roman" w:cs="Times New Roman" w:eastAsia="Times New Roman" w:hAnsi="Times New Roman"/>
          <w:sz w:val="20"/>
          <w:szCs w:val="20"/>
          <w:color w:val="auto"/>
        </w:rPr>
      </w:pPr>
    </w:p>
    <w:p>
      <w:pPr>
        <w:jc w:val="both"/>
        <w:ind w:firstLine="597"/>
        <w:spacing w:after="0" w:line="247" w:lineRule="auto"/>
        <w:tabs>
          <w:tab w:leader="none" w:pos="1191" w:val="left"/>
        </w:tabs>
        <w:numPr>
          <w:ilvl w:val="1"/>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Following the Effective Date, each new Outside Director will receive an initial, one-time restricted stock unit award (the “Initial Grant”) with a Value of $300,000, which shall vest in equal annual installments over three years from the date of grant; provided, however, that all vesting ceases if the director resigns from our Board of Directors or otherwise ceases to serve as a director, unless the Board of Directors determines that the circumstances warrant continuation of vesting.</w:t>
      </w:r>
    </w:p>
    <w:p>
      <w:pPr>
        <w:spacing w:after="0" w:line="194" w:lineRule="exact"/>
        <w:rPr>
          <w:rFonts w:ascii="Times New Roman" w:cs="Times New Roman" w:eastAsia="Times New Roman" w:hAnsi="Times New Roman"/>
          <w:sz w:val="20"/>
          <w:szCs w:val="20"/>
          <w:color w:val="auto"/>
        </w:rPr>
      </w:pPr>
    </w:p>
    <w:p>
      <w:pPr>
        <w:jc w:val="both"/>
        <w:ind w:firstLine="597"/>
        <w:spacing w:after="0" w:line="246" w:lineRule="auto"/>
        <w:tabs>
          <w:tab w:leader="none" w:pos="1194" w:val="left"/>
        </w:tabs>
        <w:numPr>
          <w:ilvl w:val="1"/>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Annual Grant</w:t>
      </w:r>
      <w:r>
        <w:rPr>
          <w:rFonts w:ascii="Times New Roman" w:cs="Times New Roman" w:eastAsia="Times New Roman" w:hAnsi="Times New Roman"/>
          <w:sz w:val="18"/>
          <w:szCs w:val="18"/>
          <w:color w:val="auto"/>
        </w:rPr>
        <w:t>. On the date of each annual meeting of stockholders of the Company following the Effective Date, each Outside Director who will continue as a member of the Board of Directors following such annual meeting of stockholders and has served in such role for at least six (6) months, will receive a restricted stock unit award on the date of such Annual Meeting (the “Annual Grant”) with a Value of $150,000, which shall vest in full on the earlier of (i) the one-year anniversary of the grant date or (ii) the next annual meeting of stockholders; provided, however, that all vesting ceases if the director resigns from our Board of Directors or otherwise ceases to serve as a director, unless the Board of Directors determines that the circumstances warrant continuation of vesting.</w:t>
      </w:r>
    </w:p>
    <w:p>
      <w:pPr>
        <w:spacing w:after="0" w:line="167" w:lineRule="exact"/>
        <w:rPr>
          <w:rFonts w:ascii="Times New Roman" w:cs="Times New Roman" w:eastAsia="Times New Roman" w:hAnsi="Times New Roman"/>
          <w:sz w:val="20"/>
          <w:szCs w:val="20"/>
          <w:color w:val="auto"/>
        </w:rPr>
      </w:pPr>
    </w:p>
    <w:p>
      <w:pPr>
        <w:ind w:left="900" w:hanging="602"/>
        <w:spacing w:after="0"/>
        <w:tabs>
          <w:tab w:leader="none" w:pos="900"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w:t>
      </w:r>
    </w:p>
    <w:p>
      <w:pPr>
        <w:spacing w:after="0" w:line="20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Company will reimburse all reasonable out-of-pocket expenses incurred by Outside Directors in attending meetings of the Board of Directors or any Committee thereof.</w:t>
      </w:r>
    </w:p>
    <w:p>
      <w:pPr>
        <w:spacing w:after="0" w:line="137" w:lineRule="exact"/>
        <w:rPr>
          <w:sz w:val="20"/>
          <w:szCs w:val="20"/>
          <w:color w:val="auto"/>
        </w:rPr>
      </w:pPr>
    </w:p>
    <w:p>
      <w:pPr>
        <w:ind w:left="3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Maximum Annual Compensation</w:t>
      </w:r>
    </w:p>
    <w:p>
      <w:pPr>
        <w:spacing w:after="0" w:line="20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Outside Director in a calendar year period shall not exceed $500,000; provided, however that such</w:t>
      </w:r>
    </w:p>
    <w:p>
      <w:pPr>
        <w:sectPr>
          <w:pgSz w:w="11900" w:h="16838" w:orient="portrait"/>
          <w:cols w:equalWidth="0" w:num="1">
            <w:col w:w="11240"/>
          </w:cols>
          <w:pgMar w:left="320" w:top="1313" w:right="339" w:bottom="1440" w:gutter="0" w:footer="0" w:header="0"/>
        </w:sectPr>
      </w:pPr>
    </w:p>
    <w:bookmarkStart w:id="568" w:name="page569"/>
    <w:bookmarkEnd w:id="568"/>
    <w:p>
      <w:pPr>
        <w:jc w:val="both"/>
        <w:spacing w:after="0" w:line="256" w:lineRule="auto"/>
        <w:rPr>
          <w:sz w:val="20"/>
          <w:szCs w:val="20"/>
          <w:color w:val="auto"/>
        </w:rPr>
      </w:pPr>
      <w:r>
        <w:rPr>
          <w:rFonts w:ascii="Times New Roman" w:cs="Times New Roman" w:eastAsia="Times New Roman" w:hAnsi="Times New Roman"/>
          <w:sz w:val="18"/>
          <w:szCs w:val="18"/>
          <w:color w:val="auto"/>
        </w:rPr>
        <w:t>amount shall not exceed $750,000 for the calendar year in which the applicable Outside Director is initially elected or appointed to the Board (or such other limit as may be set forth in Section 3(b) of the 2021 Plan or any similar provision of a successor plan). For this purpose, the “amount” of equity compensation paid in a calendar year shall be determined based on the grant date fair value thereof, as determined in accordance with ASC 718 or its successor provision, but excluding the impact of estimated forfeitures related to service-based vesting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Approved</w:t>
      </w:r>
      <w:r>
        <w:rPr>
          <w:rFonts w:ascii="Times New Roman" w:cs="Times New Roman" w:eastAsia="Times New Roman" w:hAnsi="Times New Roman"/>
          <w:sz w:val="18"/>
          <w:szCs w:val="18"/>
          <w:color w:val="auto"/>
        </w:rPr>
        <w:t>: February 10, 2021</w:t>
      </w:r>
    </w:p>
    <w:p>
      <w:pPr>
        <w:sectPr>
          <w:pgSz w:w="11900" w:h="16838" w:orient="portrait"/>
          <w:cols w:equalWidth="0" w:num="1">
            <w:col w:w="11240"/>
          </w:cols>
          <w:pgMar w:left="320" w:top="1313" w:right="339" w:bottom="1440" w:gutter="0" w:footer="0" w:header="0"/>
        </w:sectPr>
      </w:pPr>
    </w:p>
    <w:bookmarkStart w:id="569" w:name="page570"/>
    <w:bookmarkEnd w:id="569"/>
    <w:p>
      <w:pPr>
        <w:jc w:val="right"/>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Fiscal Year 2021 Incentive Compensation Targets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Adopted: February 10, 2021</w:t>
      </w:r>
    </w:p>
    <w:p>
      <w:pPr>
        <w:spacing w:after="0" w:line="206" w:lineRule="exact"/>
        <w:rPr>
          <w:sz w:val="20"/>
          <w:szCs w:val="20"/>
          <w:color w:val="auto"/>
        </w:rPr>
      </w:pPr>
    </w:p>
    <w:p>
      <w:pPr>
        <w:ind w:left="600" w:hanging="302"/>
        <w:spacing w:after="0"/>
        <w:tabs>
          <w:tab w:leader="none" w:pos="600" w:val="left"/>
        </w:tabs>
        <w:numPr>
          <w:ilvl w:val="0"/>
          <w:numId w:val="4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Conditioned upon the executive’s employment with the company on each bonus payment date.</w:t>
      </w:r>
    </w:p>
    <w:p>
      <w:pPr>
        <w:spacing w:after="0" w:line="205" w:lineRule="exact"/>
        <w:rPr>
          <w:rFonts w:ascii="Times New Roman" w:cs="Times New Roman" w:eastAsia="Times New Roman" w:hAnsi="Times New Roman"/>
          <w:sz w:val="20"/>
          <w:szCs w:val="20"/>
          <w:color w:val="auto"/>
        </w:rPr>
      </w:pPr>
    </w:p>
    <w:p>
      <w:pPr>
        <w:ind w:left="600" w:right="240" w:hanging="302"/>
        <w:spacing w:after="0" w:line="262" w:lineRule="auto"/>
        <w:tabs>
          <w:tab w:leader="none" w:pos="595" w:val="left"/>
        </w:tabs>
        <w:numPr>
          <w:ilvl w:val="0"/>
          <w:numId w:val="4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2021, target bonus amounts are expected to be paid in quarterly installments, subject to adjustments and catch-up payments, as the Compensation Committee may determine, in the event of any underperformance in one quarter, but outperformance in a subsequent quarter.</w:t>
      </w:r>
    </w:p>
    <w:p>
      <w:pPr>
        <w:spacing w:after="0" w:line="155" w:lineRule="exact"/>
        <w:rPr>
          <w:rFonts w:ascii="Times New Roman" w:cs="Times New Roman" w:eastAsia="Times New Roman" w:hAnsi="Times New Roman"/>
          <w:sz w:val="20"/>
          <w:szCs w:val="20"/>
          <w:color w:val="auto"/>
        </w:rPr>
      </w:pPr>
    </w:p>
    <w:p>
      <w:pPr>
        <w:ind w:left="600" w:right="740" w:hanging="302"/>
        <w:spacing w:after="0" w:line="277" w:lineRule="auto"/>
        <w:tabs>
          <w:tab w:leader="none" w:pos="595" w:val="left"/>
        </w:tabs>
        <w:numPr>
          <w:ilvl w:val="0"/>
          <w:numId w:val="4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CEO will update the Compensation Committee chairman on a quarterly basis regarding recommendations and company performance.</w:t>
      </w:r>
    </w:p>
    <w:p>
      <w:pPr>
        <w:spacing w:after="0" w:line="141" w:lineRule="exact"/>
        <w:rPr>
          <w:rFonts w:ascii="Times New Roman" w:cs="Times New Roman" w:eastAsia="Times New Roman" w:hAnsi="Times New Roman"/>
          <w:sz w:val="20"/>
          <w:szCs w:val="20"/>
          <w:color w:val="auto"/>
        </w:rPr>
      </w:pPr>
    </w:p>
    <w:p>
      <w:pPr>
        <w:ind w:left="600" w:right="220" w:hanging="302"/>
        <w:spacing w:after="0" w:line="277" w:lineRule="auto"/>
        <w:tabs>
          <w:tab w:leader="none" w:pos="595" w:val="left"/>
        </w:tabs>
        <w:numPr>
          <w:ilvl w:val="0"/>
          <w:numId w:val="4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bonuses will be paid unless and until the Compensation Committee makes a determination with respect to the attainment of the applicable performance targets.</w:t>
      </w:r>
    </w:p>
    <w:p>
      <w:pPr>
        <w:sectPr>
          <w:pgSz w:w="11900" w:h="16838" w:orient="portrait"/>
          <w:cols w:equalWidth="0" w:num="1">
            <w:col w:w="11240"/>
          </w:cols>
          <w:pgMar w:left="320" w:top="118" w:right="339" w:bottom="1440" w:gutter="0" w:footer="0" w:header="0"/>
        </w:sectPr>
      </w:pPr>
    </w:p>
    <w:bookmarkStart w:id="570" w:name="page571"/>
    <w:bookmarkEnd w:id="570"/>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497205</wp:posOffset>
            </wp:positionV>
            <wp:extent cx="714311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102870</wp:posOffset>
            </wp:positionV>
            <wp:extent cx="1209040" cy="3321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9040"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August 5, 2013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Anthony,</w:t>
      </w:r>
    </w:p>
    <w:p>
      <w:pPr>
        <w:spacing w:after="0" w:line="18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5"/>
          <w:szCs w:val="15"/>
          <w:color w:val="auto"/>
        </w:rPr>
        <w:t>We are pleased to extend you an offer for the position of Chief Marketing Officer, at thredUP starting on or around August 26, 2013. You will be reporting to James Reinhart, CEO in our San Francisco Corporate Headquarters, located at 580 Market Street, 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Floor, San Francisco, CA 94109.</w:t>
      </w:r>
    </w:p>
    <w:p>
      <w:pPr>
        <w:spacing w:after="0" w:line="83"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5"/>
          <w:szCs w:val="15"/>
          <w:color w:val="auto"/>
        </w:rPr>
        <w:t>This position pays $4,326.92 per week, which is equivalent to an annual amount of $225,000. This position is considered an exempt position for the purposes of federal wage hour law, which means you will not be eligible for overtime pay for hours worked in excess of 40 in a given work week. You will be eligible for annual performance reviews which may lead to increases in your compensation.</w:t>
      </w:r>
    </w:p>
    <w:p>
      <w:pPr>
        <w:spacing w:after="0" w:line="169"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5"/>
          <w:szCs w:val="15"/>
          <w:color w:val="auto"/>
        </w:rPr>
        <w:t>This offer includes a signing bonus in the amount of $25,000, less all applicable withholdings, and a relocation stipend not to exceed $35,000 for your move from New York to California. The relocation stipend will be based on actual costs for relocation services. Receipts for relocation costs should be submitted through our reimbursement system, Expensify. These will be included in your first paycheck payable on September 9,2013.</w:t>
      </w:r>
    </w:p>
    <w:p>
      <w:pPr>
        <w:spacing w:after="0" w:line="16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auto"/>
        </w:rPr>
        <w:t>In the event that you voluntarily terminate your employment with thredUP Inc for any reason whatsoever or your employment with thredUP is terminated by thredUP Inc for “Cause” before the 6 month anniversary of this Agreement, you will repay to thredUP, Inc. an amount equal to the signing bonus of $25,000 plus actual reimbursed relocation costs, for a total of up to $60,000. Such repayment shall be made by you in full within forty-five (45) days of your termination of employment from thredUP.</w:t>
      </w:r>
    </w:p>
    <w:p>
      <w:pPr>
        <w:spacing w:after="0" w:line="16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As part of your compensation package, you are eligible to receive benefits that are offered to all regular thredUP employees. Benefits are described more fully in the enclosed materials. We have also enclosed a copy of the employee handbook, which describes the Company’s policies and procedures that will govern certain aspects of your employment. Please be sure to review the handbook and sign and return the acknowledgement of receipt page at the end of the handbook. You will also find a copy of our confidentiality agreement. Please review and sign, returning pages 11 and 12 to us.</w:t>
      </w:r>
    </w:p>
    <w:p>
      <w:pPr>
        <w:spacing w:after="0" w:line="171" w:lineRule="exact"/>
        <w:rPr>
          <w:sz w:val="20"/>
          <w:szCs w:val="20"/>
          <w:color w:val="auto"/>
        </w:rPr>
      </w:pPr>
    </w:p>
    <w:p>
      <w:pPr>
        <w:jc w:val="both"/>
        <w:ind w:right="320"/>
        <w:spacing w:after="0" w:line="239" w:lineRule="auto"/>
        <w:rPr>
          <w:sz w:val="20"/>
          <w:szCs w:val="20"/>
          <w:color w:val="auto"/>
        </w:rPr>
      </w:pPr>
      <w:r>
        <w:rPr>
          <w:rFonts w:ascii="Times New Roman" w:cs="Times New Roman" w:eastAsia="Times New Roman" w:hAnsi="Times New Roman"/>
          <w:sz w:val="15"/>
          <w:szCs w:val="15"/>
          <w:color w:val="auto"/>
        </w:rPr>
        <w:t>Your offer also comes with a generous number of common stock options of 763,380 thredUP shares at a per share price of $0.54, subject to approval by the Board of Directors and the terms of the Company’s stock option plan. This valuation was approved in December, 2012. thredUP shares will vest according to the industry standard 4-year vesting schedule. More information on the details of the vesting schedule can be found in the sample ISO Agreement previously sent to you. Your options will begin vesting September 1,2013.</w:t>
      </w:r>
    </w:p>
    <w:p>
      <w:pPr>
        <w:spacing w:after="0" w:line="16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5"/>
          <w:szCs w:val="15"/>
          <w:color w:val="auto"/>
        </w:rPr>
        <w:t>This offer of employment, if not previously accepted by you, will expire 7 days from the date of this letter, although additional time for consideration of the offer can be made available if you find it necessary. If you wish to accept the offer, please sign in the place provided below and return it to me within the prescribed time.</w:t>
      </w:r>
    </w:p>
    <w:p>
      <w:pPr>
        <w:spacing w:after="0" w:line="159"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5"/>
          <w:szCs w:val="15"/>
          <w:color w:val="auto"/>
        </w:rPr>
        <w:t>We look forward to having you join our Company and become a member of our team. However, we recognize that you retain the option, as does the Company, of ending your employment with the Company at any time, with or without notice and with or without cause. As such, your employment with the Company is at-will and neither this letter nor any other oral or written representations may be considered a contract for any specific period of time.</w:t>
      </w:r>
    </w:p>
    <w:p>
      <w:pPr>
        <w:spacing w:after="0" w:line="16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5"/>
          <w:szCs w:val="15"/>
          <w:color w:val="auto"/>
        </w:rPr>
        <w:t>We look forward to having you work at thredUP as we build the next great consumer brand on the Internet Should you have any questions or wish to discuss the offer further, please don’t hesitate to contact me.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Sincerely,</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James Reinhart</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James Reinhart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CEO</w:t>
      </w:r>
    </w:p>
    <w:p>
      <w:pPr>
        <w:spacing w:after="0" w:line="275" w:lineRule="exact"/>
        <w:rPr>
          <w:sz w:val="20"/>
          <w:szCs w:val="20"/>
          <w:color w:val="auto"/>
        </w:rPr>
      </w:pPr>
    </w:p>
    <w:p>
      <w:pPr>
        <w:ind w:left="160"/>
        <w:spacing w:after="0"/>
        <w:tabs>
          <w:tab w:leader="none" w:pos="7960" w:val="left"/>
        </w:tabs>
        <w:rPr>
          <w:sz w:val="20"/>
          <w:szCs w:val="20"/>
          <w:color w:val="auto"/>
        </w:rPr>
      </w:pPr>
      <w:r>
        <w:rPr>
          <w:rFonts w:ascii="Times New Roman" w:cs="Times New Roman" w:eastAsia="Times New Roman" w:hAnsi="Times New Roman"/>
          <w:sz w:val="15"/>
          <w:szCs w:val="15"/>
          <w:color w:val="auto"/>
        </w:rPr>
        <w:t>/s/ Anthony Marino</w:t>
      </w:r>
      <w:r>
        <w:rPr>
          <w:sz w:val="20"/>
          <w:szCs w:val="20"/>
          <w:color w:val="auto"/>
        </w:rPr>
        <w:tab/>
      </w:r>
      <w:r>
        <w:rPr>
          <w:rFonts w:ascii="Times New Roman" w:cs="Times New Roman" w:eastAsia="Times New Roman" w:hAnsi="Times New Roman"/>
          <w:sz w:val="14"/>
          <w:szCs w:val="14"/>
          <w:color w:val="auto"/>
        </w:rPr>
        <w:t>8/6/13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24765</wp:posOffset>
            </wp:positionV>
            <wp:extent cx="564959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49595" cy="7620"/>
                    </a:xfrm>
                    <a:prstGeom prst="rect">
                      <a:avLst/>
                    </a:prstGeom>
                    <a:noFill/>
                  </pic:spPr>
                </pic:pic>
              </a:graphicData>
            </a:graphic>
          </wp:anchor>
        </w:drawing>
      </w:r>
    </w:p>
    <w:p>
      <w:pPr>
        <w:spacing w:after="0" w:line="44" w:lineRule="exact"/>
        <w:rPr>
          <w:sz w:val="20"/>
          <w:szCs w:val="20"/>
          <w:color w:val="auto"/>
        </w:rPr>
      </w:pPr>
    </w:p>
    <w:p>
      <w:pPr>
        <w:ind w:left="160"/>
        <w:spacing w:after="0"/>
        <w:tabs>
          <w:tab w:leader="none" w:pos="7960" w:val="left"/>
        </w:tabs>
        <w:rPr>
          <w:sz w:val="20"/>
          <w:szCs w:val="20"/>
          <w:color w:val="auto"/>
        </w:rPr>
      </w:pPr>
      <w:r>
        <w:rPr>
          <w:rFonts w:ascii="Times New Roman" w:cs="Times New Roman" w:eastAsia="Times New Roman" w:hAnsi="Times New Roman"/>
          <w:sz w:val="15"/>
          <w:szCs w:val="15"/>
          <w:color w:val="auto"/>
        </w:rPr>
        <w:t>accepted</w:t>
      </w:r>
      <w:r>
        <w:rPr>
          <w:sz w:val="20"/>
          <w:szCs w:val="20"/>
          <w:color w:val="auto"/>
        </w:rPr>
        <w:tab/>
      </w: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427355</wp:posOffset>
            </wp:positionV>
            <wp:extent cx="7143115"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580 Market St</w:t>
            </w:r>
          </w:p>
        </w:tc>
        <w:tc>
          <w:tcPr>
            <w:tcW w:w="5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www.thredup.com</w:t>
            </w:r>
          </w:p>
        </w:tc>
      </w:tr>
      <w:tr>
        <w:trPr>
          <w:trHeight w:val="199"/>
        </w:trPr>
        <w:tc>
          <w:tcPr>
            <w:tcW w:w="5480" w:type="dxa"/>
            <w:vAlign w:val="bottom"/>
          </w:tcPr>
          <w:p>
            <w:pPr>
              <w:spacing w:after="0" w:line="199" w:lineRule="exact"/>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w:t>
            </w:r>
          </w:p>
        </w:tc>
        <w:tc>
          <w:tcPr>
            <w:tcW w:w="5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San Francisco, CA 94104</w:t>
            </w:r>
          </w:p>
        </w:tc>
        <w:tc>
          <w:tcPr>
            <w:tcW w:w="5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Anthony Marino Offer Letter</w:t>
            </w:r>
          </w:p>
        </w:tc>
      </w:tr>
    </w:tbl>
    <w:p>
      <w:pPr>
        <w:spacing w:after="0" w:line="200" w:lineRule="exact"/>
        <w:rPr>
          <w:sz w:val="20"/>
          <w:szCs w:val="20"/>
          <w:color w:val="auto"/>
        </w:rPr>
      </w:pPr>
    </w:p>
    <w:p>
      <w:pPr>
        <w:sectPr>
          <w:pgSz w:w="11900" w:h="16979" w:orient="portrait"/>
          <w:cols w:equalWidth="0" w:num="1">
            <w:col w:w="11240"/>
          </w:cols>
          <w:pgMar w:left="320" w:top="11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6"/>
          <w:szCs w:val="16"/>
          <w:b w:val="1"/>
          <w:bCs w:val="1"/>
          <w:color w:val="auto"/>
        </w:rPr>
        <w:t>Exhibit 10 10</w:t>
      </w:r>
    </w:p>
    <w:p>
      <w:pPr>
        <w:sectPr>
          <w:pgSz w:w="11900" w:h="16979" w:orient="portrait"/>
          <w:cols w:equalWidth="0" w:num="1">
            <w:col w:w="11240"/>
          </w:cols>
          <w:pgMar w:left="320" w:top="119" w:right="339" w:bottom="0" w:gutter="0" w:footer="0" w:header="0"/>
          <w:type w:val="continuous"/>
        </w:sectPr>
      </w:pPr>
    </w:p>
    <w:bookmarkStart w:id="571" w:name="page572"/>
    <w:bookmarkEnd w:id="571"/>
    <w:p>
      <w:pPr>
        <w:jc w:val="right"/>
        <w:spacing w:after="0"/>
        <w:rPr>
          <w:sz w:val="20"/>
          <w:szCs w:val="20"/>
          <w:color w:val="auto"/>
        </w:rPr>
      </w:pPr>
      <w:r>
        <w:rPr>
          <w:rFonts w:ascii="Times New Roman" w:cs="Times New Roman" w:eastAsia="Times New Roman" w:hAnsi="Times New Roman"/>
          <w:sz w:val="17"/>
          <w:szCs w:val="17"/>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9"/>
          <w:szCs w:val="9"/>
          <w:color w:val="auto"/>
        </w:rPr>
        <w:t>VIA EMAIL</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9"/>
          <w:szCs w:val="9"/>
          <w:color w:val="auto"/>
        </w:rPr>
        <w:t>September 30, 2019</w:t>
      </w:r>
    </w:p>
    <w:p>
      <w:pPr>
        <w:spacing w:after="0" w:line="344" w:lineRule="exact"/>
        <w:rPr>
          <w:sz w:val="20"/>
          <w:szCs w:val="20"/>
          <w:color w:val="auto"/>
        </w:rPr>
      </w:pPr>
    </w:p>
    <w:p>
      <w:pPr>
        <w:ind w:left="100"/>
        <w:spacing w:after="0"/>
        <w:rPr>
          <w:sz w:val="20"/>
          <w:szCs w:val="20"/>
          <w:color w:val="auto"/>
        </w:rPr>
      </w:pPr>
      <w:r>
        <w:rPr>
          <w:rFonts w:ascii="Arial" w:cs="Arial" w:eastAsia="Arial" w:hAnsi="Arial"/>
          <w:sz w:val="9"/>
          <w:szCs w:val="9"/>
          <w:color w:val="auto"/>
        </w:rPr>
        <w:t>Sean Sobers</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9"/>
          <w:szCs w:val="9"/>
          <w:color w:val="auto"/>
        </w:rPr>
        <w:t>***</w:t>
      </w:r>
    </w:p>
    <w:p>
      <w:pPr>
        <w:spacing w:after="0" w:line="332" w:lineRule="exact"/>
        <w:rPr>
          <w:sz w:val="20"/>
          <w:szCs w:val="20"/>
          <w:color w:val="auto"/>
        </w:rPr>
      </w:pPr>
    </w:p>
    <w:p>
      <w:pPr>
        <w:spacing w:after="0"/>
        <w:rPr>
          <w:sz w:val="20"/>
          <w:szCs w:val="20"/>
          <w:color w:val="auto"/>
        </w:rPr>
      </w:pPr>
      <w:r>
        <w:rPr>
          <w:rFonts w:ascii="Arial" w:cs="Arial" w:eastAsia="Arial" w:hAnsi="Arial"/>
          <w:sz w:val="9"/>
          <w:szCs w:val="9"/>
          <w:color w:val="auto"/>
        </w:rPr>
        <w:t>Dear Sean,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129540</wp:posOffset>
            </wp:positionV>
            <wp:extent cx="477520" cy="1136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7520" cy="11366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113665</wp:posOffset>
            </wp:positionV>
            <wp:extent cx="1169670" cy="1206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69670" cy="120650"/>
                    </a:xfrm>
                    <a:prstGeom prst="rect">
                      <a:avLst/>
                    </a:prstGeom>
                    <a:noFill/>
                  </pic:spPr>
                </pic:pic>
              </a:graphicData>
            </a:graphic>
          </wp:anchor>
        </w:drawing>
      </w:r>
    </w:p>
    <w:p>
      <w:pPr>
        <w:spacing w:after="0" w:line="326" w:lineRule="exact"/>
        <w:rPr>
          <w:sz w:val="20"/>
          <w:szCs w:val="20"/>
          <w:color w:val="auto"/>
        </w:rPr>
      </w:pPr>
    </w:p>
    <w:p>
      <w:pPr>
        <w:jc w:val="both"/>
        <w:ind w:left="100" w:right="80" w:firstLine="597"/>
        <w:spacing w:after="0" w:line="551" w:lineRule="auto"/>
        <w:rPr>
          <w:sz w:val="20"/>
          <w:szCs w:val="20"/>
          <w:color w:val="auto"/>
        </w:rPr>
      </w:pPr>
      <w:r>
        <w:rPr>
          <w:rFonts w:ascii="Arial" w:cs="Arial" w:eastAsia="Arial" w:hAnsi="Arial"/>
          <w:sz w:val="9"/>
          <w:szCs w:val="9"/>
          <w:color w:val="auto"/>
        </w:rPr>
        <w:t>On behalf of ThredUp Inc. (the “Company”), we are thrilled to offer you the position of Chief Financial Officer located at our Headquarters in Oakland, CA. This letter sets forth the terms and conditions of your role with the Company. By signing this letter, you will be accepting the following employment terms, including the additional terms in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-125095</wp:posOffset>
            </wp:positionV>
            <wp:extent cx="446405" cy="946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46405" cy="9461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137160</wp:posOffset>
            </wp:positionV>
            <wp:extent cx="1185545" cy="1206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85545" cy="120650"/>
                    </a:xfrm>
                    <a:prstGeom prst="rect">
                      <a:avLst/>
                    </a:prstGeom>
                    <a:noFill/>
                  </pic:spPr>
                </pic:pic>
              </a:graphicData>
            </a:graphic>
          </wp:anchor>
        </w:drawing>
      </w:r>
    </w:p>
    <w:p>
      <w:pPr>
        <w:spacing w:after="0" w:line="349" w:lineRule="exact"/>
        <w:rPr>
          <w:sz w:val="20"/>
          <w:szCs w:val="20"/>
          <w:color w:val="auto"/>
        </w:rPr>
      </w:pPr>
    </w:p>
    <w:p>
      <w:pPr>
        <w:ind w:left="1200" w:hanging="513"/>
        <w:spacing w:after="0"/>
        <w:tabs>
          <w:tab w:leader="none" w:pos="1200" w:val="left"/>
        </w:tabs>
        <w:numPr>
          <w:ilvl w:val="0"/>
          <w:numId w:val="489"/>
        </w:numPr>
        <w:rPr>
          <w:rFonts w:ascii="Arial" w:cs="Arial" w:eastAsia="Arial" w:hAnsi="Arial"/>
          <w:sz w:val="9"/>
          <w:szCs w:val="9"/>
          <w:color w:val="auto"/>
        </w:rPr>
      </w:pPr>
      <w:r>
        <w:rPr>
          <w:rFonts w:ascii="Arial" w:cs="Arial" w:eastAsia="Arial" w:hAnsi="Arial"/>
          <w:sz w:val="9"/>
          <w:szCs w:val="9"/>
          <w:color w:val="auto"/>
        </w:rPr>
        <w:t>Role.  Your  title  will  be  Chief  Financial  Officer  reporting  to  James  Reinhart,  Chief  Executive  Officer.  This  is  a  full-time</w:t>
      </w:r>
    </w:p>
    <w:p>
      <w:pPr>
        <w:spacing w:after="0" w:line="108" w:lineRule="exact"/>
        <w:rPr>
          <w:rFonts w:ascii="Arial" w:cs="Arial" w:eastAsia="Arial" w:hAnsi="Arial"/>
          <w:sz w:val="9"/>
          <w:szCs w:val="9"/>
          <w:color w:val="auto"/>
        </w:rPr>
      </w:pPr>
    </w:p>
    <w:p>
      <w:pPr>
        <w:ind w:left="100"/>
        <w:spacing w:after="0"/>
        <w:rPr>
          <w:rFonts w:ascii="Arial" w:cs="Arial" w:eastAsia="Arial" w:hAnsi="Arial"/>
          <w:sz w:val="9"/>
          <w:szCs w:val="9"/>
          <w:color w:val="auto"/>
        </w:rPr>
      </w:pPr>
      <w:r>
        <w:rPr>
          <w:rFonts w:ascii="Arial" w:cs="Arial" w:eastAsia="Arial" w:hAnsi="Arial"/>
          <w:sz w:val="9"/>
          <w:szCs w:val="9"/>
          <w:color w:val="auto"/>
        </w:rPr>
        <w:t>position.</w:t>
      </w:r>
    </w:p>
    <w:p>
      <w:pPr>
        <w:spacing w:after="0" w:line="358" w:lineRule="exact"/>
        <w:rPr>
          <w:rFonts w:ascii="Arial" w:cs="Arial" w:eastAsia="Arial" w:hAnsi="Arial"/>
          <w:sz w:val="9"/>
          <w:szCs w:val="9"/>
          <w:color w:val="auto"/>
        </w:rPr>
      </w:pPr>
    </w:p>
    <w:p>
      <w:pPr>
        <w:jc w:val="both"/>
        <w:ind w:left="100" w:right="80" w:firstLine="587"/>
        <w:spacing w:after="0" w:line="551" w:lineRule="auto"/>
        <w:tabs>
          <w:tab w:leader="none" w:pos="1200" w:val="left"/>
        </w:tabs>
        <w:numPr>
          <w:ilvl w:val="0"/>
          <w:numId w:val="489"/>
        </w:numPr>
        <w:rPr>
          <w:rFonts w:ascii="Arial" w:cs="Arial" w:eastAsia="Arial" w:hAnsi="Arial"/>
          <w:sz w:val="9"/>
          <w:szCs w:val="9"/>
          <w:color w:val="auto"/>
        </w:rPr>
      </w:pPr>
      <w:r>
        <w:rPr>
          <w:rFonts w:ascii="Arial" w:cs="Arial" w:eastAsia="Arial" w:hAnsi="Arial"/>
          <w:sz w:val="9"/>
          <w:szCs w:val="9"/>
          <w:color w:val="auto"/>
        </w:rPr>
        <w:t>Compensation. This is an exempt (salaried) position and you will be paid an annual base salary of $300,000 which will be paid in accordance with the Company’s normal payroll procedures. In addition, you are eligible to receive an executive bonus incentive totaling 50% of your annual base salary, paid quarterly.</w:t>
      </w:r>
    </w:p>
    <w:p>
      <w:pPr>
        <w:spacing w:after="0" w:line="383" w:lineRule="exact"/>
        <w:rPr>
          <w:rFonts w:ascii="Arial" w:cs="Arial" w:eastAsia="Arial" w:hAnsi="Arial"/>
          <w:sz w:val="9"/>
          <w:szCs w:val="9"/>
          <w:color w:val="auto"/>
        </w:rPr>
      </w:pPr>
    </w:p>
    <w:p>
      <w:pPr>
        <w:jc w:val="both"/>
        <w:ind w:left="100" w:right="80" w:firstLine="587"/>
        <w:spacing w:after="0" w:line="526" w:lineRule="auto"/>
        <w:tabs>
          <w:tab w:leader="none" w:pos="1200" w:val="left"/>
        </w:tabs>
        <w:numPr>
          <w:ilvl w:val="0"/>
          <w:numId w:val="489"/>
        </w:numPr>
        <w:rPr>
          <w:rFonts w:ascii="Arial" w:cs="Arial" w:eastAsia="Arial" w:hAnsi="Arial"/>
          <w:sz w:val="9"/>
          <w:szCs w:val="9"/>
          <w:color w:val="auto"/>
        </w:rPr>
      </w:pPr>
      <w:r>
        <w:rPr>
          <w:rFonts w:ascii="Arial" w:cs="Arial" w:eastAsia="Arial" w:hAnsi="Arial"/>
          <w:sz w:val="9"/>
          <w:szCs w:val="9"/>
          <w:color w:val="auto"/>
        </w:rPr>
        <w:t>Equity: Subject to the approval of the Company’s board of directors (the “Board”), the Company will grant you an option to purchase 860,000 or ~.09% of the Company’s common stock (the “Initial Option”), with a per share exercise price determined by the Board on the date the Initial Option is granted and which shall be at least equal to the fair market value of a share of the Company’s common stock on the such date of grant. The Initial Option will be subject to the terms and conditions applicable to options granted under the Company’s Amended and Restated 2010 Stock Incentive Plan (the “Plan”), as described in the Plan and the applicable stock option agreement to be accepted by you. Your Initial Option will vest in accordance with the following schedule, as described in the applicable stock option agreement: 20% will vest on the first anniversary of the vesting commencement date and the remaining 80% will vest in equal monthly installments over the subsequent four years, subject to your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-1531620</wp:posOffset>
            </wp:positionV>
            <wp:extent cx="21971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9710" cy="762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-1112520</wp:posOffset>
            </wp:positionV>
            <wp:extent cx="72453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535" cy="762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-567690</wp:posOffset>
            </wp:positionV>
            <wp:extent cx="31559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5595" cy="762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-534035</wp:posOffset>
            </wp:positionV>
            <wp:extent cx="661670" cy="1162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1670" cy="11620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-130810</wp:posOffset>
            </wp:positionV>
            <wp:extent cx="204470" cy="946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447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 w:right="80" w:firstLine="597"/>
        <w:spacing w:after="0" w:line="348" w:lineRule="auto"/>
        <w:rPr>
          <w:sz w:val="20"/>
          <w:szCs w:val="20"/>
          <w:color w:val="auto"/>
        </w:rPr>
      </w:pPr>
      <w:r>
        <w:rPr>
          <w:rFonts w:ascii="Arial" w:cs="Arial" w:eastAsia="Arial" w:hAnsi="Arial"/>
          <w:sz w:val="9"/>
          <w:szCs w:val="9"/>
          <w:color w:val="auto"/>
        </w:rPr>
        <w:t>We would be honored to have you become a member of our executive team. If you wish to accept the offer, please sign in the place provided below.</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9"/>
          <w:szCs w:val="9"/>
          <w:color w:val="auto"/>
        </w:rPr>
        <w:t>Look forward to you joining the team.</w:t>
      </w:r>
    </w:p>
    <w:p>
      <w:pPr>
        <w:spacing w:after="0" w:line="332" w:lineRule="exact"/>
        <w:rPr>
          <w:sz w:val="20"/>
          <w:szCs w:val="20"/>
          <w:color w:val="auto"/>
        </w:rPr>
      </w:pPr>
    </w:p>
    <w:p>
      <w:pPr>
        <w:spacing w:after="0"/>
        <w:rPr>
          <w:sz w:val="20"/>
          <w:szCs w:val="20"/>
          <w:color w:val="auto"/>
        </w:rPr>
      </w:pPr>
      <w:r>
        <w:rPr>
          <w:rFonts w:ascii="Arial" w:cs="Arial" w:eastAsia="Arial" w:hAnsi="Arial"/>
          <w:sz w:val="9"/>
          <w:szCs w:val="9"/>
          <w:color w:val="auto"/>
        </w:rPr>
        <w:t>Sincerely,</w:t>
      </w:r>
    </w:p>
    <w:p>
      <w:pPr>
        <w:spacing w:after="0" w:line="108" w:lineRule="exact"/>
        <w:rPr>
          <w:sz w:val="20"/>
          <w:szCs w:val="20"/>
          <w:color w:val="auto"/>
        </w:rPr>
      </w:pPr>
    </w:p>
    <w:p>
      <w:pPr>
        <w:spacing w:after="0"/>
        <w:rPr>
          <w:sz w:val="20"/>
          <w:szCs w:val="20"/>
          <w:color w:val="auto"/>
        </w:rPr>
      </w:pPr>
      <w:r>
        <w:rPr>
          <w:rFonts w:ascii="Arial" w:cs="Arial" w:eastAsia="Arial" w:hAnsi="Arial"/>
          <w:sz w:val="9"/>
          <w:szCs w:val="9"/>
          <w:color w:val="auto"/>
        </w:rPr>
        <w:t>/s/ James Reinhart</w:t>
      </w:r>
    </w:p>
    <w:p>
      <w:pPr>
        <w:spacing w:after="0" w:line="344" w:lineRule="exact"/>
        <w:rPr>
          <w:sz w:val="20"/>
          <w:szCs w:val="20"/>
          <w:color w:val="auto"/>
        </w:rPr>
      </w:pPr>
    </w:p>
    <w:p>
      <w:pPr>
        <w:spacing w:after="0"/>
        <w:rPr>
          <w:sz w:val="20"/>
          <w:szCs w:val="20"/>
          <w:color w:val="auto"/>
        </w:rPr>
      </w:pPr>
      <w:r>
        <w:rPr>
          <w:rFonts w:ascii="Arial" w:cs="Arial" w:eastAsia="Arial" w:hAnsi="Arial"/>
          <w:sz w:val="9"/>
          <w:szCs w:val="9"/>
          <w:color w:val="auto"/>
        </w:rPr>
        <w:t>James Reinhart</w:t>
      </w:r>
    </w:p>
    <w:p>
      <w:pPr>
        <w:spacing w:after="0" w:line="108" w:lineRule="exact"/>
        <w:rPr>
          <w:sz w:val="20"/>
          <w:szCs w:val="20"/>
          <w:color w:val="auto"/>
        </w:rPr>
      </w:pPr>
    </w:p>
    <w:p>
      <w:pPr>
        <w:spacing w:after="0"/>
        <w:rPr>
          <w:sz w:val="20"/>
          <w:szCs w:val="20"/>
          <w:color w:val="auto"/>
        </w:rPr>
      </w:pPr>
      <w:r>
        <w:rPr>
          <w:rFonts w:ascii="Arial" w:cs="Arial" w:eastAsia="Arial" w:hAnsi="Arial"/>
          <w:sz w:val="9"/>
          <w:szCs w:val="9"/>
          <w:color w:val="auto"/>
        </w:rPr>
        <w:t>Chief Executive Officer</w:t>
      </w:r>
    </w:p>
    <w:p>
      <w:pPr>
        <w:sectPr>
          <w:pgSz w:w="11900" w:h="16838" w:orient="portrait"/>
          <w:cols w:equalWidth="0" w:num="1">
            <w:col w:w="11240"/>
          </w:cols>
          <w:pgMar w:left="320" w:top="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9"/>
          <w:szCs w:val="9"/>
          <w:color w:val="auto"/>
        </w:rPr>
        <w:t>114 Sansome, Ste. 500</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9"/>
          <w:szCs w:val="9"/>
          <w:color w:val="auto"/>
        </w:rPr>
        <w:t>San Francisco CA 94104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20"/>
        <w:spacing w:after="0"/>
        <w:rPr>
          <w:sz w:val="20"/>
          <w:szCs w:val="20"/>
          <w:color w:val="auto"/>
        </w:rPr>
      </w:pPr>
      <w:r>
        <w:rPr>
          <w:rFonts w:ascii="Arial" w:cs="Arial" w:eastAsia="Arial" w:hAnsi="Arial"/>
          <w:sz w:val="9"/>
          <w:szCs w:val="9"/>
          <w:color w:val="auto"/>
        </w:rPr>
        <w:t>www.thredup.com</w:t>
      </w:r>
    </w:p>
    <w:p>
      <w:pPr>
        <w:spacing w:after="0" w:line="108" w:lineRule="exact"/>
        <w:rPr>
          <w:sz w:val="20"/>
          <w:szCs w:val="20"/>
          <w:color w:val="auto"/>
        </w:rPr>
      </w:pPr>
    </w:p>
    <w:p>
      <w:pPr>
        <w:jc w:val="right"/>
        <w:ind w:right="20"/>
        <w:spacing w:after="0"/>
        <w:rPr>
          <w:sz w:val="20"/>
          <w:szCs w:val="20"/>
          <w:color w:val="auto"/>
        </w:rPr>
      </w:pPr>
      <w:r>
        <w:rPr>
          <w:rFonts w:ascii="Arial" w:cs="Arial" w:eastAsia="Arial" w:hAnsi="Arial"/>
          <w:sz w:val="9"/>
          <w:szCs w:val="9"/>
          <w:color w:val="auto"/>
        </w:rPr>
        <w:t>(415) 402-5202</w:t>
      </w:r>
    </w:p>
    <w:p>
      <w:pPr>
        <w:sectPr>
          <w:pgSz w:w="11900" w:h="16838" w:orient="portrait"/>
          <w:cols w:equalWidth="0" w:num="2">
            <w:col w:w="9040" w:space="720"/>
            <w:col w:w="1480"/>
          </w:cols>
          <w:pgMar w:left="320" w:top="20" w:right="339" w:bottom="1440" w:gutter="0" w:footer="0" w:header="0"/>
          <w:type w:val="continuous"/>
        </w:sectPr>
      </w:pPr>
    </w:p>
    <w:bookmarkStart w:id="572" w:name="page573"/>
    <w:bookmarkEnd w:id="572"/>
    <w:p>
      <w:pPr>
        <w:spacing w:after="0" w:line="278" w:lineRule="exact"/>
        <w:rPr>
          <w:sz w:val="20"/>
          <w:szCs w:val="20"/>
          <w:color w:val="auto"/>
        </w:rPr>
      </w:pPr>
    </w:p>
    <w:p>
      <w:pPr>
        <w:spacing w:after="0"/>
        <w:rPr>
          <w:sz w:val="20"/>
          <w:szCs w:val="20"/>
          <w:color w:val="auto"/>
        </w:rPr>
      </w:pPr>
      <w:r>
        <w:rPr>
          <w:rFonts w:ascii="Arial" w:cs="Arial" w:eastAsia="Arial" w:hAnsi="Arial"/>
          <w:sz w:val="9"/>
          <w:szCs w:val="9"/>
          <w:color w:val="auto"/>
        </w:rPr>
        <w:t>Acknowledgment and Acceptance of Employment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281114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11145" cy="76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line="348" w:lineRule="auto"/>
        <w:rPr>
          <w:sz w:val="20"/>
          <w:szCs w:val="20"/>
          <w:color w:val="auto"/>
        </w:rPr>
      </w:pPr>
      <w:r>
        <w:rPr>
          <w:rFonts w:ascii="Arial" w:cs="Arial" w:eastAsia="Arial" w:hAnsi="Arial"/>
          <w:sz w:val="9"/>
          <w:szCs w:val="9"/>
          <w:color w:val="auto"/>
        </w:rPr>
        <w:t>I agree to the completion of a background check and acknowledge this offer is contingent upon the satisfactory completion of such. Please see Exhibit A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-53340</wp:posOffset>
            </wp:positionV>
            <wp:extent cx="446405"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46405" cy="946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line="348" w:lineRule="auto"/>
        <w:rPr>
          <w:sz w:val="20"/>
          <w:szCs w:val="20"/>
          <w:color w:val="auto"/>
        </w:rPr>
      </w:pPr>
      <w:r>
        <w:rPr>
          <w:rFonts w:ascii="Arial" w:cs="Arial" w:eastAsia="Arial" w:hAnsi="Arial"/>
          <w:sz w:val="9"/>
          <w:szCs w:val="9"/>
          <w:color w:val="auto"/>
        </w:rPr>
        <w:t>I accept employment with ThredUp Inc. and acknowledge and fully agree to the terms and conditions set forth in this offer letter, including the additional terms in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-53340</wp:posOffset>
            </wp:positionV>
            <wp:extent cx="446405"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46405" cy="9461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60" w:type="dxa"/>
            <w:vAlign w:val="bottom"/>
          </w:tcPr>
          <w:p>
            <w:pPr>
              <w:ind w:left="100"/>
              <w:spacing w:after="0"/>
              <w:rPr>
                <w:sz w:val="20"/>
                <w:szCs w:val="20"/>
                <w:color w:val="auto"/>
              </w:rPr>
            </w:pPr>
            <w:r>
              <w:rPr>
                <w:rFonts w:ascii="Arial" w:cs="Arial" w:eastAsia="Arial" w:hAnsi="Arial"/>
                <w:sz w:val="9"/>
                <w:szCs w:val="9"/>
                <w:color w:val="auto"/>
              </w:rPr>
              <w:t>/s/ Sean Sobers</w:t>
            </w:r>
          </w:p>
        </w:tc>
        <w:tc>
          <w:tcPr>
            <w:tcW w:w="3480" w:type="dxa"/>
            <w:vAlign w:val="bottom"/>
          </w:tcPr>
          <w:p>
            <w:pPr>
              <w:ind w:left="840"/>
              <w:spacing w:after="0"/>
              <w:rPr>
                <w:sz w:val="20"/>
                <w:szCs w:val="20"/>
                <w:color w:val="auto"/>
              </w:rPr>
            </w:pPr>
            <w:r>
              <w:rPr>
                <w:rFonts w:ascii="Arial" w:cs="Arial" w:eastAsia="Arial" w:hAnsi="Arial"/>
                <w:sz w:val="9"/>
                <w:szCs w:val="9"/>
                <w:color w:val="auto"/>
              </w:rPr>
              <w:t>Oct 21, 2019</w:t>
            </w:r>
          </w:p>
        </w:tc>
      </w:tr>
      <w:tr>
        <w:trPr>
          <w:trHeight w:val="274"/>
        </w:trPr>
        <w:tc>
          <w:tcPr>
            <w:tcW w:w="2060" w:type="dxa"/>
            <w:vAlign w:val="bottom"/>
          </w:tcPr>
          <w:p>
            <w:pPr>
              <w:ind w:left="100"/>
              <w:spacing w:after="0"/>
              <w:rPr>
                <w:sz w:val="20"/>
                <w:szCs w:val="20"/>
                <w:color w:val="auto"/>
              </w:rPr>
            </w:pPr>
            <w:r>
              <w:rPr>
                <w:rFonts w:ascii="Arial" w:cs="Arial" w:eastAsia="Arial" w:hAnsi="Arial"/>
                <w:sz w:val="9"/>
                <w:szCs w:val="9"/>
                <w:color w:val="auto"/>
              </w:rPr>
              <w:t>Sean Sobers</w:t>
            </w:r>
          </w:p>
        </w:tc>
        <w:tc>
          <w:tcPr>
            <w:tcW w:w="3480" w:type="dxa"/>
            <w:vAlign w:val="bottom"/>
          </w:tcPr>
          <w:p>
            <w:pPr>
              <w:ind w:left="660"/>
              <w:spacing w:after="0"/>
              <w:rPr>
                <w:sz w:val="20"/>
                <w:szCs w:val="20"/>
                <w:color w:val="auto"/>
              </w:rPr>
            </w:pPr>
            <w:r>
              <w:rPr>
                <w:rFonts w:ascii="Arial" w:cs="Arial" w:eastAsia="Arial" w:hAnsi="Arial"/>
                <w:sz w:val="9"/>
                <w:szCs w:val="9"/>
                <w:color w:val="auto"/>
              </w:rPr>
              <w:t>/Start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-198120</wp:posOffset>
            </wp:positionV>
            <wp:extent cx="351599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515995" cy="762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73" w:name="page574"/>
    <w:bookmarkEnd w:id="573"/>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3558540</wp:posOffset>
            </wp:positionH>
            <wp:positionV relativeFrom="page">
              <wp:posOffset>1062355</wp:posOffset>
            </wp:positionV>
            <wp:extent cx="446405" cy="946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46405" cy="946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9"/>
          <w:szCs w:val="9"/>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2666365</wp:posOffset>
            </wp:positionH>
            <wp:positionV relativeFrom="paragraph">
              <wp:posOffset>121920</wp:posOffset>
            </wp:positionV>
            <wp:extent cx="1685290" cy="142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85290" cy="142240"/>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9"/>
          <w:szCs w:val="9"/>
          <w:color w:val="auto"/>
        </w:rPr>
        <w:t>Additional Terms of Employment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-89535</wp:posOffset>
            </wp:positionV>
            <wp:extent cx="477520" cy="1136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7520" cy="113665"/>
                    </a:xfrm>
                    <a:prstGeom prst="rect">
                      <a:avLst/>
                    </a:prstGeom>
                    <a:noFill/>
                  </pic:spPr>
                </pic:pic>
              </a:graphicData>
            </a:graphic>
          </wp:anchor>
        </w:drawing>
      </w:r>
    </w:p>
    <w:p>
      <w:pPr>
        <w:jc w:val="both"/>
        <w:ind w:left="280" w:hanging="35"/>
        <w:spacing w:after="0" w:line="570" w:lineRule="auto"/>
        <w:rPr>
          <w:sz w:val="20"/>
          <w:szCs w:val="20"/>
          <w:color w:val="auto"/>
        </w:rPr>
      </w:pPr>
      <w:r>
        <w:rPr>
          <w:rFonts w:ascii="Arial" w:cs="Arial" w:eastAsia="Arial" w:hAnsi="Arial"/>
          <w:sz w:val="9"/>
          <w:szCs w:val="9"/>
          <w:color w:val="auto"/>
        </w:rPr>
        <w:t>At-Will Employment. Your employment with ThredUp Inc. (the “Company”) is “at-will.” In other words, either you or the Company can terminate your employment at any time for any reason, with or without cause and with or without notice, without liability except as expressly set forth in this letter. No representative of the Company has authority to enter into any agreement contrary to the foregoing “employment at will”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-303530</wp:posOffset>
            </wp:positionV>
            <wp:extent cx="100203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02030" cy="762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280" w:hanging="35"/>
        <w:spacing w:after="0" w:line="532" w:lineRule="auto"/>
        <w:rPr>
          <w:sz w:val="20"/>
          <w:szCs w:val="20"/>
          <w:color w:val="auto"/>
        </w:rPr>
      </w:pPr>
      <w:r>
        <w:rPr>
          <w:rFonts w:ascii="Arial" w:cs="Arial" w:eastAsia="Arial" w:hAnsi="Arial"/>
          <w:sz w:val="9"/>
          <w:szCs w:val="9"/>
          <w:color w:val="auto"/>
        </w:rPr>
        <w:t>Background</w:t>
      </w:r>
      <w:r>
        <w:rPr>
          <w:sz w:val="20"/>
          <w:szCs w:val="20"/>
          <w:color w:val="auto"/>
        </w:rPr>
        <w:t xml:space="preserve"> </w:t>
      </w:r>
      <w:r>
        <w:rPr>
          <w:rFonts w:ascii="Arial" w:cs="Arial" w:eastAsia="Arial" w:hAnsi="Arial"/>
          <w:sz w:val="9"/>
          <w:szCs w:val="9"/>
          <w:color w:val="auto"/>
        </w:rPr>
        <w:t>Check. This offer of employment is contingent upon the completion of a background check (including an educational background and criminal history check). You acknowledge that you are not an employee of the Company until you have received notification from the Company that you have passed the background check to the satisfaction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-282575</wp:posOffset>
            </wp:positionV>
            <wp:extent cx="96012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60120" cy="7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280" w:hanging="35"/>
        <w:spacing w:after="0" w:line="524" w:lineRule="auto"/>
        <w:rPr>
          <w:sz w:val="20"/>
          <w:szCs w:val="20"/>
          <w:color w:val="auto"/>
        </w:rPr>
      </w:pPr>
      <w:r>
        <w:rPr>
          <w:rFonts w:ascii="Arial" w:cs="Arial" w:eastAsia="Arial" w:hAnsi="Arial"/>
          <w:sz w:val="9"/>
          <w:szCs w:val="9"/>
          <w:color w:val="auto"/>
        </w:rPr>
        <w:t>Employee Benefits.</w:t>
      </w:r>
      <w:r>
        <w:rPr>
          <w:sz w:val="20"/>
          <w:szCs w:val="20"/>
          <w:color w:val="auto"/>
        </w:rPr>
        <w:t xml:space="preserve"> </w:t>
      </w:r>
      <w:r>
        <w:rPr>
          <w:rFonts w:ascii="Arial" w:cs="Arial" w:eastAsia="Arial" w:hAnsi="Arial"/>
          <w:sz w:val="9"/>
          <w:szCs w:val="9"/>
          <w:color w:val="auto"/>
        </w:rPr>
        <w:t>You will be eligible to participate in Company-sponsored benefits, including health benefits, holidays and other benefits that the Company may offer to similarly-situated employees from time to time as described more fully in the enclosed materials. Your eligibility to receive such benefits will be subject in each case to the generally applicable terms and conditions for the benefits in question and to the determinations of any person or committee administering such benefits. The Company may from time to time, in its sole discretion, amend or terminate the benefits available to you and the Company’s other employees. You will be covered by worker’s compensation insurance, state disability insurance and other governmental benefit programs as required by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-421640</wp:posOffset>
            </wp:positionV>
            <wp:extent cx="94678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46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280" w:hanging="35"/>
        <w:spacing w:after="0" w:line="532" w:lineRule="auto"/>
        <w:rPr>
          <w:sz w:val="20"/>
          <w:szCs w:val="20"/>
          <w:color w:val="auto"/>
        </w:rPr>
      </w:pPr>
      <w:r>
        <w:rPr>
          <w:rFonts w:ascii="Arial" w:cs="Arial" w:eastAsia="Arial" w:hAnsi="Arial"/>
          <w:sz w:val="9"/>
          <w:szCs w:val="9"/>
          <w:color w:val="auto"/>
        </w:rPr>
        <w:t>Adjustments</w:t>
      </w:r>
      <w:r>
        <w:rPr>
          <w:sz w:val="20"/>
          <w:szCs w:val="20"/>
          <w:color w:val="auto"/>
        </w:rPr>
        <w:t xml:space="preserve"> </w:t>
      </w:r>
      <w:r>
        <w:rPr>
          <w:rFonts w:ascii="Arial" w:cs="Arial" w:eastAsia="Arial" w:hAnsi="Arial"/>
          <w:sz w:val="9"/>
          <w:szCs w:val="9"/>
          <w:color w:val="auto"/>
        </w:rPr>
        <w:t>and Changes in Employment Status. The Company reserves the right to make personnel decisions regarding your employment, including but not limited to, decisions regarding any transfers or other changes in duties or assignments, changes in your salary and other compensation, changes in benefits and changes in Company policies or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-282575</wp:posOffset>
            </wp:positionV>
            <wp:extent cx="26035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00" cy="76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280" w:hanging="35"/>
        <w:spacing w:after="0" w:line="570" w:lineRule="auto"/>
        <w:rPr>
          <w:sz w:val="20"/>
          <w:szCs w:val="20"/>
          <w:color w:val="auto"/>
        </w:rPr>
      </w:pPr>
      <w:r>
        <w:rPr>
          <w:rFonts w:ascii="Arial" w:cs="Arial" w:eastAsia="Arial" w:hAnsi="Arial"/>
          <w:sz w:val="9"/>
          <w:szCs w:val="9"/>
          <w:color w:val="auto"/>
        </w:rPr>
        <w:t>Proprietary</w:t>
      </w:r>
      <w:r>
        <w:rPr>
          <w:sz w:val="20"/>
          <w:szCs w:val="20"/>
          <w:color w:val="auto"/>
        </w:rPr>
        <w:t xml:space="preserve"> </w:t>
      </w:r>
      <w:r>
        <w:rPr>
          <w:rFonts w:ascii="Arial" w:cs="Arial" w:eastAsia="Arial" w:hAnsi="Arial"/>
          <w:sz w:val="9"/>
          <w:szCs w:val="9"/>
          <w:color w:val="auto"/>
        </w:rPr>
        <w:t>Information Agreement. You will be required to sign and abide by the terms of the enclosed At-Will Employment, Confidential Information and Invention Agreement prior to beginning employment, indicating your full agreement to, and ongoing compliance with, the terms of that agreement, which include, among other provisions, the assignment of patent rights to any invention made during your employment at the Company, and non-disclosure of the Company’s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-303530</wp:posOffset>
            </wp:positionV>
            <wp:extent cx="184404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44040" cy="762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280" w:hanging="35"/>
        <w:spacing w:after="0" w:line="532" w:lineRule="auto"/>
        <w:rPr>
          <w:sz w:val="20"/>
          <w:szCs w:val="20"/>
          <w:color w:val="auto"/>
        </w:rPr>
      </w:pPr>
      <w:r>
        <w:rPr>
          <w:rFonts w:ascii="Arial" w:cs="Arial" w:eastAsia="Arial" w:hAnsi="Arial"/>
          <w:sz w:val="9"/>
          <w:szCs w:val="9"/>
          <w:color w:val="auto"/>
        </w:rPr>
        <w:t>References and Immigration Documents. This offer is contingent upon your ability to prove your identity and authorization to work in the U.S. for the Company. You must comply with the United States Citizenship and Immigration Services employment verification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-282575</wp:posOffset>
            </wp:positionV>
            <wp:extent cx="205930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059305" cy="76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280" w:hanging="35"/>
        <w:spacing w:after="0" w:line="532" w:lineRule="auto"/>
        <w:rPr>
          <w:sz w:val="20"/>
          <w:szCs w:val="20"/>
          <w:color w:val="auto"/>
        </w:rPr>
      </w:pPr>
      <w:r>
        <w:rPr>
          <w:rFonts w:ascii="Arial" w:cs="Arial" w:eastAsia="Arial" w:hAnsi="Arial"/>
          <w:sz w:val="9"/>
          <w:szCs w:val="9"/>
          <w:color w:val="auto"/>
        </w:rPr>
        <w:t>No Conflicting Obligations. By executing this letter, you represent and warrant that your performance under this letter does not and will not breach any agreement you have entered into, or will enter into, with any other party. You must disclose to the Company any and all agreements relating to your prior employment that may affect your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-282575</wp:posOffset>
            </wp:positionV>
            <wp:extent cx="133032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30325" cy="7620"/>
                    </a:xfrm>
                    <a:prstGeom prst="rect">
                      <a:avLst/>
                    </a:prstGeom>
                    <a:noFill/>
                  </pic:spPr>
                </pic:pic>
              </a:graphicData>
            </a:graphic>
          </wp:anchor>
        </w:drawing>
      </w:r>
    </w:p>
    <w:p>
      <w:pPr>
        <w:sectPr>
          <w:pgSz w:w="11900" w:h="16838" w:orient="portrait"/>
          <w:cols w:equalWidth="0" w:num="1">
            <w:col w:w="11060"/>
          </w:cols>
          <w:pgMar w:left="420" w:top="1440" w:right="419" w:bottom="1440" w:gutter="0" w:footer="0" w:header="0"/>
        </w:sectPr>
      </w:pPr>
    </w:p>
    <w:bookmarkStart w:id="574" w:name="page575"/>
    <w:bookmarkEnd w:id="574"/>
    <w:p>
      <w:pPr>
        <w:spacing w:after="0" w:line="68" w:lineRule="exact"/>
        <w:rPr>
          <w:sz w:val="20"/>
          <w:szCs w:val="20"/>
          <w:color w:val="auto"/>
        </w:rPr>
      </w:pPr>
    </w:p>
    <w:p>
      <w:pPr>
        <w:jc w:val="both"/>
        <w:ind w:left="280"/>
        <w:spacing w:after="0" w:line="477" w:lineRule="auto"/>
        <w:rPr>
          <w:sz w:val="20"/>
          <w:szCs w:val="20"/>
          <w:color w:val="auto"/>
        </w:rPr>
      </w:pPr>
      <w:r>
        <w:rPr>
          <w:rFonts w:ascii="Arial" w:cs="Arial" w:eastAsia="Arial" w:hAnsi="Arial"/>
          <w:sz w:val="9"/>
          <w:szCs w:val="9"/>
          <w:color w:val="auto"/>
        </w:rPr>
        <w:t>to be employed by the Company or limit the manner in which you may be employed. You shall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third-party confidential information to the Company, including that of any former employer, and that you will not in any way utilize any such information in performing your duties for the Company. It is the Company’s understanding that any such agreements will not prevent you from performing the duties of your position and you represent that such is the case. By signing and accepting this offer, you represent and warrant that: (i) you are not subject to any pre-existing contractual or other legal obligation with any person, company or business enterprise which may be an impediment to, or a conflict of interest with, your employment with the Company, or your providing services to the Company as its employee; (ii) you do not have and shall not bring onto the Company’s premises, or use in the course of your employment with the Company, any confidential or proprietary information of another person, company or business enterprise to whom you previously provided services; and (iii) you will not, at any time during your employment with the Company, breach any obligation or agreement that you have entered into with any third party, including your former employers. You agree not to enter into any written or oral agreement that conflicts with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280" w:firstLine="2"/>
        <w:spacing w:after="0" w:line="504" w:lineRule="auto"/>
        <w:rPr>
          <w:sz w:val="20"/>
          <w:szCs w:val="20"/>
          <w:color w:val="auto"/>
        </w:rPr>
      </w:pPr>
      <w:r>
        <w:rPr>
          <w:rFonts w:ascii="Arial" w:cs="Arial" w:eastAsia="Arial" w:hAnsi="Arial"/>
          <w:sz w:val="9"/>
          <w:szCs w:val="9"/>
          <w:color w:val="auto"/>
        </w:rPr>
        <w:t>Integrated Agreement. This letter supersedes any prior agreements, representations or promises of any kind, whether written, oral, express or implied between the parties hereto with respect to its subject matter. Likewise, this letter and the At-Will Employment, Confidential Information and Invention Assignment Agreement (together, the “Offer Documents”) will constitute the full, complete and exclusive agreement between you and the Company with respect to its subject matter. This Offer Documents may only be changed by a writing, signed by you and an authorized 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-405765</wp:posOffset>
            </wp:positionV>
            <wp:extent cx="112903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2903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-258445</wp:posOffset>
            </wp:positionV>
            <wp:extent cx="897255" cy="1206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97255" cy="12065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280" w:firstLine="2"/>
        <w:spacing w:after="0" w:line="532" w:lineRule="auto"/>
        <w:rPr>
          <w:sz w:val="20"/>
          <w:szCs w:val="20"/>
          <w:color w:val="auto"/>
        </w:rPr>
      </w:pPr>
      <w:r>
        <w:rPr>
          <w:rFonts w:ascii="Arial" w:cs="Arial" w:eastAsia="Arial" w:hAnsi="Arial"/>
          <w:sz w:val="9"/>
          <w:szCs w:val="9"/>
          <w:color w:val="auto"/>
        </w:rPr>
        <w:t>Severability. If any term of this letter is held to be invalid, void or unenforceable, the remainder of the terms herein will remain in full force and effect and will in no way be affected, and the parties will use their best efforts to find an alternative way to achieve the same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-282575</wp:posOffset>
            </wp:positionV>
            <wp:extent cx="58293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 cy="76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280" w:firstLine="15"/>
        <w:spacing w:after="0" w:line="504" w:lineRule="auto"/>
        <w:rPr>
          <w:sz w:val="20"/>
          <w:szCs w:val="20"/>
          <w:color w:val="auto"/>
        </w:rPr>
      </w:pPr>
      <w:r>
        <w:rPr>
          <w:rFonts w:ascii="Arial" w:cs="Arial" w:eastAsia="Arial" w:hAnsi="Arial"/>
          <w:sz w:val="9"/>
          <w:szCs w:val="9"/>
          <w:color w:val="auto"/>
        </w:rPr>
        <w:t>Arbitration. Any controversy, dispute or claim arising out of or relating to this offer or breach thereof shall first be settled through good faith negotiation. If the dispute cannot be settled through negotiation, the parties agree to attempt in good faith to settle the dispute by mediation administered by American Arbitration Association (AAA). If the parties are unsuccessful at resolving the dispute through mediation, the parties agree to arbitration administered by AAA pursuant to its Employment Arbitration Rules and Mediation Procedures, as amended from time to time. Judgment on the award may be entered in any court having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-405765</wp:posOffset>
            </wp:positionV>
            <wp:extent cx="53403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4035" cy="762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275590</wp:posOffset>
            </wp:positionV>
            <wp:extent cx="309880" cy="571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9880" cy="5715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9"/>
          <w:szCs w:val="9"/>
          <w:color w:val="auto"/>
        </w:rPr>
        <w:t>*****</w:t>
      </w:r>
    </w:p>
    <w:p>
      <w:pPr>
        <w:sectPr>
          <w:pgSz w:w="11900" w:h="16838" w:orient="portrait"/>
          <w:cols w:equalWidth="0" w:num="1">
            <w:col w:w="11060"/>
          </w:cols>
          <w:pgMar w:left="420" w:top="1440" w:right="419" w:bottom="1440" w:gutter="0" w:footer="0" w:header="0"/>
        </w:sectPr>
      </w:pPr>
    </w:p>
    <w:bookmarkStart w:id="575" w:name="page576"/>
    <w:bookmarkEnd w:id="575"/>
    <w:p>
      <w:pPr>
        <w:spacing w:after="0" w:line="386" w:lineRule="exact"/>
        <w:rPr>
          <w:sz w:val="20"/>
          <w:szCs w:val="20"/>
          <w:color w:val="auto"/>
        </w:rPr>
      </w:pPr>
    </w:p>
    <w:p>
      <w:pPr>
        <w:jc w:val="center"/>
        <w:ind w:right="10"/>
        <w:spacing w:after="0"/>
        <w:rPr>
          <w:sz w:val="20"/>
          <w:szCs w:val="20"/>
          <w:color w:val="auto"/>
        </w:rPr>
      </w:pPr>
      <w:r>
        <w:rPr>
          <w:rFonts w:ascii="Arial" w:cs="Arial" w:eastAsia="Arial" w:hAnsi="Arial"/>
          <w:sz w:val="10"/>
          <w:szCs w:val="10"/>
          <w:color w:val="auto"/>
        </w:rPr>
        <w:t>Benefits Summary Salaried, Full-Time Employees</w:t>
      </w:r>
    </w:p>
    <w:p>
      <w:pPr>
        <w:spacing w:after="0" w:line="324" w:lineRule="exact"/>
        <w:rPr>
          <w:sz w:val="20"/>
          <w:szCs w:val="20"/>
          <w:color w:val="auto"/>
        </w:rPr>
      </w:pPr>
    </w:p>
    <w:p>
      <w:pPr>
        <w:ind w:left="10"/>
        <w:spacing w:after="0"/>
        <w:rPr>
          <w:sz w:val="20"/>
          <w:szCs w:val="20"/>
          <w:color w:val="auto"/>
        </w:rPr>
      </w:pPr>
      <w:r>
        <w:rPr>
          <w:rFonts w:ascii="Arial" w:cs="Arial" w:eastAsia="Arial" w:hAnsi="Arial"/>
          <w:sz w:val="9"/>
          <w:szCs w:val="9"/>
          <w:color w:val="auto"/>
        </w:rPr>
        <w:t>As part of your total compensation package, we offer the following benefits to regular full-time employees. Our benefit year is September</w:t>
      </w:r>
    </w:p>
    <w:p>
      <w:pPr>
        <w:spacing w:after="0" w:line="49" w:lineRule="exact"/>
        <w:rPr>
          <w:sz w:val="20"/>
          <w:szCs w:val="20"/>
          <w:color w:val="auto"/>
        </w:rPr>
      </w:pPr>
    </w:p>
    <w:p>
      <w:pPr>
        <w:ind w:left="90"/>
        <w:spacing w:after="0"/>
        <w:tabs>
          <w:tab w:leader="none" w:pos="1110" w:val="left"/>
        </w:tabs>
        <w:rPr>
          <w:sz w:val="20"/>
          <w:szCs w:val="20"/>
          <w:color w:val="auto"/>
        </w:rPr>
      </w:pPr>
      <w:r>
        <w:rPr>
          <w:rFonts w:ascii="Arial" w:cs="Arial" w:eastAsia="Arial" w:hAnsi="Arial"/>
          <w:sz w:val="6"/>
          <w:szCs w:val="6"/>
          <w:color w:val="auto"/>
        </w:rPr>
        <w:t>st</w:t>
      </w:r>
      <w:r>
        <w:rPr>
          <w:sz w:val="20"/>
          <w:szCs w:val="20"/>
          <w:color w:val="auto"/>
        </w:rPr>
        <w:tab/>
      </w:r>
      <w:r>
        <w:rPr>
          <w:rFonts w:ascii="Arial" w:cs="Arial" w:eastAsia="Arial" w:hAnsi="Arial"/>
          <w:sz w:val="6"/>
          <w:szCs w:val="6"/>
          <w:color w:val="auto"/>
        </w:rPr>
        <w:t>st</w:t>
      </w:r>
    </w:p>
    <w:p>
      <w:pPr>
        <w:ind w:left="190" w:hanging="190"/>
        <w:spacing w:after="0" w:line="216" w:lineRule="auto"/>
        <w:tabs>
          <w:tab w:leader="none" w:pos="190" w:val="left"/>
        </w:tabs>
        <w:numPr>
          <w:ilvl w:val="0"/>
          <w:numId w:val="490"/>
        </w:numPr>
        <w:rPr>
          <w:rFonts w:ascii="Arial" w:cs="Arial" w:eastAsia="Arial" w:hAnsi="Arial"/>
          <w:sz w:val="9"/>
          <w:szCs w:val="9"/>
          <w:color w:val="auto"/>
        </w:rPr>
      </w:pPr>
      <w:r>
        <w:rPr>
          <w:rFonts w:ascii="Arial" w:cs="Arial" w:eastAsia="Arial" w:hAnsi="Arial"/>
          <w:sz w:val="9"/>
          <w:szCs w:val="9"/>
          <w:color w:val="auto"/>
        </w:rPr>
        <w:t>- August 31  . Healthcare benefits begin on your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369570" cy="946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9570" cy="94615"/>
                    </a:xfrm>
                    <a:prstGeom prst="rect">
                      <a:avLst/>
                    </a:prstGeom>
                    <a:noFill/>
                  </pic:spPr>
                </pic:pic>
              </a:graphicData>
            </a:graphic>
          </wp:anchor>
        </w:drawing>
      </w:r>
    </w:p>
    <w:p>
      <w:pPr>
        <w:spacing w:after="0" w:line="325" w:lineRule="exact"/>
        <w:rPr>
          <w:sz w:val="20"/>
          <w:szCs w:val="20"/>
          <w:color w:val="auto"/>
        </w:rPr>
      </w:pPr>
    </w:p>
    <w:p>
      <w:pPr>
        <w:ind w:left="10"/>
        <w:spacing w:after="0"/>
        <w:rPr>
          <w:sz w:val="20"/>
          <w:szCs w:val="20"/>
          <w:color w:val="auto"/>
        </w:rPr>
      </w:pPr>
      <w:r>
        <w:rPr>
          <w:rFonts w:ascii="Arial" w:cs="Arial" w:eastAsia="Arial" w:hAnsi="Arial"/>
          <w:sz w:val="9"/>
          <w:szCs w:val="9"/>
          <w:color w:val="auto"/>
        </w:rPr>
        <w:t>Medical</w:t>
      </w:r>
    </w:p>
    <w:p>
      <w:pPr>
        <w:spacing w:after="0" w:line="122" w:lineRule="exact"/>
        <w:rPr>
          <w:sz w:val="20"/>
          <w:szCs w:val="20"/>
          <w:color w:val="auto"/>
        </w:rPr>
      </w:pPr>
    </w:p>
    <w:p>
      <w:pPr>
        <w:ind w:left="10" w:right="180"/>
        <w:spacing w:after="0" w:line="551" w:lineRule="auto"/>
        <w:rPr>
          <w:sz w:val="20"/>
          <w:szCs w:val="20"/>
          <w:color w:val="auto"/>
        </w:rPr>
      </w:pPr>
      <w:r>
        <w:rPr>
          <w:rFonts w:ascii="Arial" w:cs="Arial" w:eastAsia="Arial" w:hAnsi="Arial"/>
          <w:sz w:val="9"/>
          <w:szCs w:val="9"/>
          <w:color w:val="auto"/>
        </w:rPr>
        <w:t>ThredUp Inc. offers 3 medical plans to choose from. Our base plan is Cigna HDHP/HSA 2000. We also offer a Cigna PPO, &amp; Kaiser HMO in Georgia &amp; California at a slightly higher price point. We pay 90% of your benefits and 70% of your dependents’ health insurance benefits for the CIGNA HDHP.</w:t>
      </w:r>
    </w:p>
    <w:p>
      <w:pPr>
        <w:spacing w:after="0" w:line="200" w:lineRule="exact"/>
        <w:rPr>
          <w:sz w:val="20"/>
          <w:szCs w:val="20"/>
          <w:color w:val="auto"/>
        </w:rPr>
      </w:pPr>
    </w:p>
    <w:p>
      <w:pPr>
        <w:spacing w:after="0" w:line="281" w:lineRule="exact"/>
        <w:rPr>
          <w:sz w:val="20"/>
          <w:szCs w:val="20"/>
          <w:color w:val="auto"/>
        </w:rPr>
      </w:pPr>
    </w:p>
    <w:p>
      <w:pPr>
        <w:ind w:left="10"/>
        <w:spacing w:after="0"/>
        <w:rPr>
          <w:sz w:val="20"/>
          <w:szCs w:val="20"/>
          <w:color w:val="auto"/>
        </w:rPr>
      </w:pPr>
      <w:r>
        <w:rPr>
          <w:rFonts w:ascii="Arial" w:cs="Arial" w:eastAsia="Arial" w:hAnsi="Arial"/>
          <w:sz w:val="9"/>
          <w:szCs w:val="9"/>
          <w:color w:val="auto"/>
        </w:rPr>
        <w:t>Health Savings Account (HSA) Voluntary Accident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1669415" cy="142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69415" cy="142240"/>
                    </a:xfrm>
                    <a:prstGeom prst="rect">
                      <a:avLst/>
                    </a:prstGeom>
                    <a:noFill/>
                  </pic:spPr>
                </pic:pic>
              </a:graphicData>
            </a:graphic>
          </wp:anchor>
        </w:drawing>
      </w:r>
    </w:p>
    <w:p>
      <w:pPr>
        <w:spacing w:after="0" w:line="188" w:lineRule="exact"/>
        <w:rPr>
          <w:sz w:val="20"/>
          <w:szCs w:val="20"/>
          <w:color w:val="auto"/>
        </w:rPr>
      </w:pPr>
    </w:p>
    <w:p>
      <w:pPr>
        <w:ind w:left="10"/>
        <w:spacing w:after="0"/>
        <w:rPr>
          <w:sz w:val="20"/>
          <w:szCs w:val="20"/>
          <w:color w:val="auto"/>
        </w:rPr>
      </w:pPr>
      <w:r>
        <w:rPr>
          <w:rFonts w:ascii="Arial" w:cs="Arial" w:eastAsia="Arial" w:hAnsi="Arial"/>
          <w:sz w:val="9"/>
          <w:szCs w:val="9"/>
          <w:color w:val="auto"/>
        </w:rPr>
        <w:t>Flexible Spending Account (FSA)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127000</wp:posOffset>
            </wp:positionV>
            <wp:extent cx="318135" cy="946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8135" cy="94615"/>
                    </a:xfrm>
                    <a:prstGeom prst="rect">
                      <a:avLst/>
                    </a:prstGeom>
                    <a:noFill/>
                  </pic:spPr>
                </pic:pic>
              </a:graphicData>
            </a:graphic>
          </wp:anchor>
        </w:drawing>
      </w:r>
    </w:p>
    <w:p>
      <w:pPr>
        <w:spacing w:after="0" w:line="312" w:lineRule="exact"/>
        <w:rPr>
          <w:sz w:val="20"/>
          <w:szCs w:val="20"/>
          <w:color w:val="auto"/>
        </w:rPr>
      </w:pPr>
    </w:p>
    <w:p>
      <w:pPr>
        <w:ind w:left="10"/>
        <w:spacing w:after="0"/>
        <w:rPr>
          <w:sz w:val="20"/>
          <w:szCs w:val="20"/>
          <w:color w:val="auto"/>
        </w:rPr>
      </w:pPr>
      <w:r>
        <w:rPr>
          <w:rFonts w:ascii="Arial" w:cs="Arial" w:eastAsia="Arial" w:hAnsi="Arial"/>
          <w:sz w:val="9"/>
          <w:szCs w:val="9"/>
          <w:color w:val="auto"/>
        </w:rPr>
        <w:t>Dental</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9"/>
          <w:szCs w:val="9"/>
          <w:color w:val="auto"/>
        </w:rPr>
        <w:t>ThredUp Inc. offers dental insurance through Sunlife (see plan details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00355" cy="914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00355" cy="91440"/>
                    </a:xfrm>
                    <a:prstGeom prst="rect">
                      <a:avLst/>
                    </a:prstGeom>
                    <a:noFill/>
                  </pic:spPr>
                </pic:pic>
              </a:graphicData>
            </a:graphic>
          </wp:anchor>
        </w:drawing>
      </w:r>
    </w:p>
    <w:p>
      <w:pPr>
        <w:spacing w:after="0" w:line="312" w:lineRule="exact"/>
        <w:rPr>
          <w:sz w:val="20"/>
          <w:szCs w:val="20"/>
          <w:color w:val="auto"/>
        </w:rPr>
      </w:pPr>
    </w:p>
    <w:p>
      <w:pPr>
        <w:ind w:left="10"/>
        <w:spacing w:after="0"/>
        <w:rPr>
          <w:sz w:val="20"/>
          <w:szCs w:val="20"/>
          <w:color w:val="auto"/>
        </w:rPr>
      </w:pPr>
      <w:r>
        <w:rPr>
          <w:rFonts w:ascii="Arial" w:cs="Arial" w:eastAsia="Arial" w:hAnsi="Arial"/>
          <w:sz w:val="9"/>
          <w:szCs w:val="9"/>
          <w:color w:val="auto"/>
        </w:rPr>
        <w:t>Vision</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9"/>
          <w:szCs w:val="9"/>
          <w:color w:val="auto"/>
        </w:rPr>
        <w:t>ThredUp Inc. offers vision insurance through VSP.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1003935" cy="139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03935" cy="139700"/>
                    </a:xfrm>
                    <a:prstGeom prst="rect">
                      <a:avLst/>
                    </a:prstGeom>
                    <a:noFill/>
                  </pic:spPr>
                </pic:pic>
              </a:graphicData>
            </a:graphic>
          </wp:anchor>
        </w:drawing>
      </w:r>
    </w:p>
    <w:p>
      <w:pPr>
        <w:spacing w:after="0" w:line="312" w:lineRule="exact"/>
        <w:rPr>
          <w:sz w:val="20"/>
          <w:szCs w:val="20"/>
          <w:color w:val="auto"/>
        </w:rPr>
      </w:pPr>
    </w:p>
    <w:p>
      <w:pPr>
        <w:ind w:left="10"/>
        <w:spacing w:after="0"/>
        <w:rPr>
          <w:sz w:val="20"/>
          <w:szCs w:val="20"/>
          <w:color w:val="auto"/>
        </w:rPr>
      </w:pPr>
      <w:r>
        <w:rPr>
          <w:rFonts w:ascii="Arial" w:cs="Arial" w:eastAsia="Arial" w:hAnsi="Arial"/>
          <w:sz w:val="9"/>
          <w:szCs w:val="9"/>
          <w:color w:val="auto"/>
        </w:rPr>
        <w:t>Retirement Savings</w:t>
      </w:r>
    </w:p>
    <w:p>
      <w:pPr>
        <w:spacing w:after="0" w:line="122" w:lineRule="exact"/>
        <w:rPr>
          <w:sz w:val="20"/>
          <w:szCs w:val="20"/>
          <w:color w:val="auto"/>
        </w:rPr>
      </w:pPr>
    </w:p>
    <w:p>
      <w:pPr>
        <w:ind w:left="10" w:right="440"/>
        <w:spacing w:after="0" w:line="551" w:lineRule="auto"/>
        <w:rPr>
          <w:sz w:val="20"/>
          <w:szCs w:val="20"/>
          <w:color w:val="auto"/>
        </w:rPr>
      </w:pPr>
      <w:r>
        <w:rPr>
          <w:rFonts w:ascii="Arial" w:cs="Arial" w:eastAsia="Arial" w:hAnsi="Arial"/>
          <w:sz w:val="9"/>
          <w:szCs w:val="9"/>
          <w:color w:val="313131"/>
        </w:rPr>
        <w:t xml:space="preserve">ThredUp Inc. employees will be automatically enrolled in a 401K retirement plan after 60 days of employment. The default wage deduction will be set at 3%. If you want to adjust the percentage deducted from your paycheck or opt out of the deduction entirely, please contact Empower Retirement. </w:t>
      </w:r>
      <w:r>
        <w:rPr>
          <w:rFonts w:ascii="Arial" w:cs="Arial" w:eastAsia="Arial" w:hAnsi="Arial"/>
          <w:sz w:val="9"/>
          <w:szCs w:val="9"/>
          <w:color w:val="222222"/>
        </w:rPr>
        <w:t>ThredUp Inc. does not offer corporate matching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525145" cy="1162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5145" cy="116205"/>
                    </a:xfrm>
                    <a:prstGeom prst="rect">
                      <a:avLst/>
                    </a:prstGeom>
                    <a:noFill/>
                  </pic:spPr>
                </pic:pic>
              </a:graphicData>
            </a:graphic>
          </wp:anchor>
        </w:drawing>
      </w:r>
    </w:p>
    <w:p>
      <w:pPr>
        <w:spacing w:after="0" w:line="349" w:lineRule="exact"/>
        <w:rPr>
          <w:sz w:val="20"/>
          <w:szCs w:val="20"/>
          <w:color w:val="auto"/>
        </w:rPr>
      </w:pPr>
    </w:p>
    <w:p>
      <w:pPr>
        <w:ind w:left="10"/>
        <w:spacing w:after="0"/>
        <w:rPr>
          <w:sz w:val="20"/>
          <w:szCs w:val="20"/>
          <w:color w:val="auto"/>
        </w:rPr>
      </w:pPr>
      <w:r>
        <w:rPr>
          <w:rFonts w:ascii="Arial" w:cs="Arial" w:eastAsia="Arial" w:hAnsi="Arial"/>
          <w:sz w:val="9"/>
          <w:szCs w:val="9"/>
          <w:color w:val="auto"/>
        </w:rPr>
        <w:t>Insurance</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9"/>
          <w:szCs w:val="9"/>
          <w:color w:val="auto"/>
        </w:rPr>
        <w:t>ThredUp Inc. pays for Life and AD&amp;D Insurance up to 1 times your annual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114300</wp:posOffset>
            </wp:positionV>
            <wp:extent cx="1724660" cy="1390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24660" cy="139065"/>
                    </a:xfrm>
                    <a:prstGeom prst="rect">
                      <a:avLst/>
                    </a:prstGeom>
                    <a:noFill/>
                  </pic:spPr>
                </pic:pic>
              </a:graphicData>
            </a:graphic>
          </wp:anchor>
        </w:drawing>
      </w:r>
    </w:p>
    <w:p>
      <w:pPr>
        <w:spacing w:after="0" w:line="312" w:lineRule="exact"/>
        <w:rPr>
          <w:sz w:val="20"/>
          <w:szCs w:val="20"/>
          <w:color w:val="auto"/>
        </w:rPr>
      </w:pPr>
    </w:p>
    <w:p>
      <w:pPr>
        <w:ind w:left="10"/>
        <w:spacing w:after="0"/>
        <w:rPr>
          <w:sz w:val="20"/>
          <w:szCs w:val="20"/>
          <w:color w:val="auto"/>
        </w:rPr>
      </w:pPr>
      <w:r>
        <w:rPr>
          <w:rFonts w:ascii="Arial" w:cs="Arial" w:eastAsia="Arial" w:hAnsi="Arial"/>
          <w:sz w:val="9"/>
          <w:szCs w:val="9"/>
          <w:color w:val="auto"/>
        </w:rPr>
        <w:t>One Medical in San Francisco, CA</w:t>
      </w:r>
    </w:p>
    <w:p>
      <w:pPr>
        <w:spacing w:after="0" w:line="122" w:lineRule="exact"/>
        <w:rPr>
          <w:sz w:val="20"/>
          <w:szCs w:val="20"/>
          <w:color w:val="auto"/>
        </w:rPr>
      </w:pPr>
    </w:p>
    <w:p>
      <w:pPr>
        <w:ind w:left="10" w:right="640"/>
        <w:spacing w:after="0" w:line="348" w:lineRule="auto"/>
        <w:rPr>
          <w:sz w:val="20"/>
          <w:szCs w:val="20"/>
          <w:color w:val="auto"/>
        </w:rPr>
      </w:pPr>
      <w:r>
        <w:rPr>
          <w:rFonts w:ascii="Arial" w:cs="Arial" w:eastAsia="Arial" w:hAnsi="Arial"/>
          <w:sz w:val="9"/>
          <w:szCs w:val="9"/>
          <w:color w:val="auto"/>
        </w:rPr>
        <w:t xml:space="preserve">ThredUp Inc. offers a membership to </w:t>
      </w:r>
      <w:r>
        <w:rPr>
          <w:rFonts w:ascii="Arial" w:cs="Arial" w:eastAsia="Arial" w:hAnsi="Arial"/>
          <w:sz w:val="9"/>
          <w:szCs w:val="9"/>
          <w:color w:val="0000FF"/>
        </w:rPr>
        <w:t>One Medical</w:t>
      </w:r>
      <w:r>
        <w:rPr>
          <w:rFonts w:ascii="Arial" w:cs="Arial" w:eastAsia="Arial" w:hAnsi="Arial"/>
          <w:sz w:val="9"/>
          <w:szCs w:val="9"/>
          <w:color w:val="auto"/>
        </w:rPr>
        <w:t>, which provides high-quality, comprehensive primary care tailored to your busy lifestyle. This membership works in conjunction with Cigna plans (not Kaiser), and is only available in 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1931670</wp:posOffset>
            </wp:positionH>
            <wp:positionV relativeFrom="paragraph">
              <wp:posOffset>-86995</wp:posOffset>
            </wp:positionV>
            <wp:extent cx="62484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484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446405" cy="1111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46405" cy="111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
        <w:spacing w:after="0"/>
        <w:rPr>
          <w:sz w:val="20"/>
          <w:szCs w:val="20"/>
          <w:color w:val="auto"/>
        </w:rPr>
      </w:pPr>
      <w:r>
        <w:rPr>
          <w:rFonts w:ascii="Arial" w:cs="Arial" w:eastAsia="Arial" w:hAnsi="Arial"/>
          <w:sz w:val="9"/>
          <w:szCs w:val="9"/>
          <w:color w:val="auto"/>
        </w:rPr>
        <w:t>STD/LTD</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9"/>
          <w:szCs w:val="9"/>
          <w:color w:val="auto"/>
        </w:rPr>
        <w:t>ThredUp Inc. pays for Short Term and Long Term Disability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139065</wp:posOffset>
            </wp:positionV>
            <wp:extent cx="192405" cy="889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92405" cy="88900"/>
                    </a:xfrm>
                    <a:prstGeom prst="rect">
                      <a:avLst/>
                    </a:prstGeom>
                    <a:noFill/>
                  </pic:spPr>
                </pic:pic>
              </a:graphicData>
            </a:graphic>
          </wp:anchor>
        </w:drawing>
      </w:r>
    </w:p>
    <w:p>
      <w:pPr>
        <w:spacing w:after="0" w:line="324" w:lineRule="exact"/>
        <w:rPr>
          <w:sz w:val="20"/>
          <w:szCs w:val="20"/>
          <w:color w:val="auto"/>
        </w:rPr>
      </w:pPr>
    </w:p>
    <w:p>
      <w:pPr>
        <w:ind w:left="10"/>
        <w:spacing w:after="0"/>
        <w:rPr>
          <w:sz w:val="20"/>
          <w:szCs w:val="20"/>
          <w:color w:val="auto"/>
        </w:rPr>
      </w:pPr>
      <w:r>
        <w:rPr>
          <w:rFonts w:ascii="Arial" w:cs="Arial" w:eastAsia="Arial" w:hAnsi="Arial"/>
          <w:sz w:val="9"/>
          <w:szCs w:val="9"/>
          <w:color w:val="auto"/>
        </w:rPr>
        <w:t>EAP</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9"/>
          <w:szCs w:val="9"/>
          <w:color w:val="auto"/>
        </w:rPr>
        <w:t>ThredUp Inc. offers an Employee Assistance Program to help you address life’s daily challenges.</w:t>
      </w:r>
    </w:p>
    <w:p>
      <w:pPr>
        <w:sectPr>
          <w:pgSz w:w="11900" w:h="16838" w:orient="portrait"/>
          <w:cols w:equalWidth="0" w:num="1">
            <w:col w:w="11070"/>
          </w:cols>
          <w:pgMar w:left="410" w:top="1440" w:right="419" w:bottom="1440" w:gutter="0" w:footer="0" w:header="0"/>
        </w:sectPr>
      </w:pPr>
    </w:p>
    <w:bookmarkStart w:id="576" w:name="page577"/>
    <w:bookmarkEnd w:id="576"/>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866775</wp:posOffset>
            </wp:positionV>
            <wp:extent cx="203200" cy="927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03200" cy="92710"/>
                    </a:xfrm>
                    <a:prstGeom prst="rect">
                      <a:avLst/>
                    </a:prstGeom>
                    <a:noFill/>
                  </pic:spPr>
                </pic:pic>
              </a:graphicData>
            </a:graphic>
          </wp:anchor>
        </w:drawing>
      </w:r>
    </w:p>
    <w:p>
      <w:pPr>
        <w:ind w:left="10"/>
        <w:spacing w:after="0"/>
        <w:rPr>
          <w:sz w:val="20"/>
          <w:szCs w:val="20"/>
          <w:color w:val="auto"/>
        </w:rPr>
      </w:pPr>
      <w:r>
        <w:rPr>
          <w:rFonts w:ascii="Arial" w:cs="Arial" w:eastAsia="Arial" w:hAnsi="Arial"/>
          <w:sz w:val="9"/>
          <w:szCs w:val="9"/>
          <w:color w:val="auto"/>
        </w:rPr>
        <w:t>PTO</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9"/>
          <w:szCs w:val="9"/>
          <w:color w:val="auto"/>
        </w:rPr>
        <w:t>ThredUp Inc. has a no accrual vacation policy, but we encourage you to take the time you need to recharge.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8820" cy="1162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820" cy="116205"/>
                    </a:xfrm>
                    <a:prstGeom prst="rect">
                      <a:avLst/>
                    </a:prstGeom>
                    <a:noFill/>
                  </pic:spPr>
                </pic:pic>
              </a:graphicData>
            </a:graphic>
          </wp:anchor>
        </w:drawing>
      </w:r>
    </w:p>
    <w:p>
      <w:pPr>
        <w:spacing w:after="0" w:line="324" w:lineRule="exact"/>
        <w:rPr>
          <w:sz w:val="20"/>
          <w:szCs w:val="20"/>
          <w:color w:val="auto"/>
        </w:rPr>
      </w:pPr>
    </w:p>
    <w:p>
      <w:pPr>
        <w:ind w:left="10"/>
        <w:spacing w:after="0"/>
        <w:rPr>
          <w:sz w:val="20"/>
          <w:szCs w:val="20"/>
          <w:color w:val="auto"/>
        </w:rPr>
      </w:pPr>
      <w:r>
        <w:rPr>
          <w:rFonts w:ascii="Arial" w:cs="Arial" w:eastAsia="Arial" w:hAnsi="Arial"/>
          <w:sz w:val="9"/>
          <w:szCs w:val="9"/>
          <w:color w:val="auto"/>
        </w:rPr>
        <w:t>Pet Insurance offered through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612775" cy="141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2775" cy="141605"/>
                    </a:xfrm>
                    <a:prstGeom prst="rect">
                      <a:avLst/>
                    </a:prstGeom>
                    <a:noFill/>
                  </pic:spPr>
                </pic:pic>
              </a:graphicData>
            </a:graphic>
          </wp:anchor>
        </w:drawing>
      </w:r>
    </w:p>
    <w:p>
      <w:pPr>
        <w:spacing w:after="0" w:line="312" w:lineRule="exact"/>
        <w:rPr>
          <w:sz w:val="20"/>
          <w:szCs w:val="20"/>
          <w:color w:val="auto"/>
        </w:rPr>
      </w:pPr>
    </w:p>
    <w:p>
      <w:pPr>
        <w:ind w:left="10"/>
        <w:spacing w:after="0"/>
        <w:rPr>
          <w:sz w:val="20"/>
          <w:szCs w:val="20"/>
          <w:color w:val="auto"/>
        </w:rPr>
      </w:pPr>
      <w:r>
        <w:rPr>
          <w:rFonts w:ascii="Arial" w:cs="Arial" w:eastAsia="Arial" w:hAnsi="Arial"/>
          <w:sz w:val="9"/>
          <w:szCs w:val="9"/>
          <w:color w:val="auto"/>
        </w:rPr>
        <w:t>Maker Days</w:t>
      </w:r>
    </w:p>
    <w:p>
      <w:pPr>
        <w:spacing w:after="0" w:line="122" w:lineRule="exact"/>
        <w:rPr>
          <w:sz w:val="20"/>
          <w:szCs w:val="20"/>
          <w:color w:val="auto"/>
        </w:rPr>
      </w:pPr>
    </w:p>
    <w:p>
      <w:pPr>
        <w:ind w:left="10"/>
        <w:spacing w:after="0" w:line="348" w:lineRule="auto"/>
        <w:rPr>
          <w:sz w:val="20"/>
          <w:szCs w:val="20"/>
          <w:color w:val="auto"/>
        </w:rPr>
      </w:pPr>
      <w:r>
        <w:rPr>
          <w:rFonts w:ascii="Arial" w:cs="Arial" w:eastAsia="Arial" w:hAnsi="Arial"/>
          <w:sz w:val="9"/>
          <w:szCs w:val="9"/>
          <w:color w:val="auto"/>
        </w:rPr>
        <w:t>We currently offer all salaried, SF-based employees to work from anywhere they want on Tuesday and Thursdays and do not need to be present in the office.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 w:right="160" w:hanging="10"/>
        <w:spacing w:after="0" w:line="348" w:lineRule="auto"/>
        <w:tabs>
          <w:tab w:leader="none" w:pos="167" w:val="left"/>
        </w:tabs>
        <w:numPr>
          <w:ilvl w:val="0"/>
          <w:numId w:val="491"/>
        </w:numPr>
        <w:rPr>
          <w:rFonts w:ascii="Arial" w:cs="Arial" w:eastAsia="Arial" w:hAnsi="Arial"/>
          <w:sz w:val="9"/>
          <w:szCs w:val="9"/>
          <w:color w:val="auto"/>
        </w:rPr>
      </w:pPr>
      <w:r>
        <w:rPr>
          <w:rFonts w:ascii="Arial" w:cs="Arial" w:eastAsia="Arial" w:hAnsi="Arial"/>
          <w:sz w:val="9"/>
          <w:szCs w:val="9"/>
          <w:color w:val="auto"/>
        </w:rPr>
        <w:t>Our policy is set up to have insurance be effective on your start date. A more comprehensive description of our benefits can be found in our benefits booklet attached. As well, all benefits are subject to change.</w:t>
      </w:r>
    </w:p>
    <w:p>
      <w:pPr>
        <w:sectPr>
          <w:pgSz w:w="11900" w:h="16838" w:orient="portrait"/>
          <w:cols w:equalWidth="0" w:num="1">
            <w:col w:w="10710"/>
          </w:cols>
          <w:pgMar w:left="410" w:top="1440" w:right="779" w:bottom="1440" w:gutter="0" w:footer="0" w:header="0"/>
        </w:sectPr>
      </w:pPr>
    </w:p>
    <w:bookmarkStart w:id="577" w:name="page578"/>
    <w:bookmarkEnd w:id="577"/>
    <w:p>
      <w:pPr>
        <w:jc w:val="right"/>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5665470</wp:posOffset>
            </wp:positionH>
            <wp:positionV relativeFrom="paragraph">
              <wp:posOffset>15240</wp:posOffset>
            </wp:positionV>
            <wp:extent cx="1477645" cy="3321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77645"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MEMBER AGREEMENT</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This Board Member Agreement (the “Agreement”) is entered into as of December 3, 2020 (the “Effective Date”) between </w:t>
      </w:r>
      <w:r>
        <w:rPr>
          <w:rFonts w:ascii="Times New Roman" w:cs="Times New Roman" w:eastAsia="Times New Roman" w:hAnsi="Times New Roman"/>
          <w:sz w:val="18"/>
          <w:szCs w:val="18"/>
          <w:b w:val="1"/>
          <w:bCs w:val="1"/>
          <w:color w:val="auto"/>
        </w:rPr>
        <w:t>ThredUp Inc.</w:t>
      </w:r>
      <w:r>
        <w:rPr>
          <w:rFonts w:ascii="Times New Roman" w:cs="Times New Roman" w:eastAsia="Times New Roman" w:hAnsi="Times New Roman"/>
          <w:sz w:val="18"/>
          <w:szCs w:val="18"/>
          <w:color w:val="auto"/>
        </w:rPr>
        <w:t xml:space="preserve">, a Delaware corporation (the “Company” and </w:t>
      </w:r>
      <w:r>
        <w:rPr>
          <w:rFonts w:ascii="Times New Roman" w:cs="Times New Roman" w:eastAsia="Times New Roman" w:hAnsi="Times New Roman"/>
          <w:sz w:val="18"/>
          <w:szCs w:val="18"/>
          <w:b w:val="1"/>
          <w:bCs w:val="1"/>
          <w:color w:val="auto"/>
        </w:rPr>
        <w:t>Mandy Ginsberg</w:t>
      </w:r>
      <w:r>
        <w:rPr>
          <w:rFonts w:ascii="Times New Roman" w:cs="Times New Roman" w:eastAsia="Times New Roman" w:hAnsi="Times New Roman"/>
          <w:sz w:val="18"/>
          <w:szCs w:val="18"/>
          <w:color w:val="auto"/>
        </w:rPr>
        <w:t xml:space="preserve"> (“Board Member”). This Agreement supersedes the Board Observer Agreement dated as of November 4, 2020 by and between the parties (the “Observer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175" w:lineRule="exact"/>
        <w:rPr>
          <w:sz w:val="20"/>
          <w:szCs w:val="20"/>
          <w:color w:val="auto"/>
        </w:rPr>
      </w:pPr>
    </w:p>
    <w:p>
      <w:pPr>
        <w:jc w:val="both"/>
        <w:ind w:left="380" w:hanging="306"/>
        <w:spacing w:after="0" w:line="258" w:lineRule="auto"/>
        <w:tabs>
          <w:tab w:leader="none" w:pos="3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Board Member agrees to perform the following services, among others, to further the goals of the Company: (a) consultation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of the Company in addition to regular attendance at board meetings; (b) assessment and review of strategy, business, sales, marketing and technical plans; (c) introduction of projects to be developed at or outside the Company; (d) collaboration with the Company in projects of mutual interest; and (e) advice and assistance in the recruitment of personnel (collectively, the “Services”).</w:t>
      </w:r>
    </w:p>
    <w:p>
      <w:pPr>
        <w:spacing w:after="0" w:line="117" w:lineRule="exact"/>
        <w:rPr>
          <w:rFonts w:ascii="Times New Roman" w:cs="Times New Roman" w:eastAsia="Times New Roman" w:hAnsi="Times New Roman"/>
          <w:sz w:val="18"/>
          <w:szCs w:val="18"/>
          <w:color w:val="auto"/>
        </w:rPr>
      </w:pPr>
    </w:p>
    <w:p>
      <w:pPr>
        <w:jc w:val="both"/>
        <w:ind w:left="380" w:hanging="306"/>
        <w:spacing w:after="0" w:line="249" w:lineRule="auto"/>
        <w:tabs>
          <w:tab w:leader="none" w:pos="3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The Company will recommend that its Board of Directors (the “Board”) grant to Board Member at its next meeting a nonstatutory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option (the “Option”) to purchase 30,000 shares of the Company’s Common Stock at a per share exercise price equal to the current fair market value per share of the Company’s Common Stock at the date of grant, as determined by the Board. Subject to Board approval, 100% of the shares underlying the Option shall vest on the one year anniversary of the November 4, 2020 vesting commencement date, subject to Board Member continuing to provide services to the Company during such period, and upon the terms and subject to the conditions of Company’s standard form of stock option agreement under the Company’s 2010 Stock Option and Grant Plan (the “Plan”). Notwithstanding the foregoing, in the event of a Sale Event (as such term is defined in the Plan), 100% of the remaining unvested Options shall vest. Should your role as a director (if applicable) be terminated or should there be a Sale Event, you will retain the right to exercise your vested options for three (3) years after a termination without Cause (as such term is defined in the Plan). </w:t>
      </w:r>
      <w:r>
        <w:rPr>
          <w:rFonts w:ascii="Times New Roman" w:cs="Times New Roman" w:eastAsia="Times New Roman" w:hAnsi="Times New Roman"/>
          <w:sz w:val="18"/>
          <w:szCs w:val="18"/>
          <w:i w:val="1"/>
          <w:iCs w:val="1"/>
          <w:color w:val="auto"/>
        </w:rPr>
        <w:t>This Option is in lieu of any prior equity award promised by the Company under the Observer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344" w:lineRule="exact"/>
        <w:rPr>
          <w:rFonts w:ascii="Times New Roman" w:cs="Times New Roman" w:eastAsia="Times New Roman" w:hAnsi="Times New Roman"/>
          <w:sz w:val="18"/>
          <w:szCs w:val="18"/>
          <w:color w:val="auto"/>
        </w:rPr>
      </w:pPr>
    </w:p>
    <w:p>
      <w:pPr>
        <w:jc w:val="both"/>
        <w:ind w:left="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w:t>
      </w: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involving the Company in which the shares of voting stock of the Company outstanding immediately prior to such transaction represent or are converted into or exchanged for securities of the surviving or resulting entity immediately upon completion of such transaction which represent less than 50 percent of the outstanding voting power of such surviving or resulting entity,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145" w:lineRule="exact"/>
        <w:rPr>
          <w:rFonts w:ascii="Times New Roman" w:cs="Times New Roman" w:eastAsia="Times New Roman" w:hAnsi="Times New Roman"/>
          <w:sz w:val="18"/>
          <w:szCs w:val="18"/>
          <w:color w:val="auto"/>
        </w:rPr>
      </w:pPr>
    </w:p>
    <w:p>
      <w:pPr>
        <w:jc w:val="both"/>
        <w:ind w:left="3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you are a member of the Board, the Company will reimburse Board Member for any reasonable out-of-pocket expenses, including reasonable travel expenses, incurred in attending Board meetings and committee meetings and in carrying out Board Member’s duties, including as a director or committee member.</w:t>
      </w:r>
    </w:p>
    <w:p>
      <w:pPr>
        <w:sectPr>
          <w:pgSz w:w="11900" w:h="16838" w:orient="portrait"/>
          <w:cols w:equalWidth="0" w:num="1">
            <w:col w:w="11240"/>
          </w:cols>
          <w:pgMar w:left="320" w:top="118" w:right="339" w:bottom="1440" w:gutter="0" w:footer="0" w:header="0"/>
        </w:sectPr>
      </w:pPr>
    </w:p>
    <w:bookmarkStart w:id="578" w:name="page579"/>
    <w:bookmarkEnd w:id="578"/>
    <w:p>
      <w:pPr>
        <w:jc w:val="both"/>
        <w:ind w:left="306" w:hanging="306"/>
        <w:spacing w:after="0" w:line="250" w:lineRule="auto"/>
        <w:tabs>
          <w:tab w:leader="none" w:pos="30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5868670</wp:posOffset>
            </wp:positionH>
            <wp:positionV relativeFrom="page">
              <wp:posOffset>231140</wp:posOffset>
            </wp:positionV>
            <wp:extent cx="1477645" cy="3321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477645" cy="332105"/>
                    </a:xfrm>
                    <a:prstGeom prst="rect">
                      <a:avLst/>
                    </a:prstGeom>
                    <a:noFill/>
                  </pic:spPr>
                </pic:pic>
              </a:graphicData>
            </a:graphic>
          </wp:anchor>
        </w:drawing>
        <w:t xml:space="preserve">Confidentiality. </w:t>
      </w:r>
      <w:r>
        <w:rPr>
          <w:rFonts w:ascii="Times New Roman" w:cs="Times New Roman" w:eastAsia="Times New Roman" w:hAnsi="Times New Roman"/>
          <w:sz w:val="18"/>
          <w:szCs w:val="18"/>
          <w:color w:val="auto"/>
        </w:rPr>
        <w:t>Board Member shall maintain in confidence and not publish or otherwise disclose to third parties or use for any purpose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the Services hereunder any Confidential Information of the Company, unless otherwise approved in writing by the Company. As used in this Agreement "Confidential Information" shall mean any information or other subject matter disclosed to Board Member by the Company in connection with Board Member's performance of the Services. Notwithstanding the foregoing, Confidential Information shall not include information that: (a) was publicly known and generally available in the public domain prior to the time of disclosure to Board Member; (b) becomes publicly known and generally available after disclosure to Board Member through no improper action or inaction of Board Member; or (c) is in the possession of Board Member, without confidentiality restrictions, at the time of disclosure as shown by Board Member's files and records immediately prior to the time of disclosure.</w:t>
      </w:r>
    </w:p>
    <w:p>
      <w:pPr>
        <w:spacing w:after="0" w:line="129" w:lineRule="exact"/>
        <w:rPr>
          <w:rFonts w:ascii="Times New Roman" w:cs="Times New Roman" w:eastAsia="Times New Roman" w:hAnsi="Times New Roman"/>
          <w:sz w:val="18"/>
          <w:szCs w:val="18"/>
          <w:color w:val="auto"/>
        </w:rPr>
      </w:pPr>
    </w:p>
    <w:p>
      <w:pPr>
        <w:jc w:val="both"/>
        <w:ind w:left="306" w:hanging="306"/>
        <w:spacing w:after="0" w:line="264" w:lineRule="auto"/>
        <w:tabs>
          <w:tab w:leader="none" w:pos="30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of Materials. </w:t>
      </w:r>
      <w:r>
        <w:rPr>
          <w:rFonts w:ascii="Times New Roman" w:cs="Times New Roman" w:eastAsia="Times New Roman" w:hAnsi="Times New Roman"/>
          <w:sz w:val="18"/>
          <w:szCs w:val="18"/>
          <w:color w:val="auto"/>
        </w:rPr>
        <w:t>All Confidential Information including without limitation, tangible materials received from the Company shall remain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of the Company, and Board Member shall deliver all Confidential Information to the Company upon the expiration or termination of this Agreement, or earlier if so requested by the Company.</w:t>
      </w:r>
    </w:p>
    <w:p>
      <w:pPr>
        <w:spacing w:after="0" w:line="125" w:lineRule="exact"/>
        <w:rPr>
          <w:rFonts w:ascii="Times New Roman" w:cs="Times New Roman" w:eastAsia="Times New Roman" w:hAnsi="Times New Roman"/>
          <w:sz w:val="18"/>
          <w:szCs w:val="18"/>
          <w:color w:val="auto"/>
        </w:rPr>
      </w:pPr>
    </w:p>
    <w:p>
      <w:pPr>
        <w:jc w:val="both"/>
        <w:ind w:left="306" w:hanging="306"/>
        <w:spacing w:after="0" w:line="258" w:lineRule="auto"/>
        <w:tabs>
          <w:tab w:leader="none" w:pos="30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 </w:t>
      </w:r>
      <w:r>
        <w:rPr>
          <w:rFonts w:ascii="Times New Roman" w:cs="Times New Roman" w:eastAsia="Times New Roman" w:hAnsi="Times New Roman"/>
          <w:sz w:val="18"/>
          <w:szCs w:val="18"/>
          <w:color w:val="auto"/>
        </w:rPr>
        <w:t>Board Member represents that Board Member’s compliance with the terms of this Agreement and provision of Services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violate any duty which Board Member may have to any other person or entity (such as a present or former employer), including obligations concerning providing services to others, confidentiality of proprietary information, and Board Member agrees that Board Member will not take any action in the performance of Services hereunder that would violate any such duty.</w:t>
      </w:r>
    </w:p>
    <w:p>
      <w:pPr>
        <w:spacing w:after="0" w:line="117" w:lineRule="exact"/>
        <w:rPr>
          <w:rFonts w:ascii="Times New Roman" w:cs="Times New Roman" w:eastAsia="Times New Roman" w:hAnsi="Times New Roman"/>
          <w:sz w:val="18"/>
          <w:szCs w:val="18"/>
          <w:color w:val="auto"/>
        </w:rPr>
      </w:pPr>
    </w:p>
    <w:p>
      <w:pPr>
        <w:ind w:left="306" w:hanging="306"/>
        <w:spacing w:after="0" w:line="284" w:lineRule="auto"/>
        <w:tabs>
          <w:tab w:leader="none" w:pos="30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Legal Relationship. </w:t>
      </w:r>
      <w:r>
        <w:rPr>
          <w:rFonts w:ascii="Times New Roman" w:cs="Times New Roman" w:eastAsia="Times New Roman" w:hAnsi="Times New Roman"/>
          <w:sz w:val="18"/>
          <w:szCs w:val="18"/>
          <w:color w:val="auto"/>
        </w:rPr>
        <w:t>Board Member is an independent contractor and will not act as agent nor shall Board Member be deemed an employee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affiliates. You will eligible for protection under the Company’s director and officer liability insurance policies.</w:t>
      </w:r>
    </w:p>
    <w:p>
      <w:pPr>
        <w:spacing w:after="0" w:line="94" w:lineRule="exact"/>
        <w:rPr>
          <w:rFonts w:ascii="Times New Roman" w:cs="Times New Roman" w:eastAsia="Times New Roman" w:hAnsi="Times New Roman"/>
          <w:sz w:val="18"/>
          <w:szCs w:val="18"/>
          <w:color w:val="auto"/>
        </w:rPr>
      </w:pPr>
    </w:p>
    <w:p>
      <w:pPr>
        <w:ind w:left="306" w:hanging="306"/>
        <w:spacing w:after="0" w:line="284" w:lineRule="auto"/>
        <w:tabs>
          <w:tab w:leader="none" w:pos="30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Should the services of the Board Member be terminated, the provisions of Sections 3 and 4 hereof shall survive any expiration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this Agreement for any reason.</w:t>
      </w:r>
    </w:p>
    <w:p>
      <w:pPr>
        <w:spacing w:after="0" w:line="107" w:lineRule="exact"/>
        <w:rPr>
          <w:rFonts w:ascii="Times New Roman" w:cs="Times New Roman" w:eastAsia="Times New Roman" w:hAnsi="Times New Roman"/>
          <w:sz w:val="18"/>
          <w:szCs w:val="18"/>
          <w:color w:val="auto"/>
        </w:rPr>
      </w:pPr>
    </w:p>
    <w:p>
      <w:pPr>
        <w:jc w:val="both"/>
        <w:ind w:left="306" w:hanging="306"/>
        <w:spacing w:after="0" w:line="253" w:lineRule="auto"/>
        <w:tabs>
          <w:tab w:leader="none" w:pos="30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Agreement shall be governed by the laws of the State of California, without reference to its conflicts of laws provisions.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agreements referred to herein are the only and entire agreements between the parties regarding this subject matter and supersede all prior agreements and representations. This Agreement may be amended or modified only by a written document signed by both parties. If any provision of this Agreement shall be found by a court to be void, invalid or unenforceable, the same shall be reformed to comply with applicable law or stricken if not so conformable, so as not to affect the validity or enforceability of the remainder of this Agreement. This Agreement may be executed in counterparts, each of which shall be deemed an original, but both of which together shall constitute one and the same instrument.</w:t>
      </w:r>
    </w:p>
    <w:p>
      <w:pPr>
        <w:spacing w:after="0" w:line="126"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66"/>
          </w:cols>
          <w:pgMar w:left="394" w:top="1309" w:right="339" w:bottom="1440" w:gutter="0" w:footer="0" w:header="0"/>
        </w:sectPr>
      </w:pPr>
    </w:p>
    <w:bookmarkStart w:id="579" w:name="page580"/>
    <w:bookmarkEnd w:id="579"/>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5868670</wp:posOffset>
            </wp:positionH>
            <wp:positionV relativeFrom="page">
              <wp:posOffset>231140</wp:posOffset>
            </wp:positionV>
            <wp:extent cx="1477645" cy="3321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477645" cy="3321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THREDUP INC.</w:t>
            </w:r>
          </w:p>
        </w:tc>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BOARD MEMBER</w:t>
            </w:r>
          </w:p>
        </w:tc>
      </w:tr>
      <w:tr>
        <w:trPr>
          <w:trHeight w:val="542"/>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James Reinhart</w:t>
            </w:r>
          </w:p>
        </w:tc>
        <w:tc>
          <w:tcPr>
            <w:tcW w:w="144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Mandy Ginsberg</w:t>
            </w:r>
          </w:p>
        </w:tc>
      </w:tr>
      <w:tr>
        <w:trPr>
          <w:trHeight w:val="27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James Reinhart, CEO</w:t>
            </w:r>
          </w:p>
        </w:tc>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Mandy Ginsberg</w:t>
            </w:r>
          </w:p>
        </w:tc>
      </w:tr>
      <w:tr>
        <w:trPr>
          <w:trHeight w:val="542"/>
        </w:trPr>
        <w:tc>
          <w:tcPr>
            <w:tcW w:w="4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Email:</w:t>
            </w:r>
          </w:p>
        </w:tc>
        <w:tc>
          <w:tcPr>
            <w:tcW w:w="424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20"/>
                <w:szCs w:val="20"/>
                <w:color w:val="auto"/>
                <w:w w:val="99"/>
              </w:rPr>
              <w:t>****</w:t>
            </w:r>
          </w:p>
        </w:tc>
      </w:tr>
      <w:tr>
        <w:trPr>
          <w:trHeight w:val="279"/>
        </w:trPr>
        <w:tc>
          <w:tcPr>
            <w:tcW w:w="4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Address:</w:t>
            </w:r>
          </w:p>
        </w:tc>
        <w:tc>
          <w:tcPr>
            <w:tcW w:w="424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20"/>
                <w:szCs w:val="20"/>
                <w:color w:val="auto"/>
                <w:w w:val="99"/>
              </w:rPr>
              <w:t>****</w:t>
            </w:r>
          </w:p>
        </w:tc>
      </w:tr>
      <w:tr>
        <w:trPr>
          <w:trHeight w:val="224"/>
        </w:trPr>
        <w:tc>
          <w:tcPr>
            <w:tcW w:w="4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Board Member Agreement]</w:t>
      </w:r>
    </w:p>
    <w:p>
      <w:pPr>
        <w:sectPr>
          <w:pgSz w:w="11900" w:h="16838" w:orient="portrait"/>
          <w:cols w:equalWidth="0" w:num="1">
            <w:col w:w="11240"/>
          </w:cols>
          <w:pgMar w:left="320" w:top="1440" w:right="339" w:bottom="1440" w:gutter="0" w:footer="0" w:header="0"/>
        </w:sectPr>
      </w:pPr>
    </w:p>
    <w:bookmarkStart w:id="580" w:name="page581"/>
    <w:bookmarkEnd w:id="580"/>
    <w:p>
      <w:pPr>
        <w:jc w:val="right"/>
        <w:spacing w:after="0"/>
        <w:rPr>
          <w:sz w:val="20"/>
          <w:szCs w:val="20"/>
          <w:color w:val="auto"/>
        </w:rPr>
      </w:pPr>
      <w:r>
        <w:rPr>
          <w:rFonts w:ascii="Times New Roman" w:cs="Times New Roman" w:eastAsia="Times New Roman" w:hAnsi="Times New Roman"/>
          <w:sz w:val="17"/>
          <w:szCs w:val="17"/>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5665470</wp:posOffset>
            </wp:positionH>
            <wp:positionV relativeFrom="paragraph">
              <wp:posOffset>15240</wp:posOffset>
            </wp:positionV>
            <wp:extent cx="1477645" cy="3321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77645"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MEMBER AGREEMENT</w:t>
      </w:r>
    </w:p>
    <w:p>
      <w:pPr>
        <w:spacing w:after="0" w:line="166"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 xml:space="preserve">This Board Member Agreement (the “Agreement”) is entered into as of February 11, 2021 (the “Effective Date” between </w:t>
      </w:r>
      <w:r>
        <w:rPr>
          <w:rFonts w:ascii="Times New Roman" w:cs="Times New Roman" w:eastAsia="Times New Roman" w:hAnsi="Times New Roman"/>
          <w:sz w:val="18"/>
          <w:szCs w:val="18"/>
          <w:b w:val="1"/>
          <w:bCs w:val="1"/>
          <w:color w:val="auto"/>
        </w:rPr>
        <w:t>ThredUp Inc.</w:t>
      </w:r>
      <w:r>
        <w:rPr>
          <w:rFonts w:ascii="Times New Roman" w:cs="Times New Roman" w:eastAsia="Times New Roman" w:hAnsi="Times New Roman"/>
          <w:sz w:val="18"/>
          <w:szCs w:val="18"/>
          <w:color w:val="auto"/>
        </w:rPr>
        <w:t xml:space="preserve">, a Delaware corporation (the “Company” and </w:t>
      </w:r>
      <w:r>
        <w:rPr>
          <w:rFonts w:ascii="Times New Roman" w:cs="Times New Roman" w:eastAsia="Times New Roman" w:hAnsi="Times New Roman"/>
          <w:sz w:val="18"/>
          <w:szCs w:val="18"/>
          <w:b w:val="1"/>
          <w:bCs w:val="1"/>
          <w:color w:val="auto"/>
        </w:rPr>
        <w:t>Marcie Vu</w:t>
      </w:r>
      <w:r>
        <w:rPr>
          <w:rFonts w:ascii="Times New Roman" w:cs="Times New Roman" w:eastAsia="Times New Roman" w:hAnsi="Times New Roman"/>
          <w:sz w:val="18"/>
          <w:szCs w:val="18"/>
          <w:color w:val="auto"/>
        </w:rPr>
        <w:t xml:space="preserve"> (“Board Member”).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175" w:lineRule="exact"/>
        <w:rPr>
          <w:sz w:val="20"/>
          <w:szCs w:val="20"/>
          <w:color w:val="auto"/>
        </w:rPr>
      </w:pPr>
    </w:p>
    <w:p>
      <w:pPr>
        <w:jc w:val="both"/>
        <w:ind w:left="380" w:hanging="306"/>
        <w:spacing w:after="0" w:line="258" w:lineRule="auto"/>
        <w:tabs>
          <w:tab w:leader="none" w:pos="38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Board Member agrees to perform the following services, among others, to further the goals of the Company: (a) consultation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of the Company in addition to regular attendance at board meetings; (b) assessment and review of strategy, business, sales, marketing and technical plans; (c) introduction of projects to be developed at or outside the Company; (d) collaboration with the Company in projects of mutual interest; and (e) advice and assistance in the recruitment of personnel (collectively, the “Services”).</w:t>
      </w:r>
    </w:p>
    <w:p>
      <w:pPr>
        <w:spacing w:after="0" w:line="117" w:lineRule="exact"/>
        <w:rPr>
          <w:rFonts w:ascii="Times New Roman" w:cs="Times New Roman" w:eastAsia="Times New Roman" w:hAnsi="Times New Roman"/>
          <w:sz w:val="18"/>
          <w:szCs w:val="18"/>
          <w:color w:val="auto"/>
        </w:rPr>
      </w:pPr>
    </w:p>
    <w:p>
      <w:pPr>
        <w:jc w:val="both"/>
        <w:ind w:left="380" w:hanging="306"/>
        <w:spacing w:after="0" w:line="250" w:lineRule="auto"/>
        <w:tabs>
          <w:tab w:leader="none" w:pos="38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The Company will recommend that its Board of Directors (the “Board”) grant to Board Member at its next meeting a nonstatutory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option (the “Option”) to purchase 30,000 shares of the Company’s Common Stock at a per share exercise price equal to the current fair market value per share of the Company’s Common Stock at the date of grant, as determined by the Board. Subject to Board approval, 100% of the shares underlying the Option shall vest on the one year anniversary of this Agreement, subject to Board Member continuing to provide services to the Company during such period, and upon the terms and subject to the conditions of Company’s standard form of stock option agreement under the Company’s 2010 Stock Option and Grant Plan (the “Plan”). Notwithstanding the foregoing, in the event of a Sale Event (as such term is defined in the Plan), 100% of the remaining unvested Options shall vest. Should your role as a director (if applicable) be terminated or should there be a Sale Event, you will retain the right to exercise your vested options for three (3) years after a termination without Cause (as such term is defined in the Plan). </w:t>
      </w:r>
      <w:r>
        <w:rPr>
          <w:rFonts w:ascii="Times New Roman" w:cs="Times New Roman" w:eastAsia="Times New Roman" w:hAnsi="Times New Roman"/>
          <w:sz w:val="18"/>
          <w:szCs w:val="18"/>
          <w:i w:val="1"/>
          <w:iCs w:val="1"/>
          <w:color w:val="auto"/>
        </w:rPr>
        <w:t>This Option is in lieu of any initial grant offered under the Company’s forthcoming non-employee director compensation policy.</w:t>
      </w:r>
    </w:p>
    <w:p>
      <w:pPr>
        <w:spacing w:after="0" w:line="125" w:lineRule="exact"/>
        <w:rPr>
          <w:rFonts w:ascii="Times New Roman" w:cs="Times New Roman" w:eastAsia="Times New Roman" w:hAnsi="Times New Roman"/>
          <w:sz w:val="18"/>
          <w:szCs w:val="18"/>
          <w:color w:val="auto"/>
        </w:rPr>
      </w:pPr>
    </w:p>
    <w:p>
      <w:pPr>
        <w:jc w:val="both"/>
        <w:ind w:left="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w:t>
      </w: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involving the Company in which the shares of voting stock of the Company outstanding immediately prior to such transaction represent or are converted into or exchanged for securities of the surviving or resulting entity immediately upon completion of such transaction which represent less than 50 percent of the outstanding voting power of such surviving or resulting entity,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145" w:lineRule="exact"/>
        <w:rPr>
          <w:rFonts w:ascii="Times New Roman" w:cs="Times New Roman" w:eastAsia="Times New Roman" w:hAnsi="Times New Roman"/>
          <w:sz w:val="18"/>
          <w:szCs w:val="18"/>
          <w:color w:val="auto"/>
        </w:rPr>
      </w:pPr>
    </w:p>
    <w:p>
      <w:pPr>
        <w:jc w:val="both"/>
        <w:ind w:left="3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you are a member of the Board, the Company will reimburse Board Member for any reasonable out-of-pocket expenses, including reasonable travel expenses, incurred in attending Board meetings and committee meetings and in carrying out Board Member’s duties, including as a director or committee member.</w:t>
      </w:r>
    </w:p>
    <w:p>
      <w:pPr>
        <w:spacing w:after="0" w:line="114" w:lineRule="exact"/>
        <w:rPr>
          <w:rFonts w:ascii="Times New Roman" w:cs="Times New Roman" w:eastAsia="Times New Roman" w:hAnsi="Times New Roman"/>
          <w:sz w:val="18"/>
          <w:szCs w:val="18"/>
          <w:color w:val="auto"/>
        </w:rPr>
      </w:pPr>
    </w:p>
    <w:p>
      <w:pPr>
        <w:ind w:left="380" w:hanging="306"/>
        <w:spacing w:after="0" w:line="284" w:lineRule="auto"/>
        <w:tabs>
          <w:tab w:leader="none" w:pos="38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Board Member shall maintain in confidence and not publish or otherwise disclose to third parties or use for any purpose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the Services hereunder any Confidential</w:t>
      </w:r>
    </w:p>
    <w:p>
      <w:pPr>
        <w:sectPr>
          <w:pgSz w:w="11900" w:h="16838" w:orient="portrait"/>
          <w:cols w:equalWidth="0" w:num="1">
            <w:col w:w="11240"/>
          </w:cols>
          <w:pgMar w:left="320" w:top="119" w:right="339" w:bottom="1440" w:gutter="0" w:footer="0" w:header="0"/>
        </w:sectPr>
      </w:pPr>
    </w:p>
    <w:bookmarkStart w:id="581" w:name="page582"/>
    <w:bookmarkEnd w:id="581"/>
    <w:p>
      <w:pPr>
        <w:jc w:val="both"/>
        <w:ind w:left="30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5868670</wp:posOffset>
            </wp:positionH>
            <wp:positionV relativeFrom="page">
              <wp:posOffset>88900</wp:posOffset>
            </wp:positionV>
            <wp:extent cx="1477645" cy="3314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477645" cy="331470"/>
                    </a:xfrm>
                    <a:prstGeom prst="rect">
                      <a:avLst/>
                    </a:prstGeom>
                    <a:noFill/>
                  </pic:spPr>
                </pic:pic>
              </a:graphicData>
            </a:graphic>
          </wp:anchor>
        </w:drawing>
        <w:t>Information of the Company, unless otherwise approved in writing by the Company. As used in this Agreement “Confidential Information” shall mean any information or other subject matter disclosed to Board Member by the Company in connection with Board Member's performance of the Services. Notwithstanding the foregoing, Confidential Information shall not include information that: (a) was publicly known and generally available in the public domain prior to the time of disclosure to Board Member; (b) becomes publicly known and generally available after disclosure to Board Member through no improper action or inaction of Board Member; or (c) is in the possession of Board Member, without confidentiality restrictions, at the time of disclosure as shown by Board Member's files and records immediately prior to the time of disclosure.</w:t>
      </w:r>
    </w:p>
    <w:p>
      <w:pPr>
        <w:spacing w:after="0" w:line="123" w:lineRule="exact"/>
        <w:rPr>
          <w:sz w:val="20"/>
          <w:szCs w:val="20"/>
          <w:color w:val="auto"/>
        </w:rPr>
      </w:pPr>
    </w:p>
    <w:p>
      <w:pPr>
        <w:jc w:val="both"/>
        <w:ind w:left="306" w:hanging="306"/>
        <w:spacing w:after="0" w:line="264" w:lineRule="auto"/>
        <w:tabs>
          <w:tab w:leader="none" w:pos="30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of Materials. </w:t>
      </w:r>
      <w:r>
        <w:rPr>
          <w:rFonts w:ascii="Times New Roman" w:cs="Times New Roman" w:eastAsia="Times New Roman" w:hAnsi="Times New Roman"/>
          <w:sz w:val="18"/>
          <w:szCs w:val="18"/>
          <w:color w:val="auto"/>
        </w:rPr>
        <w:t>All Confidential Information including without limitation, tangible materials received from the Company shall remain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of the Company, and Board Member shall deliver all Confidential Information to the Company upon the expiration or termination of this Agreement, or earlier if so requested by the Company.</w:t>
      </w:r>
    </w:p>
    <w:p>
      <w:pPr>
        <w:spacing w:after="0" w:line="125" w:lineRule="exact"/>
        <w:rPr>
          <w:rFonts w:ascii="Times New Roman" w:cs="Times New Roman" w:eastAsia="Times New Roman" w:hAnsi="Times New Roman"/>
          <w:sz w:val="18"/>
          <w:szCs w:val="18"/>
          <w:color w:val="auto"/>
        </w:rPr>
      </w:pPr>
    </w:p>
    <w:p>
      <w:pPr>
        <w:jc w:val="both"/>
        <w:ind w:left="306" w:hanging="306"/>
        <w:spacing w:after="0" w:line="258" w:lineRule="auto"/>
        <w:tabs>
          <w:tab w:leader="none" w:pos="30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 </w:t>
      </w:r>
      <w:r>
        <w:rPr>
          <w:rFonts w:ascii="Times New Roman" w:cs="Times New Roman" w:eastAsia="Times New Roman" w:hAnsi="Times New Roman"/>
          <w:sz w:val="18"/>
          <w:szCs w:val="18"/>
          <w:color w:val="auto"/>
        </w:rPr>
        <w:t>Board Member represents that Board Member's compliance with the terms of this Agreement and provision of Services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violate any duty which Board Member may have to any other person or entity (such as a present or former employer), including obligations concerning providing services to others, confidentiality of proprietary information, and Board Member agrees that Board Member will not take any action in the performance of Services hereunder that would violate any such duty.</w:t>
      </w:r>
    </w:p>
    <w:p>
      <w:pPr>
        <w:spacing w:after="0" w:line="117" w:lineRule="exact"/>
        <w:rPr>
          <w:rFonts w:ascii="Times New Roman" w:cs="Times New Roman" w:eastAsia="Times New Roman" w:hAnsi="Times New Roman"/>
          <w:sz w:val="18"/>
          <w:szCs w:val="18"/>
          <w:color w:val="auto"/>
        </w:rPr>
      </w:pPr>
    </w:p>
    <w:p>
      <w:pPr>
        <w:ind w:left="306" w:hanging="306"/>
        <w:spacing w:after="0" w:line="284" w:lineRule="auto"/>
        <w:tabs>
          <w:tab w:leader="none" w:pos="30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Legal Relationship. </w:t>
      </w:r>
      <w:r>
        <w:rPr>
          <w:rFonts w:ascii="Times New Roman" w:cs="Times New Roman" w:eastAsia="Times New Roman" w:hAnsi="Times New Roman"/>
          <w:sz w:val="18"/>
          <w:szCs w:val="18"/>
          <w:color w:val="auto"/>
        </w:rPr>
        <w:t>Board Member is an independent contractor and will not act as agent nor shall Board Member be deemed an employee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affiliates. You will eligible for protection under the Company’s director and officer liability insurance policies.</w:t>
      </w:r>
    </w:p>
    <w:p>
      <w:pPr>
        <w:spacing w:after="0" w:line="94" w:lineRule="exact"/>
        <w:rPr>
          <w:rFonts w:ascii="Times New Roman" w:cs="Times New Roman" w:eastAsia="Times New Roman" w:hAnsi="Times New Roman"/>
          <w:sz w:val="18"/>
          <w:szCs w:val="18"/>
          <w:color w:val="auto"/>
        </w:rPr>
      </w:pPr>
    </w:p>
    <w:p>
      <w:pPr>
        <w:ind w:left="306" w:hanging="306"/>
        <w:spacing w:after="0" w:line="284" w:lineRule="auto"/>
        <w:tabs>
          <w:tab w:leader="none" w:pos="30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Should the services of the Board Member be terminated, the provisions of Sections 3 and 4 hereof shall survive any expiration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this Agreement for any reason.</w:t>
      </w:r>
    </w:p>
    <w:p>
      <w:pPr>
        <w:spacing w:after="0" w:line="107" w:lineRule="exact"/>
        <w:rPr>
          <w:rFonts w:ascii="Times New Roman" w:cs="Times New Roman" w:eastAsia="Times New Roman" w:hAnsi="Times New Roman"/>
          <w:sz w:val="18"/>
          <w:szCs w:val="18"/>
          <w:color w:val="auto"/>
        </w:rPr>
      </w:pPr>
    </w:p>
    <w:p>
      <w:pPr>
        <w:jc w:val="both"/>
        <w:ind w:left="306" w:hanging="306"/>
        <w:spacing w:after="0" w:line="253" w:lineRule="auto"/>
        <w:tabs>
          <w:tab w:leader="none" w:pos="30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Agreement shall be governed by the laws of the State of California, without reference to its conflicts of laws provisions.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agreements referred to herein are the only and entire agreements between the parties regarding this subject matter and supersede all prior agreements and representations. This Agreement may be amended or modified only by a written document signed by both parties. If any provision of this Agreement shall be found by a court to be void, invalid or unenforceable, the same shall be reformed to comply with applicable law or stricken if not so conformable, so as not to affect the validity or enforceability of the remainder of this Agreement. This Agreement may be executed in counterparts, each of which shall be deemed an original, but both of which together shall constitute one and the same instrument.</w:t>
      </w:r>
    </w:p>
    <w:p>
      <w:pPr>
        <w:spacing w:after="0" w:line="126"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66"/>
          </w:cols>
          <w:pgMar w:left="394" w:top="1313" w:right="339" w:bottom="1440" w:gutter="0" w:footer="0" w:header="0"/>
        </w:sectPr>
      </w:pPr>
    </w:p>
    <w:bookmarkStart w:id="582" w:name="page583"/>
    <w:bookmarkEnd w:id="582"/>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5868670</wp:posOffset>
            </wp:positionH>
            <wp:positionV relativeFrom="page">
              <wp:posOffset>88900</wp:posOffset>
            </wp:positionV>
            <wp:extent cx="1477645" cy="3314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477645" cy="3314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THREDUP INC.</w:t>
            </w:r>
          </w:p>
        </w:tc>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BOARD MEMBER</w:t>
            </w:r>
          </w:p>
        </w:tc>
        <w:tc>
          <w:tcPr>
            <w:tcW w:w="0" w:type="dxa"/>
            <w:vAlign w:val="bottom"/>
          </w:tcPr>
          <w:p>
            <w:pPr>
              <w:spacing w:after="0"/>
              <w:rPr>
                <w:sz w:val="1"/>
                <w:szCs w:val="1"/>
                <w:color w:val="auto"/>
              </w:rPr>
            </w:pPr>
          </w:p>
        </w:tc>
      </w:tr>
      <w:tr>
        <w:trPr>
          <w:trHeight w:val="50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James Reinhart</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 Marcie Vu</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Reinhart, CEO</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Marcie Vu</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0"/>
        </w:trPr>
        <w:tc>
          <w:tcPr>
            <w:tcW w:w="4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360" w:type="dxa"/>
            <w:vAlign w:val="bottom"/>
          </w:tcPr>
          <w:p>
            <w:pPr>
              <w:jc w:val="right"/>
              <w:ind w:right="3889"/>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4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4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360" w:type="dxa"/>
            <w:vAlign w:val="bottom"/>
          </w:tcPr>
          <w:p>
            <w:pPr>
              <w:jc w:val="right"/>
              <w:ind w:right="3889"/>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Board Member Agreement]</w:t>
      </w:r>
    </w:p>
    <w:p>
      <w:pPr>
        <w:sectPr>
          <w:pgSz w:w="11900" w:h="16838" w:orient="portrait"/>
          <w:cols w:equalWidth="0" w:num="1">
            <w:col w:w="11240"/>
          </w:cols>
          <w:pgMar w:left="320" w:top="1440" w:right="339" w:bottom="1440" w:gutter="0" w:footer="0" w:header="0"/>
        </w:sectPr>
      </w:pPr>
    </w:p>
    <w:bookmarkStart w:id="583" w:name="page584"/>
    <w:bookmarkEnd w:id="583"/>
    <w:p>
      <w:pPr>
        <w:jc w:val="right"/>
        <w:spacing w:after="0"/>
        <w:rPr>
          <w:sz w:val="20"/>
          <w:szCs w:val="20"/>
          <w:color w:val="auto"/>
        </w:rPr>
      </w:pPr>
      <w:r>
        <w:rPr>
          <w:rFonts w:ascii="Times New Roman" w:cs="Times New Roman" w:eastAsia="Times New Roman" w:hAnsi="Times New Roman"/>
          <w:sz w:val="17"/>
          <w:szCs w:val="17"/>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OFFICE LEASE</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BY AND BETWEEN</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11 WEST NINTH STREET PROPERTY OWNER, LP</w:t>
      </w:r>
    </w:p>
    <w:p>
      <w:pPr>
        <w:spacing w:after="0" w:line="16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AS LANDLORD</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THREDUP, INC.</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AS TENANT</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For Premises commonly known as Suite 200</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at</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969 Broadway, Oakland, California</w:t>
      </w:r>
    </w:p>
    <w:p>
      <w:pPr>
        <w:sectPr>
          <w:pgSz w:w="11900" w:h="16838" w:orient="portrait"/>
          <w:cols w:equalWidth="0" w:num="1">
            <w:col w:w="10120"/>
          </w:cols>
          <w:pgMar w:left="1440" w:top="119" w:right="339" w:bottom="1440" w:gutter="0" w:footer="0" w:header="0"/>
        </w:sectPr>
      </w:pPr>
    </w:p>
    <w:bookmarkStart w:id="584" w:name="page585"/>
    <w:bookmarkEnd w:id="584"/>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Basic Lease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Delger Block</w:t>
      </w:r>
    </w:p>
    <w:p>
      <w:pPr>
        <w:spacing w:after="0" w:line="160"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The following is a summary of Lease information that is referred to in the Lease, and the terms of this Basic Lease Information are hereby incorporated into and made a part of the Lease. To the extent there is any conflict between the provisions of this Basic Lease Information and any more specific provision of the Lease, such more specific provision shall control.</w:t>
      </w:r>
    </w:p>
    <w:p>
      <w:pPr>
        <w:spacing w:after="0" w:line="1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6"/>
          <w:szCs w:val="16"/>
          <w:b w:val="1"/>
          <w:bCs w:val="1"/>
          <w:color w:val="auto"/>
        </w:rPr>
        <w:t>EASE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March 31, 2019</w:t>
      </w:r>
    </w:p>
    <w:p>
      <w:pPr>
        <w:spacing w:after="0" w:line="193" w:lineRule="exact"/>
        <w:rPr>
          <w:sz w:val="20"/>
          <w:szCs w:val="20"/>
          <w:color w:val="auto"/>
        </w:rPr>
      </w:pPr>
    </w:p>
    <w:p>
      <w:pPr>
        <w:ind w:left="3380" w:right="3160" w:hanging="1145"/>
        <w:spacing w:after="0" w:line="281" w:lineRule="auto"/>
        <w:rPr>
          <w:sz w:val="20"/>
          <w:szCs w:val="20"/>
          <w:color w:val="auto"/>
        </w:rPr>
      </w:pP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6"/>
          <w:szCs w:val="16"/>
          <w:b w:val="1"/>
          <w:bCs w:val="1"/>
          <w:color w:val="auto"/>
        </w:rPr>
        <w:t>ANDLORD:</w:t>
      </w:r>
      <w:r>
        <w:rPr>
          <w:rFonts w:ascii="Times New Roman" w:cs="Times New Roman" w:eastAsia="Times New Roman" w:hAnsi="Times New Roman"/>
          <w:sz w:val="20"/>
          <w:szCs w:val="20"/>
          <w:b w:val="1"/>
          <w:bCs w:val="1"/>
          <w:color w:val="auto"/>
        </w:rPr>
        <w:t xml:space="preserve"> 11 WEST NINTH STREET PROPERTY OWNER, LP, </w:t>
      </w:r>
      <w:r>
        <w:rPr>
          <w:rFonts w:ascii="Times New Roman" w:cs="Times New Roman" w:eastAsia="Times New Roman" w:hAnsi="Times New Roman"/>
          <w:sz w:val="20"/>
          <w:szCs w:val="20"/>
          <w:color w:val="auto"/>
        </w:rPr>
        <w:t>a Delaware limited partnership</w:t>
      </w:r>
    </w:p>
    <w:p>
      <w:pPr>
        <w:spacing w:after="0" w:line="1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DDRESS OF</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6"/>
          <w:szCs w:val="16"/>
          <w:b w:val="1"/>
          <w:bCs w:val="1"/>
          <w:color w:val="auto"/>
        </w:rPr>
        <w:t>ANDLORD: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2411 Peralta Street</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Oakland, CA 94607</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 xml:space="preserve">ADDRESS FOR </w:t>
      </w: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7"/>
          <w:szCs w:val="17"/>
          <w:b w:val="1"/>
          <w:bCs w:val="1"/>
          <w:color w:val="auto"/>
        </w:rPr>
        <w:t xml:space="preserve">AYMENT OF </w:t>
      </w: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7"/>
          <w:szCs w:val="17"/>
          <w:b w:val="1"/>
          <w:bCs w:val="1"/>
          <w:color w:val="auto"/>
        </w:rPr>
        <w:t xml:space="preserve">ENT  </w:t>
      </w:r>
      <w:r>
        <w:rPr>
          <w:rFonts w:ascii="Times New Roman" w:cs="Times New Roman" w:eastAsia="Times New Roman" w:hAnsi="Times New Roman"/>
          <w:sz w:val="19"/>
          <w:szCs w:val="19"/>
          <w:color w:val="auto"/>
        </w:rPr>
        <w:t>c/o Wilson Meany</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827 Broadway, Suite 220</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Oakland, CA 94607</w:t>
      </w:r>
    </w:p>
    <w:p>
      <w:pPr>
        <w:spacing w:after="0" w:line="16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ENANT:</w:t>
      </w:r>
      <w:r>
        <w:rPr>
          <w:rFonts w:ascii="Times New Roman" w:cs="Times New Roman" w:eastAsia="Times New Roman" w:hAnsi="Times New Roman"/>
          <w:sz w:val="20"/>
          <w:szCs w:val="20"/>
          <w:b w:val="1"/>
          <w:bCs w:val="1"/>
          <w:color w:val="auto"/>
        </w:rPr>
        <w:t xml:space="preserve">  THREDUP,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16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DDRESS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the Premises</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Attn: Legal Department</w:t>
      </w:r>
    </w:p>
    <w:p>
      <w:pPr>
        <w:spacing w:after="0" w:line="167" w:lineRule="exact"/>
        <w:rPr>
          <w:sz w:val="20"/>
          <w:szCs w:val="20"/>
          <w:color w:val="auto"/>
        </w:rPr>
      </w:pPr>
    </w:p>
    <w:p>
      <w:pPr>
        <w:ind w:left="3380" w:right="100" w:hanging="956"/>
        <w:spacing w:after="0" w:line="251" w:lineRule="auto"/>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buildings and other improvements having respective street addresses (a) 469 Ninth Street,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Oakland, California (Gladstone Building), (b) 476 Ninth Street, Oakland, California (Henry House), (c) 483 Ninth Street, Oakland, California (Ross House), (d) 491 Ninth Street, Oakland, California (LaSalle Building), (e) 492 Ninth Street, Oakland, California (Arlington Building), (1) 969 Broadway, Oakland, California (Delger Block), (g) 827 Broadway, Oakland, California (Wilcox Building), (h) 807 Broadway, Oakland, California (Studio Building/Stanford Building),</w:t>
      </w:r>
    </w:p>
    <w:p>
      <w:pPr>
        <w:spacing w:after="0" w:line="1" w:lineRule="exact"/>
        <w:rPr>
          <w:sz w:val="20"/>
          <w:szCs w:val="20"/>
          <w:color w:val="auto"/>
        </w:rPr>
      </w:pPr>
    </w:p>
    <w:p>
      <w:pPr>
        <w:ind w:left="3380" w:right="200" w:firstLine="8"/>
        <w:spacing w:after="0" w:line="270" w:lineRule="auto"/>
        <w:tabs>
          <w:tab w:leader="none" w:pos="3618" w:val="left"/>
        </w:tabs>
        <w:numPr>
          <w:ilvl w:val="0"/>
          <w:numId w:val="4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456 Eighth Street, Oakland, California (Leimert Building), and any other buildings and improvements now or hereafter constructed on the real property on which said buildings are located or appurtenant thereto, and commonly known collectively as the “Old Oakland” project.</w:t>
      </w:r>
    </w:p>
    <w:p>
      <w:pPr>
        <w:spacing w:after="0" w:line="133" w:lineRule="exact"/>
        <w:rPr>
          <w:sz w:val="20"/>
          <w:szCs w:val="20"/>
          <w:color w:val="auto"/>
        </w:rPr>
      </w:pPr>
    </w:p>
    <w:tbl>
      <w:tblPr>
        <w:tblLayout w:type="fixed"/>
        <w:tblInd w:w="2340" w:type="dxa"/>
        <w:tblCellMar>
          <w:top w:w="0" w:type="dxa"/>
          <w:left w:w="0" w:type="dxa"/>
          <w:bottom w:w="0" w:type="dxa"/>
          <w:right w:w="0" w:type="dxa"/>
        </w:tblCellMar>
      </w:tblPr>
      <w:tr>
        <w:trPr>
          <w:trHeight w:val="263"/>
        </w:trPr>
        <w:tc>
          <w:tcPr>
            <w:tcW w:w="34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REMISES:</w:t>
            </w:r>
          </w:p>
        </w:tc>
        <w:tc>
          <w:tcPr>
            <w:tcW w:w="3820" w:type="dxa"/>
            <w:vAlign w:val="bottom"/>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9"/>
              </w:rPr>
              <w:t>Approx. Rentable</w:t>
            </w:r>
          </w:p>
        </w:tc>
        <w:tc>
          <w:tcPr>
            <w:tcW w:w="700" w:type="dxa"/>
            <w:vAlign w:val="bottom"/>
          </w:tcPr>
          <w:p>
            <w:pPr>
              <w:spacing w:after="0"/>
              <w:rPr>
                <w:sz w:val="22"/>
                <w:szCs w:val="22"/>
                <w:color w:val="auto"/>
              </w:rPr>
            </w:pPr>
          </w:p>
        </w:tc>
      </w:tr>
      <w:tr>
        <w:trPr>
          <w:trHeight w:val="239"/>
        </w:trPr>
        <w:tc>
          <w:tcPr>
            <w:tcW w:w="2140" w:type="dxa"/>
            <w:vAlign w:val="bottom"/>
          </w:tcPr>
          <w:p>
            <w:pPr>
              <w:spacing w:after="0"/>
              <w:rPr>
                <w:sz w:val="20"/>
                <w:szCs w:val="20"/>
                <w:color w:val="auto"/>
              </w:rPr>
            </w:pPr>
          </w:p>
        </w:tc>
        <w:tc>
          <w:tcPr>
            <w:tcW w:w="126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color w:val="auto"/>
                <w:w w:val="97"/>
              </w:rPr>
              <w:t>Suite</w:t>
            </w:r>
          </w:p>
        </w:tc>
        <w:tc>
          <w:tcPr>
            <w:tcW w:w="3820" w:type="dxa"/>
            <w:vAlign w:val="bottom"/>
            <w:gridSpan w:val="3"/>
          </w:tcPr>
          <w:p>
            <w:pPr>
              <w:jc w:val="center"/>
              <w:ind w:right="720"/>
              <w:spacing w:after="0"/>
              <w:rPr>
                <w:sz w:val="20"/>
                <w:szCs w:val="20"/>
                <w:color w:val="auto"/>
              </w:rPr>
            </w:pPr>
            <w:r>
              <w:rPr>
                <w:rFonts w:ascii="Times New Roman" w:cs="Times New Roman" w:eastAsia="Times New Roman" w:hAnsi="Times New Roman"/>
                <w:sz w:val="20"/>
                <w:szCs w:val="20"/>
                <w:color w:val="auto"/>
              </w:rPr>
              <w:t>Square Footage</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Building</w:t>
            </w:r>
          </w:p>
        </w:tc>
      </w:tr>
      <w:tr>
        <w:trPr>
          <w:trHeight w:val="451"/>
        </w:trPr>
        <w:tc>
          <w:tcPr>
            <w:tcW w:w="2140" w:type="dxa"/>
            <w:vAlign w:val="bottom"/>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23,655</w:t>
            </w:r>
          </w:p>
        </w:tc>
        <w:tc>
          <w:tcPr>
            <w:tcW w:w="1640" w:type="dxa"/>
            <w:vAlign w:val="bottom"/>
          </w:tcPr>
          <w:p>
            <w:pPr>
              <w:spacing w:after="0"/>
              <w:rPr>
                <w:sz w:val="24"/>
                <w:szCs w:val="24"/>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Delger</w:t>
            </w:r>
          </w:p>
        </w:tc>
      </w:tr>
    </w:tbl>
    <w:p>
      <w:pPr>
        <w:spacing w:after="0" w:line="16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6"/>
          <w:szCs w:val="16"/>
          <w:b w:val="1"/>
          <w:bCs w:val="1"/>
          <w:color w:val="auto"/>
        </w:rPr>
        <w:t>EASE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Approximately sixty (60) months. See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Paragraph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 of the Lease.</w:t>
      </w:r>
    </w:p>
    <w:p>
      <w:pPr>
        <w:sectPr>
          <w:pgSz w:w="11900" w:h="16838" w:orient="portrait"/>
          <w:cols w:equalWidth="0" w:num="1">
            <w:col w:w="11240"/>
          </w:cols>
          <w:pgMar w:left="320" w:top="1316" w:right="339" w:bottom="1440" w:gutter="0" w:footer="0" w:header="0"/>
        </w:sectPr>
      </w:pPr>
    </w:p>
    <w:bookmarkStart w:id="585" w:name="page586"/>
    <w:bookmarkEnd w:id="585"/>
    <w:p>
      <w:pPr>
        <w:ind w:left="2860" w:right="160" w:hanging="1929"/>
        <w:spacing w:after="0" w:line="281" w:lineRule="auto"/>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XTEND: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 (1), five (5) year option to extend as set forth in the Extension Option Rider attached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w:t>
      </w:r>
    </w:p>
    <w:p>
      <w:pPr>
        <w:spacing w:after="0" w:line="121" w:lineRule="exact"/>
        <w:rPr>
          <w:sz w:val="20"/>
          <w:szCs w:val="20"/>
          <w:color w:val="auto"/>
        </w:rPr>
      </w:pPr>
    </w:p>
    <w:p>
      <w:pPr>
        <w:ind w:left="2860" w:hanging="2240"/>
        <w:spacing w:after="0" w:line="281" w:lineRule="auto"/>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OMMENCEMENT</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Paragraph 3(a)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Lease, following Substantial Completion by Landlord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Improvements in accordance with Exhibit E to the Lease</w:t>
      </w:r>
    </w:p>
    <w:p>
      <w:pPr>
        <w:spacing w:after="0" w:line="320" w:lineRule="exact"/>
        <w:rPr>
          <w:sz w:val="20"/>
          <w:szCs w:val="20"/>
          <w:color w:val="auto"/>
        </w:rPr>
      </w:pPr>
    </w:p>
    <w:p>
      <w:pPr>
        <w:ind w:left="2860" w:right="80" w:hanging="1766"/>
        <w:spacing w:after="0" w:line="258" w:lineRule="auto"/>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XPIRATION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last day of the calendar month in which the sixtieth (60th) month anniversary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Commencement Date occurs;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if the Commencement Date is the first day of a calendar month, the Expiration Date shall be the last day of the calendar month immediately preceding the sixtieth (60th) month anniversary of the Commencement Date.</w:t>
      </w:r>
    </w:p>
    <w:p>
      <w:pPr>
        <w:spacing w:after="0" w:line="34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16"/>
          <w:szCs w:val="16"/>
          <w:b w:val="1"/>
          <w:bCs w:val="1"/>
          <w:color w:val="auto"/>
        </w:rPr>
        <w:t>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Paragraph 6(a)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Lease.</w:t>
      </w:r>
    </w:p>
    <w:p>
      <w:pPr>
        <w:spacing w:after="0" w:line="200" w:lineRule="exact"/>
        <w:rPr>
          <w:sz w:val="20"/>
          <w:szCs w:val="20"/>
          <w:color w:val="auto"/>
        </w:rPr>
      </w:pPr>
    </w:p>
    <w:p>
      <w:pPr>
        <w:spacing w:after="0" w:line="304" w:lineRule="exact"/>
        <w:rPr>
          <w:sz w:val="20"/>
          <w:szCs w:val="20"/>
          <w:color w:val="auto"/>
        </w:rPr>
      </w:pPr>
    </w:p>
    <w:tbl>
      <w:tblPr>
        <w:tblLayout w:type="fixed"/>
        <w:tblInd w:w="2220" w:type="dxa"/>
        <w:tblCellMar>
          <w:top w:w="0" w:type="dxa"/>
          <w:left w:w="0" w:type="dxa"/>
          <w:bottom w:w="0" w:type="dxa"/>
          <w:right w:w="0" w:type="dxa"/>
        </w:tblCellMar>
      </w:tblP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w:t>
            </w:r>
          </w:p>
        </w:tc>
        <w:tc>
          <w:tcPr>
            <w:tcW w:w="1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Lease Year 1:</w:t>
            </w: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8"/>
              </w:rPr>
              <w:t>$117,092.25, per month;</w:t>
            </w:r>
          </w:p>
        </w:tc>
      </w:tr>
      <w:tr>
        <w:trPr>
          <w:trHeight w:val="259"/>
        </w:trPr>
        <w:tc>
          <w:tcPr>
            <w:tcW w:w="10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$1,405,107.00, per year</w:t>
            </w:r>
          </w:p>
        </w:tc>
      </w:tr>
      <w:tr>
        <w:trPr>
          <w:trHeight w:val="462"/>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(ii)</w:t>
            </w:r>
          </w:p>
        </w:tc>
        <w:tc>
          <w:tcPr>
            <w:tcW w:w="19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Lease Year 2:</w:t>
            </w: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8"/>
              </w:rPr>
              <w:t>$120,605.02, per month;</w:t>
            </w:r>
          </w:p>
        </w:tc>
      </w:tr>
      <w:tr>
        <w:trPr>
          <w:trHeight w:val="259"/>
        </w:trPr>
        <w:tc>
          <w:tcPr>
            <w:tcW w:w="10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9"/>
              </w:rPr>
              <w:t>$1,447,260.21, per year;</w:t>
            </w:r>
          </w:p>
        </w:tc>
      </w:tr>
      <w:tr>
        <w:trPr>
          <w:trHeight w:val="462"/>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(iii)</w:t>
            </w:r>
          </w:p>
        </w:tc>
        <w:tc>
          <w:tcPr>
            <w:tcW w:w="1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Year 3:</w:t>
            </w: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8"/>
              </w:rPr>
              <w:t>$124,223.17, per month;</w:t>
            </w:r>
          </w:p>
        </w:tc>
      </w:tr>
      <w:tr>
        <w:trPr>
          <w:trHeight w:val="259"/>
        </w:trPr>
        <w:tc>
          <w:tcPr>
            <w:tcW w:w="10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9"/>
              </w:rPr>
              <w:t>$1,490,678.02, per year;</w:t>
            </w:r>
          </w:p>
        </w:tc>
      </w:tr>
      <w:tr>
        <w:trPr>
          <w:trHeight w:val="462"/>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(iv)</w:t>
            </w:r>
          </w:p>
        </w:tc>
        <w:tc>
          <w:tcPr>
            <w:tcW w:w="1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Year 4:</w:t>
            </w: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8"/>
              </w:rPr>
              <w:t>$127,949.86, per month;</w:t>
            </w:r>
          </w:p>
        </w:tc>
      </w:tr>
      <w:tr>
        <w:trPr>
          <w:trHeight w:val="259"/>
        </w:trPr>
        <w:tc>
          <w:tcPr>
            <w:tcW w:w="10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9"/>
              </w:rPr>
              <w:t>$1,535,398.36, per year;</w:t>
            </w:r>
          </w:p>
        </w:tc>
      </w:tr>
      <w:tr>
        <w:trPr>
          <w:trHeight w:val="462"/>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(v)</w:t>
            </w:r>
          </w:p>
        </w:tc>
        <w:tc>
          <w:tcPr>
            <w:tcW w:w="1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Lease Year 5:</w:t>
            </w: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8"/>
              </w:rPr>
              <w:t>$131,788.36, per month;</w:t>
            </w:r>
          </w:p>
        </w:tc>
      </w:tr>
      <w:tr>
        <w:trPr>
          <w:trHeight w:val="259"/>
        </w:trPr>
        <w:tc>
          <w:tcPr>
            <w:tcW w:w="10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5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9"/>
              </w:rPr>
              <w:t>$1,581,460.31, per year;</w:t>
            </w:r>
          </w:p>
        </w:tc>
      </w:tr>
    </w:tbl>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ASE</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XPENSE</w:t>
      </w:r>
      <w:r>
        <w:rPr>
          <w:rFonts w:ascii="Times New Roman" w:cs="Times New Roman" w:eastAsia="Times New Roman" w:hAnsi="Times New Roman"/>
          <w:sz w:val="20"/>
          <w:szCs w:val="20"/>
          <w:b w:val="1"/>
          <w:bCs w:val="1"/>
          <w:color w:val="auto"/>
        </w:rPr>
        <w:t xml:space="preserve"> Y</w:t>
      </w:r>
      <w:r>
        <w:rPr>
          <w:rFonts w:ascii="Times New Roman" w:cs="Times New Roman" w:eastAsia="Times New Roman" w:hAnsi="Times New Roman"/>
          <w:sz w:val="16"/>
          <w:szCs w:val="16"/>
          <w:b w:val="1"/>
          <w:bCs w:val="1"/>
          <w:color w:val="auto"/>
        </w:rPr>
        <w:t>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ENANT’S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ERCENTAGE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52.89%</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 DEPOSIT: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$700,000.00, in the form of a Letter of Credit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Paragraph 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Lease</w:t>
      </w:r>
    </w:p>
    <w:p>
      <w:pPr>
        <w:spacing w:after="0" w:line="392" w:lineRule="exact"/>
        <w:rPr>
          <w:sz w:val="20"/>
          <w:szCs w:val="20"/>
          <w:color w:val="auto"/>
        </w:rPr>
      </w:pPr>
    </w:p>
    <w:p>
      <w:pPr>
        <w:ind w:left="2860" w:right="180" w:hanging="978"/>
        <w:spacing w:after="0" w:line="281" w:lineRule="auto"/>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ARKING: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use of up to twenty-three (23), non-reserved, parking spaces in any of the parking facilities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located in the Project, subject to </w:t>
      </w:r>
      <w:r>
        <w:rPr>
          <w:rFonts w:ascii="Times New Roman" w:cs="Times New Roman" w:eastAsia="Times New Roman" w:hAnsi="Times New Roman"/>
          <w:sz w:val="20"/>
          <w:szCs w:val="20"/>
          <w:u w:val="single" w:color="auto"/>
          <w:color w:val="auto"/>
        </w:rPr>
        <w:t>Paragraph 33</w:t>
      </w:r>
      <w:r>
        <w:rPr>
          <w:rFonts w:ascii="Times New Roman" w:cs="Times New Roman" w:eastAsia="Times New Roman" w:hAnsi="Times New Roman"/>
          <w:sz w:val="20"/>
          <w:szCs w:val="20"/>
          <w:color w:val="auto"/>
        </w:rPr>
        <w:t xml:space="preserve"> of the Lease</w:t>
      </w:r>
    </w:p>
    <w:p>
      <w:pPr>
        <w:spacing w:after="0" w:line="3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6"/>
          <w:szCs w:val="16"/>
          <w:b w:val="1"/>
          <w:bCs w:val="1"/>
          <w:color w:val="auto"/>
        </w:rPr>
        <w:t>ANDLORD’S</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ROKER: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Trent Holsman, CBRE, Inc.</w:t>
      </w:r>
    </w:p>
    <w:p>
      <w:pPr>
        <w:spacing w:after="0" w:line="19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ENANT’S</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ROKER: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Jon Elder, Jones Lang LaSalle</w:t>
      </w:r>
    </w:p>
    <w:p>
      <w:pPr>
        <w:sectPr>
          <w:pgSz w:w="11900" w:h="16838" w:orient="portrait"/>
          <w:cols w:equalWidth="0" w:num="1">
            <w:col w:w="10640"/>
          </w:cols>
          <w:pgMar w:left="840" w:top="1366" w:right="419" w:bottom="1440" w:gutter="0" w:footer="0" w:header="0"/>
        </w:sectPr>
      </w:pPr>
    </w:p>
    <w:bookmarkStart w:id="586" w:name="page587"/>
    <w:bookmarkEnd w:id="586"/>
    <w:p>
      <w:pPr>
        <w:ind w:left="78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TTACHMENTS: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Exhibit A - Floor Plan</w:t>
      </w: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Exhibit B - Operating Expenses and Property Taxes</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Exhibit C - Building Rules and Regulations</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Exhibit D - Premises Acceptance Letter</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Exhibit E - Tenant Improvements</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Rider - Option to Extend and Option to Expand</w:t>
      </w:r>
    </w:p>
    <w:p>
      <w:pPr>
        <w:sectPr>
          <w:pgSz w:w="11900" w:h="16838" w:orient="portrait"/>
          <w:cols w:equalWidth="0" w:num="1">
            <w:col w:w="9019"/>
          </w:cols>
          <w:pgMar w:left="1440" w:top="1366" w:right="1440" w:bottom="1440" w:gutter="0" w:footer="0" w:header="0"/>
        </w:sectPr>
      </w:pPr>
    </w:p>
    <w:bookmarkStart w:id="587" w:name="page588"/>
    <w:bookmarkEnd w:id="587"/>
    <w:tbl>
      <w:tblPr>
        <w:tblLayout w:type="fixed"/>
        <w:tblInd w:w="0" w:type="dxa"/>
        <w:tblCellMar>
          <w:top w:w="0" w:type="dxa"/>
          <w:left w:w="0" w:type="dxa"/>
          <w:bottom w:w="0" w:type="dxa"/>
          <w:right w:w="0" w:type="dxa"/>
        </w:tblCellMar>
      </w:tblPr>
      <w:tr>
        <w:trPr>
          <w:trHeight w:val="263"/>
        </w:trPr>
        <w:tc>
          <w:tcPr>
            <w:tcW w:w="480" w:type="dxa"/>
            <w:vAlign w:val="bottom"/>
          </w:tcPr>
          <w:p>
            <w:pPr>
              <w:spacing w:after="0"/>
              <w:rPr>
                <w:sz w:val="22"/>
                <w:szCs w:val="22"/>
                <w:color w:val="auto"/>
              </w:rPr>
            </w:pPr>
          </w:p>
        </w:tc>
        <w:tc>
          <w:tcPr>
            <w:tcW w:w="8260" w:type="dxa"/>
            <w:vAlign w:val="bottom"/>
          </w:tcPr>
          <w:p>
            <w:pPr>
              <w:ind w:left="40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480" w:type="dxa"/>
            <w:vAlign w:val="bottom"/>
          </w:tcPr>
          <w:p>
            <w:pPr>
              <w:spacing w:after="0"/>
              <w:rPr>
                <w:sz w:val="22"/>
                <w:szCs w:val="22"/>
                <w:color w:val="auto"/>
              </w:rPr>
            </w:pPr>
          </w:p>
        </w:tc>
      </w:tr>
      <w:tr>
        <w:trPr>
          <w:trHeight w:val="386"/>
        </w:trPr>
        <w:tc>
          <w:tcPr>
            <w:tcW w:w="4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3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PREMISES.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TERM.</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DELIVERY OF POSSESSION.</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RENT.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6.</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ESCALATION.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RULES AND REGULATIONS.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ASSIGNMENT AND SUBLETTING.</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SALE.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MAINTENANCE AND REPAIRS.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SERVICES.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13.</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ALTERATIONS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14.</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INDEMNIFICATION, EXCULPATION AND INSURANCE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15.</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DESTRUCTION,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16.</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ENTRY.</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17.</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EVENTS OF DEFAULT.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18.</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TERMINATION UPON DEFAULT.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19.</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ADDITIONAL LANDLORD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20.</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LANDLORD’S RIGHT TO CURE DEFAULT.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ATTORNEYS’ FEES.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 WAIVER.</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EMINENT DOMAIN.</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LATE CHARGE/NSF CHARGE.</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26.</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SECURITY DEPOSIT.</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27.</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ESTOPPEL CERTIFICATE AND FINANCIAL STATEMENTS.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28.</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SURRENDER.</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29.</w:t>
            </w:r>
          </w:p>
        </w:tc>
        <w:tc>
          <w:tcPr>
            <w:tcW w:w="8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HOLDING OVER.</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20"/>
          </w:cols>
          <w:pgMar w:left="340" w:top="1317" w:right="339" w:bottom="1440" w:gutter="0" w:footer="0" w:header="0"/>
        </w:sectPr>
      </w:pPr>
    </w:p>
    <w:bookmarkStart w:id="588" w:name="page589"/>
    <w:bookmarkEnd w:id="588"/>
    <w:tbl>
      <w:tblPr>
        <w:tblLayout w:type="fixed"/>
        <w:tblInd w:w="0" w:type="dxa"/>
        <w:tblCellMar>
          <w:top w:w="0" w:type="dxa"/>
          <w:left w:w="0" w:type="dxa"/>
          <w:bottom w:w="0" w:type="dxa"/>
          <w:right w:w="0" w:type="dxa"/>
        </w:tblCellMar>
      </w:tblPr>
      <w:tr>
        <w:trPr>
          <w:trHeight w:val="259"/>
        </w:trPr>
        <w:tc>
          <w:tcPr>
            <w:tcW w:w="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7"/>
              </w:rPr>
              <w:t>30.</w:t>
            </w:r>
          </w:p>
        </w:tc>
        <w:tc>
          <w:tcPr>
            <w:tcW w:w="6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SUBORDINATION.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6"/>
        </w:trPr>
        <w:tc>
          <w:tcPr>
            <w:tcW w:w="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7"/>
              </w:rPr>
              <w:t>31.</w:t>
            </w:r>
          </w:p>
        </w:tc>
        <w:tc>
          <w:tcPr>
            <w:tcW w:w="6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INABILITY TO PERFORM</w:t>
            </w: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86"/>
        </w:trPr>
        <w:tc>
          <w:tcPr>
            <w:tcW w:w="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7"/>
              </w:rPr>
              <w:t>32.</w:t>
            </w:r>
          </w:p>
        </w:tc>
        <w:tc>
          <w:tcPr>
            <w:tcW w:w="6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PARKING</w:t>
            </w: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86"/>
        </w:trPr>
        <w:tc>
          <w:tcPr>
            <w:tcW w:w="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7"/>
              </w:rPr>
              <w:t>33.</w:t>
            </w:r>
          </w:p>
        </w:tc>
        <w:tc>
          <w:tcPr>
            <w:tcW w:w="6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FUTURE CONSTRUCTION WORK.</w:t>
            </w: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86"/>
        </w:trPr>
        <w:tc>
          <w:tcPr>
            <w:tcW w:w="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7"/>
              </w:rPr>
              <w:t>34.</w:t>
            </w:r>
          </w:p>
        </w:tc>
        <w:tc>
          <w:tcPr>
            <w:tcW w:w="6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MISCELLANEOUS.</w:t>
            </w: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6"/>
        </w:trPr>
        <w:tc>
          <w:tcPr>
            <w:tcW w:w="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7"/>
              </w:rPr>
              <w:t>35.</w:t>
            </w:r>
          </w:p>
        </w:tc>
        <w:tc>
          <w:tcPr>
            <w:tcW w:w="6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BROKER.</w:t>
            </w: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86"/>
        </w:trPr>
        <w:tc>
          <w:tcPr>
            <w:tcW w:w="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7"/>
              </w:rPr>
              <w:t>36.</w:t>
            </w:r>
          </w:p>
        </w:tc>
        <w:tc>
          <w:tcPr>
            <w:tcW w:w="6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 OFFER.</w:t>
            </w: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86"/>
        </w:trPr>
        <w:tc>
          <w:tcPr>
            <w:tcW w:w="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7"/>
              </w:rPr>
              <w:t>37.</w:t>
            </w:r>
          </w:p>
        </w:tc>
        <w:tc>
          <w:tcPr>
            <w:tcW w:w="6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BICYCLES</w:t>
            </w: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86"/>
        </w:trPr>
        <w:tc>
          <w:tcPr>
            <w:tcW w:w="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7"/>
              </w:rPr>
              <w:t>38.</w:t>
            </w:r>
          </w:p>
        </w:tc>
        <w:tc>
          <w:tcPr>
            <w:tcW w:w="6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DOGS</w:t>
            </w: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220"/>
          </w:cols>
          <w:pgMar w:left="340" w:top="1370" w:right="339" w:bottom="1440" w:gutter="0" w:footer="0" w:header="0"/>
        </w:sectPr>
      </w:pPr>
    </w:p>
    <w:bookmarkStart w:id="589" w:name="page590"/>
    <w:bookmarkEnd w:id="589"/>
    <w:p>
      <w:pPr>
        <w:ind w:left="600" w:hanging="600"/>
        <w:spacing w:after="0"/>
        <w:tabs>
          <w:tab w:leader="none" w:pos="600" w:val="left"/>
        </w:tabs>
        <w:numPr>
          <w:ilvl w:val="0"/>
          <w:numId w:val="4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PARTIES.</w:t>
      </w:r>
    </w:p>
    <w:p>
      <w:pPr>
        <w:spacing w:after="0" w:line="156" w:lineRule="exact"/>
        <w:rPr>
          <w:sz w:val="20"/>
          <w:szCs w:val="20"/>
          <w:color w:val="auto"/>
        </w:rPr>
      </w:pPr>
    </w:p>
    <w:p>
      <w:pPr>
        <w:ind w:firstLine="597"/>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THIS LEASE </w:t>
      </w:r>
      <w:r>
        <w:rPr>
          <w:rFonts w:ascii="Times New Roman" w:cs="Times New Roman" w:eastAsia="Times New Roman" w:hAnsi="Times New Roman"/>
          <w:sz w:val="20"/>
          <w:szCs w:val="20"/>
          <w:color w:val="auto"/>
        </w:rPr>
        <w:t>(this “Lease”) is made this 31st day of March, 2019, between</w:t>
      </w:r>
      <w:r>
        <w:rPr>
          <w:rFonts w:ascii="Times New Roman" w:cs="Times New Roman" w:eastAsia="Times New Roman" w:hAnsi="Times New Roman"/>
          <w:sz w:val="20"/>
          <w:szCs w:val="20"/>
          <w:b w:val="1"/>
          <w:bCs w:val="1"/>
          <w:color w:val="auto"/>
        </w:rPr>
        <w:t xml:space="preserve"> 11 WEST NINTH STREET PROPERTY OWNER, LP</w:t>
      </w:r>
      <w:r>
        <w:rPr>
          <w:rFonts w:ascii="Times New Roman" w:cs="Times New Roman" w:eastAsia="Times New Roman" w:hAnsi="Times New Roman"/>
          <w:sz w:val="20"/>
          <w:szCs w:val="20"/>
          <w:color w:val="auto"/>
        </w:rPr>
        <w:t>, a Delaware limited partnership (“Landlord”), and</w:t>
      </w:r>
      <w:r>
        <w:rPr>
          <w:rFonts w:ascii="Times New Roman" w:cs="Times New Roman" w:eastAsia="Times New Roman" w:hAnsi="Times New Roman"/>
          <w:sz w:val="20"/>
          <w:szCs w:val="20"/>
          <w:b w:val="1"/>
          <w:bCs w:val="1"/>
          <w:color w:val="auto"/>
        </w:rPr>
        <w:t xml:space="preserve"> THREDUP, INC., </w:t>
      </w:r>
      <w:r>
        <w:rPr>
          <w:rFonts w:ascii="Times New Roman" w:cs="Times New Roman" w:eastAsia="Times New Roman" w:hAnsi="Times New Roman"/>
          <w:sz w:val="20"/>
          <w:szCs w:val="20"/>
          <w:color w:val="auto"/>
        </w:rPr>
        <w:t>a Delaware corporation (“Tenant”).</w:t>
      </w:r>
    </w:p>
    <w:p>
      <w:pPr>
        <w:spacing w:after="0" w:line="84" w:lineRule="exact"/>
        <w:rPr>
          <w:sz w:val="20"/>
          <w:szCs w:val="20"/>
          <w:color w:val="auto"/>
        </w:rPr>
      </w:pPr>
    </w:p>
    <w:p>
      <w:pPr>
        <w:ind w:left="600" w:hanging="600"/>
        <w:spacing w:after="0"/>
        <w:tabs>
          <w:tab w:leader="none" w:pos="600" w:val="left"/>
        </w:tabs>
        <w:numPr>
          <w:ilvl w:val="0"/>
          <w:numId w:val="4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PREMISES.</w:t>
      </w:r>
    </w:p>
    <w:p>
      <w:pPr>
        <w:spacing w:after="0" w:line="160"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20"/>
          <w:szCs w:val="20"/>
          <w:color w:val="auto"/>
        </w:rPr>
        <w:t xml:space="preserve">Landlord does hereby lease to Tenant, and Tenant does hereby lease from Landlord, for the term and subject to the covenants and conditions hereinafter set forth, to all of which Landlord and Tenant agree, those certain premises (“Premises”) identified in the </w:t>
      </w:r>
      <w:r>
        <w:rPr>
          <w:rFonts w:ascii="Times New Roman" w:cs="Times New Roman" w:eastAsia="Times New Roman" w:hAnsi="Times New Roman"/>
          <w:sz w:val="20"/>
          <w:szCs w:val="20"/>
          <w:i w:val="1"/>
          <w:iCs w:val="1"/>
          <w:color w:val="auto"/>
        </w:rPr>
        <w:t>Basic 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Information, </w:t>
      </w:r>
      <w:r>
        <w:rPr>
          <w:rFonts w:ascii="Times New Roman" w:cs="Times New Roman" w:eastAsia="Times New Roman" w:hAnsi="Times New Roman"/>
          <w:sz w:val="20"/>
          <w:szCs w:val="20"/>
          <w:color w:val="auto"/>
        </w:rPr>
        <w:t>located in the specific building identified in the</w:t>
      </w:r>
      <w:r>
        <w:rPr>
          <w:rFonts w:ascii="Times New Roman" w:cs="Times New Roman" w:eastAsia="Times New Roman" w:hAnsi="Times New Roman"/>
          <w:sz w:val="20"/>
          <w:szCs w:val="20"/>
          <w:i w:val="1"/>
          <w:iCs w:val="1"/>
          <w:color w:val="auto"/>
        </w:rPr>
        <w:t xml:space="preserve"> Basic Lease Information </w:t>
      </w:r>
      <w:r>
        <w:rPr>
          <w:rFonts w:ascii="Times New Roman" w:cs="Times New Roman" w:eastAsia="Times New Roman" w:hAnsi="Times New Roman"/>
          <w:sz w:val="20"/>
          <w:szCs w:val="20"/>
          <w:color w:val="auto"/>
        </w:rPr>
        <w:t>(the “Building”), and which Building is situated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within the various buildings and improvements comprising the project identified in the </w:t>
      </w:r>
      <w:r>
        <w:rPr>
          <w:rFonts w:ascii="Times New Roman" w:cs="Times New Roman" w:eastAsia="Times New Roman" w:hAnsi="Times New Roman"/>
          <w:sz w:val="20"/>
          <w:szCs w:val="20"/>
          <w:i w:val="1"/>
          <w:iCs w:val="1"/>
          <w:color w:val="auto"/>
        </w:rPr>
        <w:t>Basic Lease Information</w:t>
      </w:r>
      <w:r>
        <w:rPr>
          <w:rFonts w:ascii="Times New Roman" w:cs="Times New Roman" w:eastAsia="Times New Roman" w:hAnsi="Times New Roman"/>
          <w:sz w:val="20"/>
          <w:szCs w:val="20"/>
          <w:color w:val="auto"/>
        </w:rPr>
        <w:t xml:space="preserve"> (the “Project”). The Premises are as shown highlighted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to this Lease and hereby made a part hereof. Tenant shall have the right to use, in common with others, the entrances, lobbies, corridors, stairs and elevator (if any) of the Building (the “Common Areas”) for access to the Premises. The exterior walls of the Building and any space in the Premises used for shafts, pipes, conduits, ducts, electric or other utilities, or other Building facilities, and the use thereof and access thereto through the Premises for the purposes of operation, maintenance and repairs, are reserved to Landlord.</w:t>
      </w:r>
    </w:p>
    <w:p>
      <w:pPr>
        <w:spacing w:after="0" w:line="117" w:lineRule="exact"/>
        <w:rPr>
          <w:sz w:val="20"/>
          <w:szCs w:val="20"/>
          <w:color w:val="auto"/>
        </w:rPr>
      </w:pPr>
    </w:p>
    <w:p>
      <w:pPr>
        <w:ind w:left="600" w:hanging="600"/>
        <w:spacing w:after="0"/>
        <w:tabs>
          <w:tab w:leader="none" w:pos="600" w:val="left"/>
        </w:tabs>
        <w:numPr>
          <w:ilvl w:val="0"/>
          <w:numId w:val="4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48" w:lineRule="auto"/>
        <w:tabs>
          <w:tab w:leader="none" w:pos="1192" w:val="left"/>
        </w:tabs>
        <w:numPr>
          <w:ilvl w:val="1"/>
          <w:numId w:val="4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Lease is a binding contract effective as of the Lease Date; provided, however, the term of this Lease (“Term”) shall be for approximately sixty (60) months, commencing on the expiration of the Early Access Period (as defined in </w:t>
      </w:r>
      <w:r>
        <w:rPr>
          <w:rFonts w:ascii="Times New Roman" w:cs="Times New Roman" w:eastAsia="Times New Roman" w:hAnsi="Times New Roman"/>
          <w:sz w:val="20"/>
          <w:szCs w:val="20"/>
          <w:u w:val="single" w:color="auto"/>
          <w:color w:val="auto"/>
        </w:rPr>
        <w:t>Paragraph 3(b)</w:t>
      </w:r>
      <w:r>
        <w:rPr>
          <w:rFonts w:ascii="Times New Roman" w:cs="Times New Roman" w:eastAsia="Times New Roman" w:hAnsi="Times New Roman"/>
          <w:sz w:val="20"/>
          <w:szCs w:val="20"/>
          <w:color w:val="auto"/>
        </w:rPr>
        <w:t xml:space="preserve">) that follows Substantial Completion by Landlord of the Tenant Improvements to be constructed in accordance with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the date Landlord would have achieved Substantial Completion of the Tenant Improvements but for delays attributable to Tenant Delays (as that term is defined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(the “Commencement Date”). Subject to Tenant Delays and events of Force Majeure, Landlord anticipates it will be able to deliver the Premises to Tenant with the Tenant Improvements Substantially Complete prior to September 1, 2019 (the “Target Commencement Date”). If Landlord for whatever reason is unable to deliver possession of the Premises to Tenant in the condition required by this Lease by the Target Commencement Date, this Lease shall not be void or voidable, nor shall Landlord be liable to Tenant for any loss or damage resulting therefrom, but, in such an event, Rent shall be abated until Landlord delivers possession of the Premises to Tenant in the condition required by this Lease, and the Expiration Date shall be extended by the same number of days as the delay in delivery of possession of the Premises. Notwithstanding anything to the contrary in the foregoing, if the actual Commencement Date is more than thirty (30) days following the Target Commencement Date and the delay in the Commencement Date is attributable to the act or omission of Landlord (and not due to any Tenant Delays or acts of Force Majeure), Tenant shall receive a rent credit for Base Rent equal to two (2) days for each day of delay in the Commencement Date beyond the Target Commencement Date, and if the delay in the Commencement Date is greater than sixty (60) days beyond the Target Commencement Date attributable to the act or omission of Landlord (and not due to any Tenant Delays or acts of Force Majeure), Tenant shall have the right and option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17" w:right="339" w:bottom="1440" w:gutter="0" w:footer="0" w:header="0"/>
        </w:sectPr>
      </w:pPr>
    </w:p>
    <w:bookmarkStart w:id="590" w:name="page591"/>
    <w:bookmarkEnd w:id="590"/>
    <w:p>
      <w:pPr>
        <w:jc w:val="both"/>
        <w:spacing w:after="0" w:line="256" w:lineRule="auto"/>
        <w:rPr>
          <w:sz w:val="20"/>
          <w:szCs w:val="20"/>
          <w:color w:val="auto"/>
        </w:rPr>
      </w:pPr>
      <w:r>
        <w:rPr>
          <w:rFonts w:ascii="Times New Roman" w:cs="Times New Roman" w:eastAsia="Times New Roman" w:hAnsi="Times New Roman"/>
          <w:sz w:val="19"/>
          <w:szCs w:val="19"/>
          <w:color w:val="auto"/>
        </w:rPr>
        <w:t>either continue to receive the rent credit for Base Rent, or to terminate this Lease, without penalty, upon five (5) business days’ prior written notice to Landlord unless prior to the end of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business day Landlord delivers actual possession of the Premises to Tenant in the condition required by this Lease (with the intent that Landlord may deliver possession of the Premises in the condition required by this Lease during the Early Access Period in order to satisfy the foregoing requirement). The term “Commencement Date” shall be the actual date the Term of this Lease commences in accordance with this Paragraph 3). Landlord and Tenant each shall, promptly after the Commencement Date has been determined, execute and deliver a certificate substantially in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(the “Premises Acceptance Letter”), which sets forth the Commencement Date and Expiration Date of this Lease, and acknowledges certain other matters as therein provided, but the Term of this Lease shall commence on the Commencement Date and end on the Expiration Date whether or not such certificate is executed.</w:t>
      </w:r>
    </w:p>
    <w:p>
      <w:pPr>
        <w:spacing w:after="0" w:line="115" w:lineRule="exact"/>
        <w:rPr>
          <w:sz w:val="20"/>
          <w:szCs w:val="20"/>
          <w:color w:val="auto"/>
        </w:rPr>
      </w:pPr>
    </w:p>
    <w:p>
      <w:pPr>
        <w:jc w:val="both"/>
        <w:ind w:firstLine="597"/>
        <w:spacing w:after="0" w:line="251" w:lineRule="auto"/>
        <w:tabs>
          <w:tab w:leader="none" w:pos="1191" w:val="left"/>
        </w:tabs>
        <w:numPr>
          <w:ilvl w:val="1"/>
          <w:numId w:val="5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such time as Landlord anticipates that it will be in a position to deliver possession of the Premises to Tenant in the condition required by this Lease, Landlord will so notify Tenant and, following Substantial Completion of the Tenant Improvements in accordance with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Landlord grants Tenant a period of up to fourteen (14) days (less any days attributable to Tenant Delays) (the “Early Access Period”) to access the Premises during normal business hours (subject to Tenant’s delivery of evidence of insurance satisfying the requirements of this Lease) for the purpose of enabling Tenant and its agents, employees and contractors to install in the Premises equipment, furniture, telecommunications wiring and other personal property necessary for Tenant’s occupancy of the Premises. All of the terms of this Lease shall be binding on and apply to Tenant during such early occupancy period, except that Tenant’s obligation to pay Base Rent shall commence on the Commencement Date.</w:t>
      </w:r>
    </w:p>
    <w:p>
      <w:pPr>
        <w:spacing w:after="0" w:line="116" w:lineRule="exact"/>
        <w:rPr>
          <w:rFonts w:ascii="Times New Roman" w:cs="Times New Roman" w:eastAsia="Times New Roman" w:hAnsi="Times New Roman"/>
          <w:sz w:val="20"/>
          <w:szCs w:val="20"/>
          <w:color w:val="auto"/>
        </w:rPr>
      </w:pPr>
    </w:p>
    <w:p>
      <w:pPr>
        <w:ind w:firstLine="597"/>
        <w:spacing w:after="0" w:line="277" w:lineRule="auto"/>
        <w:tabs>
          <w:tab w:leader="none" w:pos="1192" w:val="left"/>
        </w:tabs>
        <w:numPr>
          <w:ilvl w:val="1"/>
          <w:numId w:val="5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have the right to extend the term of this Lease, for one (1) additional five (5) year period, on the terms and conditions of the Rider to Lease attached hereto.</w:t>
      </w:r>
    </w:p>
    <w:p>
      <w:pPr>
        <w:spacing w:after="0" w:line="87"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DELIVERY OF POSSESSION.</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49" w:lineRule="auto"/>
        <w:tabs>
          <w:tab w:leader="none" w:pos="1192" w:val="left"/>
        </w:tabs>
        <w:numPr>
          <w:ilvl w:val="1"/>
          <w:numId w:val="5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expressly provided otherwise in this Lease, including in </w:t>
      </w:r>
      <w:r>
        <w:rPr>
          <w:rFonts w:ascii="Times New Roman" w:cs="Times New Roman" w:eastAsia="Times New Roman" w:hAnsi="Times New Roman"/>
          <w:sz w:val="20"/>
          <w:szCs w:val="20"/>
          <w:u w:val="single" w:color="auto"/>
          <w:color w:val="auto"/>
        </w:rPr>
        <w:t>Paragraphs 4(b)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4(c)</w:t>
      </w:r>
      <w:r>
        <w:rPr>
          <w:rFonts w:ascii="Times New Roman" w:cs="Times New Roman" w:eastAsia="Times New Roman" w:hAnsi="Times New Roman"/>
          <w:sz w:val="20"/>
          <w:szCs w:val="20"/>
          <w:color w:val="auto"/>
        </w:rPr>
        <w:t xml:space="preserve"> below and the Work Letter attached to this Lease, Landlord shall deliver possession of the Premises to Tenant and, except as provided in </w:t>
      </w:r>
      <w:r>
        <w:rPr>
          <w:rFonts w:ascii="Times New Roman" w:cs="Times New Roman" w:eastAsia="Times New Roman" w:hAnsi="Times New Roman"/>
          <w:sz w:val="20"/>
          <w:szCs w:val="20"/>
          <w:u w:val="single" w:color="auto"/>
          <w:color w:val="auto"/>
        </w:rPr>
        <w:t>Paragraph 4(b)</w:t>
      </w:r>
      <w:r>
        <w:rPr>
          <w:rFonts w:ascii="Times New Roman" w:cs="Times New Roman" w:eastAsia="Times New Roman" w:hAnsi="Times New Roman"/>
          <w:sz w:val="20"/>
          <w:szCs w:val="20"/>
          <w:color w:val="auto"/>
        </w:rPr>
        <w:t xml:space="preserve"> below, Tenant shall accept the same, in its “AS IS” condition. Tenant agrees that Landlord has no obligation and has made no promise to alter, remodel, improve, or repair the Premises, or any part thereof, or to repair, bring into compliance with applicable laws, or improve any condition existing in the Premises as of the Commencement Date. Tenant agrees that neither Landlord nor any of Landlord’s employees or agents has made any representation or warranty as to the present or future suitability of the Premises for the conduct of Tenant’s business therein. Subject to the completion by Landlord of the improvements provided for in </w:t>
      </w:r>
      <w:r>
        <w:rPr>
          <w:rFonts w:ascii="Times New Roman" w:cs="Times New Roman" w:eastAsia="Times New Roman" w:hAnsi="Times New Roman"/>
          <w:sz w:val="20"/>
          <w:szCs w:val="20"/>
          <w:u w:val="single" w:color="auto"/>
          <w:color w:val="auto"/>
        </w:rPr>
        <w:t>Paragraph 4(b)</w:t>
      </w:r>
      <w:r>
        <w:rPr>
          <w:rFonts w:ascii="Times New Roman" w:cs="Times New Roman" w:eastAsia="Times New Roman" w:hAnsi="Times New Roman"/>
          <w:sz w:val="20"/>
          <w:szCs w:val="20"/>
          <w:color w:val="auto"/>
        </w:rPr>
        <w:t xml:space="preserve"> below, and the opportunity given to Tenant to inspect the Premises and duly confirm any matters affecting the subject area during a walk through, and Landlord’s warranty contained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the taking of possession of the Premises by Tenant shall conclusively establish that the Premises and the Building were at such time in good and satisfactory’ order, condition and repair. Within two (2) business day following the request by Landlord upon substantial completion of the Tenant Improvements provided for in </w:t>
      </w:r>
      <w:r>
        <w:rPr>
          <w:rFonts w:ascii="Times New Roman" w:cs="Times New Roman" w:eastAsia="Times New Roman" w:hAnsi="Times New Roman"/>
          <w:sz w:val="20"/>
          <w:szCs w:val="20"/>
          <w:u w:val="single" w:color="auto"/>
          <w:color w:val="auto"/>
        </w:rPr>
        <w:t>Paragraph 4(b)</w:t>
      </w:r>
      <w:r>
        <w:rPr>
          <w:rFonts w:ascii="Times New Roman" w:cs="Times New Roman" w:eastAsia="Times New Roman" w:hAnsi="Times New Roman"/>
          <w:sz w:val="20"/>
          <w:szCs w:val="20"/>
          <w:color w:val="auto"/>
        </w:rPr>
        <w:t>, Tenant shall make itself, or a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21" w:right="339" w:bottom="1440" w:gutter="0" w:footer="0" w:header="0"/>
        </w:sectPr>
      </w:pPr>
    </w:p>
    <w:bookmarkStart w:id="591" w:name="page592"/>
    <w:bookmarkEnd w:id="591"/>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available to conduct a walk-through of the Premises to identify any conditions affecting the substantial completion of the Tenant Improvements provided for in </w:t>
      </w:r>
      <w:r>
        <w:rPr>
          <w:rFonts w:ascii="Times New Roman" w:cs="Times New Roman" w:eastAsia="Times New Roman" w:hAnsi="Times New Roman"/>
          <w:sz w:val="20"/>
          <w:szCs w:val="20"/>
          <w:u w:val="single" w:color="auto"/>
          <w:color w:val="auto"/>
        </w:rPr>
        <w:t>Paragraph 4(b)</w:t>
      </w:r>
      <w:r>
        <w:rPr>
          <w:rFonts w:ascii="Times New Roman" w:cs="Times New Roman" w:eastAsia="Times New Roman" w:hAnsi="Times New Roman"/>
          <w:sz w:val="20"/>
          <w:szCs w:val="20"/>
          <w:color w:val="auto"/>
        </w:rPr>
        <w:t xml:space="preserve"> that affect the ability of Tenant to occupy the Premises for its intended purpose, the parties agreeing to be reasonable in their assessment as to whether the Tenant Improvements are substantially complete. Notwithstanding anything to the contrary in the foregoing, nothing in this </w:t>
      </w:r>
      <w:r>
        <w:rPr>
          <w:rFonts w:ascii="Times New Roman" w:cs="Times New Roman" w:eastAsia="Times New Roman" w:hAnsi="Times New Roman"/>
          <w:sz w:val="20"/>
          <w:szCs w:val="20"/>
          <w:u w:val="single" w:color="auto"/>
          <w:color w:val="auto"/>
        </w:rPr>
        <w:t>Paragraph 4(a)</w:t>
      </w:r>
      <w:r>
        <w:rPr>
          <w:rFonts w:ascii="Times New Roman" w:cs="Times New Roman" w:eastAsia="Times New Roman" w:hAnsi="Times New Roman"/>
          <w:sz w:val="20"/>
          <w:szCs w:val="20"/>
          <w:color w:val="auto"/>
        </w:rPr>
        <w:t xml:space="preserve"> relieves Landlord of its maintenance and repair obligations under this Lease.</w:t>
      </w:r>
    </w:p>
    <w:p>
      <w:pPr>
        <w:spacing w:after="0" w:line="114" w:lineRule="exact"/>
        <w:rPr>
          <w:sz w:val="20"/>
          <w:szCs w:val="20"/>
          <w:color w:val="auto"/>
        </w:rPr>
      </w:pPr>
    </w:p>
    <w:p>
      <w:pPr>
        <w:ind w:firstLine="597"/>
        <w:spacing w:after="0" w:line="304" w:lineRule="auto"/>
        <w:tabs>
          <w:tab w:leader="none" w:pos="1191" w:val="left"/>
        </w:tabs>
        <w:numPr>
          <w:ilvl w:val="1"/>
          <w:numId w:val="5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Landlord’s initial delivery of the Premises to Tenant, Landlord, at its sole cost and expense, shall construct and install in the Premises the Tenant Improvements, if any, provided in, and in accordance with the terms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to this Lease.</w:t>
      </w:r>
    </w:p>
    <w:p>
      <w:pPr>
        <w:spacing w:after="0" w:line="68" w:lineRule="exact"/>
        <w:rPr>
          <w:rFonts w:ascii="Times New Roman" w:cs="Times New Roman" w:eastAsia="Times New Roman" w:hAnsi="Times New Roman"/>
          <w:sz w:val="19"/>
          <w:szCs w:val="19"/>
          <w:color w:val="auto"/>
        </w:rPr>
      </w:pPr>
    </w:p>
    <w:p>
      <w:pPr>
        <w:ind w:firstLine="597"/>
        <w:spacing w:after="0" w:line="277" w:lineRule="auto"/>
        <w:tabs>
          <w:tab w:leader="none" w:pos="1192" w:val="left"/>
        </w:tabs>
        <w:numPr>
          <w:ilvl w:val="1"/>
          <w:numId w:val="5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Landlord’s initial delivery’ of the Premises to Tenant, Landlord, at Landlord’s sole cost and expense, shall provide a code-compliant path of travel to the Premises from the entrance to the Building.</w:t>
      </w:r>
    </w:p>
    <w:p>
      <w:pPr>
        <w:spacing w:after="0" w:line="87"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RENT.</w:t>
      </w:r>
    </w:p>
    <w:p>
      <w:pPr>
        <w:spacing w:after="0" w:line="159" w:lineRule="exact"/>
        <w:rPr>
          <w:rFonts w:ascii="Times New Roman" w:cs="Times New Roman" w:eastAsia="Times New Roman" w:hAnsi="Times New Roman"/>
          <w:sz w:val="20"/>
          <w:szCs w:val="20"/>
          <w:b w:val="1"/>
          <w:bCs w:val="1"/>
          <w:color w:val="auto"/>
        </w:rPr>
      </w:pPr>
    </w:p>
    <w:p>
      <w:pPr>
        <w:ind w:left="1200" w:hanging="603"/>
        <w:spacing w:after="0"/>
        <w:tabs>
          <w:tab w:leader="none" w:pos="1200" w:val="left"/>
        </w:tabs>
        <w:numPr>
          <w:ilvl w:val="1"/>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pay to Landlord the following amounts as rent for the Premises:</w:t>
      </w:r>
    </w:p>
    <w:p>
      <w:pPr>
        <w:spacing w:after="0" w:line="155" w:lineRule="exact"/>
        <w:rPr>
          <w:rFonts w:ascii="Times New Roman" w:cs="Times New Roman" w:eastAsia="Times New Roman" w:hAnsi="Times New Roman"/>
          <w:sz w:val="20"/>
          <w:szCs w:val="20"/>
          <w:color w:val="auto"/>
        </w:rPr>
      </w:pPr>
    </w:p>
    <w:p>
      <w:pPr>
        <w:jc w:val="both"/>
        <w:ind w:firstLine="1194"/>
        <w:spacing w:after="0" w:line="248" w:lineRule="auto"/>
        <w:tabs>
          <w:tab w:leader="none" w:pos="1781" w:val="left"/>
        </w:tabs>
        <w:numPr>
          <w:ilvl w:val="2"/>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Term, commencing on the Commencement Date, Tenant shall pay to Landlord, as base monthly rent, the respective amounts of monthly rent specified in the Basic Lease Information (the “Base Rent”). If the Commencement Date should occur on a day other than the first day of a calendar month, or if the Term shall end on a day other than the last day of a calendar month, then the Base Rent for such fractional month shall be prorated upon a daily basis based upon a thirty (30)-day month. Base Rent is due and payable monthly, in advance, on the first day of each calendar month, except that Base Rent for the first full calendar month of the Term (the “First Month”) shall be paid upon execution of this Lease. If the Commencement Date occurs on a day other than the first day of a calendar month, Base Rent for the period from the Commencement Date through the end of said calendar month shall be due and payable on the Commencement Date, and the Base Rent payable upon execution of this Lease shall be credited against the Base Rent due for the First Month as of the first day of the First Month. Adjustments in Base Rent specified in the </w:t>
      </w:r>
      <w:r>
        <w:rPr>
          <w:rFonts w:ascii="Times New Roman" w:cs="Times New Roman" w:eastAsia="Times New Roman" w:hAnsi="Times New Roman"/>
          <w:sz w:val="20"/>
          <w:szCs w:val="20"/>
          <w:i w:val="1"/>
          <w:iCs w:val="1"/>
          <w:color w:val="auto"/>
        </w:rPr>
        <w:t>Basic Lease Information</w:t>
      </w:r>
      <w:r>
        <w:rPr>
          <w:rFonts w:ascii="Times New Roman" w:cs="Times New Roman" w:eastAsia="Times New Roman" w:hAnsi="Times New Roman"/>
          <w:sz w:val="20"/>
          <w:szCs w:val="20"/>
          <w:color w:val="auto"/>
        </w:rPr>
        <w:t xml:space="preserve"> shall be determined on a Lease Year basis. As used herein, the term “Lease Year” shall mean a twelve calendar month period; provided, however, that the first Lease Year of the Term shall commence on the Commencement Date and run through the day immediately preceding the first day of the month in which the one year anniversary of the Commencement Date occurs, with each successive Lease Year specified in the </w:t>
      </w:r>
      <w:r>
        <w:rPr>
          <w:rFonts w:ascii="Times New Roman" w:cs="Times New Roman" w:eastAsia="Times New Roman" w:hAnsi="Times New Roman"/>
          <w:sz w:val="20"/>
          <w:szCs w:val="20"/>
          <w:i w:val="1"/>
          <w:iCs w:val="1"/>
          <w:color w:val="auto"/>
        </w:rPr>
        <w:t>Basic 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Information </w:t>
      </w:r>
      <w:r>
        <w:rPr>
          <w:rFonts w:ascii="Times New Roman" w:cs="Times New Roman" w:eastAsia="Times New Roman" w:hAnsi="Times New Roman"/>
          <w:sz w:val="20"/>
          <w:szCs w:val="20"/>
          <w:color w:val="auto"/>
        </w:rPr>
        <w:t>to run for a period of the next succeeding twelve months, other than and except for the final Lease Year specified in the</w:t>
      </w:r>
      <w:r>
        <w:rPr>
          <w:rFonts w:ascii="Times New Roman" w:cs="Times New Roman" w:eastAsia="Times New Roman" w:hAnsi="Times New Roman"/>
          <w:sz w:val="20"/>
          <w:szCs w:val="20"/>
          <w:i w:val="1"/>
          <w:iCs w:val="1"/>
          <w:color w:val="auto"/>
        </w:rPr>
        <w:t xml:space="preserve"> Basic Lease Information </w:t>
      </w:r>
      <w:r>
        <w:rPr>
          <w:rFonts w:ascii="Times New Roman" w:cs="Times New Roman" w:eastAsia="Times New Roman" w:hAnsi="Times New Roman"/>
          <w:sz w:val="20"/>
          <w:szCs w:val="20"/>
          <w:color w:val="auto"/>
        </w:rPr>
        <w:t>which shall commence as hereinabove provided and which shall run through the Expiration Date notwithstanding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actual number of days included in said period.</w:t>
      </w:r>
    </w:p>
    <w:p>
      <w:pPr>
        <w:spacing w:after="0" w:line="131" w:lineRule="exact"/>
        <w:rPr>
          <w:rFonts w:ascii="Times New Roman" w:cs="Times New Roman" w:eastAsia="Times New Roman" w:hAnsi="Times New Roman"/>
          <w:sz w:val="20"/>
          <w:szCs w:val="20"/>
          <w:color w:val="auto"/>
        </w:rPr>
      </w:pPr>
    </w:p>
    <w:p>
      <w:pPr>
        <w:ind w:firstLine="1194"/>
        <w:spacing w:after="0" w:line="277" w:lineRule="auto"/>
        <w:tabs>
          <w:tab w:leader="none" w:pos="1787" w:val="left"/>
        </w:tabs>
        <w:numPr>
          <w:ilvl w:val="2"/>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shall pay to Landlord Utility Rent as that term is defined in </w:t>
      </w:r>
      <w:r>
        <w:rPr>
          <w:rFonts w:ascii="Times New Roman" w:cs="Times New Roman" w:eastAsia="Times New Roman" w:hAnsi="Times New Roman"/>
          <w:sz w:val="20"/>
          <w:szCs w:val="20"/>
          <w:u w:val="single" w:color="auto"/>
          <w:color w:val="auto"/>
        </w:rPr>
        <w:t>Paragraph 12(b)</w:t>
      </w:r>
      <w:r>
        <w:rPr>
          <w:rFonts w:ascii="Times New Roman" w:cs="Times New Roman" w:eastAsia="Times New Roman" w:hAnsi="Times New Roman"/>
          <w:sz w:val="20"/>
          <w:szCs w:val="20"/>
          <w:color w:val="auto"/>
        </w:rPr>
        <w:t xml:space="preserve">. Payments on account of Utility Rent, determined in accordance with </w:t>
      </w:r>
      <w:r>
        <w:rPr>
          <w:rFonts w:ascii="Times New Roman" w:cs="Times New Roman" w:eastAsia="Times New Roman" w:hAnsi="Times New Roman"/>
          <w:sz w:val="20"/>
          <w:szCs w:val="20"/>
          <w:u w:val="single" w:color="auto"/>
          <w:color w:val="auto"/>
        </w:rPr>
        <w:t>Paragraph 12(b)</w:t>
      </w:r>
      <w:r>
        <w:rPr>
          <w:rFonts w:ascii="Times New Roman" w:cs="Times New Roman" w:eastAsia="Times New Roman" w:hAnsi="Times New Roman"/>
          <w:sz w:val="20"/>
          <w:szCs w:val="20"/>
          <w:color w:val="auto"/>
        </w:rPr>
        <w:t>, are due and payable monthly as provided therein.</w:t>
      </w:r>
    </w:p>
    <w:p>
      <w:pPr>
        <w:spacing w:after="0" w:line="87" w:lineRule="exact"/>
        <w:rPr>
          <w:rFonts w:ascii="Times New Roman" w:cs="Times New Roman" w:eastAsia="Times New Roman" w:hAnsi="Times New Roman"/>
          <w:sz w:val="20"/>
          <w:szCs w:val="20"/>
          <w:color w:val="auto"/>
        </w:rPr>
      </w:pPr>
    </w:p>
    <w:p>
      <w:pPr>
        <w:ind w:firstLine="1194"/>
        <w:spacing w:after="0" w:line="281" w:lineRule="auto"/>
        <w:tabs>
          <w:tab w:leader="none" w:pos="1792" w:val="left"/>
        </w:tabs>
        <w:numPr>
          <w:ilvl w:val="2"/>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each calendar year or part thereof during the Term subsequent to the Base Expense Year specified in the </w:t>
      </w:r>
      <w:r>
        <w:rPr>
          <w:rFonts w:ascii="Times New Roman" w:cs="Times New Roman" w:eastAsia="Times New Roman" w:hAnsi="Times New Roman"/>
          <w:sz w:val="20"/>
          <w:szCs w:val="20"/>
          <w:i w:val="1"/>
          <w:iCs w:val="1"/>
          <w:color w:val="auto"/>
        </w:rPr>
        <w:t>Basic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Lease Information </w:t>
      </w:r>
      <w:r>
        <w:rPr>
          <w:rFonts w:ascii="Times New Roman" w:cs="Times New Roman" w:eastAsia="Times New Roman" w:hAnsi="Times New Roman"/>
          <w:sz w:val="20"/>
          <w:szCs w:val="20"/>
          <w:color w:val="auto"/>
        </w:rPr>
        <w:t>(the “Base Expense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1" w:right="339" w:bottom="1440" w:gutter="0" w:footer="0" w:header="0"/>
        </w:sectPr>
      </w:pPr>
    </w:p>
    <w:bookmarkStart w:id="592" w:name="page593"/>
    <w:bookmarkEnd w:id="592"/>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Tenant shall pay to Landlord, as additional monthly rent, Tenant’s Percentage Share (as hereinafter defined) of the total dollar increase, if any, in (A) Operating Expenses (as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paid or incurred by Landlord in such calendar year or part thereof over Operating Expenses paid or incurred by Landlord in the Base Expense Year, and (B) Property Taxes (as defined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paid or incurred by Landlord in such calendar year or part thereof over the Property Taxes paid or incurred by Landlord in the tax year ending on June 30 of the Base Expense Year. No offset shall be given for decreases in either Operating Expenses or Property Taxes against the other, and increases in each of Operating Expenses and Property Taxes shall be determined separately. Payments on account of Tenant’s Percentage Share of Operating Expenses and of Property Taxes, determined in accordance with </w:t>
      </w:r>
      <w:r>
        <w:rPr>
          <w:rFonts w:ascii="Times New Roman" w:cs="Times New Roman" w:eastAsia="Times New Roman" w:hAnsi="Times New Roman"/>
          <w:sz w:val="20"/>
          <w:szCs w:val="20"/>
          <w:u w:val="single" w:color="auto"/>
          <w:color w:val="auto"/>
        </w:rPr>
        <w:t>Paragraph 7(a)</w:t>
      </w:r>
      <w:r>
        <w:rPr>
          <w:rFonts w:ascii="Times New Roman" w:cs="Times New Roman" w:eastAsia="Times New Roman" w:hAnsi="Times New Roman"/>
          <w:sz w:val="20"/>
          <w:szCs w:val="20"/>
          <w:color w:val="auto"/>
        </w:rPr>
        <w:t xml:space="preserve">, are due and payable monthly together with the payment of Base Rent. “Tenant’s Percentage Share” shall mean the percentage set forth in the </w:t>
      </w:r>
      <w:r>
        <w:rPr>
          <w:rFonts w:ascii="Times New Roman" w:cs="Times New Roman" w:eastAsia="Times New Roman" w:hAnsi="Times New Roman"/>
          <w:sz w:val="20"/>
          <w:szCs w:val="20"/>
          <w:i w:val="1"/>
          <w:iCs w:val="1"/>
          <w:color w:val="auto"/>
        </w:rPr>
        <w:t>Basic Lease Information,</w:t>
      </w:r>
      <w:r>
        <w:rPr>
          <w:rFonts w:ascii="Times New Roman" w:cs="Times New Roman" w:eastAsia="Times New Roman" w:hAnsi="Times New Roman"/>
          <w:sz w:val="20"/>
          <w:szCs w:val="20"/>
          <w:color w:val="auto"/>
        </w:rPr>
        <w:t xml:space="preserve"> determined, and as may be adjusted, in accordance with </w:t>
      </w:r>
      <w:r>
        <w:rPr>
          <w:rFonts w:ascii="Times New Roman" w:cs="Times New Roman" w:eastAsia="Times New Roman" w:hAnsi="Times New Roman"/>
          <w:sz w:val="20"/>
          <w:szCs w:val="20"/>
          <w:u w:val="single" w:color="auto"/>
          <w:color w:val="auto"/>
        </w:rPr>
        <w:t>Paragraph 34(f)</w:t>
      </w:r>
      <w:r>
        <w:rPr>
          <w:rFonts w:ascii="Times New Roman" w:cs="Times New Roman" w:eastAsia="Times New Roman" w:hAnsi="Times New Roman"/>
          <w:sz w:val="20"/>
          <w:szCs w:val="20"/>
          <w:color w:val="auto"/>
        </w:rPr>
        <w:t xml:space="preserve"> of this Lease.</w:t>
      </w:r>
    </w:p>
    <w:p>
      <w:pPr>
        <w:spacing w:after="0" w:line="121" w:lineRule="exact"/>
        <w:rPr>
          <w:sz w:val="20"/>
          <w:szCs w:val="20"/>
          <w:color w:val="auto"/>
        </w:rPr>
      </w:pPr>
    </w:p>
    <w:p>
      <w:pPr>
        <w:jc w:val="both"/>
        <w:ind w:firstLine="597"/>
        <w:spacing w:after="0" w:line="263" w:lineRule="auto"/>
        <w:tabs>
          <w:tab w:leader="none" w:pos="1190" w:val="left"/>
        </w:tabs>
        <w:numPr>
          <w:ilvl w:val="0"/>
          <w:numId w:val="5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additional rent payable under </w:t>
      </w:r>
      <w:r>
        <w:rPr>
          <w:rFonts w:ascii="Times New Roman" w:cs="Times New Roman" w:eastAsia="Times New Roman" w:hAnsi="Times New Roman"/>
          <w:sz w:val="19"/>
          <w:szCs w:val="19"/>
          <w:u w:val="single" w:color="auto"/>
          <w:color w:val="auto"/>
        </w:rPr>
        <w:t>Paragraph 5(a)(iii),</w:t>
      </w:r>
      <w:r>
        <w:rPr>
          <w:rFonts w:ascii="Times New Roman" w:cs="Times New Roman" w:eastAsia="Times New Roman" w:hAnsi="Times New Roman"/>
          <w:sz w:val="19"/>
          <w:szCs w:val="19"/>
          <w:color w:val="auto"/>
        </w:rPr>
        <w:t xml:space="preserve"> Tenant shall reimburse Landlord upon demand for all taxes, assessments, excises, levies, fees and charges that are payable by Landlord and levied, assessed, charged, confirmed or imposed by any public or government authority upon, or measured by, or reasonably attributable to (i) the cost or value of Tenant’s equipment, furniture, fixtures and other personal property located in the Premises or the cost or value of any leasehold improvements made in or to the Premises by or for Tenant, regardless of whether title to such improvements is vested in Tenant or Landlord, (ii) the rent payable by Tenant under this Lease, including, without limitation, any gross receipts tax charged upon the rent payable to Landlord under this Lease, (iii) the possession, leasing, operation, management, maintenance, alteration, repair, use or occupancy by Tenant of the Premises, or (iv) this transaction or any document to which Tenant is a party creating or transferring an interest or an estate in the Premises. Such taxes, assessments, excises, levies, fees and charges shall not include net income (measured by the income of Landlord from all sources or from sources other than solely rent), franchise, documentary transfer, inheritance or capital stock taxes of Landlord, unless levied or assessed against Landlord in whole or in part, in lieu of, as a substitute for, or as an addition to any such taxes, assessments, excises, levies, fees and charges. If any such taxes are chargeable or assessed against Landlord on a monthly basis, such taxes shall be due and payable together with Tenant’s payment of Base Rent, based on Landlord’s statement therefore given to Tenant at least ten (10) days prior to the date Base Rent is due under this Lease.</w:t>
      </w:r>
    </w:p>
    <w:p>
      <w:pPr>
        <w:spacing w:after="0" w:line="110" w:lineRule="exact"/>
        <w:rPr>
          <w:rFonts w:ascii="Times New Roman" w:cs="Times New Roman" w:eastAsia="Times New Roman" w:hAnsi="Times New Roman"/>
          <w:sz w:val="19"/>
          <w:szCs w:val="19"/>
          <w:color w:val="auto"/>
        </w:rPr>
      </w:pPr>
    </w:p>
    <w:p>
      <w:pPr>
        <w:jc w:val="both"/>
        <w:ind w:firstLine="597"/>
        <w:spacing w:after="0" w:line="254" w:lineRule="auto"/>
        <w:tabs>
          <w:tab w:leader="none" w:pos="1191" w:val="left"/>
        </w:tabs>
        <w:numPr>
          <w:ilvl w:val="0"/>
          <w:numId w:val="5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Lease, the term “rent” shall mean and include all Base Rent, additional monthly rent as described in this </w:t>
      </w:r>
      <w:r>
        <w:rPr>
          <w:rFonts w:ascii="Times New Roman" w:cs="Times New Roman" w:eastAsia="Times New Roman" w:hAnsi="Times New Roman"/>
          <w:sz w:val="20"/>
          <w:szCs w:val="20"/>
          <w:u w:val="single" w:color="auto"/>
          <w:color w:val="auto"/>
        </w:rPr>
        <w:t>Paragraph 5</w:t>
      </w:r>
      <w:r>
        <w:rPr>
          <w:rFonts w:ascii="Times New Roman" w:cs="Times New Roman" w:eastAsia="Times New Roman" w:hAnsi="Times New Roman"/>
          <w:sz w:val="20"/>
          <w:szCs w:val="20"/>
          <w:color w:val="auto"/>
        </w:rPr>
        <w:t xml:space="preserve"> above, and any other sums payable by Tenant in accordance with this Lease, regardless of whether such sum is expressly characterized, or stated to be, rent in any other section of this Lease. Rent shall be paid in lawful money of the United States of America, in advance, free from all claims, demands, or set-offs against Landlord of any kind or character whatsoever, at the address for payment of rent specified in the </w:t>
      </w:r>
      <w:r>
        <w:rPr>
          <w:rFonts w:ascii="Times New Roman" w:cs="Times New Roman" w:eastAsia="Times New Roman" w:hAnsi="Times New Roman"/>
          <w:sz w:val="20"/>
          <w:szCs w:val="20"/>
          <w:i w:val="1"/>
          <w:iCs w:val="1"/>
          <w:color w:val="auto"/>
        </w:rPr>
        <w:t>Basic Lease Information,</w:t>
      </w:r>
      <w:r>
        <w:rPr>
          <w:rFonts w:ascii="Times New Roman" w:cs="Times New Roman" w:eastAsia="Times New Roman" w:hAnsi="Times New Roman"/>
          <w:sz w:val="20"/>
          <w:szCs w:val="20"/>
          <w:color w:val="auto"/>
        </w:rPr>
        <w:t xml:space="preserve"> or such other address, notice of which is given to Tenant in accordance with </w:t>
      </w:r>
      <w:r>
        <w:rPr>
          <w:rFonts w:ascii="Times New Roman" w:cs="Times New Roman" w:eastAsia="Times New Roman" w:hAnsi="Times New Roman"/>
          <w:sz w:val="20"/>
          <w:szCs w:val="20"/>
          <w:u w:val="single" w:color="auto"/>
          <w:color w:val="auto"/>
        </w:rPr>
        <w:t>Paragraph 23</w:t>
      </w:r>
      <w:r>
        <w:rPr>
          <w:rFonts w:ascii="Times New Roman" w:cs="Times New Roman" w:eastAsia="Times New Roman" w:hAnsi="Times New Roman"/>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21" w:right="339" w:bottom="1440" w:gutter="0" w:footer="0" w:header="0"/>
        </w:sectPr>
      </w:pPr>
    </w:p>
    <w:bookmarkStart w:id="593" w:name="page594"/>
    <w:bookmarkEnd w:id="593"/>
    <w:p>
      <w:pPr>
        <w:ind w:left="600" w:hanging="600"/>
        <w:spacing w:after="0"/>
        <w:tabs>
          <w:tab w:leader="none" w:pos="600" w:val="left"/>
        </w:tabs>
        <w:numPr>
          <w:ilvl w:val="0"/>
          <w:numId w:val="5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56" w:lineRule="auto"/>
        <w:tabs>
          <w:tab w:leader="none" w:pos="1192" w:val="left"/>
        </w:tabs>
        <w:numPr>
          <w:ilvl w:val="1"/>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Premises shall be used for general office use, including business executive, sales and administrative office purposes, only, except as limited by </w:t>
      </w:r>
      <w:r>
        <w:rPr>
          <w:rFonts w:ascii="Times New Roman" w:cs="Times New Roman" w:eastAsia="Times New Roman" w:hAnsi="Times New Roman"/>
          <w:sz w:val="20"/>
          <w:szCs w:val="20"/>
          <w:u w:val="single" w:color="auto"/>
          <w:color w:val="auto"/>
        </w:rPr>
        <w:t>Paragraph 6(b)</w:t>
      </w:r>
      <w:r>
        <w:rPr>
          <w:rFonts w:ascii="Times New Roman" w:cs="Times New Roman" w:eastAsia="Times New Roman" w:hAnsi="Times New Roman"/>
          <w:sz w:val="20"/>
          <w:szCs w:val="20"/>
          <w:color w:val="auto"/>
        </w:rPr>
        <w:t>, and, subject to the terms of this Lease, uses incidental thereto, and shall be used for no other purpose without the prior written consent of Landlord. The use of an existing kitchenette facility located in the Premises, if any, is subject to the terms of this Lease and is deemed an incidental use.</w:t>
      </w:r>
    </w:p>
    <w:p>
      <w:pPr>
        <w:spacing w:after="0" w:line="113" w:lineRule="exact"/>
        <w:rPr>
          <w:rFonts w:ascii="Times New Roman" w:cs="Times New Roman" w:eastAsia="Times New Roman" w:hAnsi="Times New Roman"/>
          <w:sz w:val="20"/>
          <w:szCs w:val="20"/>
          <w:color w:val="auto"/>
        </w:rPr>
      </w:pPr>
    </w:p>
    <w:p>
      <w:pPr>
        <w:jc w:val="both"/>
        <w:ind w:firstLine="597"/>
        <w:spacing w:after="0" w:line="252" w:lineRule="auto"/>
        <w:tabs>
          <w:tab w:leader="none" w:pos="1191" w:val="left"/>
        </w:tabs>
        <w:numPr>
          <w:ilvl w:val="1"/>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may not use any part or all of the Premises for any regular retail operations, other than special pop-up or other events from time to time, but excluding any such events in the Covered Space (as hereinafter defined); offices for the conduct of any adult entertainment business or a business primarily engaged in sexually explicit products or services; a medical or dental office; manufacturing, warehousing or inventory distribution; an office providing any type of psychological or drug counseling, or employment placement or agency office; telemarketing operations; consulate, foreign mission or trade office; government or regulatory agency office; educational institution with classrooms, or similar uses.</w:t>
      </w:r>
    </w:p>
    <w:p>
      <w:pPr>
        <w:spacing w:after="0" w:line="119" w:lineRule="exact"/>
        <w:rPr>
          <w:rFonts w:ascii="Times New Roman" w:cs="Times New Roman" w:eastAsia="Times New Roman" w:hAnsi="Times New Roman"/>
          <w:sz w:val="20"/>
          <w:szCs w:val="20"/>
          <w:color w:val="auto"/>
        </w:rPr>
      </w:pPr>
    </w:p>
    <w:p>
      <w:pPr>
        <w:jc w:val="both"/>
        <w:ind w:firstLine="597"/>
        <w:spacing w:after="0" w:line="248" w:lineRule="auto"/>
        <w:tabs>
          <w:tab w:leader="none" w:pos="1192" w:val="left"/>
        </w:tabs>
        <w:numPr>
          <w:ilvl w:val="1"/>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shall not use the Premises or permit anything to be done in or about the Premises or the Building which will in any way conflict with any present or future law, statute, ordinance, code, rule regulation, requirement, license, permit, certificate, judgment, decree, order or direction of any present or future governmental or quasi-governmental authority, agency, department, board, panel or court (singularly and collectively “Laws”). Subject to the terms of this </w:t>
      </w:r>
      <w:r>
        <w:rPr>
          <w:rFonts w:ascii="Times New Roman" w:cs="Times New Roman" w:eastAsia="Times New Roman" w:hAnsi="Times New Roman"/>
          <w:sz w:val="20"/>
          <w:szCs w:val="20"/>
          <w:u w:val="single" w:color="auto"/>
          <w:color w:val="auto"/>
        </w:rPr>
        <w:t>Paragraph 6(c)</w:t>
      </w:r>
      <w:r>
        <w:rPr>
          <w:rFonts w:ascii="Times New Roman" w:cs="Times New Roman" w:eastAsia="Times New Roman" w:hAnsi="Times New Roman"/>
          <w:sz w:val="20"/>
          <w:szCs w:val="20"/>
          <w:color w:val="auto"/>
        </w:rPr>
        <w:t>, Tenant shall, at its expense, promptly comply with all Laws, including, without limitation, the Federal Americans with Disabilities Act (the Federal Americans with Disabilities Act, as codified in State and local building codes, is referred to herein as the “ADA”), and any Hazardous Materials Laws (as hereinafter defined), relating to or affecting the condition, use, maintenance or occupancy of the Premises. Tenant acknowledges that Landlord has disclosed to Tenant the fact that the Project is a grouping of historic buildings that contain architectural and design elements that may not comply with the ADA. In connection with the delivery of possession of the Premises to Tenant, Landlord shall provide ADA compliant path of travel to the Premises, including constructing a new Building lobby on the 9th Street entrance to the Building. To the extent certain Building amenities are not available to persons with physical disabilities, Landlord will institute throughout the Term of this Lease administrative protocols that offer access on an “as needed” basis to alternative facilities in the Project (which may include the Building management office) that offer comparable public accommodations to invitees with physical disabilities. Subject to the foregoing, it is the intent of the parties to allocate to Tenant the cost of compliance of any and all Laws, regardless of the existing condition of the Premises, the cost of compliance or the foreseeability of the enactment or application of the Laws to the Premises. Notwithstanding the foregoing, Tenant shall not be required to make structural changes to the Premises unless they arise or are required because of or in connection with Tenant’s specific use of the Premises for other than general office use, or the type of business conducted by Tenant in the Premises, or Tenant’s Alterations, (and exclusive of the Tenant Improvements performed by Landlord), or Tenant’s acts or omissions. In accordance with California Civil Code Section 1938, Landlord hereby discloses, and Tenant acknowledges, that neither the Premises nor the Building has been inspected by a Certified Access Specialist. As required by Section 1938(e) of the California Civil Code, Landlord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17" w:right="339" w:bottom="1440" w:gutter="0" w:footer="0" w:header="0"/>
        </w:sectPr>
      </w:pPr>
    </w:p>
    <w:bookmarkStart w:id="594" w:name="page595"/>
    <w:bookmarkEnd w:id="594"/>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by their execution of this Lease, Landlord and Tenant hereby agree that, without limiting Tenant’s obligations to comply with the ADA and Laws as provided in the Lease, subject to the performance by Landlord of the ADA compliant work provided in this Paragraph, tenant, at its sole cost and expense, shall be solely responsible for making any improvements, alterations, modifications and/or repairs within or to the Premises to correct violations of construction-related accessibility standards as disclosed by any Tenant-performed CASp inspection shall be allocated in accordance with the terms of this </w:t>
      </w:r>
      <w:r>
        <w:rPr>
          <w:rFonts w:ascii="Times New Roman" w:cs="Times New Roman" w:eastAsia="Times New Roman" w:hAnsi="Times New Roman"/>
          <w:sz w:val="20"/>
          <w:szCs w:val="20"/>
          <w:u w:val="single" w:color="auto"/>
          <w:color w:val="auto"/>
        </w:rPr>
        <w:t>Paragraph 6(c)</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jc w:val="both"/>
        <w:ind w:firstLine="597"/>
        <w:spacing w:after="0" w:line="248" w:lineRule="auto"/>
        <w:tabs>
          <w:tab w:leader="none" w:pos="1190" w:val="left"/>
        </w:tabs>
        <w:numPr>
          <w:ilvl w:val="0"/>
          <w:numId w:val="5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Supplementing the provisions of </w:t>
      </w:r>
      <w:r>
        <w:rPr>
          <w:rFonts w:ascii="Times New Roman" w:cs="Times New Roman" w:eastAsia="Times New Roman" w:hAnsi="Times New Roman"/>
          <w:sz w:val="20"/>
          <w:szCs w:val="20"/>
          <w:u w:val="single" w:color="auto"/>
          <w:color w:val="auto"/>
        </w:rPr>
        <w:t>Paragraph 6(c)</w:t>
      </w:r>
      <w:r>
        <w:rPr>
          <w:rFonts w:ascii="Times New Roman" w:cs="Times New Roman" w:eastAsia="Times New Roman" w:hAnsi="Times New Roman"/>
          <w:sz w:val="20"/>
          <w:szCs w:val="20"/>
          <w:color w:val="auto"/>
        </w:rPr>
        <w:t xml:space="preserve"> above, Tenant shall not use the Premises or any portion of the Building in violation of any federal, state, or local law, ordinance, or regulation relating to the environment, health, or safety. Tenant shall not use, generate, manufacture or store in or about the Premises or the Building or transport to or from the Premises or the Building any explosives, radioactive materials, hazardous materials, hazardous wastes, asbestos, flammable petroleum products, PCB transformers, toxic substances or related materials (collectively ‘ Hazardous Materials”), other than the use and storage in the Premises of small quantities of such substances when found in commonly used household cleansers, office supplies and general office equipment, and any such substances shall be used, kept, stored and disposed of, in strict accordance with all applicable federal, state and local laws now in force or which may hereafter be in force relating to the protection of human health or the environment from Hazardous Materials, including all requirements pertaining to reporting, licensing, permitting, investigation and remediation of emissions, discharges, storage, disposal or releases of Hazardous Materials and all requirements pertaining to the protection of the health and safety of employees or the public with respect to Hazardous Materials (collectively, “Hazardous Materials Laws”). Hazardous Materials shall include, without limitation, substances defined as “hazardous substances,” “hazardous materials,” “toxic substances,” “hazardous waste” or “waste” in the Comprehensive Environmental Response, Compensation and Liability Act of 1980, as amended, 42 U.S.C. Sec. 9601,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Hazardous Materials Transportation Act, 49 U.S.C. Sec. 1801,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Resource Conservation and Recovery Act, 42 U.S.C. Sec. 6901,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those substances defined as “hazardous wastes” in Section 25117 of the California Health &amp; Safety Code or as “hazardous substances” in subdivision (f) of Section 25281, and Section 25316, of the California Health &amp; Safety Code; substances defined as “mold” in subdivision (g) of Section 26101 of the Health &amp; Safety Code (the “Toxic Mold Protection Act of 2001”); and any “waste” as defined in subdivision (d) of Section 13050 of the Water Code; and in the regulations adopted and procedures promulgated pursuant to any of the aforementioned laws; and in any revised or successor code thereto; and any other chemical, material or substance at levels for which exposure is prohibited, limited or regulated by any governmental authority. To Landlord’s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21" w:right="339" w:bottom="1440" w:gutter="0" w:footer="0" w:header="0"/>
        </w:sectPr>
      </w:pPr>
    </w:p>
    <w:bookmarkStart w:id="595" w:name="page596"/>
    <w:bookmarkEnd w:id="595"/>
    <w:p>
      <w:pPr>
        <w:jc w:val="both"/>
        <w:spacing w:after="0" w:line="251" w:lineRule="auto"/>
        <w:rPr>
          <w:sz w:val="20"/>
          <w:szCs w:val="20"/>
          <w:color w:val="auto"/>
        </w:rPr>
      </w:pPr>
      <w:r>
        <w:rPr>
          <w:rFonts w:ascii="Times New Roman" w:cs="Times New Roman" w:eastAsia="Times New Roman" w:hAnsi="Times New Roman"/>
          <w:sz w:val="20"/>
          <w:szCs w:val="20"/>
          <w:color w:val="auto"/>
        </w:rPr>
        <w:t>knowledge, no Hazardous Materials exist on or about the Premises, as of the date of this Lease in violation or at levels that exceed that permitted under Hazardous Materials Laws. Notwithstanding anything to the contrary in this Lease, in no event shall Tenant be obligated to indemnify, defend and hold Landlord harmless from and against any Hazardous Materials placed on, under or about the Project or the Building (including without limitation the Premises) prior to the Commencement Date, unless such conditions are knowingly or negligently exacerbated by Tenant or any contractor under the control of Tenant, in which event such condition shall be subject to the Tenant indemnification hereinabove provided, and, subject to the foregoing, the cost to remove and remediate any such Hazardous Materials shall be at the sole cost and expense of Landlord.</w:t>
      </w:r>
    </w:p>
    <w:p>
      <w:pPr>
        <w:spacing w:after="0" w:line="121" w:lineRule="exact"/>
        <w:rPr>
          <w:sz w:val="20"/>
          <w:szCs w:val="20"/>
          <w:color w:val="auto"/>
        </w:rPr>
      </w:pPr>
    </w:p>
    <w:p>
      <w:pPr>
        <w:jc w:val="both"/>
        <w:ind w:firstLine="597"/>
        <w:spacing w:after="0" w:line="256" w:lineRule="auto"/>
        <w:tabs>
          <w:tab w:leader="none" w:pos="1192"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Landlord’s right to temporarily or permanently close, remove or alter such areas, Tenant and Tenant’s employees, invitees and licensees shall have the right to use, in common with others, the outdoor walkways, pathways and seating areas (if any) located within the Project. Subject to compliance with the terms of this Lease and the Building Rules, Tenant and its authorized personnel shall have reasonable access to the Premises seven days per week, on a 24-hour-per-day basis.</w:t>
      </w:r>
    </w:p>
    <w:p>
      <w:pPr>
        <w:spacing w:after="0" w:line="109"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ESCALATION.</w:t>
      </w:r>
    </w:p>
    <w:p>
      <w:pPr>
        <w:spacing w:after="0" w:line="159" w:lineRule="exact"/>
        <w:rPr>
          <w:rFonts w:ascii="Times New Roman" w:cs="Times New Roman" w:eastAsia="Times New Roman" w:hAnsi="Times New Roman"/>
          <w:sz w:val="20"/>
          <w:szCs w:val="20"/>
          <w:b w:val="1"/>
          <w:bCs w:val="1"/>
          <w:color w:val="auto"/>
        </w:rPr>
      </w:pPr>
    </w:p>
    <w:p>
      <w:pPr>
        <w:ind w:left="6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The additional monthly rent payable pursuant to </w:t>
      </w:r>
      <w:r>
        <w:rPr>
          <w:rFonts w:ascii="Times New Roman" w:cs="Times New Roman" w:eastAsia="Times New Roman" w:hAnsi="Times New Roman"/>
          <w:sz w:val="20"/>
          <w:szCs w:val="20"/>
          <w:u w:val="single" w:color="auto"/>
          <w:color w:val="auto"/>
        </w:rPr>
        <w:t>Paragraph 5(a)</w:t>
      </w:r>
      <w:r>
        <w:rPr>
          <w:rFonts w:ascii="Times New Roman" w:cs="Times New Roman" w:eastAsia="Times New Roman" w:hAnsi="Times New Roman"/>
          <w:sz w:val="20"/>
          <w:szCs w:val="20"/>
          <w:color w:val="auto"/>
        </w:rPr>
        <w:t xml:space="preserve"> hereof shall be calculated and paid in accordance with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procedures:</w:t>
      </w:r>
    </w:p>
    <w:p>
      <w:pPr>
        <w:spacing w:after="0" w:line="134" w:lineRule="exact"/>
        <w:rPr>
          <w:sz w:val="20"/>
          <w:szCs w:val="20"/>
          <w:color w:val="auto"/>
        </w:rPr>
      </w:pPr>
    </w:p>
    <w:p>
      <w:pPr>
        <w:jc w:val="both"/>
        <w:ind w:firstLine="597"/>
        <w:spacing w:after="0" w:line="250" w:lineRule="auto"/>
        <w:tabs>
          <w:tab w:leader="none" w:pos="1192"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before the first day of each calendar year during the Term subsequent to the Base Expense Year, or as soon thereafter as practicable, Landlord shall give Tenant written notice of Landlord’s reasonable estimate of the amounts payable by Tenant under </w:t>
      </w:r>
      <w:r>
        <w:rPr>
          <w:rFonts w:ascii="Times New Roman" w:cs="Times New Roman" w:eastAsia="Times New Roman" w:hAnsi="Times New Roman"/>
          <w:sz w:val="20"/>
          <w:szCs w:val="20"/>
          <w:u w:val="single" w:color="auto"/>
          <w:color w:val="auto"/>
        </w:rPr>
        <w:t>Paragraph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5(a)</w:t>
      </w:r>
      <w:r>
        <w:rPr>
          <w:rFonts w:ascii="Times New Roman" w:cs="Times New Roman" w:eastAsia="Times New Roman" w:hAnsi="Times New Roman"/>
          <w:sz w:val="20"/>
          <w:szCs w:val="20"/>
          <w:color w:val="auto"/>
        </w:rPr>
        <w:t xml:space="preserve"> for the ensuing calendar year. On or before the first day of each month during such ensuing calendar year, Tenant shall pay to Landlord one-twelfth of such estimated amounts. If such notice is not given for any calendar year, Tenant shall continue to pay on the basis of the prior year’s estimate until the month after such notice is given, and subsequent payments by Tenant shall be based on Landlord’s current estimate, adjusted, as determined by Landlord, so that the subsequent monthly installments payable by Tenant hereunder through the end of the calendar year shall reimburse Landlord for all amounts payable by Tenant under </w:t>
      </w:r>
      <w:r>
        <w:rPr>
          <w:rFonts w:ascii="Times New Roman" w:cs="Times New Roman" w:eastAsia="Times New Roman" w:hAnsi="Times New Roman"/>
          <w:sz w:val="20"/>
          <w:szCs w:val="20"/>
          <w:u w:val="single" w:color="auto"/>
          <w:color w:val="auto"/>
        </w:rPr>
        <w:t>Paragraph 5(a)</w:t>
      </w:r>
      <w:r>
        <w:rPr>
          <w:rFonts w:ascii="Times New Roman" w:cs="Times New Roman" w:eastAsia="Times New Roman" w:hAnsi="Times New Roman"/>
          <w:sz w:val="20"/>
          <w:szCs w:val="20"/>
          <w:color w:val="auto"/>
        </w:rPr>
        <w:t xml:space="preserve"> hereof. If at any time it appears to Landlord that the amounts payable under </w:t>
      </w:r>
      <w:r>
        <w:rPr>
          <w:rFonts w:ascii="Times New Roman" w:cs="Times New Roman" w:eastAsia="Times New Roman" w:hAnsi="Times New Roman"/>
          <w:sz w:val="20"/>
          <w:szCs w:val="20"/>
          <w:u w:val="single" w:color="auto"/>
          <w:color w:val="auto"/>
        </w:rPr>
        <w:t>Paragraph 5(a)</w:t>
      </w:r>
      <w:r>
        <w:rPr>
          <w:rFonts w:ascii="Times New Roman" w:cs="Times New Roman" w:eastAsia="Times New Roman" w:hAnsi="Times New Roman"/>
          <w:sz w:val="20"/>
          <w:szCs w:val="20"/>
          <w:color w:val="auto"/>
        </w:rPr>
        <w:t xml:space="preserve"> hereof for the current calendar year will vary from Landlord’s estimate, Landlord may, by giving written notice to Tenant, revise Landlord’s estimate for such year, and subsequent payments by Tenant for such year shall be based on such revised estimate.</w:t>
      </w:r>
    </w:p>
    <w:p>
      <w:pPr>
        <w:spacing w:after="0" w:line="117" w:lineRule="exact"/>
        <w:rPr>
          <w:rFonts w:ascii="Times New Roman" w:cs="Times New Roman" w:eastAsia="Times New Roman" w:hAnsi="Times New Roman"/>
          <w:sz w:val="20"/>
          <w:szCs w:val="20"/>
          <w:color w:val="auto"/>
        </w:rPr>
      </w:pPr>
    </w:p>
    <w:p>
      <w:pPr>
        <w:jc w:val="both"/>
        <w:ind w:firstLine="597"/>
        <w:spacing w:after="0" w:line="251" w:lineRule="auto"/>
        <w:tabs>
          <w:tab w:leader="none" w:pos="1191"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one hundred twenty (120) days after the end of each calendar year subsequent to the Base Expense Year, Landlord shall give Tenant a written statement certified by Landlord of the amounts payable under </w:t>
      </w:r>
      <w:r>
        <w:rPr>
          <w:rFonts w:ascii="Times New Roman" w:cs="Times New Roman" w:eastAsia="Times New Roman" w:hAnsi="Times New Roman"/>
          <w:sz w:val="20"/>
          <w:szCs w:val="20"/>
          <w:u w:val="single" w:color="auto"/>
          <w:color w:val="auto"/>
        </w:rPr>
        <w:t>Paragraph 5(a)</w:t>
      </w:r>
      <w:r>
        <w:rPr>
          <w:rFonts w:ascii="Times New Roman" w:cs="Times New Roman" w:eastAsia="Times New Roman" w:hAnsi="Times New Roman"/>
          <w:sz w:val="20"/>
          <w:szCs w:val="20"/>
          <w:color w:val="auto"/>
        </w:rPr>
        <w:t xml:space="preserve"> hereof for such calendar year. If such statement shows an amount owing by Tenant that is less than the estimated payments for such calendar year previously made by Tenant, Landlord shall, provided no Event of Default has then been declared under this Lease (or if this Lease has been terminated or expired, no default exists in the payment of any sums due Landlord under this Lease), refund the excess to Tenant within thirty (30) days of the date of such statement. If such statement shows an amount owing by Tenant that is more than the estimated payments for such calendar year previously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21" w:right="339" w:bottom="1440" w:gutter="0" w:footer="0" w:header="0"/>
        </w:sectPr>
      </w:pPr>
    </w:p>
    <w:bookmarkStart w:id="596" w:name="page597"/>
    <w:bookmarkEnd w:id="596"/>
    <w:p>
      <w:pPr>
        <w:jc w:val="both"/>
        <w:spacing w:after="0" w:line="262" w:lineRule="auto"/>
        <w:rPr>
          <w:sz w:val="20"/>
          <w:szCs w:val="20"/>
          <w:color w:val="auto"/>
        </w:rPr>
      </w:pPr>
      <w:r>
        <w:rPr>
          <w:rFonts w:ascii="Times New Roman" w:cs="Times New Roman" w:eastAsia="Times New Roman" w:hAnsi="Times New Roman"/>
          <w:sz w:val="20"/>
          <w:szCs w:val="20"/>
          <w:color w:val="auto"/>
        </w:rPr>
        <w:t xml:space="preserve">Tenant, Tenant shall pay the deficiency to Landlord within thirty (30) days after delivery of such statement. Failure by Landlord to give any notice or statement to Tenant under this </w:t>
      </w:r>
      <w:r>
        <w:rPr>
          <w:rFonts w:ascii="Times New Roman" w:cs="Times New Roman" w:eastAsia="Times New Roman" w:hAnsi="Times New Roman"/>
          <w:sz w:val="20"/>
          <w:szCs w:val="20"/>
          <w:u w:val="single" w:color="auto"/>
          <w:color w:val="auto"/>
        </w:rPr>
        <w:t>Paragraph 7</w:t>
      </w:r>
      <w:r>
        <w:rPr>
          <w:rFonts w:ascii="Times New Roman" w:cs="Times New Roman" w:eastAsia="Times New Roman" w:hAnsi="Times New Roman"/>
          <w:sz w:val="20"/>
          <w:szCs w:val="20"/>
          <w:color w:val="auto"/>
        </w:rPr>
        <w:t xml:space="preserve"> shall not waive Landlord’s right to receive, or Tenant’s obligation to pay, the amounts payable by Tenant under </w:t>
      </w:r>
      <w:r>
        <w:rPr>
          <w:rFonts w:ascii="Times New Roman" w:cs="Times New Roman" w:eastAsia="Times New Roman" w:hAnsi="Times New Roman"/>
          <w:sz w:val="20"/>
          <w:szCs w:val="20"/>
          <w:u w:val="single" w:color="auto"/>
          <w:color w:val="auto"/>
        </w:rPr>
        <w:t>Paragraph 5(a)</w:t>
      </w:r>
      <w:r>
        <w:rPr>
          <w:rFonts w:ascii="Times New Roman" w:cs="Times New Roman" w:eastAsia="Times New Roman" w:hAnsi="Times New Roman"/>
          <w:sz w:val="20"/>
          <w:szCs w:val="20"/>
          <w:color w:val="auto"/>
        </w:rPr>
        <w:t xml:space="preserve"> hereof.</w:t>
      </w:r>
    </w:p>
    <w:p>
      <w:pPr>
        <w:spacing w:after="0" w:line="105" w:lineRule="exact"/>
        <w:rPr>
          <w:sz w:val="20"/>
          <w:szCs w:val="20"/>
          <w:color w:val="auto"/>
        </w:rPr>
      </w:pPr>
    </w:p>
    <w:p>
      <w:pPr>
        <w:jc w:val="both"/>
        <w:ind w:firstLine="597"/>
        <w:spacing w:after="0" w:line="256" w:lineRule="auto"/>
        <w:tabs>
          <w:tab w:leader="none" w:pos="1191" w:val="left"/>
        </w:tabs>
        <w:numPr>
          <w:ilvl w:val="0"/>
          <w:numId w:val="5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Term ends on a day other than the last day of a calendar year, the amounts payable by Tenant under </w:t>
      </w:r>
      <w:r>
        <w:rPr>
          <w:rFonts w:ascii="Times New Roman" w:cs="Times New Roman" w:eastAsia="Times New Roman" w:hAnsi="Times New Roman"/>
          <w:sz w:val="20"/>
          <w:szCs w:val="20"/>
          <w:u w:val="single" w:color="auto"/>
          <w:color w:val="auto"/>
        </w:rPr>
        <w:t>Paragraph 5(a)</w:t>
      </w:r>
      <w:r>
        <w:rPr>
          <w:rFonts w:ascii="Times New Roman" w:cs="Times New Roman" w:eastAsia="Times New Roman" w:hAnsi="Times New Roman"/>
          <w:sz w:val="20"/>
          <w:szCs w:val="20"/>
          <w:color w:val="auto"/>
        </w:rPr>
        <w:t xml:space="preserve"> hereof applicable to the calendar year in which such Term ends shall be prorated according to the ratio which the number of days in such calendar year to and including the end of the Term bears to three hundred sixty (360). Termination of this Lease shall not affect the obligation of Tenant pursuant to </w:t>
      </w:r>
      <w:r>
        <w:rPr>
          <w:rFonts w:ascii="Times New Roman" w:cs="Times New Roman" w:eastAsia="Times New Roman" w:hAnsi="Times New Roman"/>
          <w:sz w:val="20"/>
          <w:szCs w:val="20"/>
          <w:u w:val="single" w:color="auto"/>
          <w:color w:val="auto"/>
        </w:rPr>
        <w:t>Paragraph 7(b)</w:t>
      </w:r>
      <w:r>
        <w:rPr>
          <w:rFonts w:ascii="Times New Roman" w:cs="Times New Roman" w:eastAsia="Times New Roman" w:hAnsi="Times New Roman"/>
          <w:sz w:val="20"/>
          <w:szCs w:val="20"/>
          <w:color w:val="auto"/>
        </w:rPr>
        <w:t xml:space="preserve"> hereof to be performed after such termination.</w:t>
      </w:r>
    </w:p>
    <w:p>
      <w:pPr>
        <w:spacing w:after="0" w:line="113" w:lineRule="exact"/>
        <w:rPr>
          <w:rFonts w:ascii="Times New Roman" w:cs="Times New Roman" w:eastAsia="Times New Roman" w:hAnsi="Times New Roman"/>
          <w:sz w:val="20"/>
          <w:szCs w:val="20"/>
          <w:color w:val="auto"/>
        </w:rPr>
      </w:pPr>
    </w:p>
    <w:p>
      <w:pPr>
        <w:jc w:val="both"/>
        <w:ind w:firstLine="597"/>
        <w:spacing w:after="0" w:line="248" w:lineRule="auto"/>
        <w:tabs>
          <w:tab w:leader="none" w:pos="1190" w:val="left"/>
        </w:tabs>
        <w:numPr>
          <w:ilvl w:val="0"/>
          <w:numId w:val="5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Landlord’s statement shall be deemed final and binding on Tenant unless Tenant, within ninety (90) days following delivery thereof to Tenant, gives written notice to Landlord of Tenant’s objections to specific cost items in Landlord’s statement in sufficient detail to identity the basis of Tenant’s objection (said notice being referred to herein as “Tenant’s Reservation of Inspection Rights Notice”). If Tenant timely disputes the amount of charges in Landlord’s statement, Tenant, within ninety (90) days of receipt of Tenant’s Reservation of Inspection Rights Notice, may itself, through its own employees, or through a nationally recognized property management firm designated by Tenant and reasonably acceptable to Landlord (the “Approved Inspection Finn”) (provided that said company is not be retained on a contingency fee basis), inspect Landlord’s books and records directly related to Operating Expenses and Property Taxes for the applicable calendar year only and, only in connection with the first such inspection during the Term, the Operating Expenses and Taxes for the Base Year; provided, however, that Tenant is not entitled to request that inspection if Tenant is then in monetary default under this Lease (following notice and the expiration of any applicable cure period) or if Tenant has not paid all amounts required to be paid under the applicable Landlord statement. As a condition to any such inspection, Tenant and, if applicable the Approved Inspection Firm, shall execute a confidentiality agreement, in form and substance reasonably acceptable to Tenant, agreeing to keep the results of any such inspection and the results thereof, confidential. Landlord shall provide Tenant’s comptroller or chief financial officer (or any full-time employees for whom either Tenant’s comptroller or chief financial officer serves as a direct reports), or the Approved Inspection Firm, access to Landlord’s books and records directly related to Operating Expenses and Property Taxes during Landlord’s regular business hours and upon reasonable prior notice at the Building management office. If after Tenant’s or its Approved Inspection Firm’s inspection, Tenant still disputes the Landlord’s statement, Landlord and Tenant shall for a period of thirty (30) days seek to agree on the amount subject to dispute, and if no agreement is reached, Tenant, as its exclusive remedy, shall be entitled to request that a certification of the proper amount shall be made, at Tenant’s expense, by an independent certified public accountant designated by Landlord and reasonably acceptable to Tenant. That certification shall be final and conclusive on Landlord and Tenant. If the certification shows that the amount payable by Tenant attributable to Tenant’s Share of actual Property Taxes and Operating Expenses was, in actuality, required to be less than reported in Landlord’s Statement, Tenant shall be credited against the next installment of Rent in the amount of any overpayment by Tenant. Likewise, if the certification shows that the amount payable by Tenant attributable to Tenant’s Share of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21" w:right="339" w:bottom="1440" w:gutter="0" w:footer="0" w:header="0"/>
        </w:sectPr>
      </w:pPr>
    </w:p>
    <w:bookmarkStart w:id="597" w:name="page598"/>
    <w:bookmarkEnd w:id="597"/>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Property Taxes and Operating Expenses was greater than reported in Landlord’s statement, Tenant shall pay Landlord the amount of any underpayment within thirty (30) days. If Tenant fails to timely exercise its audit rights in accordance with this </w:t>
      </w:r>
      <w:r>
        <w:rPr>
          <w:rFonts w:ascii="Times New Roman" w:cs="Times New Roman" w:eastAsia="Times New Roman" w:hAnsi="Times New Roman"/>
          <w:sz w:val="20"/>
          <w:szCs w:val="20"/>
          <w:u w:val="single" w:color="auto"/>
          <w:color w:val="auto"/>
        </w:rPr>
        <w:t>Paragraph 7(d)</w:t>
      </w:r>
      <w:r>
        <w:rPr>
          <w:rFonts w:ascii="Times New Roman" w:cs="Times New Roman" w:eastAsia="Times New Roman" w:hAnsi="Times New Roman"/>
          <w:sz w:val="20"/>
          <w:szCs w:val="20"/>
          <w:color w:val="auto"/>
        </w:rPr>
        <w:t xml:space="preserve">, the failure shall be conclusively deemed to constitute Tenant’s approval of Landlord’s statement for the calendar year in question. In no event shall this Paragraph be deemed to allow any review of any of Landlord’s books and records by any subtenant of Tenant. The provisions of this Paragraph are intended as the sole and exclusive remedy of Tenant for the resolution of disputes relating to Additional Rent under </w:t>
      </w:r>
      <w:r>
        <w:rPr>
          <w:rFonts w:ascii="Times New Roman" w:cs="Times New Roman" w:eastAsia="Times New Roman" w:hAnsi="Times New Roman"/>
          <w:sz w:val="20"/>
          <w:szCs w:val="20"/>
          <w:u w:val="single" w:color="auto"/>
          <w:color w:val="auto"/>
        </w:rPr>
        <w:t>Paragraph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5(a)(iii)</w:t>
      </w:r>
      <w:r>
        <w:rPr>
          <w:rFonts w:ascii="Times New Roman" w:cs="Times New Roman" w:eastAsia="Times New Roman" w:hAnsi="Times New Roman"/>
          <w:sz w:val="20"/>
          <w:szCs w:val="20"/>
          <w:color w:val="auto"/>
        </w:rPr>
        <w:t xml:space="preserve"> and shall survive the termination or expiration of this Lease for such period as hereinabove provided for Tenant to exercise such right during the year prior to such termination or expiration of the Term. If Tenant disputes the accuracy of the information set forth in Landlord’s statement, Tenant shall nevertheless pay the amount set forth in Landlord’s statement and continue to pay the amounts required by the provisions of </w:t>
      </w:r>
      <w:r>
        <w:rPr>
          <w:rFonts w:ascii="Times New Roman" w:cs="Times New Roman" w:eastAsia="Times New Roman" w:hAnsi="Times New Roman"/>
          <w:sz w:val="20"/>
          <w:szCs w:val="20"/>
          <w:u w:val="single" w:color="auto"/>
          <w:color w:val="auto"/>
        </w:rPr>
        <w:t>Paragraph 7(b)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Paragraph 12(b),</w:t>
      </w:r>
      <w:r>
        <w:rPr>
          <w:rFonts w:ascii="Times New Roman" w:cs="Times New Roman" w:eastAsia="Times New Roman" w:hAnsi="Times New Roman"/>
          <w:sz w:val="20"/>
          <w:szCs w:val="20"/>
          <w:color w:val="auto"/>
        </w:rPr>
        <w:t xml:space="preserve"> as the case may be), pending resolution of said dispute. Any default in the payment of such charges by Tenant shall be deemed an Event of Default (as hereinafter defined) under this Lease.</w:t>
      </w:r>
    </w:p>
    <w:p>
      <w:pPr>
        <w:spacing w:after="0" w:line="114" w:lineRule="exact"/>
        <w:rPr>
          <w:sz w:val="20"/>
          <w:szCs w:val="20"/>
          <w:color w:val="auto"/>
        </w:rPr>
      </w:pPr>
    </w:p>
    <w:p>
      <w:pPr>
        <w:ind w:left="600" w:hanging="600"/>
        <w:spacing w:after="0"/>
        <w:tabs>
          <w:tab w:leader="none" w:pos="600" w:val="left"/>
        </w:tabs>
        <w:numPr>
          <w:ilvl w:val="0"/>
          <w:numId w:val="5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RULES AND REGULATIONS.</w:t>
      </w:r>
    </w:p>
    <w:p>
      <w:pPr>
        <w:spacing w:after="0" w:line="160" w:lineRule="exact"/>
        <w:rPr>
          <w:sz w:val="20"/>
          <w:szCs w:val="20"/>
          <w:color w:val="auto"/>
        </w:rPr>
      </w:pPr>
    </w:p>
    <w:p>
      <w:pPr>
        <w:jc w:val="both"/>
        <w:ind w:firstLine="597"/>
        <w:spacing w:after="0" w:line="263" w:lineRule="auto"/>
        <w:rPr>
          <w:sz w:val="20"/>
          <w:szCs w:val="20"/>
          <w:color w:val="auto"/>
        </w:rPr>
      </w:pPr>
      <w:r>
        <w:rPr>
          <w:rFonts w:ascii="Times New Roman" w:cs="Times New Roman" w:eastAsia="Times New Roman" w:hAnsi="Times New Roman"/>
          <w:sz w:val="19"/>
          <w:szCs w:val="19"/>
          <w:color w:val="auto"/>
        </w:rPr>
        <w:t xml:space="preserve">Tenant shall at all times observe and comply with, and shall cause its employees, agents, contractors, licensees and invitees to observe and comply with, the rules and regulations attached to this Lease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and made a part hereof, and such other reasonable rules and regulations as Landlord may from time to time adopt for the safety, care and cleanliness of the Building or the preservation of good order therein (collectively, the “Building Rules”). Landlord reserves the right from time to time in its sole discretion to make all reasonable additions and modifications to the Building Rules. Any additions and modifications to the Building Rules shall be binding on Tenant provided that Tenant is given ten (10) days prior written notice thereof to permit Tenant a reasonable opportunity to cure any actions which may then be in violation of such newly imposed Building Rules, and the same do not materially and adversely affect Tenant’s rights under this Lease or materially increase Tenant’s obligations hereunder. Landlord shall not be liable to Tenant for violation of any such Building Rules, or for the breach of any covenant or condition in any lease, by any other tenant of the Project; however, Landlord shall enforce the Building Rules in a non-discriminatory manner. Landlord shall use reasonable efforts to secure compliance by all tenants and other persons with the Building Rules from time to time in effect, but shall not be liable to Tenant for failure of any person to comply with such Building Rules. A waiver by Landlord of any rule or regulation for any other tenant shall not constitute nor be deemed a waiver of the rule or regulation for this Tenant. In the event of any conflict between this Lease and the Building Rules, the terms of this Lease shall govern.</w:t>
      </w:r>
    </w:p>
    <w:p>
      <w:pPr>
        <w:spacing w:after="0" w:line="106" w:lineRule="exact"/>
        <w:rPr>
          <w:sz w:val="20"/>
          <w:szCs w:val="20"/>
          <w:color w:val="auto"/>
        </w:rPr>
      </w:pPr>
    </w:p>
    <w:p>
      <w:pPr>
        <w:ind w:left="600" w:hanging="600"/>
        <w:spacing w:after="0"/>
        <w:tabs>
          <w:tab w:leader="none" w:pos="600" w:val="left"/>
        </w:tabs>
        <w:numPr>
          <w:ilvl w:val="0"/>
          <w:numId w:val="5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AND SUBLETTING.</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56" w:lineRule="auto"/>
        <w:tabs>
          <w:tab w:leader="none" w:pos="1192" w:val="left"/>
        </w:tabs>
        <w:numPr>
          <w:ilvl w:val="1"/>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will not assign, mortgage or hypothecate this Lease, or any interest therein, or permit the use of the Premises by any person or persons other than Tenant, or sublet the Premises, or any part thereof, without the prior written consent of Landlord, which consent, subject to Landlord’s right of termination under </w:t>
      </w:r>
      <w:r>
        <w:rPr>
          <w:rFonts w:ascii="Times New Roman" w:cs="Times New Roman" w:eastAsia="Times New Roman" w:hAnsi="Times New Roman"/>
          <w:sz w:val="20"/>
          <w:szCs w:val="20"/>
          <w:u w:val="single" w:color="auto"/>
          <w:color w:val="auto"/>
        </w:rPr>
        <w:t>Paragraph 9(b)</w:t>
      </w:r>
      <w:r>
        <w:rPr>
          <w:rFonts w:ascii="Times New Roman" w:cs="Times New Roman" w:eastAsia="Times New Roman" w:hAnsi="Times New Roman"/>
          <w:sz w:val="20"/>
          <w:szCs w:val="20"/>
          <w:color w:val="auto"/>
        </w:rPr>
        <w:t xml:space="preserve"> below, will not be unreasonably withheld, conditioned or delayed. Consent to any such assignment or sublease shall not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21" w:right="339" w:bottom="1440" w:gutter="0" w:footer="0" w:header="0"/>
        </w:sectPr>
      </w:pPr>
    </w:p>
    <w:bookmarkStart w:id="598" w:name="page599"/>
    <w:bookmarkEnd w:id="598"/>
    <w:p>
      <w:pPr>
        <w:spacing w:after="0" w:line="277" w:lineRule="auto"/>
        <w:rPr>
          <w:sz w:val="20"/>
          <w:szCs w:val="20"/>
          <w:color w:val="auto"/>
        </w:rPr>
      </w:pPr>
      <w:r>
        <w:rPr>
          <w:rFonts w:ascii="Times New Roman" w:cs="Times New Roman" w:eastAsia="Times New Roman" w:hAnsi="Times New Roman"/>
          <w:sz w:val="20"/>
          <w:szCs w:val="20"/>
          <w:color w:val="auto"/>
        </w:rPr>
        <w:t>as a waiver of the necessity for a consent to any subsequent assignment or sublease, and the terms of such consent shall be binding upon any person holding by, under or through Tenant.</w:t>
      </w:r>
    </w:p>
    <w:p>
      <w:pPr>
        <w:spacing w:after="0" w:line="91" w:lineRule="exact"/>
        <w:rPr>
          <w:sz w:val="20"/>
          <w:szCs w:val="20"/>
          <w:color w:val="auto"/>
        </w:rPr>
      </w:pPr>
    </w:p>
    <w:p>
      <w:pPr>
        <w:jc w:val="both"/>
        <w:ind w:firstLine="597"/>
        <w:spacing w:after="0" w:line="248" w:lineRule="auto"/>
        <w:tabs>
          <w:tab w:leader="none" w:pos="1190" w:val="left"/>
        </w:tabs>
        <w:numPr>
          <w:ilvl w:val="0"/>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desires to assign its interest in this Lease or to sublease all or any part of the Premises, Tenant shall notify Landlord in writing at least fifteen (15) Business days in advance of the proposed transaction. This notice shall be accompanied by: (i) a statement setting forth the name and business of the proposed assignee or subtenant a copy of the proposed form of assignment or sublease (and any collateral agreements) setting forth all of the material terms and the financial details of the sublease or assignment; (including, without limitation, the term, the rent and any security deposit, “key money” and amounts payable for the use, rental or purchase of Tenant’s property); (iii) financial statements and other information requested by Landlord relating to the proposed assignee or subtenant; and (iv) any other information concerning the proposed assignment or sublease which Landlord may reasonably request. If Tenant proposes to assign this Lease or sublet, all or more than 50% of the rentable square feet of the Premises, which for purposes herein shall exclude the outdoor patio, in the aggregate or in any one or more transactions, other than pursuant to a Permitted Transfer, Landlord shall have the right, in its sole and absolute discretion, to terminate this Lease on written notice to Tenant within twenty one (21) days after receipt of Tenant’s notice and the information described above or the receipt of any additional information requested by Landlord. In addition, if Tenant proposes to sublet, in any one transaction, 2,000 rentable square feet or more of the Premises, Tenant shall, as part of its initial submittal to Landlord, provide Landlord with a basic demising plan (which plan shall exclude the outdoor patio area but shall include a depiction of the means of ingress and egress) for the proposed sublease premise (the “Sublease Space”), and Landlord shall have the right, in its sole and absolute discretion, to terminate this Lease as to the Sublease Space on written notice to Tenant within twenty one (21) days after receipt of Tenant’s notice and the information described above. If Landlord elects to terminate this Lease, this Lease shall terminate as of the effective date of the proposed assignment or commencement of the term of the proposed sublease as set forth in Tenant’s notice, and Landlord shall have the right (but no obligation) to enter into a direct lease with the proposed assignee or subtenant. Tenant may withdraw its request for Landlord’s consent at any time prior to, but not after two (2) Business days following Landlord’s delivery of a written notice of termination.</w:t>
      </w:r>
    </w:p>
    <w:p>
      <w:pPr>
        <w:spacing w:after="0" w:line="126" w:lineRule="exact"/>
        <w:rPr>
          <w:rFonts w:ascii="Times New Roman" w:cs="Times New Roman" w:eastAsia="Times New Roman" w:hAnsi="Times New Roman"/>
          <w:sz w:val="20"/>
          <w:szCs w:val="20"/>
          <w:color w:val="auto"/>
        </w:rPr>
      </w:pPr>
    </w:p>
    <w:p>
      <w:pPr>
        <w:jc w:val="both"/>
        <w:ind w:firstLine="597"/>
        <w:spacing w:after="0" w:line="251" w:lineRule="auto"/>
        <w:tabs>
          <w:tab w:leader="none" w:pos="1191" w:val="left"/>
        </w:tabs>
        <w:numPr>
          <w:ilvl w:val="0"/>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Landlord elects not to terminate this Lease (or that portion of the Lease as to the Sublease Space) pursuant to </w:t>
      </w:r>
      <w:r>
        <w:rPr>
          <w:rFonts w:ascii="Times New Roman" w:cs="Times New Roman" w:eastAsia="Times New Roman" w:hAnsi="Times New Roman"/>
          <w:sz w:val="20"/>
          <w:szCs w:val="20"/>
          <w:u w:val="single" w:color="auto"/>
          <w:color w:val="auto"/>
        </w:rPr>
        <w:t>Paragraph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9(b)</w:t>
      </w:r>
      <w:r>
        <w:rPr>
          <w:rFonts w:ascii="Times New Roman" w:cs="Times New Roman" w:eastAsia="Times New Roman" w:hAnsi="Times New Roman"/>
          <w:sz w:val="20"/>
          <w:szCs w:val="20"/>
          <w:color w:val="auto"/>
        </w:rPr>
        <w:t xml:space="preserve"> above, or if a proposed sublease is for less than the portion of the Premises entitling Landlord to elect to terminate this Lease pursuant to </w:t>
      </w:r>
      <w:r>
        <w:rPr>
          <w:rFonts w:ascii="Times New Roman" w:cs="Times New Roman" w:eastAsia="Times New Roman" w:hAnsi="Times New Roman"/>
          <w:sz w:val="20"/>
          <w:szCs w:val="20"/>
          <w:u w:val="single" w:color="auto"/>
          <w:color w:val="auto"/>
        </w:rPr>
        <w:t>Paragraph 9(b)</w:t>
      </w:r>
      <w:r>
        <w:rPr>
          <w:rFonts w:ascii="Times New Roman" w:cs="Times New Roman" w:eastAsia="Times New Roman" w:hAnsi="Times New Roman"/>
          <w:sz w:val="20"/>
          <w:szCs w:val="20"/>
          <w:color w:val="auto"/>
        </w:rPr>
        <w:t xml:space="preserve"> above, Landlord shall not unreasonably withhold its consent to an assignment or subletting. Landlord will endeavor to respond within twenty one (21) days of receipt of Tenant’s notice, but in any case shall respond to Tenant within thirty (30) days of receipt, except that no failure of Landlord to timely respond to Tenant’s notice seeking consent to a proposed transaction shall be deemed or result in a consent thereto. (For purposes of this </w:t>
      </w:r>
      <w:r>
        <w:rPr>
          <w:rFonts w:ascii="Times New Roman" w:cs="Times New Roman" w:eastAsia="Times New Roman" w:hAnsi="Times New Roman"/>
          <w:sz w:val="20"/>
          <w:szCs w:val="20"/>
          <w:u w:val="single" w:color="auto"/>
          <w:color w:val="auto"/>
        </w:rPr>
        <w:t>Paragraph 9</w:t>
      </w:r>
      <w:r>
        <w:rPr>
          <w:rFonts w:ascii="Times New Roman" w:cs="Times New Roman" w:eastAsia="Times New Roman" w:hAnsi="Times New Roman"/>
          <w:sz w:val="20"/>
          <w:szCs w:val="20"/>
          <w:color w:val="auto"/>
        </w:rPr>
        <w:t>, an assignment shall not include an assignment for security purposes, which shall only be permitted with the prior consent of Landlord in its sole and absolute discretion). Consent to one assignment or sublease shall not be deemed to constitute consent by Landlord to any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20" w:right="339" w:bottom="1440" w:gutter="0" w:footer="0" w:header="0"/>
        </w:sectPr>
      </w:pPr>
    </w:p>
    <w:bookmarkStart w:id="599" w:name="page600"/>
    <w:bookmarkEnd w:id="599"/>
    <w:p>
      <w:pPr>
        <w:spacing w:after="0" w:line="277" w:lineRule="auto"/>
        <w:rPr>
          <w:sz w:val="20"/>
          <w:szCs w:val="20"/>
          <w:color w:val="auto"/>
        </w:rPr>
      </w:pPr>
      <w:r>
        <w:rPr>
          <w:rFonts w:ascii="Times New Roman" w:cs="Times New Roman" w:eastAsia="Times New Roman" w:hAnsi="Times New Roman"/>
          <w:sz w:val="20"/>
          <w:szCs w:val="20"/>
          <w:color w:val="auto"/>
        </w:rPr>
        <w:t>assignment or sublease. Tenant agrees that the withholding of Landlord’s consent shall be deemed reasonable if all of the following conditions are not satisfied:</w:t>
      </w:r>
    </w:p>
    <w:p>
      <w:pPr>
        <w:spacing w:after="0" w:line="91" w:lineRule="exact"/>
        <w:rPr>
          <w:sz w:val="20"/>
          <w:szCs w:val="20"/>
          <w:color w:val="auto"/>
        </w:rPr>
      </w:pPr>
    </w:p>
    <w:p>
      <w:pPr>
        <w:ind w:firstLine="1194"/>
        <w:spacing w:after="0" w:line="277" w:lineRule="auto"/>
        <w:tabs>
          <w:tab w:leader="none" w:pos="1781"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assignee or subtenant shall use the Premises only for the Permitted Use, and the business of the proposed assignee or subtenant is consistent with the standards of the Building, in Landlord’s reasonable judgment.</w:t>
      </w:r>
    </w:p>
    <w:p>
      <w:pPr>
        <w:spacing w:after="0" w:line="91"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6"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assignee or subtenant is reputable, has a creditworthiness reasonably acceptable to Landlord, and has sufficient financial capabilities to perform all of its obligations under this Lease or the proposed sublease, in Landlord’s reasonable judgment.</w:t>
      </w:r>
    </w:p>
    <w:p>
      <w:pPr>
        <w:spacing w:after="0" w:line="105"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92"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occupancy by the assignee or subtenant will not materially increase any Operating Expenses for the Building, or materially increase the burden on any Building services, and will not generate security concerns in the Building, in Landlord’s reasonable judgment.</w:t>
      </w:r>
    </w:p>
    <w:p>
      <w:pPr>
        <w:spacing w:after="0" w:line="105" w:lineRule="exact"/>
        <w:rPr>
          <w:rFonts w:ascii="Times New Roman" w:cs="Times New Roman" w:eastAsia="Times New Roman" w:hAnsi="Times New Roman"/>
          <w:sz w:val="20"/>
          <w:szCs w:val="20"/>
          <w:color w:val="auto"/>
        </w:rPr>
      </w:pPr>
    </w:p>
    <w:p>
      <w:pPr>
        <w:jc w:val="both"/>
        <w:ind w:firstLine="1194"/>
        <w:spacing w:after="0" w:line="256" w:lineRule="auto"/>
        <w:tabs>
          <w:tab w:leader="none" w:pos="1781"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proposed assignee or subtenant nor any person or entity that directly or indirectly controls, is controlled by, or is under common control with, the proposed assignee or subtenant is an existing occupant of any part of the Project, or is a party to whom Landlord has, during the four (4) month period prior to the delivery of Tenant’s written notice, marketed space in the Building that would generally fit such party’s leasing requirements.</w:t>
      </w:r>
    </w:p>
    <w:p>
      <w:pPr>
        <w:spacing w:after="0" w:line="113" w:lineRule="exact"/>
        <w:rPr>
          <w:rFonts w:ascii="Times New Roman" w:cs="Times New Roman" w:eastAsia="Times New Roman" w:hAnsi="Times New Roman"/>
          <w:sz w:val="20"/>
          <w:szCs w:val="20"/>
          <w:color w:val="auto"/>
        </w:rPr>
      </w:pPr>
    </w:p>
    <w:p>
      <w:pPr>
        <w:ind w:firstLine="1194"/>
        <w:spacing w:after="0" w:line="277" w:lineRule="auto"/>
        <w:tabs>
          <w:tab w:leader="none" w:pos="1788"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is not in default and has not committed acts or omissions which with the running of time or the giving of notice or both would constitute a default under this Lease.</w:t>
      </w:r>
    </w:p>
    <w:p>
      <w:pPr>
        <w:spacing w:after="0" w:line="91" w:lineRule="exact"/>
        <w:rPr>
          <w:rFonts w:ascii="Times New Roman" w:cs="Times New Roman" w:eastAsia="Times New Roman" w:hAnsi="Times New Roman"/>
          <w:sz w:val="20"/>
          <w:szCs w:val="20"/>
          <w:color w:val="auto"/>
        </w:rPr>
      </w:pPr>
    </w:p>
    <w:p>
      <w:pPr>
        <w:ind w:left="1780" w:hanging="586"/>
        <w:spacing w:after="0"/>
        <w:tabs>
          <w:tab w:leader="none" w:pos="1780"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other terms of this </w:t>
      </w:r>
      <w:r>
        <w:rPr>
          <w:rFonts w:ascii="Times New Roman" w:cs="Times New Roman" w:eastAsia="Times New Roman" w:hAnsi="Times New Roman"/>
          <w:sz w:val="20"/>
          <w:szCs w:val="20"/>
          <w:u w:val="single" w:color="auto"/>
          <w:color w:val="auto"/>
        </w:rPr>
        <w:t>Paragraph 9</w:t>
      </w:r>
      <w:r>
        <w:rPr>
          <w:rFonts w:ascii="Times New Roman" w:cs="Times New Roman" w:eastAsia="Times New Roman" w:hAnsi="Times New Roman"/>
          <w:sz w:val="20"/>
          <w:szCs w:val="20"/>
          <w:color w:val="auto"/>
        </w:rPr>
        <w:t xml:space="preserve"> are complied with.</w:t>
      </w:r>
    </w:p>
    <w:p>
      <w:pPr>
        <w:spacing w:after="0" w:line="155" w:lineRule="exact"/>
        <w:rPr>
          <w:rFonts w:ascii="Times New Roman" w:cs="Times New Roman" w:eastAsia="Times New Roman" w:hAnsi="Times New Roman"/>
          <w:sz w:val="20"/>
          <w:szCs w:val="20"/>
          <w:color w:val="auto"/>
        </w:rPr>
      </w:pPr>
    </w:p>
    <w:p>
      <w:pPr>
        <w:ind w:firstLine="1194"/>
        <w:spacing w:after="0" w:line="277" w:lineRule="auto"/>
        <w:tabs>
          <w:tab w:leader="none" w:pos="1786"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conditions described above are not exclusive and shall not limit or prevent Landlord from considering additional factors in determining if it should reasonably withhold its consent.</w:t>
      </w:r>
    </w:p>
    <w:p>
      <w:pPr>
        <w:spacing w:after="0" w:line="91" w:lineRule="exact"/>
        <w:rPr>
          <w:rFonts w:ascii="Times New Roman" w:cs="Times New Roman" w:eastAsia="Times New Roman" w:hAnsi="Times New Roman"/>
          <w:sz w:val="20"/>
          <w:szCs w:val="20"/>
          <w:color w:val="auto"/>
        </w:rPr>
      </w:pPr>
    </w:p>
    <w:p>
      <w:pPr>
        <w:jc w:val="both"/>
        <w:ind w:firstLine="597"/>
        <w:spacing w:after="0" w:line="251" w:lineRule="auto"/>
        <w:tabs>
          <w:tab w:leader="none" w:pos="1190"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permitted assignee, transferee, or subtenant, other than Landlord, shall assume and be deemed to have assumed this Lease and shall be liable jointly and severally with Tenant for the payment of the rent and for the due performance or satisfaction of all of the provisions, covenants, conditions and agreements herein contained on Tenant’s part to be performed or satisfied. Regardless of Landlord’s consent, no subletting or assignment shall release or alter Tenant’s obligation and primary liability to pay the rent and perform all other obligations under this Lease. No permitted assignment or sublease shall be binding on Landlord unless such assignee or subtenant, as the case may be shall deliver to Landlord a counterpart of such assignment or sublease which contains a covenant of assumption by the assignee or subtenant of the covenants and obligations of Tenant under the Lease; provided, however, as to any subtenant, such assumptions is limited to its obligations under the sublease.</w:t>
      </w:r>
    </w:p>
    <w:p>
      <w:pPr>
        <w:spacing w:after="0" w:line="116" w:lineRule="exact"/>
        <w:rPr>
          <w:rFonts w:ascii="Times New Roman" w:cs="Times New Roman" w:eastAsia="Times New Roman" w:hAnsi="Times New Roman"/>
          <w:sz w:val="20"/>
          <w:szCs w:val="20"/>
          <w:color w:val="auto"/>
        </w:rPr>
      </w:pPr>
    </w:p>
    <w:p>
      <w:pPr>
        <w:jc w:val="both"/>
        <w:ind w:firstLine="597"/>
        <w:spacing w:after="0" w:line="262" w:lineRule="auto"/>
        <w:tabs>
          <w:tab w:leader="none" w:pos="1191"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is a partnership, a transfer of the interest of any general partner, a withdrawal of one or more general partner(s) from the partnership, or the dissolution of the partnership, shall be deemed to be an assignment of this Lease. If Tenant is currently a partnership (either general or limited) or joint venture, the conversion of the Tenant entity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20" w:right="339" w:bottom="1440" w:gutter="0" w:footer="0" w:header="0"/>
        </w:sectPr>
      </w:pPr>
    </w:p>
    <w:bookmarkStart w:id="600" w:name="page601"/>
    <w:bookmarkEnd w:id="600"/>
    <w:p>
      <w:pPr>
        <w:spacing w:after="0" w:line="277" w:lineRule="auto"/>
        <w:rPr>
          <w:sz w:val="20"/>
          <w:szCs w:val="20"/>
          <w:color w:val="auto"/>
        </w:rPr>
      </w:pPr>
      <w:r>
        <w:rPr>
          <w:rFonts w:ascii="Times New Roman" w:cs="Times New Roman" w:eastAsia="Times New Roman" w:hAnsi="Times New Roman"/>
          <w:sz w:val="20"/>
          <w:szCs w:val="20"/>
          <w:color w:val="auto"/>
        </w:rPr>
        <w:t>any type of entity which possesses the characteristics of limited liability such as, by way of example only, a corporation, a limited liability company or limited liability partnership, shall be deemed an assignment for purposes of this Lease.</w:t>
      </w:r>
    </w:p>
    <w:p>
      <w:pPr>
        <w:spacing w:after="0" w:line="91" w:lineRule="exact"/>
        <w:rPr>
          <w:sz w:val="20"/>
          <w:szCs w:val="20"/>
          <w:color w:val="auto"/>
        </w:rPr>
      </w:pPr>
    </w:p>
    <w:p>
      <w:pPr>
        <w:jc w:val="both"/>
        <w:ind w:firstLine="597"/>
        <w:spacing w:after="0" w:line="256" w:lineRule="auto"/>
        <w:tabs>
          <w:tab w:leader="none" w:pos="1194" w:val="left"/>
        </w:tabs>
        <w:numPr>
          <w:ilvl w:val="0"/>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notice by Tenant to Landlord pursuant to this </w:t>
      </w:r>
      <w:r>
        <w:rPr>
          <w:rFonts w:ascii="Times New Roman" w:cs="Times New Roman" w:eastAsia="Times New Roman" w:hAnsi="Times New Roman"/>
          <w:sz w:val="20"/>
          <w:szCs w:val="20"/>
          <w:u w:val="single" w:color="auto"/>
          <w:color w:val="auto"/>
        </w:rPr>
        <w:t>Paragraph 9</w:t>
      </w:r>
      <w:r>
        <w:rPr>
          <w:rFonts w:ascii="Times New Roman" w:cs="Times New Roman" w:eastAsia="Times New Roman" w:hAnsi="Times New Roman"/>
          <w:sz w:val="20"/>
          <w:szCs w:val="20"/>
          <w:color w:val="auto"/>
        </w:rPr>
        <w:t xml:space="preserve"> of a proposed assignment or sublease shall be accompanied by a payment of $1,000 as a non-refundable fee for the processing of Tenant’s request for Landlord’s consent. In addition to said fee, Tenant shall reimburse Landlord for reasonable attorneys’ fees incurred by Landlord in connection with such review and the preparation of documents in connection therewith.</w:t>
      </w:r>
    </w:p>
    <w:p>
      <w:pPr>
        <w:spacing w:after="0" w:line="113" w:lineRule="exact"/>
        <w:rPr>
          <w:rFonts w:ascii="Times New Roman" w:cs="Times New Roman" w:eastAsia="Times New Roman" w:hAnsi="Times New Roman"/>
          <w:sz w:val="20"/>
          <w:szCs w:val="20"/>
          <w:color w:val="auto"/>
        </w:rPr>
      </w:pPr>
    </w:p>
    <w:p>
      <w:pPr>
        <w:jc w:val="both"/>
        <w:ind w:firstLine="597"/>
        <w:spacing w:after="0" w:line="249" w:lineRule="auto"/>
        <w:tabs>
          <w:tab w:leader="none" w:pos="1190" w:val="left"/>
        </w:tabs>
        <w:numPr>
          <w:ilvl w:val="0"/>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Landlord shall grant consent, Tenant shall pay Landlord’s review and processing fees, as well as any reasonable legal fees incurred by Landlord, within thirty (30) days after written request by Landlord; provided, however, if the proposed Transfer is a sublease or assignment of this Lease and Tenant accepts Landlord’s standard form of consent without material changes thereto, Landlord will limit all Landlord’s processing and legal, accounting and other professional fees and costs to an amount not to exceed $2,500.00. Tenant’s payment of such sum shall be a condition precedent to the effectiveness of the proposed Transfer. Tenant shall pay to Landlord monthly on or before the first day of each month fifty percent (50%) of the rent or other consideration received from such assignee(s) or subtenant(s) relating to the leasehold estate of the Premises so assigned or sublet and with respect to the use of Tenant’s property, over and above the concurrent underlying rent payable by Tenant to Landlord for that portion of the Premises being assigned or sublet, and after deduction for the amortized portion of the reasonable expenses actually paid by Tenant to unrelated third parties for brokerage commissions, legal fees, market concessions or tenant improvements to the Premises. Tenant shall furnish Landlord with a true signed copy of such assignment(s) or sublease(s) and any supplementary agreements or amendments thereto, within five (5) days after their respective execution.</w:t>
      </w:r>
    </w:p>
    <w:p>
      <w:pPr>
        <w:spacing w:after="0" w:line="123" w:lineRule="exact"/>
        <w:rPr>
          <w:rFonts w:ascii="Times New Roman" w:cs="Times New Roman" w:eastAsia="Times New Roman" w:hAnsi="Times New Roman"/>
          <w:sz w:val="20"/>
          <w:szCs w:val="20"/>
          <w:color w:val="auto"/>
        </w:rPr>
      </w:pPr>
    </w:p>
    <w:p>
      <w:pPr>
        <w:jc w:val="both"/>
        <w:ind w:firstLine="597"/>
        <w:spacing w:after="0" w:line="254" w:lineRule="auto"/>
        <w:tabs>
          <w:tab w:leader="none" w:pos="1190" w:val="left"/>
        </w:tabs>
        <w:numPr>
          <w:ilvl w:val="0"/>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upon any assignment of this Lease or subletting of more than thirty three percent (33%) of the rentable square footage of the Premises (which calculation shall exclude the outside patio area), in each case in a transaction requiring the prior consent of Landlord, and notwithstanding any other provision of this Lease to the contrary, any options or rights to extend the Term of this Lease and/or as to expand into additional premises in the Building, and/or any unapplied rent credits or improvement allowances granted to Tenant under this Lease, shall be null and void and of no further effect.</w:t>
      </w:r>
    </w:p>
    <w:p>
      <w:pPr>
        <w:spacing w:after="0" w:line="114" w:lineRule="exact"/>
        <w:rPr>
          <w:rFonts w:ascii="Times New Roman" w:cs="Times New Roman" w:eastAsia="Times New Roman" w:hAnsi="Times New Roman"/>
          <w:sz w:val="20"/>
          <w:szCs w:val="20"/>
          <w:color w:val="auto"/>
        </w:rPr>
      </w:pPr>
    </w:p>
    <w:p>
      <w:pPr>
        <w:jc w:val="both"/>
        <w:ind w:firstLine="597"/>
        <w:spacing w:after="0" w:line="251" w:lineRule="auto"/>
        <w:tabs>
          <w:tab w:leader="none" w:pos="1183" w:val="left"/>
        </w:tabs>
        <w:numPr>
          <w:ilvl w:val="0"/>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Lease, Tenant may, without Landlord’s prior written consent, and without risk of any recapture of the Premises, but upon written notice to Landlord, including copies of all applicable documentation, assign or sublet all or any portion of the leased premises and Tenant’s interest in this Lease to: (i) a subsidiary, affiliate, parent or other entity to Tenant which controls, is controlled by, or is under common control with, Tenant; (ii) a successor entity to Tenant resulting from merger, consolidation, non-bankruptcy reorganization, or government action; or (iii) a purchaser of all or any significant portion of Tenant’s stock or assets; provided that such assignee, sublessee, or transferee has a net worth of at least equal to the Tenant as of the date of this Lease (each transfer detailed in subsection (i), (ii), and (iii) shall be a “Permitted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20" w:right="339" w:bottom="1440" w:gutter="0" w:footer="0" w:header="0"/>
        </w:sectPr>
      </w:pPr>
    </w:p>
    <w:bookmarkStart w:id="601" w:name="page602"/>
    <w:bookmarkEnd w:id="601"/>
    <w:p>
      <w:pPr>
        <w:ind w:left="600" w:hanging="600"/>
        <w:spacing w:after="0"/>
        <w:tabs>
          <w:tab w:leader="none" w:pos="600" w:val="left"/>
        </w:tabs>
        <w:numPr>
          <w:ilvl w:val="0"/>
          <w:numId w:val="5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w:t>
      </w:r>
    </w:p>
    <w:p>
      <w:pPr>
        <w:spacing w:after="0" w:line="160"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If Landlord sells or conveys the Building and the successor-in-interest of Landlord assumes the terms, covenants and conditions of this Lease, Landlord shall be released thereby from any liability arising after the date of such transfer upon any of said terms, covenants and conditions, and Tenant agrees to look solely to such successor-in-interest of Landlord. Landlord reserves the right to sell or dispose of one or more of the buildings in the Project (and in conjunction therewith to alter the composition of the Project), and such sale or disposition shall not be deemed a disturbance of Tenant’s use of the Premises or otherwise affect Tenant’s obligations under this Lease; provided Tenant’s rights hereunder, including rights of quiet enjoyment are not disturbed; provided, however, in such an event, the term “Project” as used in this Lease shall be deemed automatically amended to refer to the buildings then included in the “Old Oakland” project.</w:t>
      </w:r>
    </w:p>
    <w:p>
      <w:pPr>
        <w:spacing w:after="0" w:line="117" w:lineRule="exact"/>
        <w:rPr>
          <w:sz w:val="20"/>
          <w:szCs w:val="20"/>
          <w:color w:val="auto"/>
        </w:rPr>
      </w:pPr>
    </w:p>
    <w:p>
      <w:pPr>
        <w:ind w:left="580" w:hanging="580"/>
        <w:spacing w:after="0"/>
        <w:tabs>
          <w:tab w:leader="none" w:pos="580" w:val="left"/>
        </w:tabs>
        <w:numPr>
          <w:ilvl w:val="0"/>
          <w:numId w:val="5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MAINTENANCE AND REPAIRS.</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51" w:lineRule="auto"/>
        <w:tabs>
          <w:tab w:leader="none" w:pos="1192" w:val="left"/>
        </w:tabs>
        <w:numPr>
          <w:ilvl w:val="1"/>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its sole expenses, except to the extent subject to reimbursement if any item constitutes Operating Expenses as defined in this Lease, Landlord shall maintain and repair the Common Areas, the foundation, structural components (including latent defects), roof and exterior elements of the Building, and the mechanical, plumbing, HVAC and electrical systems of the Building and keep such areas, elements and systems in good order and condition, in accordance with all applicable Laws and regulations. Any damage in or to any such areas, elements or systems caused by Tenant or any agent, officer, employee, contractor, licensee or invitee of Tenant shall be repaired by Landlord at Tenant’s expense and Tenant shall pay to Landlord, upon billing by Landlord, as additional rent, the cost of such repairs incurred by Landlord.</w:t>
      </w:r>
    </w:p>
    <w:p>
      <w:pPr>
        <w:spacing w:after="0" w:line="120" w:lineRule="exact"/>
        <w:rPr>
          <w:rFonts w:ascii="Times New Roman" w:cs="Times New Roman" w:eastAsia="Times New Roman" w:hAnsi="Times New Roman"/>
          <w:sz w:val="20"/>
          <w:szCs w:val="20"/>
          <w:color w:val="auto"/>
        </w:rPr>
      </w:pPr>
    </w:p>
    <w:p>
      <w:pPr>
        <w:jc w:val="both"/>
        <w:ind w:firstLine="597"/>
        <w:spacing w:after="0" w:line="249" w:lineRule="auto"/>
        <w:tabs>
          <w:tab w:leader="none" w:pos="1191" w:val="left"/>
        </w:tabs>
        <w:numPr>
          <w:ilvl w:val="1"/>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at all times during the Term of this Lease and at Tenant’s sole cost and expense, maintain and repair the non-structural portions of the Premises and every part thereof and all equipment, fixtures and improvements therein, and keep all of the foregoing clean and in good order and operating condition, ordinary wear and tear and damage thereto by fire or other casualty excepted. All repairs and replacements made by or on behalf of Tenant shall be made and performed at Tenant’s cost and expense and at such time and in such manner as Landlord may reasonably designate, by contractors or mechanics reasonably approved by Landlord and so that the same shall be at least equal in quality, value, character and utility to the original work or installation being repaired or replaced. Tenant hereby waives all rights under California Civil Code Section 1941 and all rights to make repairs at the expense of Landlord or in lieu thereof to vacate the Premises as provided by California Civil Code Section 1942 or any other law, statute or ordinance now or hereafter in effect. Notwithstanding anything to the contrary contained in this Lease, Tenant shall not have any obligation to perform any structural modifications to the Premises or the Building except to the extent the same is specifically triggered by Tenant’s particular use of the Premises or Alterations performed by or on behalf of Tenant, except for the Tenant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17" w:right="339" w:bottom="1440" w:gutter="0" w:footer="0" w:header="0"/>
        </w:sectPr>
      </w:pPr>
    </w:p>
    <w:bookmarkStart w:id="602" w:name="page603"/>
    <w:bookmarkEnd w:id="602"/>
    <w:p>
      <w:pPr>
        <w:ind w:left="600" w:hanging="600"/>
        <w:spacing w:after="0"/>
        <w:tabs>
          <w:tab w:leader="none" w:pos="600" w:val="left"/>
        </w:tabs>
        <w:numPr>
          <w:ilvl w:val="0"/>
          <w:numId w:val="5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SERVICES.</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61" w:lineRule="auto"/>
        <w:tabs>
          <w:tab w:leader="none" w:pos="1192" w:val="left"/>
        </w:tabs>
        <w:numPr>
          <w:ilvl w:val="1"/>
          <w:numId w:val="5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Landlord agrees to furnish to the Premises as part of Building services (and included in Additional Rent payable under </w:t>
      </w:r>
      <w:r>
        <w:rPr>
          <w:rFonts w:ascii="Times New Roman" w:cs="Times New Roman" w:eastAsia="Times New Roman" w:hAnsi="Times New Roman"/>
          <w:sz w:val="19"/>
          <w:szCs w:val="19"/>
          <w:u w:val="single" w:color="auto"/>
          <w:color w:val="auto"/>
        </w:rPr>
        <w:t>Paragraph 5(a)(iii)</w:t>
      </w:r>
      <w:r>
        <w:rPr>
          <w:rFonts w:ascii="Times New Roman" w:cs="Times New Roman" w:eastAsia="Times New Roman" w:hAnsi="Times New Roman"/>
          <w:sz w:val="19"/>
          <w:szCs w:val="19"/>
          <w:color w:val="auto"/>
        </w:rPr>
        <w:t>) points of supply for electricity for lighting and the operation of office equipment, and water as may be required for the comfortable occupation of the Premises for general office use. If restrooms are not included within the demised Premises, restroom (toilet) facilities shall be provided by Landlord for use by Tenant and its employees and licensees in the common area of the Building. Landlord shall provide unmanned passenger elevator service if there is an existing elevator in the Building as of the date of this Lease and subject to the Building Rules, on business days established in accordance with this Lease, Landlord will supply janitorial services in the common area of the Building. In addition, subject to the Building Rules, during the business hours and on the business days established in accordance with this Lease, Landlord will supply heat, ventilation and air- conditioning (“HVAC”) as may be required for the comfortable occupation of the Premises. Landlord shall have the right to cooperate voluntarily with the efforts of national, state or local governmental agencies or utility suppliers in reducing energy or other resource consumption. Landlord, however, shall not be liable for failure to furnish or reduction in any of the foregoing services for any reason, nor shall Landlord be liable under any circumstances for loss of or injury to property, however occurring, through or in connection with or incidental to the furnishing of any of the foregoing, nor shall any such failure relieve Tenant from the duty to pay the full amount of rent herein reserved, or constitute or be construed as a constructive or other eviction of Tenant. Notwithstanding the foregoing, provided no Event of Default shall then be declared under this Lease, if: (i) any utility service is interrupted because of the negligent acts of Landlord, its employees, agents or contractors; (ii) Tenant notifies Landlord of such interruption in writing (the “Interruption Notice”); (iii) such interruption does not arise in whole or in part as a result of an act or omission of Tenant; (iv) such interruption is not caused by a fire or other casualty; (v) the repair or restoration of such service is reasonably within the control of Landlord; and (vi) as a result of such interruption, the Premises or a material portion thereof, is rendered untenantable (meaning that Tenant is unable to use the Premises in the normal course of its business), then, on the second (2nd) consecutive business day following the later to occur of the date the Premises (or material portion thereof) becomes untenantable and the date Tenant provides Landlord with an Interruption Notice, Base Rent payable hereunder shall be abated on a per diem basis for each day after such two (2) business day period based upon the percentage of the Premises so rendered untenantable and not used by Tenant, and such abatement shall continue until the date the Premises become tenantable again. The foregoing abatement of Base Rent shall be the sole and exclusive remedy of Tenant for a Utility Interruption.</w:t>
      </w:r>
    </w:p>
    <w:p>
      <w:pPr>
        <w:spacing w:after="0" w:line="122" w:lineRule="exact"/>
        <w:rPr>
          <w:rFonts w:ascii="Times New Roman" w:cs="Times New Roman" w:eastAsia="Times New Roman" w:hAnsi="Times New Roman"/>
          <w:sz w:val="19"/>
          <w:szCs w:val="19"/>
          <w:color w:val="auto"/>
        </w:rPr>
      </w:pPr>
    </w:p>
    <w:p>
      <w:pPr>
        <w:jc w:val="both"/>
        <w:ind w:firstLine="597"/>
        <w:spacing w:after="0" w:line="254" w:lineRule="auto"/>
        <w:tabs>
          <w:tab w:leader="none" w:pos="1191" w:val="left"/>
        </w:tabs>
        <w:numPr>
          <w:ilvl w:val="1"/>
          <w:numId w:val="5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Tenant’s use of electrical service shall not exceed, either in voltage, rated capacity, use beyond the business hours of the Building as established pursuant to the Building Rules, or overall load, that which Landlord determines to be customary for general office use or which exceeds the capacity of the existing panel or transformer serving the Premises. Tenant shall pay (as additional rent) all costs attributable to Tenant’s use and consumption of water and electricity in the Premises (including, without limitation, HVAC) (collectively, “Premises Utility Consumption”).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17" w:right="339" w:bottom="1440" w:gutter="0" w:footer="0" w:header="0"/>
        </w:sectPr>
      </w:pPr>
    </w:p>
    <w:bookmarkStart w:id="603" w:name="page604"/>
    <w:bookmarkEnd w:id="603"/>
    <w:p>
      <w:pPr>
        <w:jc w:val="both"/>
        <w:ind w:firstLine="1194"/>
        <w:spacing w:after="0" w:line="249" w:lineRule="auto"/>
        <w:tabs>
          <w:tab w:leader="none" w:pos="1786" w:val="left"/>
        </w:tabs>
        <w:numPr>
          <w:ilvl w:val="1"/>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the terms of </w:t>
      </w:r>
      <w:r>
        <w:rPr>
          <w:rFonts w:ascii="Times New Roman" w:cs="Times New Roman" w:eastAsia="Times New Roman" w:hAnsi="Times New Roman"/>
          <w:sz w:val="20"/>
          <w:szCs w:val="20"/>
          <w:u w:val="single" w:color="auto"/>
          <w:color w:val="auto"/>
        </w:rPr>
        <w:t>Paragraph 12(b)(i)</w:t>
      </w:r>
      <w:r>
        <w:rPr>
          <w:rFonts w:ascii="Times New Roman" w:cs="Times New Roman" w:eastAsia="Times New Roman" w:hAnsi="Times New Roman"/>
          <w:sz w:val="20"/>
          <w:szCs w:val="20"/>
          <w:color w:val="auto"/>
        </w:rPr>
        <w:t xml:space="preserve"> above, Landlord has previously installed, at its expense, separate meters or other measuring devices to measure Tenant’s Premises Utility Consumption. From time to time, and based on the readings from the separate metering devices installed by Landlord, Landlord shall have the right to notify Tenant of Landlord’s monthly estimate of the cost of Premises Utility Consumption (a “Monthly Estimate”). When Landlord notifies Tenant of the Monthly Estimate, Tenant shall thereafter pay the Monthly Estimate, as additional monthly rent, on the first day of each month together with the payment of Base Rent, without further notice or demand by Landlord. Landlord shall have the right to change the Monthly Estimate from time to time upon not less than thirty (30) days advance written notice to Tenant. The additional monthly rent for Premises Utility Consumption shall be prorated on per diem basis for any partial calendar month during the Term as provided in </w:t>
      </w:r>
      <w:r>
        <w:rPr>
          <w:rFonts w:ascii="Times New Roman" w:cs="Times New Roman" w:eastAsia="Times New Roman" w:hAnsi="Times New Roman"/>
          <w:sz w:val="20"/>
          <w:szCs w:val="20"/>
          <w:u w:val="single" w:color="auto"/>
          <w:color w:val="auto"/>
        </w:rPr>
        <w:t>Paragraph 5(a)(i)</w:t>
      </w:r>
      <w:r>
        <w:rPr>
          <w:rFonts w:ascii="Times New Roman" w:cs="Times New Roman" w:eastAsia="Times New Roman" w:hAnsi="Times New Roman"/>
          <w:sz w:val="20"/>
          <w:szCs w:val="20"/>
          <w:color w:val="auto"/>
        </w:rPr>
        <w:t xml:space="preserve">. Landlord’s failure to bill Tenant for Premises Utility Consumption for any given period shall not constitute Landlord’s waiver of its right to collect such amount at a later date or otherwise prejudice Landlord’s rights hereunder. Landlord’s statement delivered pursuant to </w:t>
      </w:r>
      <w:r>
        <w:rPr>
          <w:rFonts w:ascii="Times New Roman" w:cs="Times New Roman" w:eastAsia="Times New Roman" w:hAnsi="Times New Roman"/>
          <w:sz w:val="20"/>
          <w:szCs w:val="20"/>
          <w:u w:val="single" w:color="auto"/>
          <w:color w:val="auto"/>
        </w:rPr>
        <w:t>Paragraph 7(b)</w:t>
      </w:r>
      <w:r>
        <w:rPr>
          <w:rFonts w:ascii="Times New Roman" w:cs="Times New Roman" w:eastAsia="Times New Roman" w:hAnsi="Times New Roman"/>
          <w:sz w:val="20"/>
          <w:szCs w:val="20"/>
          <w:color w:val="auto"/>
        </w:rPr>
        <w:t xml:space="preserve"> shall contain a final statement of Premises Electrical Consumption charges for the prior calendar year and any adjustment to payments of Monthly Estimates shall be made in the same manner as provided therein, and such statement shall contain any necessary’ reconciliation, and is subject to Tenant’s audit rights provided in </w:t>
      </w:r>
      <w:r>
        <w:rPr>
          <w:rFonts w:ascii="Times New Roman" w:cs="Times New Roman" w:eastAsia="Times New Roman" w:hAnsi="Times New Roman"/>
          <w:sz w:val="20"/>
          <w:szCs w:val="20"/>
          <w:u w:val="single" w:color="auto"/>
          <w:color w:val="auto"/>
        </w:rPr>
        <w:t>Paragraph 7(d)</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jc w:val="both"/>
        <w:ind w:firstLine="597"/>
        <w:spacing w:after="0" w:line="251" w:lineRule="auto"/>
        <w:tabs>
          <w:tab w:leader="none" w:pos="1191" w:val="left"/>
        </w:tabs>
        <w:numPr>
          <w:ilvl w:val="0"/>
          <w:numId w:val="5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be solely responsible for, and shall separate contract, for janitorial and cleaning services to and in the Premises, including, without limitation, on single tenant occupancy floors, the restrooms located on said floors, and the rooftop deck, through a Landlord-approved vendor engaged by Tenant and reasonably acceptable to Landlord. Janitorial service shall include trash removal services to a Landlord designated location in the Building, and Tenant shall pay directly for such trash removal services. If and to the extent Tenant’s business operations generate trash (other than that provided through janitorial services) in excess of that allotted to the storage bins allocated to Tenant, the cost of such additional trash removal services shall be separately charged to Tenant, by Landlord, based on the charges incurred by Landlord from Landlord’s trash removal service that are attributable to Tenant’s generation of (trash and garbage, and the same shall be payable as additional rent under this Lease.</w:t>
      </w:r>
    </w:p>
    <w:p>
      <w:pPr>
        <w:spacing w:after="0" w:line="116" w:lineRule="exact"/>
        <w:rPr>
          <w:rFonts w:ascii="Times New Roman" w:cs="Times New Roman" w:eastAsia="Times New Roman" w:hAnsi="Times New Roman"/>
          <w:sz w:val="20"/>
          <w:szCs w:val="20"/>
          <w:color w:val="auto"/>
        </w:rPr>
      </w:pPr>
    </w:p>
    <w:p>
      <w:pPr>
        <w:jc w:val="both"/>
        <w:ind w:firstLine="597"/>
        <w:spacing w:after="0" w:line="250" w:lineRule="auto"/>
        <w:tabs>
          <w:tab w:leader="none" w:pos="1190" w:val="left"/>
        </w:tabs>
        <w:numPr>
          <w:ilvl w:val="0"/>
          <w:numId w:val="5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Tenant shall pay for all voice and data services, and all such services shall be subject to the terms of </w:t>
      </w:r>
      <w:r>
        <w:rPr>
          <w:rFonts w:ascii="Times New Roman" w:cs="Times New Roman" w:eastAsia="Times New Roman" w:hAnsi="Times New Roman"/>
          <w:sz w:val="20"/>
          <w:szCs w:val="20"/>
          <w:u w:val="single" w:color="auto"/>
          <w:color w:val="auto"/>
        </w:rPr>
        <w:t>Paragraph 12(c)</w:t>
      </w:r>
      <w:r>
        <w:rPr>
          <w:rFonts w:ascii="Times New Roman" w:cs="Times New Roman" w:eastAsia="Times New Roman" w:hAnsi="Times New Roman"/>
          <w:sz w:val="20"/>
          <w:szCs w:val="20"/>
          <w:color w:val="auto"/>
        </w:rPr>
        <w:t xml:space="preserve">. Except as provided for in </w:t>
      </w:r>
      <w:r>
        <w:rPr>
          <w:rFonts w:ascii="Times New Roman" w:cs="Times New Roman" w:eastAsia="Times New Roman" w:hAnsi="Times New Roman"/>
          <w:sz w:val="20"/>
          <w:szCs w:val="20"/>
          <w:u w:val="single" w:color="auto"/>
          <w:color w:val="auto"/>
        </w:rPr>
        <w:t>Paragraph 12(d)(ii</w:t>
      </w:r>
      <w:r>
        <w:rPr>
          <w:rFonts w:ascii="Times New Roman" w:cs="Times New Roman" w:eastAsia="Times New Roman" w:hAnsi="Times New Roman"/>
          <w:sz w:val="20"/>
          <w:szCs w:val="20"/>
          <w:color w:val="auto"/>
        </w:rPr>
        <w:t>), Tenant shall not alter, modify, add to or disturb any telecommunications wiring or cabling in any portion of the Building without Landlord’s prior written consent, not to be unreasonably withheld. Landlord shall provide, at no expense to Tenant (other than as an item of Operating Expenses), a demarcation panel in the Building (located in the vicinity of the main point of entry established for telecommunications services) (the “MDF”) and, at Landlord’s cost, one or more vertical and horizontal riser pathways from the MDF to the Premises at a location approved by Landlord in connection with Landlord installation of the Tenant Improvements (not to exceed one inch in diameter) for the installation, at Tenant’s sole cost and expense, of Tenant’s telecommunications wiring, cabling and conduit; provided, however, Landlord shall have no obligation (and Tenant shall have no right) to increase the size and/or capacity of the existing telecommunications distribution facilities in the Building. Any and all telecommunications equipment serving Tenant and the Premises and connecting to or from the MDF shall be located solely in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21" w:right="339" w:bottom="1440" w:gutter="0" w:footer="0" w:header="0"/>
        </w:sectPr>
      </w:pPr>
    </w:p>
    <w:bookmarkStart w:id="604" w:name="page605"/>
    <w:bookmarkEnd w:id="604"/>
    <w:p>
      <w:pPr>
        <w:jc w:val="both"/>
        <w:spacing w:after="0" w:line="265" w:lineRule="auto"/>
        <w:rPr>
          <w:sz w:val="20"/>
          <w:szCs w:val="20"/>
          <w:color w:val="auto"/>
        </w:rPr>
      </w:pPr>
      <w:r>
        <w:rPr>
          <w:rFonts w:ascii="Times New Roman" w:cs="Times New Roman" w:eastAsia="Times New Roman" w:hAnsi="Times New Roman"/>
          <w:sz w:val="19"/>
          <w:szCs w:val="19"/>
          <w:color w:val="auto"/>
        </w:rPr>
        <w:t>Tenant shall maintain and repair all telecommunications cabling and wiring within or exclusively serving the Premises, and Tenant shall only be permitted to access the MDF and any of the vertical and horizontal pathways outside the Premises where Tenant’s telecommunications wiring, cabling and conduit are located with the prior written consent of Landlord, not to be unreasonably withheld, and for purposes of confirming interconnection with the MDF and for installations approved by Landlord. Tenant shall be liable to Landlord for any damage to the telecommunications cabling and wiring in the Building due to the act (negligent or otherwise) of Tenant or any employee, agent or contractor of Tenant. Landlord reserves the right to limit the number of local exchange carriers and competitive alternative telecommunications providers (collectively, “TSPs”) having access to the Building’s riser system and infrastructure, and Landlord reserves the right to charge TSPs for the use of Landlord’s telecommunications infrastructure and other Building systems; provided, however, in all cases, Landlord will provide Building access to at least one TSP for voice and data connectivity to tenants of the Building.</w:t>
      </w:r>
    </w:p>
    <w:p>
      <w:pPr>
        <w:spacing w:after="0" w:line="106" w:lineRule="exact"/>
        <w:rPr>
          <w:sz w:val="20"/>
          <w:szCs w:val="20"/>
          <w:color w:val="auto"/>
        </w:rPr>
      </w:pPr>
    </w:p>
    <w:p>
      <w:pPr>
        <w:jc w:val="both"/>
        <w:ind w:firstLine="1194"/>
        <w:spacing w:after="0" w:line="250" w:lineRule="auto"/>
        <w:tabs>
          <w:tab w:leader="none" w:pos="1787" w:val="left"/>
        </w:tabs>
        <w:numPr>
          <w:ilvl w:val="2"/>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Paragraph 12(d)(i), Tenant may install and maintain one telecommunications antenna, satellite dish, and related telecommunications equipment on the roof of the Building for use by Tenant in the occupancy of the Premises (such equipment being generally referred to as “Roof Equipment”). The location, design, size and weight of such Roof Equipment, and the means of installation (including placement thereof on, or any penetrations of, the roof membrane) shall also be subject to the approval of Landlord, which approval shall not be unreasonably withheld. Any compliance with Laws obligations triggered by such installation (including screening requirements) shall be the sole cost and expense of Tenant. Tenant shall be permitted access to the area on the roof where any such installation may be made as necessary for the installation and maintenance thereof, with prior notice to Landlord and subject to such reasonable restrictions on roof access as may be developed, from time to time, by Landlord, written notice of which is given to Tenant. Tenant’s use of the roof of the Building for the uses specified in this </w:t>
      </w:r>
      <w:r>
        <w:rPr>
          <w:rFonts w:ascii="Times New Roman" w:cs="Times New Roman" w:eastAsia="Times New Roman" w:hAnsi="Times New Roman"/>
          <w:sz w:val="20"/>
          <w:szCs w:val="20"/>
          <w:u w:val="single" w:color="auto"/>
          <w:color w:val="auto"/>
        </w:rPr>
        <w:t>Paragraph 12(d)(ii)</w:t>
      </w:r>
      <w:r>
        <w:rPr>
          <w:rFonts w:ascii="Times New Roman" w:cs="Times New Roman" w:eastAsia="Times New Roman" w:hAnsi="Times New Roman"/>
          <w:sz w:val="20"/>
          <w:szCs w:val="20"/>
          <w:color w:val="auto"/>
        </w:rPr>
        <w:t xml:space="preserve"> shall be contingent on the execution of a rooftop license agreement, which shall be on Landlord’s standard form and in a form reasonably acceptable to Tenant.</w:t>
      </w:r>
    </w:p>
    <w:p>
      <w:pPr>
        <w:spacing w:after="0" w:line="117" w:lineRule="exact"/>
        <w:rPr>
          <w:rFonts w:ascii="Times New Roman" w:cs="Times New Roman" w:eastAsia="Times New Roman" w:hAnsi="Times New Roman"/>
          <w:sz w:val="20"/>
          <w:szCs w:val="20"/>
          <w:color w:val="auto"/>
        </w:rPr>
      </w:pPr>
    </w:p>
    <w:p>
      <w:pPr>
        <w:jc w:val="both"/>
        <w:ind w:firstLine="597"/>
        <w:spacing w:after="0" w:line="256" w:lineRule="auto"/>
        <w:tabs>
          <w:tab w:leader="none" w:pos="1192" w:val="left"/>
        </w:tabs>
        <w:numPr>
          <w:ilvl w:val="1"/>
          <w:numId w:val="5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be required to employ union labor for the work; provided, however, Tenant agrees not to employ any person, entity or contractor for any work in the Premises or the Building (including moving Tenant’s equipment and furnishings in, out or around the Premises) whose presence may give rise to a labor or other disturbance in the Building and, if necessary to prevent such a disturbance in a particular situation, Landlord may require Tenant to employ union labor for the work.</w:t>
      </w:r>
    </w:p>
    <w:p>
      <w:pPr>
        <w:spacing w:after="0" w:line="109"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ALTERATIONS</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54" w:lineRule="auto"/>
        <w:tabs>
          <w:tab w:leader="none" w:pos="1192" w:val="left"/>
        </w:tabs>
        <w:numPr>
          <w:ilvl w:val="1"/>
          <w:numId w:val="5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make no alterations, improvements or additions in or to the Premises or any part thereof (individually and collectively, “Alterations”) without giving Landlord prior notice of the proposed Alterations and obtaining Landlord’s prior written consent thereto, which consent, except as hereinafter provided, shall not be unreasonably withheld, conditioned or delayed; provided, however, Landlord may withhold its consent if it determines, in its sole, but good faith, judgment, that any proposed Alterations would adversely affect any of the structural elements of the Building, the Building’s electrical, plumbing, heating, telecommunications,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-3173730</wp:posOffset>
            </wp:positionV>
            <wp:extent cx="114236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21" w:right="339" w:bottom="1440" w:gutter="0" w:footer="0" w:header="0"/>
        </w:sectPr>
      </w:pPr>
    </w:p>
    <w:bookmarkStart w:id="605" w:name="page606"/>
    <w:bookmarkEnd w:id="605"/>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mechanical or life safety systems, or be visible from or affect the exterior of the Building. Notwithstanding the foregoing, Tenant shall be permitted to make cosmetic, nonstructural Alterations, additions or improvements entirely within the interior of the Premises, which do not adversely affect any Building systems, do not require the issuance of any electrical or building permit, and cost less than Twenty Thousand Dollars ($20,000.00) per year (“Tenant Permitted Alterations”), as to which Tenant shall be required to give Landlord not less than five (5) business days prior written notice, but which Tenant may perform without the requirements of this Paragraph relating to the prior written consent of Landlord (but otherwise without waiving or releasing Tenant from compliance with any of the other provisions of this Article applicable to Alterations). Tenant shall not, without the prior written consent of Landlord in accordance with this </w:t>
      </w:r>
      <w:r>
        <w:rPr>
          <w:rFonts w:ascii="Times New Roman" w:cs="Times New Roman" w:eastAsia="Times New Roman" w:hAnsi="Times New Roman"/>
          <w:sz w:val="20"/>
          <w:szCs w:val="20"/>
          <w:u w:val="single" w:color="auto"/>
          <w:color w:val="auto"/>
        </w:rPr>
        <w:t>Paragraph 12(c)</w:t>
      </w:r>
      <w:r>
        <w:rPr>
          <w:rFonts w:ascii="Times New Roman" w:cs="Times New Roman" w:eastAsia="Times New Roman" w:hAnsi="Times New Roman"/>
          <w:sz w:val="20"/>
          <w:szCs w:val="20"/>
          <w:color w:val="auto"/>
        </w:rPr>
        <w:t>, erect or install any exterior or interior window or door signs, or any other type of sign or placard, whether within or outside the Building. All signs and placards visible from or attached to any windows or exterior Building elements must comply with the City of Oakland signage requirements applicable to the Project. Any and all signage shall be deemed “Alterations” for all purposes of this Lease. Notwithstanding the foregoing, Tenant shall be permitted to install (i) identity signage at the main entry to the Premises on each floor on which the Premises is located, subject to compliance with Landlord’s general guidelines relating to signs inside the Building on office-occupancy floors, and (ii) exterior signage subject to Landlord’s reasonable consent provided the same complies with all applicable laws and regulations.</w:t>
      </w:r>
    </w:p>
    <w:p>
      <w:pPr>
        <w:spacing w:after="0" w:line="121" w:lineRule="exact"/>
        <w:rPr>
          <w:sz w:val="20"/>
          <w:szCs w:val="20"/>
          <w:color w:val="auto"/>
        </w:rPr>
      </w:pPr>
    </w:p>
    <w:p>
      <w:pPr>
        <w:jc w:val="both"/>
        <w:ind w:firstLine="597"/>
        <w:spacing w:after="0" w:line="248" w:lineRule="auto"/>
        <w:tabs>
          <w:tab w:leader="none" w:pos="1190" w:val="left"/>
        </w:tabs>
        <w:numPr>
          <w:ilvl w:val="0"/>
          <w:numId w:val="5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work by Tenant shall be performed only by contractors reasonably approved by Landlord and, where the prior consent of Landlord is required, upon the approval by Landlord of fully detailed and dimensioned plans and specifications pertaining to the work in question, to be prepared and submitted by Tenant at its sole cost and expense. Landlord’s approval or consent to any such work shall not impose any liability upon Landlord, and no action taken by Landlord in connection with such approval, including, without limitation, attending construction meetings of Tenant’s contractors, shall render Tenant the agent of Landlord for purposes of constructing any Alterations. Upon substantial completion of any Alterations requiring the prior consent of Landlord, Tenant shall deliver to Landlord two (2) sets of “as built” plans covering said Alterations and a copy of the final building permit for the work signed off as approved by the appropriate building inspector. Tenant shall at its sole cost and expense obtain all necessary approvals and permits pertaining to any Alterations. Landlord shall have the right to participate in the permitting process related to any such Alterations and Tenant shall coordinate the submittal of all permit applications with Landlord. Tenant shall be solely responsible for any additional alterations and improvements required by law to be made elsewhere in or to the Premises, or in or to any portion of the Building, as a result of any Alterations to the Premises made by or for Tenant. All Alterations (other than trade fixtures), including, but not limited to, carpeting, other floor coverings, built-in shelving, built-in bookcases, built-in paneling and built-in security systems (excluding any leased or readily removable systems) made in or upon the Premises either by or for Tenant and affixed to or forming a part of the Premises, shall immediately upon installation become Landlord’s property free and clear of all liens and encumbrances. If requested by Landlord in writing delivered at the time Landlord approves of the installation or construction of said Alterations, Tenant shall remove or cause to be removed at its expense, upon the expiration or any sooner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21" w:right="339" w:bottom="1440" w:gutter="0" w:footer="0" w:header="0"/>
        </w:sectPr>
      </w:pPr>
    </w:p>
    <w:bookmarkStart w:id="606" w:name="page607"/>
    <w:bookmarkEnd w:id="606"/>
    <w:p>
      <w:pPr>
        <w:jc w:val="both"/>
        <w:spacing w:after="0" w:line="262" w:lineRule="auto"/>
        <w:rPr>
          <w:sz w:val="20"/>
          <w:szCs w:val="20"/>
          <w:color w:val="auto"/>
        </w:rPr>
      </w:pPr>
      <w:r>
        <w:rPr>
          <w:rFonts w:ascii="Times New Roman" w:cs="Times New Roman" w:eastAsia="Times New Roman" w:hAnsi="Times New Roman"/>
          <w:sz w:val="20"/>
          <w:szCs w:val="20"/>
          <w:color w:val="auto"/>
        </w:rPr>
        <w:t>this Lease, any and all Alterations made in or upon the Premises during the Term of this Lease by or for Tenant. However, Tenant shall have no obligation to remove any of the Tenant Improvements, data/voice cabling or any other initial Alterations by Tenant to prepare the Premises for occupancy.</w:t>
      </w:r>
    </w:p>
    <w:p>
      <w:pPr>
        <w:spacing w:after="0" w:line="105" w:lineRule="exact"/>
        <w:rPr>
          <w:sz w:val="20"/>
          <w:szCs w:val="20"/>
          <w:color w:val="auto"/>
        </w:rPr>
      </w:pPr>
    </w:p>
    <w:p>
      <w:pPr>
        <w:jc w:val="both"/>
        <w:ind w:firstLine="597"/>
        <w:spacing w:after="0" w:line="249" w:lineRule="auto"/>
        <w:tabs>
          <w:tab w:leader="none" w:pos="1191" w:val="left"/>
        </w:tabs>
        <w:numPr>
          <w:ilvl w:val="0"/>
          <w:numId w:val="5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keep the Premises and the Building free from any mechanic’s liens, vendor’s liens or any other liens arising out of any work performed, materials furnished or obligations incurred by Tenant, and agrees to defend, indemnify and hold harmless Landlord from and against any such lien or claim or action thereon, together with costs of suit and reasonable attorneys’ fees incurred by Landlord in connection with any such claim or action. Before commencing any work or any alteration, addition or improvement to the Premises which requires Landlord’s consent, Tenant shall give Landlord at least ten (10) business days’ written notice of the proposed commencement of work (to afford Landlord an opportunity to post appropriate notices of non-responsibility). In the event that there shall be recorded against the Premises or the Building or the property of which the Premises is a part any claim or lien arising out of any such work performed, materials furnished or obligations incurred by Tenant and such claim or lien shall not be removed, bonded over or discharged by Tenant within ten (10) days of written notice from Landlord, Landlord shall have the right but not the obligation to pay and discharge said lien by bond or otherwise without regard to whether such lien shall be lawful or correct. Any reasonable costs, including attorneys’ fees incurred by Landlord, shall be paid by Tenant within ten (10) days after demand by Landlord.</w:t>
      </w:r>
    </w:p>
    <w:p>
      <w:pPr>
        <w:spacing w:after="0" w:line="125" w:lineRule="exact"/>
        <w:rPr>
          <w:rFonts w:ascii="Times New Roman" w:cs="Times New Roman" w:eastAsia="Times New Roman" w:hAnsi="Times New Roman"/>
          <w:sz w:val="20"/>
          <w:szCs w:val="20"/>
          <w:color w:val="auto"/>
        </w:rPr>
      </w:pPr>
    </w:p>
    <w:p>
      <w:pPr>
        <w:jc w:val="both"/>
        <w:ind w:firstLine="597"/>
        <w:spacing w:after="0" w:line="250" w:lineRule="auto"/>
        <w:tabs>
          <w:tab w:leader="none" w:pos="1190" w:val="left"/>
        </w:tabs>
        <w:numPr>
          <w:ilvl w:val="0"/>
          <w:numId w:val="5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any Alterations or construction with respect thereto are undertaken by or on behalf of Tenant, Tenant shall provide Landlord with certificates of insurance evidencing the maintenance in effect by Tenant (or Tenant shall require any contractor performing work on the Premises to carry and maintain, at no expense to Landlord) of workers’ compensation insurance as required by applicable law, builders’ risk insurance for the amount of the completed value of the Alterations on an “all-risk” non-reporting form covering all Alterations under construction, including building materials, and Commercial General Liability insurance (including, without limitation, contractor’s liability coverage, contractual liability coverage and completed operations coverage) written on an occurrence basis with a minimum combined single limit of Two Million Dollars ($2,000,000) and adding the “Owner(s) of the Building and its (or their) respective members, principals, beneficiaries, partners, officers, directors, employees, agents (and their respective members and principals) and mortgagee(s)” (and any other designees of Landlord as the interest of such designees shall appear) as additional insureds.</w:t>
      </w:r>
    </w:p>
    <w:p>
      <w:pPr>
        <w:spacing w:after="0" w:line="121" w:lineRule="exact"/>
        <w:rPr>
          <w:rFonts w:ascii="Times New Roman" w:cs="Times New Roman" w:eastAsia="Times New Roman" w:hAnsi="Times New Roman"/>
          <w:sz w:val="20"/>
          <w:szCs w:val="20"/>
          <w:color w:val="auto"/>
        </w:rPr>
      </w:pPr>
    </w:p>
    <w:p>
      <w:pPr>
        <w:jc w:val="both"/>
        <w:ind w:firstLine="597"/>
        <w:spacing w:after="0" w:line="251" w:lineRule="auto"/>
        <w:tabs>
          <w:tab w:leader="none" w:pos="1191" w:val="left"/>
        </w:tabs>
        <w:numPr>
          <w:ilvl w:val="0"/>
          <w:numId w:val="5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pay to Landlord a project administration fee determined by Landlord in an amount equal to three percent (3%) of the hard cost of any Alterations to compensate Landlord for the administrative costs incurred and the Building services provided by Landlord in the supervision and coordination of the work or, in lieu thereof, if Landlord determines to engage a third party construction manager specific to the construction of any Alterations, Tenant shall reimburse Landlord for the commercially reasonable fees and expenses of such third party construction manager. Notwithstanding anything to the contrary in the foregoing, Landlord waives payment of, and shall not charge Tenant, a project administration fee with respect to any Tenant Improvement proposed to be constructed by Tenant in connection with its initial occupancy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21" w:right="339" w:bottom="1440" w:gutter="0" w:footer="0" w:header="0"/>
        </w:sectPr>
      </w:pPr>
    </w:p>
    <w:bookmarkStart w:id="607" w:name="page608"/>
    <w:bookmarkEnd w:id="607"/>
    <w:p>
      <w:pPr>
        <w:ind w:left="600" w:hanging="600"/>
        <w:spacing w:after="0"/>
        <w:tabs>
          <w:tab w:leader="none" w:pos="600" w:val="left"/>
        </w:tabs>
        <w:numPr>
          <w:ilvl w:val="0"/>
          <w:numId w:val="5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 EXCULPATION AND INSURANCE</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48" w:lineRule="auto"/>
        <w:tabs>
          <w:tab w:leader="none" w:pos="1192" w:val="left"/>
        </w:tabs>
        <w:numPr>
          <w:ilvl w:val="1"/>
          <w:numId w:val="5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shall not be liable to Tenant, and Tenant hereby waives all claims against Landlord, for any loss or damage to any fixtures, equipment or other property of Tenant or others installed or placed in the Premises by Tenant, its employees, agents, invitees, licensees or independent contractors (individually and collectively, a “Tenant Party”), and for any bodily or personal injury, illness or death of any person in, on or about the Premises or the Building, arising at any time and from any cause whatsoever, except when caused by the gross negligence or willful misconduct of Landlord or of its employees, agents or independent contractors. In no event shall Landlord be liable to Tenant for any consequential or punitive damages (including, but not limited to, damage or injury to persons, property and the conduct of Tenant’s business and any loss of revenue therefrom). In no event shall Landlord be liable to Tenant for any failure of other tenants in the Building to operate their businesses, or for any loss or damage that may be occasioned by or through the acts or omissions of other tenants. Except for (1) any claims made by Landlord in the exercise of its remedies under </w:t>
      </w:r>
      <w:r>
        <w:rPr>
          <w:rFonts w:ascii="Times New Roman" w:cs="Times New Roman" w:eastAsia="Times New Roman" w:hAnsi="Times New Roman"/>
          <w:sz w:val="20"/>
          <w:szCs w:val="20"/>
          <w:u w:val="single" w:color="auto"/>
          <w:color w:val="auto"/>
        </w:rPr>
        <w:t>Article 18</w:t>
      </w:r>
      <w:r>
        <w:rPr>
          <w:rFonts w:ascii="Times New Roman" w:cs="Times New Roman" w:eastAsia="Times New Roman" w:hAnsi="Times New Roman"/>
          <w:sz w:val="20"/>
          <w:szCs w:val="20"/>
          <w:color w:val="auto"/>
        </w:rPr>
        <w:t xml:space="preserve"> or any liability of Tenant arising therefrom, (2) any breach by Tenant of any of its obligations under </w:t>
      </w:r>
      <w:r>
        <w:rPr>
          <w:rFonts w:ascii="Times New Roman" w:cs="Times New Roman" w:eastAsia="Times New Roman" w:hAnsi="Times New Roman"/>
          <w:sz w:val="20"/>
          <w:szCs w:val="20"/>
          <w:u w:val="single" w:color="auto"/>
          <w:color w:val="auto"/>
        </w:rPr>
        <w:t>Paragraph 6(d)</w:t>
      </w:r>
      <w:r>
        <w:rPr>
          <w:rFonts w:ascii="Times New Roman" w:cs="Times New Roman" w:eastAsia="Times New Roman" w:hAnsi="Times New Roman"/>
          <w:sz w:val="20"/>
          <w:szCs w:val="20"/>
          <w:color w:val="auto"/>
        </w:rPr>
        <w:t xml:space="preserve"> of this Lease or any liability of Tenant arising therefrom, or (3) any failure by Tenant to timely surrender possession of the Premises to Landlord upon expiration or sooner termination of the Lease Term in the manner and condition required under this Lease or any liability of Tenant arising therefrom (including, without limitation, any liability under </w:t>
      </w:r>
      <w:r>
        <w:rPr>
          <w:rFonts w:ascii="Times New Roman" w:cs="Times New Roman" w:eastAsia="Times New Roman" w:hAnsi="Times New Roman"/>
          <w:sz w:val="20"/>
          <w:szCs w:val="20"/>
          <w:u w:val="single" w:color="auto"/>
          <w:color w:val="auto"/>
        </w:rPr>
        <w:t>Article 29</w:t>
      </w:r>
      <w:r>
        <w:rPr>
          <w:rFonts w:ascii="Times New Roman" w:cs="Times New Roman" w:eastAsia="Times New Roman" w:hAnsi="Times New Roman"/>
          <w:sz w:val="20"/>
          <w:szCs w:val="20"/>
          <w:color w:val="auto"/>
        </w:rPr>
        <w:t xml:space="preserve">). neither Tenant nor any Tenant Parties shall be liable to Landlord for, and Landlord releases and waives as against Tenant and all Tenant Parties from, any and all Claims for consequential, indirect, special or punitive damages suffered or incurred by Landlord under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w:t>
      </w:r>
    </w:p>
    <w:p>
      <w:pPr>
        <w:spacing w:after="0" w:line="131" w:lineRule="exact"/>
        <w:rPr>
          <w:rFonts w:ascii="Times New Roman" w:cs="Times New Roman" w:eastAsia="Times New Roman" w:hAnsi="Times New Roman"/>
          <w:sz w:val="20"/>
          <w:szCs w:val="20"/>
          <w:color w:val="auto"/>
        </w:rPr>
      </w:pPr>
    </w:p>
    <w:p>
      <w:pPr>
        <w:jc w:val="both"/>
        <w:ind w:firstLine="597"/>
        <w:spacing w:after="0" w:line="249" w:lineRule="auto"/>
        <w:tabs>
          <w:tab w:leader="none" w:pos="1191" w:val="left"/>
        </w:tabs>
        <w:numPr>
          <w:ilvl w:val="1"/>
          <w:numId w:val="5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Tenant shall indemnify and defend Landlord against and hold Landlord harmless from all claims, demands, liabilities, damages, losses, costs and expenses, including reasonable attorneys’ fees and disbursements, arising from or related to any use or occupancy of the Premises, or any condition of the Premises, or any default in the performance of Tenant’s obligations, or any damage to any property (including property of employees and invitees of Tenant) or any bodily or personal injury, illness or death of any person (including employees and invitees of Tenant) occurring in, on or about the Premises or any part thereof arising at any time and from any cause whatsoever including, without limitation, if caused in whole or in part by the act, omission or active or passive negligence of Landlord (except to the extent caused by the gross negligence or willful misconduct of Landlord) or occurring in, on or about any part of the Building or the Project, other than the Premises, when such damage, bodily or personal injury, illness or death is caused by the negligent act or omission of Tenant or its agents, officers, employees, contractors, invitees or licensees. Upon notice from Landlord, Tenant shall defend any such claim, demand, cause of action or suit at Tenant’s expense by counsel satisfactory to Landlord in its sole discretion. This </w:t>
      </w:r>
      <w:r>
        <w:rPr>
          <w:rFonts w:ascii="Times New Roman" w:cs="Times New Roman" w:eastAsia="Times New Roman" w:hAnsi="Times New Roman"/>
          <w:sz w:val="20"/>
          <w:szCs w:val="20"/>
          <w:u w:val="single" w:color="auto"/>
          <w:color w:val="auto"/>
        </w:rPr>
        <w:t>Paragraph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14(a)</w:t>
      </w:r>
      <w:r>
        <w:rPr>
          <w:rFonts w:ascii="Times New Roman" w:cs="Times New Roman" w:eastAsia="Times New Roman" w:hAnsi="Times New Roman"/>
          <w:sz w:val="20"/>
          <w:szCs w:val="20"/>
          <w:color w:val="auto"/>
        </w:rPr>
        <w:t xml:space="preserve"> shall survive the termination of this Lease with respect to any damage, bodily or personal injury, illness or death occurring prior to such termination.</w:t>
      </w:r>
    </w:p>
    <w:p>
      <w:pPr>
        <w:spacing w:after="0" w:line="123" w:lineRule="exact"/>
        <w:rPr>
          <w:rFonts w:ascii="Times New Roman" w:cs="Times New Roman" w:eastAsia="Times New Roman" w:hAnsi="Times New Roman"/>
          <w:sz w:val="20"/>
          <w:szCs w:val="20"/>
          <w:color w:val="auto"/>
        </w:rPr>
      </w:pPr>
    </w:p>
    <w:p>
      <w:pPr>
        <w:jc w:val="both"/>
        <w:ind w:firstLine="1194"/>
        <w:spacing w:after="0" w:line="262" w:lineRule="auto"/>
        <w:tabs>
          <w:tab w:leader="none" w:pos="1787" w:val="left"/>
        </w:tabs>
        <w:numPr>
          <w:ilvl w:val="2"/>
          <w:numId w:val="5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directly arising out of any negligent or willfully wrongful act or omission of Tenant, any Tenant Party, or by anyone else acting at the direction, with the permission, or under the control, of Tenant, Landlord shall defend, protect, indemnify and hold harmless Tenant from and against any and all claims, demands, liabilities,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17" w:right="339" w:bottom="1440" w:gutter="0" w:footer="0" w:header="0"/>
        </w:sectPr>
      </w:pPr>
    </w:p>
    <w:bookmarkStart w:id="608" w:name="page609"/>
    <w:bookmarkEnd w:id="608"/>
    <w:p>
      <w:pPr>
        <w:jc w:val="both"/>
        <w:spacing w:after="0" w:line="256" w:lineRule="auto"/>
        <w:rPr>
          <w:sz w:val="20"/>
          <w:szCs w:val="20"/>
          <w:color w:val="auto"/>
        </w:rPr>
      </w:pPr>
      <w:r>
        <w:rPr>
          <w:rFonts w:ascii="Times New Roman" w:cs="Times New Roman" w:eastAsia="Times New Roman" w:hAnsi="Times New Roman"/>
          <w:sz w:val="20"/>
          <w:szCs w:val="20"/>
          <w:color w:val="auto"/>
        </w:rPr>
        <w:t>losses, costs and expenses, including reasonable attorneys’ fees and disbursement based in whole or in part on the negligence or willful misconduct of Landlord or any of Landlord’s employees, agents or independent contractors arising out of or relating to the use or occupancy, or manner of use or occupancy, of any of the common areas of the Building and the Project (excluding any and all claims, demands, liabilities, damages, losses, costs and expenses, arising from the use of the Parking Area.</w:t>
      </w:r>
    </w:p>
    <w:p>
      <w:pPr>
        <w:spacing w:after="0" w:line="114" w:lineRule="exact"/>
        <w:rPr>
          <w:sz w:val="20"/>
          <w:szCs w:val="20"/>
          <w:color w:val="auto"/>
        </w:rPr>
      </w:pPr>
    </w:p>
    <w:p>
      <w:pPr>
        <w:jc w:val="both"/>
        <w:ind w:firstLine="597"/>
        <w:spacing w:after="0" w:line="266" w:lineRule="auto"/>
        <w:tabs>
          <w:tab w:leader="none" w:pos="1191" w:val="left"/>
        </w:tabs>
        <w:numPr>
          <w:ilvl w:val="0"/>
          <w:numId w:val="5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shall, at all times during the Term of this Lease and at Tenant’s sole cost and expense, obtain and keep in force workers’ compensation insurance as required by law, including an employers’ liability endorsement; business interruption insurance in an amount equal to all rent payable under this Lease for a period of twelve (12) months (at the then current rent charged), naming Landlord as an additional insured on form CP 15 03 06 07, its equivalent or by having blanket Additional Insured language in the policy; and commercial general liability insurance, including contractual liability (specifically covering this Lease), fire legal liability, and premises operations, with a minimum combined single limit of Three Million Dollars ($3,000,000) per occurrence for bodily or personal injury to, illness of, or death of persons and damage to property occurring in, on or about the Premises or the Building. Tenant shall, at Tenant’s sole cost and expense, be responsible for insuring Tenant’s furniture, equipment, fixtures, computers, office machines and personal property (“Tenant’s Property”).</w:t>
      </w:r>
    </w:p>
    <w:p>
      <w:pPr>
        <w:spacing w:after="0" w:line="103" w:lineRule="exact"/>
        <w:rPr>
          <w:rFonts w:ascii="Times New Roman" w:cs="Times New Roman" w:eastAsia="Times New Roman" w:hAnsi="Times New Roman"/>
          <w:sz w:val="19"/>
          <w:szCs w:val="19"/>
          <w:color w:val="auto"/>
        </w:rPr>
      </w:pPr>
    </w:p>
    <w:p>
      <w:pPr>
        <w:jc w:val="both"/>
        <w:ind w:firstLine="597"/>
        <w:spacing w:after="0" w:line="249" w:lineRule="auto"/>
        <w:tabs>
          <w:tab w:leader="none" w:pos="1190" w:val="left"/>
        </w:tabs>
        <w:numPr>
          <w:ilvl w:val="0"/>
          <w:numId w:val="5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insurance required under this </w:t>
      </w:r>
      <w:r>
        <w:rPr>
          <w:rFonts w:ascii="Times New Roman" w:cs="Times New Roman" w:eastAsia="Times New Roman" w:hAnsi="Times New Roman"/>
          <w:sz w:val="20"/>
          <w:szCs w:val="20"/>
          <w:u w:val="single" w:color="auto"/>
          <w:color w:val="auto"/>
        </w:rPr>
        <w:t>Paragraph 14</w:t>
      </w:r>
      <w:r>
        <w:rPr>
          <w:rFonts w:ascii="Times New Roman" w:cs="Times New Roman" w:eastAsia="Times New Roman" w:hAnsi="Times New Roman"/>
          <w:sz w:val="20"/>
          <w:szCs w:val="20"/>
          <w:color w:val="auto"/>
        </w:rPr>
        <w:t xml:space="preserve"> and all renewals thereof shall be issued by financially responsible and reputable insurance companies with AM Best Ratings of at least A-/VIII and, qualified to do business in the State of California and reasonably acceptable to Landlord. Liability amounts in excess of One Million Dollars ($1,000,000) may be carried under umbrella coverage policies. Each policy shall have a deductible or deductibles, if any, which do not exceed Fifty Thousand Dollars ($50,000) per occurrence. Each policy shall expressly provide that the policy shall not be canceled or altered without thirty (30) days’ prior written notice to Landlord and shall remain in effect notwithstanding any such cancellation or alteration until such notice shall have been given to Landlord and such period of thirty (30) days shall have expired. All liability insurance under this </w:t>
      </w:r>
      <w:r>
        <w:rPr>
          <w:rFonts w:ascii="Times New Roman" w:cs="Times New Roman" w:eastAsia="Times New Roman" w:hAnsi="Times New Roman"/>
          <w:sz w:val="20"/>
          <w:szCs w:val="20"/>
          <w:u w:val="single" w:color="auto"/>
          <w:color w:val="auto"/>
        </w:rPr>
        <w:t>Paragraph 14</w:t>
      </w:r>
      <w:r>
        <w:rPr>
          <w:rFonts w:ascii="Times New Roman" w:cs="Times New Roman" w:eastAsia="Times New Roman" w:hAnsi="Times New Roman"/>
          <w:sz w:val="20"/>
          <w:szCs w:val="20"/>
          <w:color w:val="auto"/>
        </w:rPr>
        <w:t xml:space="preserve"> shall name Landlord and any other parties designated by Landlord as an additional insured, shall be primary and noncontributing with any insurance which may be carried by Landlord, shall afford coverage for all claims based on any act, omission, event or condition that occurred or arose (or the onset of which occurred or arose) during the policy period, and shall expressly provide that Landlord, although named as an insured, shall nevertheless be entitled to recover under the policy for any loss, injury or damage to Landlord. Upon the issuance thereof, Tenant shall deliver each such policy to Landlord for retention by Landlord. If Tenant fails to insure or fails to furnish to Landlord upon notice to do so any such policy or evidence of coverage as required, Landlord shall have the right from time to time to effect such insurance for the benefit of Tenant or Landlord or both of them and all premiums paid by Landlord shall be payable on demand by Tenant as additional rent.</w:t>
      </w:r>
    </w:p>
    <w:p>
      <w:pPr>
        <w:spacing w:after="0" w:line="118" w:lineRule="exact"/>
        <w:rPr>
          <w:rFonts w:ascii="Times New Roman" w:cs="Times New Roman" w:eastAsia="Times New Roman" w:hAnsi="Times New Roman"/>
          <w:sz w:val="20"/>
          <w:szCs w:val="20"/>
          <w:color w:val="auto"/>
        </w:rPr>
      </w:pPr>
    </w:p>
    <w:p>
      <w:pPr>
        <w:jc w:val="both"/>
        <w:ind w:firstLine="597"/>
        <w:spacing w:after="0" w:line="256" w:lineRule="auto"/>
        <w:tabs>
          <w:tab w:leader="none" w:pos="1191" w:val="left"/>
        </w:tabs>
        <w:numPr>
          <w:ilvl w:val="0"/>
          <w:numId w:val="5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waives on behalf of all insurers under all policies of property, liability and other insurance (excluding workers’ compensation) now or hereafter carried by Tenant insuring or covering the Premises, or any portion or any contents thereof, or any operations therein, all rights of subrogation which any insurer might otherwise, if at all, have to any claims of Tenant against Landlord. Landlord waives on behalf of all insurers under all policies of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21" w:right="339" w:bottom="1440" w:gutter="0" w:footer="0" w:header="0"/>
        </w:sectPr>
      </w:pPr>
    </w:p>
    <w:bookmarkStart w:id="609" w:name="page610"/>
    <w:bookmarkEnd w:id="609"/>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liability and other insurance (excluding workers’ compensation) now or hereafter carried by Landlord insuring or covering the Building or any portion or any contents thereof, or any operations therein, all rights of subrogation which any insurer might otherwise, if at all, have to any claims of Landlord against Tenant. For purposes of this </w:t>
      </w:r>
      <w:r>
        <w:rPr>
          <w:rFonts w:ascii="Times New Roman" w:cs="Times New Roman" w:eastAsia="Times New Roman" w:hAnsi="Times New Roman"/>
          <w:sz w:val="20"/>
          <w:szCs w:val="20"/>
          <w:u w:val="single" w:color="auto"/>
          <w:color w:val="auto"/>
        </w:rPr>
        <w:t>Paragraph 14(e)</w:t>
      </w:r>
      <w:r>
        <w:rPr>
          <w:rFonts w:ascii="Times New Roman" w:cs="Times New Roman" w:eastAsia="Times New Roman" w:hAnsi="Times New Roman"/>
          <w:sz w:val="20"/>
          <w:szCs w:val="20"/>
          <w:color w:val="auto"/>
        </w:rPr>
        <w:t xml:space="preserve">, any deductible or self-insured retention with respect to Tenant’s insurance shall be deemed covered by Tenant’s policies of insurance. Tenant shall, prior to or immediately after the date of this Lease, procure from each of the insurers under all policies of property, liability and other insurance (excluding workers’ compensation) now or hereafter carried by Tenant insuring or covering the Premises, or any portion or any contents thereof, or any operations therein, a waiver of all rights of subrogation which the insurer might otherwise, if at all, have to any claims of Tenant against Landlord as required by this </w:t>
      </w:r>
      <w:r>
        <w:rPr>
          <w:rFonts w:ascii="Times New Roman" w:cs="Times New Roman" w:eastAsia="Times New Roman" w:hAnsi="Times New Roman"/>
          <w:sz w:val="20"/>
          <w:szCs w:val="20"/>
          <w:u w:val="single" w:color="auto"/>
          <w:color w:val="auto"/>
        </w:rPr>
        <w:t>Paragraph 13(e)</w:t>
      </w:r>
      <w:r>
        <w:rPr>
          <w:rFonts w:ascii="Times New Roman" w:cs="Times New Roman" w:eastAsia="Times New Roman" w:hAnsi="Times New Roman"/>
          <w:sz w:val="20"/>
          <w:szCs w:val="20"/>
          <w:color w:val="auto"/>
        </w:rPr>
        <w:t>.</w:t>
      </w:r>
    </w:p>
    <w:p>
      <w:pPr>
        <w:spacing w:after="0" w:line="117" w:lineRule="exact"/>
        <w:rPr>
          <w:sz w:val="20"/>
          <w:szCs w:val="20"/>
          <w:color w:val="auto"/>
        </w:rPr>
      </w:pPr>
    </w:p>
    <w:p>
      <w:pPr>
        <w:jc w:val="both"/>
        <w:ind w:firstLine="597"/>
        <w:spacing w:after="0" w:line="250" w:lineRule="auto"/>
        <w:tabs>
          <w:tab w:leader="none" w:pos="1195" w:val="left"/>
        </w:tabs>
        <w:numPr>
          <w:ilvl w:val="1"/>
          <w:numId w:val="5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provided in this Lease, neither Landlord, nor any general or limited partner in or of Landlord, whether direct or indirect, nor any direct or indirect partners in such partners, nor any disclosed or undisclosed officers, shareholders, principals, directors or employees of Landlord or of any of the foregoing, nor any investment adviser or other holder of any equity interest in Landlord, their successors, assigns, agents, or any mortgagee in possession, shall have any personal liability with respect to any provisions of this Lease and, if Landlord is in breach or default with respect to its obligations or otherwise. Tenant shall look solely to Landlord’s unencumbered interest in the Project for the satisfaction of Tenant’s remedies (which shall be deemed to include the then current monthly rental income at the Building as well as any then payable insurance or condemnation proceeds as of the date Tenant’s right of recovery against Landlord is subject to a final judgment, in each case not otherwise encumbered in favor of a Superior Interest Holder, as that term is hereinafter defined).</w:t>
      </w:r>
    </w:p>
    <w:p>
      <w:pPr>
        <w:spacing w:after="0" w:line="117"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DESTRUCTION.</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49" w:lineRule="auto"/>
        <w:tabs>
          <w:tab w:leader="none" w:pos="1192" w:val="left"/>
        </w:tabs>
        <w:numPr>
          <w:ilvl w:val="1"/>
          <w:numId w:val="5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Premises or any portion of the Building is damaged by fire or other insured casualty, Landlord shall diligently repair the same to the extent possible with the insurance proceeds actually received by Landlord (and not subject to any prior rights to such proceeds of the holder of any mortgage or deed of trust encumbering the Building), subject to the provisions of this Paragraph hereinafter set forth, if such repairs can in Landlord’s opinion be completed within two hundred forty (240) days following the occurrence of the casualty under the laws and regulations of federal, state and local governmental authorities having jurisdiction thereof. In such event this Lease shall remain in full force and effect except that if such damage is not the result of the negligence or willful misconduct of Tenant or Tenant’s agents, contractors, employees, subtenants, licenses, invitees or visitors, an abatement of Base Rent shall be allowed Tenant for such part of the Premises as shall be rendered unusable by Tenant in the conduct of its business until such time as Landlord completes the repairs and restoration to the Premises required by </w:t>
      </w:r>
      <w:r>
        <w:rPr>
          <w:rFonts w:ascii="Times New Roman" w:cs="Times New Roman" w:eastAsia="Times New Roman" w:hAnsi="Times New Roman"/>
          <w:sz w:val="20"/>
          <w:szCs w:val="20"/>
          <w:u w:val="single" w:color="auto"/>
          <w:color w:val="auto"/>
        </w:rPr>
        <w:t>Paragraph 15(d)</w:t>
      </w:r>
      <w:r>
        <w:rPr>
          <w:rFonts w:ascii="Times New Roman" w:cs="Times New Roman" w:eastAsia="Times New Roman" w:hAnsi="Times New Roman"/>
          <w:sz w:val="20"/>
          <w:szCs w:val="20"/>
          <w:color w:val="auto"/>
        </w:rPr>
        <w:t xml:space="preserve"> hereof. Notwithstanding the foregoing, if such casualty shall occur during the final twelve months of the term of this Lease, Landlord or Tenant may elect to terminate this Lease upon written notice given to the other within thirty (30) days after the date of such fire or other casualty, in which event this Lease shall terminate as of the termination date specified in the notice. A total destruction of the Building shall automatically terminate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21" w:right="339" w:bottom="1440" w:gutter="0" w:footer="0" w:header="0"/>
        </w:sectPr>
      </w:pPr>
    </w:p>
    <w:bookmarkStart w:id="610" w:name="page611"/>
    <w:bookmarkEnd w:id="610"/>
    <w:p>
      <w:pPr>
        <w:jc w:val="both"/>
        <w:ind w:firstLine="597"/>
        <w:spacing w:after="0" w:line="254" w:lineRule="auto"/>
        <w:tabs>
          <w:tab w:leader="none" w:pos="1191" w:val="left"/>
        </w:tabs>
        <w:numPr>
          <w:ilvl w:val="1"/>
          <w:numId w:val="5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repairs cannot in Landlord’s opinion be made during the time period and at a cost provided in </w:t>
      </w:r>
      <w:r>
        <w:rPr>
          <w:rFonts w:ascii="Times New Roman" w:cs="Times New Roman" w:eastAsia="Times New Roman" w:hAnsi="Times New Roman"/>
          <w:sz w:val="20"/>
          <w:szCs w:val="20"/>
          <w:u w:val="single" w:color="auto"/>
          <w:color w:val="auto"/>
        </w:rPr>
        <w:t>Paragraph 15(a</w:t>
      </w:r>
      <w:r>
        <w:rPr>
          <w:rFonts w:ascii="Times New Roman" w:cs="Times New Roman" w:eastAsia="Times New Roman" w:hAnsi="Times New Roman"/>
          <w:sz w:val="20"/>
          <w:szCs w:val="20"/>
          <w:color w:val="auto"/>
        </w:rPr>
        <w:t>) above, Landlord may elect upon notice to Tenant given forty-five (45) days after the date of such fire or other casualty to (i) repair or restore such damage, in which event this Lease shall continue in full force and effect, but Base Rent shall be partially abated as hereinabove provided, or</w:t>
      </w:r>
    </w:p>
    <w:p>
      <w:pPr>
        <w:spacing w:after="0" w:line="1" w:lineRule="exact"/>
        <w:rPr>
          <w:rFonts w:ascii="Times New Roman" w:cs="Times New Roman" w:eastAsia="Times New Roman" w:hAnsi="Times New Roman"/>
          <w:sz w:val="20"/>
          <w:szCs w:val="20"/>
          <w:color w:val="auto"/>
        </w:rPr>
      </w:pPr>
    </w:p>
    <w:p>
      <w:pPr>
        <w:spacing w:after="0" w:line="254" w:lineRule="auto"/>
        <w:tabs>
          <w:tab w:leader="none" w:pos="323" w:val="left"/>
        </w:tabs>
        <w:numPr>
          <w:ilvl w:val="0"/>
          <w:numId w:val="5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this Lease in which event this Lease shall terminate as of the termination date specified in Landlord’s notice. Landlord’s election shall be binding on Tenant.</w:t>
      </w:r>
    </w:p>
    <w:p>
      <w:pPr>
        <w:spacing w:after="0" w:line="113" w:lineRule="exact"/>
        <w:rPr>
          <w:rFonts w:ascii="Times New Roman" w:cs="Times New Roman" w:eastAsia="Times New Roman" w:hAnsi="Times New Roman"/>
          <w:sz w:val="20"/>
          <w:szCs w:val="20"/>
          <w:color w:val="auto"/>
        </w:rPr>
      </w:pPr>
    </w:p>
    <w:p>
      <w:pPr>
        <w:jc w:val="both"/>
        <w:ind w:firstLine="597"/>
        <w:spacing w:after="0" w:line="256" w:lineRule="auto"/>
        <w:tabs>
          <w:tab w:leader="none" w:pos="1192" w:val="left"/>
        </w:tabs>
        <w:numPr>
          <w:ilvl w:val="1"/>
          <w:numId w:val="5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acknowledge that this Lease constitutes the entire agreement of the parties regarding events of damage or destruction, and Tenant waives the provisions of California Civil Code Section 1932(2) and 1933(4) and any similar statute now or hereafter in force. No such casualty (nor Landlord’s subsequent restoration and repair work) shall constitute a constructive eviction or give Tenant any rights to terminate this Lease.</w:t>
      </w:r>
    </w:p>
    <w:p>
      <w:pPr>
        <w:spacing w:after="0" w:line="113" w:lineRule="exact"/>
        <w:rPr>
          <w:rFonts w:ascii="Times New Roman" w:cs="Times New Roman" w:eastAsia="Times New Roman" w:hAnsi="Times New Roman"/>
          <w:sz w:val="20"/>
          <w:szCs w:val="20"/>
          <w:color w:val="auto"/>
        </w:rPr>
      </w:pPr>
    </w:p>
    <w:p>
      <w:pPr>
        <w:jc w:val="both"/>
        <w:ind w:firstLine="597"/>
        <w:spacing w:after="0" w:line="256" w:lineRule="auto"/>
        <w:tabs>
          <w:tab w:leader="none" w:pos="1191" w:val="left"/>
        </w:tabs>
        <w:numPr>
          <w:ilvl w:val="1"/>
          <w:numId w:val="5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Premises are to be repaired under this Paragraph, Landlord shall repair at its cost (subject to the limitations contained in this Paragraph) any injury or damage to the Building itself and the initial permanently affixed improvements to the Premises made by Landlord or existing in the Premises as of the date of delivery of possession of the Premises to Tenant. Tenant shall pay the cost of repairing or replacing all other improvements in the Premises and Tenant’s trade fixtures, furnishings, equipment and other personal property.</w:t>
      </w:r>
    </w:p>
    <w:p>
      <w:pPr>
        <w:spacing w:after="0" w:line="110" w:lineRule="exact"/>
        <w:rPr>
          <w:sz w:val="20"/>
          <w:szCs w:val="20"/>
          <w:color w:val="auto"/>
        </w:rPr>
      </w:pPr>
    </w:p>
    <w:p>
      <w:pPr>
        <w:ind w:left="600" w:hanging="600"/>
        <w:spacing w:after="0"/>
        <w:tabs>
          <w:tab w:leader="none" w:pos="600" w:val="left"/>
        </w:tabs>
        <w:numPr>
          <w:ilvl w:val="0"/>
          <w:numId w:val="5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ENTRY.</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51" w:lineRule="auto"/>
        <w:tabs>
          <w:tab w:leader="none" w:pos="1192" w:val="left"/>
        </w:tabs>
        <w:numPr>
          <w:ilvl w:val="1"/>
          <w:numId w:val="5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will permit Landlord and its agents to enter into and upon the Premises at all reasonable times upon reasonable notice of not less than 24 hours except in exigent circumstances for the purpose of inspecting the same, or for the purpose of protecting owners’ reversion, or at mutually agreed upon times, to make alterations or additions to the Premises or to any other portion of the Building, or for maintaining any service provided by Landlord to Tenant hereunder, including maintenance, window cleaning and janitorial service, without any rebate of rent to Tenant for any loss of occupancy or quiet enjoyment of the Premises, or damage, injury or inconvenience thereby occasioned provided at no time does such entry unreasonably deprive Tenant of quiet enjoyment, use of or access to, and will permit Landlord at any time to bring upon the Premises, for purposes of inspection or display, during the final 3 months of the term only, prospective tenants thereof.</w:t>
      </w:r>
    </w:p>
    <w:p>
      <w:pPr>
        <w:spacing w:after="0" w:line="116" w:lineRule="exact"/>
        <w:rPr>
          <w:rFonts w:ascii="Times New Roman" w:cs="Times New Roman" w:eastAsia="Times New Roman" w:hAnsi="Times New Roman"/>
          <w:sz w:val="20"/>
          <w:szCs w:val="20"/>
          <w:color w:val="auto"/>
        </w:rPr>
      </w:pPr>
    </w:p>
    <w:p>
      <w:pPr>
        <w:ind w:left="1180" w:hanging="583"/>
        <w:spacing w:after="0"/>
        <w:tabs>
          <w:tab w:leader="none" w:pos="1180" w:val="left"/>
        </w:tabs>
        <w:numPr>
          <w:ilvl w:val="1"/>
          <w:numId w:val="5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agrees that it shall only be permitted to show the Premises to prospective Tenants during the last twelve (12) months</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the Term.</w:t>
      </w:r>
    </w:p>
    <w:p>
      <w:pPr>
        <w:spacing w:after="0" w:line="133" w:lineRule="exact"/>
        <w:rPr>
          <w:rFonts w:ascii="Times New Roman" w:cs="Times New Roman" w:eastAsia="Times New Roman" w:hAnsi="Times New Roman"/>
          <w:sz w:val="19"/>
          <w:szCs w:val="19"/>
          <w:color w:val="auto"/>
        </w:rPr>
      </w:pPr>
    </w:p>
    <w:p>
      <w:pPr>
        <w:jc w:val="both"/>
        <w:ind w:firstLine="597"/>
        <w:spacing w:after="0" w:line="254" w:lineRule="auto"/>
        <w:tabs>
          <w:tab w:leader="none" w:pos="1192" w:val="left"/>
        </w:tabs>
        <w:numPr>
          <w:ilvl w:val="1"/>
          <w:numId w:val="5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emergency, Landlord shall have the right to use any and all means that Landlord may deem proper in order to obtain entry to the Premises. Any emergency entry into the Premises so obtained by Landlord shall not under any circumstances be construed or deemed to be a forcible or unlawful entry into or a detainer of the Premises or an eviction, actual or constructive, of Tenant from the Premises, or any portion thereof, and Landlord shall be responsible for any damage caused to the Premises in gaining entry in the event of an emergency.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22" w:right="339" w:bottom="1440" w:gutter="0" w:footer="0" w:header="0"/>
        </w:sectPr>
      </w:pPr>
    </w:p>
    <w:bookmarkStart w:id="611" w:name="page612"/>
    <w:bookmarkEnd w:id="611"/>
    <w:p>
      <w:pPr>
        <w:ind w:left="600" w:hanging="600"/>
        <w:spacing w:after="0"/>
        <w:tabs>
          <w:tab w:leader="none" w:pos="600" w:val="left"/>
        </w:tabs>
        <w:numPr>
          <w:ilvl w:val="0"/>
          <w:numId w:val="5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EVENTS OF DEFAULT.</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48" w:lineRule="auto"/>
        <w:tabs>
          <w:tab w:leader="none" w:pos="1192" w:val="left"/>
        </w:tabs>
        <w:numPr>
          <w:ilvl w:val="1"/>
          <w:numId w:val="5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occurrence of any one or more of the following events (each, an “Event of Default’’) shall constitute a breach of this Lease by Tenant: (i) if Tenant shall default in its obligation to pay any rent or other payment(s) due hereunder as and when due and payable; provided, such delinquency in payment of rent shall not, in and of itself, be deemed to be an Event of Default until the failure of payment continues for a period of five (5) days after receipt of written notice thereof from Landlord to Tenant; or (ii) if Tenant shall fail to perform or observe any other term hereof (except as otherwise provided in this Paragraph) or of the Building Rules described in </w:t>
      </w:r>
      <w:r>
        <w:rPr>
          <w:rFonts w:ascii="Times New Roman" w:cs="Times New Roman" w:eastAsia="Times New Roman" w:hAnsi="Times New Roman"/>
          <w:sz w:val="20"/>
          <w:szCs w:val="20"/>
          <w:u w:val="single" w:color="auto"/>
          <w:color w:val="auto"/>
        </w:rPr>
        <w:t>Paragraph 8</w:t>
      </w:r>
      <w:r>
        <w:rPr>
          <w:rFonts w:ascii="Times New Roman" w:cs="Times New Roman" w:eastAsia="Times New Roman" w:hAnsi="Times New Roman"/>
          <w:sz w:val="20"/>
          <w:szCs w:val="20"/>
          <w:color w:val="auto"/>
        </w:rPr>
        <w:t xml:space="preserve"> hereof to be performed or observed by Tenant, such failure shall continue for more than ten (10) days after notice thereof from Landlord, and Tenant shall not within such period commence with due diligence and dispatch the curing of such default, or, having so commenced, thereafter shall fail or neglect to prosecute or complete with due diligence the curing of such default; or (iii) any assignment or subletting in violation of the terms of this Lease; or (iv) the Premises shall be effectively abandoned by Tenant as evidenced by the failure to occupy the Premises for a period of thirty (30) consecutive days and during such time Tenant materially defaults with respect to its obligation to maintain and repair the Premises as provided herein; or (v) a tax lien or a mechanic’s and/or materialmen’s lien is filed against Landlord’s interest in the Building and such lien is not discharged within ten (10) days after written notice thereof from Landlord; or (vi) if Tenant shall make a general assignment for the benefit of creditors, or shall admit in writing its inability to pay its debts as they become due or shall file a petition in bankruptcy, or shall file a petition (or an involuntary petition is filed) seeking any reorganization, arrangement, composition, readjustment, liquidation, dissolution or similar relief under any present or future statute, law or regulation, or shall seek or consent to or acquiesce in the appointment of any trustee, receiver or liquidator of Tenant or any material part of its property; or (vii) the taking of any action leading to, or the actual dissolution or liquidation of Tenant, if Tenant is other than an individual; or (viii) any Guarantor shall become insolvent within the meaning of the United States Bankruptcy Code, as amended from time to time, or shall have ceased to pay its debts in the ordinary course of business, or shall be unable to pay its debts as they become due, or Tenant or Guarantor shall notify Landlord that it anticipates the occurrence of any of the foregoing conditions, or Guarantor shall default, beyond any applicable notice and cure period, under its obligations under guaranty.</w:t>
      </w:r>
    </w:p>
    <w:p>
      <w:pPr>
        <w:spacing w:after="0" w:line="123" w:lineRule="exact"/>
        <w:rPr>
          <w:rFonts w:ascii="Times New Roman" w:cs="Times New Roman" w:eastAsia="Times New Roman" w:hAnsi="Times New Roman"/>
          <w:sz w:val="20"/>
          <w:szCs w:val="20"/>
          <w:color w:val="auto"/>
        </w:rPr>
      </w:pPr>
    </w:p>
    <w:p>
      <w:pPr>
        <w:jc w:val="both"/>
        <w:ind w:firstLine="597"/>
        <w:spacing w:after="0" w:line="262" w:lineRule="auto"/>
        <w:tabs>
          <w:tab w:leader="none" w:pos="1191" w:val="left"/>
        </w:tabs>
        <w:numPr>
          <w:ilvl w:val="1"/>
          <w:numId w:val="5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periods required to be given by Landlord under this Lease shall, in each case, be in lieu of, and not in addition to, any notice required to be given under California Code of Civil Procedure Sections 1161 through 1162, or any other applicable unlawful detainer statutes, to the extent the substance thereof is given in compliance therewith and the notice is served as provided in this Lease.</w:t>
      </w:r>
    </w:p>
    <w:p>
      <w:pPr>
        <w:spacing w:after="0" w:line="105" w:lineRule="exact"/>
        <w:rPr>
          <w:rFonts w:ascii="Times New Roman" w:cs="Times New Roman" w:eastAsia="Times New Roman" w:hAnsi="Times New Roman"/>
          <w:sz w:val="20"/>
          <w:szCs w:val="20"/>
          <w:color w:val="auto"/>
        </w:rPr>
      </w:pPr>
    </w:p>
    <w:p>
      <w:pPr>
        <w:jc w:val="both"/>
        <w:ind w:firstLine="597"/>
        <w:spacing w:after="0" w:line="254" w:lineRule="auto"/>
        <w:tabs>
          <w:tab w:leader="none" w:pos="1192" w:val="left"/>
        </w:tabs>
        <w:numPr>
          <w:ilvl w:val="1"/>
          <w:numId w:val="5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shall not be in default in the performance of any obligation required to be performed by Landlord under this Lease unless Landlord has failed to perform such obligation within thirty (30) days after the receipt of written notice from Tenant specifying in detail Landlord’s failure to perform; provided however, that if the nature of Landlord’s obligation is such that more than thirty (30) days are required for its performance, then Landlord shall not be deemed in default if it commences such performance within such thirty (30)-day period and thereafter diligently pursues the same to completion. Upon any such uncured default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17" w:right="339" w:bottom="1440" w:gutter="0" w:footer="0" w:header="0"/>
        </w:sectPr>
      </w:pPr>
    </w:p>
    <w:bookmarkStart w:id="612" w:name="page613"/>
    <w:bookmarkEnd w:id="612"/>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Landlord, Tenant may exercise any of its rights provided in law or at equity;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(a) Tenant shall have no right to offset or abate rent in the event of any default by Landlord under this Lease, except to the extent offset rights are specifically provided to Tenant in this Lease; (b) Tenant shall have no right to terminate this Lease; (c) Tenant’s rights and remedies hereunder shall be limited to the extent (i) Tenant has expressly waived in this Lease any of such rights or remedies and/or (ii) this Lease otherwise expressly limits Tenant’s rights or remedies; and (d) Landlord will not be liable for any consequential damages.</w:t>
      </w:r>
    </w:p>
    <w:p>
      <w:pPr>
        <w:spacing w:after="0" w:line="110" w:lineRule="exact"/>
        <w:rPr>
          <w:sz w:val="20"/>
          <w:szCs w:val="20"/>
          <w:color w:val="auto"/>
        </w:rPr>
      </w:pPr>
    </w:p>
    <w:p>
      <w:pPr>
        <w:ind w:left="600" w:hanging="600"/>
        <w:spacing w:after="0"/>
        <w:tabs>
          <w:tab w:leader="none" w:pos="600" w:val="left"/>
        </w:tabs>
        <w:numPr>
          <w:ilvl w:val="0"/>
          <w:numId w:val="5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UPON DEFAULT.</w:t>
      </w:r>
    </w:p>
    <w:p>
      <w:pPr>
        <w:spacing w:after="0" w:line="160" w:lineRule="exact"/>
        <w:rPr>
          <w:sz w:val="20"/>
          <w:szCs w:val="20"/>
          <w:color w:val="auto"/>
        </w:rPr>
      </w:pPr>
    </w:p>
    <w:p>
      <w:pPr>
        <w:jc w:val="both"/>
        <w:ind w:firstLine="597"/>
        <w:spacing w:after="0" w:line="248" w:lineRule="auto"/>
        <w:rPr>
          <w:sz w:val="20"/>
          <w:szCs w:val="20"/>
          <w:color w:val="auto"/>
        </w:rPr>
      </w:pPr>
      <w:r>
        <w:rPr>
          <w:rFonts w:ascii="Times New Roman" w:cs="Times New Roman" w:eastAsia="Times New Roman" w:hAnsi="Times New Roman"/>
          <w:sz w:val="20"/>
          <w:szCs w:val="20"/>
          <w:color w:val="auto"/>
        </w:rPr>
        <w:t xml:space="preserve">In any notice given pursuant to any one or more Events of Default, Landlord in its sole discretion may elect to declare a forfeiture of this Lease as provided in Section 1161 of the California Code of Civil Procedure, and provided that Landlord’s notice states such an election, Tenant’s right to possession shall terminate and this Lease shall terminate, unless on or before the date specified in such notice all arrears of rent and all other sums payable by Tenant under this Lease, and all costs and expenses incurred by or on behalf of Landlord hereunder, including attorneys’ fees, incurred in connection with such default, shall have been paid by Tenant and all other breaches of this Lease by Tenant at the time existing shall have been fully remedied to the satisfaction of Landlord. Upon such termination, Landlord may recover from Tenant (a) the worth at the time of award of the unpaid rent which had been earned at the time of termination; (b) the worth at the time of award of the amount by which the unpaid rent which would have been earned after termination until the time of award exceeds the amount of such rent loss that Tenant proves could reasonably have been avoided; (c) the worth at the time of award of the amount by which the unpaid rent for the balance of the Term after the time of award exceeds the amount of such rent loss that Tenant proves could be reasonably avoided; and (d) any other amount necessary to compensate Landlord for all the detriment proximately caused by Tenant’s failure to perform its obligations under this Lease or which in the ordinary course of things would be likely to result therefrom, specifically including, but not limited to, leasing commissions and advertising expenses incurred, expenses of remodeling the Premises or any portion thereof for a new tenant, whether for the same or a different use, and any special concessions made to obtain any new tenant. The “worth at the time of award” of the amount referred to in clauses (a) and (b) above is computed by allowing interest at the discount rate of the Federal Reserve Bank of San Francisco plus 5% per annum at the date of termination, but in no event in excess of the maximum rate of interest permitted by law. The worth at the time of award of the amount referred to in clause (c) above, is computed by discounting such amount at the discount rate of the Federal Reserve Bank of San Francisco at the time of award plus 1%. For the purpose of determining unpaid rent under clause (c) above, the monthly rent reserved in this Lease shall be deemed to be the sum of the Base Rent and the amounts last payable by Tenant as reimbursement of expenses pursuant to </w:t>
      </w:r>
      <w:r>
        <w:rPr>
          <w:rFonts w:ascii="Times New Roman" w:cs="Times New Roman" w:eastAsia="Times New Roman" w:hAnsi="Times New Roman"/>
          <w:sz w:val="20"/>
          <w:szCs w:val="20"/>
          <w:u w:val="single" w:color="auto"/>
          <w:color w:val="auto"/>
        </w:rPr>
        <w:t>Paragraph 5(a)</w:t>
      </w:r>
      <w:r>
        <w:rPr>
          <w:rFonts w:ascii="Times New Roman" w:cs="Times New Roman" w:eastAsia="Times New Roman" w:hAnsi="Times New Roman"/>
          <w:sz w:val="20"/>
          <w:szCs w:val="20"/>
          <w:color w:val="auto"/>
        </w:rPr>
        <w:t xml:space="preserve"> hereof for the calendar year in which Landlord terminated this Lease as provided herein.</w:t>
      </w:r>
    </w:p>
    <w:p>
      <w:pPr>
        <w:spacing w:after="0" w:line="124" w:lineRule="exact"/>
        <w:rPr>
          <w:sz w:val="20"/>
          <w:szCs w:val="20"/>
          <w:color w:val="auto"/>
        </w:rPr>
      </w:pPr>
    </w:p>
    <w:p>
      <w:pPr>
        <w:jc w:val="both"/>
        <w:ind w:firstLine="597"/>
        <w:spacing w:after="0" w:line="277" w:lineRule="auto"/>
        <w:rPr>
          <w:sz w:val="20"/>
          <w:szCs w:val="20"/>
          <w:color w:val="auto"/>
        </w:rPr>
      </w:pPr>
      <w:r>
        <w:rPr>
          <w:rFonts w:ascii="Times New Roman" w:cs="Times New Roman" w:eastAsia="Times New Roman" w:hAnsi="Times New Roman"/>
          <w:sz w:val="20"/>
          <w:szCs w:val="20"/>
          <w:color w:val="auto"/>
        </w:rPr>
        <w:t>Tenant waives any rights of reinstatement, redemption or relief from forfeiture under California Civil Code Section 3275 or California Code of Civil Procedure Sections 1174 and 1179, or under any other applicable present or future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17" w:right="339" w:bottom="1440" w:gutter="0" w:footer="0" w:header="0"/>
        </w:sectPr>
      </w:pPr>
    </w:p>
    <w:bookmarkStart w:id="613" w:name="page614"/>
    <w:bookmarkEnd w:id="613"/>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After terminating this Lease, Landlord may remove any and all personal property located in the Premises and place such property in a public or private warehouse or elsewhere at the sole cost and expense of Tenant. In the event that Tenant shall not immediately pay the cost of storage of such property after the same has been stored for a period of thirty (30) days or more, Landlord may sell any or all thereof at a public or private sale in such manner and at such times and places as Landlord in its sole discretion may deem proper, without notice to or demand upon Tenant. Tenant waives all claims for damages that may be caused by Landlord’s removing or storing or selling the property as herein provided, and Tenant shall indemnify and hold Landlord free and harmless from and against any and all losses, costs and damages, including without limitation all costs of court and attorneys’ fees of Landlord occasioned thereby. Tenant hereby appoints Landlord as Tenant’s attorney-in-fact with the rights and powers necessary in order to effectuate the provisions of this Paragraph.</w:t>
      </w:r>
    </w:p>
    <w:p>
      <w:pPr>
        <w:spacing w:after="0" w:line="113" w:lineRule="exact"/>
        <w:rPr>
          <w:sz w:val="20"/>
          <w:szCs w:val="20"/>
          <w:color w:val="auto"/>
        </w:rPr>
      </w:pPr>
    </w:p>
    <w:p>
      <w:pPr>
        <w:ind w:left="600" w:hanging="600"/>
        <w:spacing w:after="0"/>
        <w:tabs>
          <w:tab w:leader="none" w:pos="600" w:val="left"/>
        </w:tabs>
        <w:numPr>
          <w:ilvl w:val="0"/>
          <w:numId w:val="5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LANDLORD REMEDIES.</w:t>
      </w:r>
    </w:p>
    <w:p>
      <w:pPr>
        <w:spacing w:after="0" w:line="160"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20"/>
          <w:szCs w:val="20"/>
          <w:color w:val="auto"/>
        </w:rPr>
        <w:t xml:space="preserve">Even though Tenant has breached this Lease and/or abandoned the Premises, this Lease shall continue in effect for so long as Landlord does not terminate Tenant’s right to possession as provided in </w:t>
      </w:r>
      <w:r>
        <w:rPr>
          <w:rFonts w:ascii="Times New Roman" w:cs="Times New Roman" w:eastAsia="Times New Roman" w:hAnsi="Times New Roman"/>
          <w:sz w:val="20"/>
          <w:szCs w:val="20"/>
          <w:u w:val="single" w:color="auto"/>
          <w:color w:val="auto"/>
        </w:rPr>
        <w:t>Paragraph 18</w:t>
      </w:r>
      <w:r>
        <w:rPr>
          <w:rFonts w:ascii="Times New Roman" w:cs="Times New Roman" w:eastAsia="Times New Roman" w:hAnsi="Times New Roman"/>
          <w:sz w:val="20"/>
          <w:szCs w:val="20"/>
          <w:color w:val="auto"/>
        </w:rPr>
        <w:t xml:space="preserve"> hereof, and Landlord may enforce all its rights and remedies under this Lease, including the right to recover rent as it becomes due under this Lease. In such event, Landlord may exercise all of the rights and remedies of a landlord under Section 1951.4 of the California Civil Code (which provides that a landlord may continue a lease in effect after a tenant’s breach and abandonment and recover rent as it becomes due, if the tenant has the right to sublet or assign, subject only to reasonable limitations), or any successor statute. Acts of maintenance or preservation or efforts to relet the Premises or the appointment of a receiver upon initiative of Landlord to protect Landlord’s interest under this Lease shall not constitute a termination of Tenant’s right to possession. In the event of re-entry or taking possession of the Premises, Landlord shall have the right but not the obligation to remove all or any part of the trade fixtures, furnishings, equipment and personal property located in the Premises and to place the same in storage at a public warehouse at the expense and risk of Tenant or to sell such property in accordance with applicable law. The remedies provided for in this Lease are in addition to any other remedies available to Landlord at law or in equity, by statute or otherwise.</w:t>
      </w:r>
    </w:p>
    <w:p>
      <w:pPr>
        <w:spacing w:after="0" w:line="121" w:lineRule="exact"/>
        <w:rPr>
          <w:sz w:val="20"/>
          <w:szCs w:val="20"/>
          <w:color w:val="auto"/>
        </w:rPr>
      </w:pPr>
    </w:p>
    <w:p>
      <w:pPr>
        <w:ind w:left="600" w:hanging="600"/>
        <w:spacing w:after="0"/>
        <w:tabs>
          <w:tab w:leader="none" w:pos="600" w:val="left"/>
        </w:tabs>
        <w:numPr>
          <w:ilvl w:val="0"/>
          <w:numId w:val="5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LANDLORD’S RIGHT TO CURE DEFAULT.</w:t>
      </w:r>
    </w:p>
    <w:p>
      <w:pPr>
        <w:spacing w:after="0" w:line="160" w:lineRule="exact"/>
        <w:rPr>
          <w:sz w:val="20"/>
          <w:szCs w:val="20"/>
          <w:color w:val="auto"/>
        </w:rPr>
      </w:pPr>
    </w:p>
    <w:p>
      <w:pPr>
        <w:jc w:val="both"/>
        <w:ind w:firstLine="597"/>
        <w:spacing w:after="0" w:line="254" w:lineRule="auto"/>
        <w:rPr>
          <w:sz w:val="20"/>
          <w:szCs w:val="20"/>
          <w:color w:val="auto"/>
        </w:rPr>
      </w:pPr>
      <w:r>
        <w:rPr>
          <w:rFonts w:ascii="Times New Roman" w:cs="Times New Roman" w:eastAsia="Times New Roman" w:hAnsi="Times New Roman"/>
          <w:sz w:val="20"/>
          <w:szCs w:val="20"/>
          <w:color w:val="auto"/>
        </w:rPr>
        <w:t>If Tenant shall fail to pay any sum of money, other than rent, required to be paid by it hereunder or shall fail to perform any other act on its part to be performed hereunder and such failure shall not be cured, Landlord may, but shall not be obligated to so do, and without waiving or releasing Tenant from any obligations of Tenant, make any such payment or perform any such other act on Tenant’s part to be made or performed as provided in this Lease. All sums so paid by Landlord and all necessary incidental costs shall be deemed additional rent hereunder and shall be payable on demand to Landlord.</w:t>
      </w:r>
    </w:p>
    <w:p>
      <w:pPr>
        <w:spacing w:after="0" w:line="110" w:lineRule="exact"/>
        <w:rPr>
          <w:sz w:val="20"/>
          <w:szCs w:val="20"/>
          <w:color w:val="auto"/>
        </w:rPr>
      </w:pPr>
    </w:p>
    <w:p>
      <w:pPr>
        <w:ind w:left="600" w:hanging="600"/>
        <w:spacing w:after="0"/>
        <w:tabs>
          <w:tab w:leader="none" w:pos="600" w:val="left"/>
        </w:tabs>
        <w:numPr>
          <w:ilvl w:val="0"/>
          <w:numId w:val="5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ATTORNEYS’ FEES.</w:t>
      </w:r>
    </w:p>
    <w:p>
      <w:pPr>
        <w:spacing w:after="0" w:line="160"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20"/>
          <w:szCs w:val="20"/>
          <w:color w:val="auto"/>
        </w:rPr>
        <w:t>If as a result of any breach or default on the part of Tenant under this Lease Landlord uses the services of an attorney in order to secure compliance with this Lease, Tenant shall reimburse Landlord upon demand as additional rent for any and all attorneys’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22" w:right="339" w:bottom="1440" w:gutter="0" w:footer="0" w:header="0"/>
        </w:sectPr>
      </w:pPr>
    </w:p>
    <w:bookmarkStart w:id="614" w:name="page615"/>
    <w:bookmarkEnd w:id="614"/>
    <w:p>
      <w:pPr>
        <w:jc w:val="both"/>
        <w:spacing w:after="0" w:line="251" w:lineRule="auto"/>
        <w:rPr>
          <w:sz w:val="20"/>
          <w:szCs w:val="20"/>
          <w:color w:val="auto"/>
        </w:rPr>
      </w:pPr>
      <w:r>
        <w:rPr>
          <w:rFonts w:ascii="Times New Roman" w:cs="Times New Roman" w:eastAsia="Times New Roman" w:hAnsi="Times New Roman"/>
          <w:sz w:val="20"/>
          <w:szCs w:val="20"/>
          <w:color w:val="auto"/>
        </w:rPr>
        <w:t>incurred by Landlord, whether or not formal legal proceedings are instituted. Should either party bring an action against the other party, by reason of or alleging the failure of the other party to comply with any or all of its obligations hereunder, whether for declaratory or other relief, then the party which prevails in such action shall be entitled to its reasonable attorneys’ fees and expenses related to such action, in addition to all other recovery or relief. A party shall be deemed to have prevailed in any such action (without limiting the generality of the foregoing) if such action is dismissed upon the payment by the other party of the sums allegedly due or the performance of obligations allegedly not complied with, or if such party obtains substantially the relief sought by it in the actions, irrespective of whether such action is prosecuted to judgment.</w:t>
      </w:r>
    </w:p>
    <w:p>
      <w:pPr>
        <w:spacing w:after="0" w:line="117" w:lineRule="exact"/>
        <w:rPr>
          <w:sz w:val="20"/>
          <w:szCs w:val="20"/>
          <w:color w:val="auto"/>
        </w:rPr>
      </w:pPr>
    </w:p>
    <w:p>
      <w:pPr>
        <w:ind w:left="600" w:hanging="600"/>
        <w:spacing w:after="0"/>
        <w:tabs>
          <w:tab w:leader="none" w:pos="600" w:val="left"/>
        </w:tabs>
        <w:numPr>
          <w:ilvl w:val="0"/>
          <w:numId w:val="5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WAIVER.</w:t>
      </w:r>
    </w:p>
    <w:p>
      <w:pPr>
        <w:spacing w:after="0" w:line="160"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Landlord’s failure to take advantage of any default or breach of covenant on the part of Tenant shall not be, or be construed as a waiver thereof, nor shall any custom or practice which may grow up between the parties in the course of administering this instrument be construed to waive or to lessen the right of Landlord to insist upon the performance by Tenant of any term, covenant or condition hereof, or to exercise any rights given him on account of any such default. A waiver of a particular breach or default shall not be deemed to be a waiver of the same or any other subsequent breach or default. The acceptance of rent hereunder shall not be, nor be construed to be, a waiver of any breach of any term, covenant or condition of this Lease.</w:t>
      </w:r>
    </w:p>
    <w:p>
      <w:pPr>
        <w:spacing w:after="0" w:line="115" w:lineRule="exact"/>
        <w:rPr>
          <w:sz w:val="20"/>
          <w:szCs w:val="20"/>
          <w:color w:val="auto"/>
        </w:rPr>
      </w:pPr>
    </w:p>
    <w:p>
      <w:pPr>
        <w:ind w:left="600" w:hanging="600"/>
        <w:spacing w:after="0"/>
        <w:tabs>
          <w:tab w:leader="none" w:pos="600" w:val="left"/>
        </w:tabs>
        <w:numPr>
          <w:ilvl w:val="0"/>
          <w:numId w:val="5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160" w:lineRule="exact"/>
        <w:rPr>
          <w:sz w:val="20"/>
          <w:szCs w:val="20"/>
          <w:color w:val="auto"/>
        </w:rPr>
      </w:pPr>
    </w:p>
    <w:p>
      <w:pPr>
        <w:jc w:val="both"/>
        <w:ind w:firstLine="597"/>
        <w:spacing w:after="0" w:line="248" w:lineRule="auto"/>
        <w:rPr>
          <w:sz w:val="20"/>
          <w:szCs w:val="20"/>
          <w:color w:val="auto"/>
        </w:rPr>
      </w:pPr>
      <w:r>
        <w:rPr>
          <w:rFonts w:ascii="Times New Roman" w:cs="Times New Roman" w:eastAsia="Times New Roman" w:hAnsi="Times New Roman"/>
          <w:sz w:val="20"/>
          <w:szCs w:val="20"/>
          <w:color w:val="auto"/>
        </w:rPr>
        <w:t xml:space="preserve">All approvals, consents and other notices given by Landlord or Tenant under this Lease shall be properly given only if made in writing and either deposited in the United States mail, postage prepaid, certified with return receipt requested, or delivered by hand (which may be through a messenger or recognized delivery, courier or air express service), and addressed to Landlord at the address of Landlord specified in the </w:t>
      </w:r>
      <w:r>
        <w:rPr>
          <w:rFonts w:ascii="Times New Roman" w:cs="Times New Roman" w:eastAsia="Times New Roman" w:hAnsi="Times New Roman"/>
          <w:sz w:val="20"/>
          <w:szCs w:val="20"/>
          <w:i w:val="1"/>
          <w:iCs w:val="1"/>
          <w:color w:val="auto"/>
        </w:rPr>
        <w:t>Basic Lease Information</w:t>
      </w:r>
      <w:r>
        <w:rPr>
          <w:rFonts w:ascii="Times New Roman" w:cs="Times New Roman" w:eastAsia="Times New Roman" w:hAnsi="Times New Roman"/>
          <w:sz w:val="20"/>
          <w:szCs w:val="20"/>
          <w:color w:val="auto"/>
        </w:rPr>
        <w:t xml:space="preserve"> or at such other place as Landlord may from time to time designate in a written notice to Tenant, and addressed to Tenant at the address of Tenant specified in the </w:t>
      </w:r>
      <w:r>
        <w:rPr>
          <w:rFonts w:ascii="Times New Roman" w:cs="Times New Roman" w:eastAsia="Times New Roman" w:hAnsi="Times New Roman"/>
          <w:sz w:val="20"/>
          <w:szCs w:val="20"/>
          <w:i w:val="1"/>
          <w:iCs w:val="1"/>
          <w:color w:val="auto"/>
        </w:rPr>
        <w:t>Basic Lease Information</w:t>
      </w:r>
      <w:r>
        <w:rPr>
          <w:rFonts w:ascii="Times New Roman" w:cs="Times New Roman" w:eastAsia="Times New Roman" w:hAnsi="Times New Roman"/>
          <w:sz w:val="20"/>
          <w:szCs w:val="20"/>
          <w:color w:val="auto"/>
        </w:rPr>
        <w:t xml:space="preserve"> and, after the Commencement Date, at the Premises, together with a copy to such other address as Tenant may from time to time designate in a written notice to Landlord (including, without limitation, subject to such prior written notice, to Tenant’s then current legal counsel, but the failure to provide such additional notice to Tenant’s legal counsel shall not, in and of itself, constitute a failure to give written notice, if Tenant has received actual written notice and the failure to provide the additional notice has not prejudiced Tenant in being able to meaningfully address the substance of said written notice). Such approvals, consents and other notices shall be effective on the date of receipt (evidenced by the certified mail receipt), if mailed, or on the date of hand delivery, if hand delivered. If any such approval, consent or other notice is not received or cannot be delivered due to a change in the address of the receiving party of which notice was not previously given to the sending party or due to a refusal to accept by the receiving party, such request, approval, consent, notice or other communication shall be effective on the date delivery is attempted. Any approval, consent or other notice under this Lease may be given on behalf of a party by the attorney for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21" w:right="339" w:bottom="1440" w:gutter="0" w:footer="0" w:header="0"/>
        </w:sectPr>
      </w:pPr>
    </w:p>
    <w:bookmarkStart w:id="615" w:name="page616"/>
    <w:bookmarkEnd w:id="615"/>
    <w:p>
      <w:pPr>
        <w:ind w:left="600" w:hanging="600"/>
        <w:spacing w:after="0"/>
        <w:tabs>
          <w:tab w:leader="none" w:pos="600" w:val="left"/>
        </w:tabs>
        <w:numPr>
          <w:ilvl w:val="0"/>
          <w:numId w:val="5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EMINENT DOMAIN.</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49" w:lineRule="auto"/>
        <w:tabs>
          <w:tab w:leader="none" w:pos="1192" w:val="left"/>
        </w:tabs>
        <w:numPr>
          <w:ilvl w:val="1"/>
          <w:numId w:val="5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Paragraph 24(b)</w:t>
      </w:r>
      <w:r>
        <w:rPr>
          <w:rFonts w:ascii="Times New Roman" w:cs="Times New Roman" w:eastAsia="Times New Roman" w:hAnsi="Times New Roman"/>
          <w:sz w:val="20"/>
          <w:szCs w:val="20"/>
          <w:color w:val="auto"/>
        </w:rPr>
        <w:t xml:space="preserve"> below, if all or any part of the Premises shall be taken as a result of the exercise of the power of eminent domain or agreement in lieu thereof, this Lease shall terminate as to the part so taken as of the date of taking, and, in the case of a partial taking, Landlord shall have the right to terminate this Lease as to the balance of the Premises by giving written notice to Tenant within sixty (60) days after such date. In the event of any taking, Landlord shall be entitled to any and all compensation, damages, income, rent, awards, or interest therein which may be paid or made in connection therewith, and Tenant shall have no claim against Landlord for the value of any unexpired Term of this Lease or otherwise. Except as provided in </w:t>
      </w:r>
      <w:r>
        <w:rPr>
          <w:rFonts w:ascii="Times New Roman" w:cs="Times New Roman" w:eastAsia="Times New Roman" w:hAnsi="Times New Roman"/>
          <w:sz w:val="20"/>
          <w:szCs w:val="20"/>
          <w:u w:val="single" w:color="auto"/>
          <w:color w:val="auto"/>
        </w:rPr>
        <w:t>Paragraph 24(b)</w:t>
      </w:r>
      <w:r>
        <w:rPr>
          <w:rFonts w:ascii="Times New Roman" w:cs="Times New Roman" w:eastAsia="Times New Roman" w:hAnsi="Times New Roman"/>
          <w:sz w:val="20"/>
          <w:szCs w:val="20"/>
          <w:color w:val="auto"/>
        </w:rPr>
        <w:t xml:space="preserve"> below, in the event of a partial taking of the Premises which does not result in a termination of this Lease, the Base Rent thereafter to be paid shall be equitably reduced. If all or any part of the Building shall be taken as a result of the exercise of the power of eminent domain, Landlord shall have the right to terminate this Lease by giving written notice to Tenant within sixty (60) days after the date of taking, provided Landlord terminates substantially all of the leases of other Building occupants similarly situated to Tenant. Tenant waives the provisions of California Code of Civil Procedure Section 1265.130 relating to a lease termination from a partial taking.</w:t>
      </w:r>
    </w:p>
    <w:p>
      <w:pPr>
        <w:spacing w:after="0" w:line="125" w:lineRule="exact"/>
        <w:rPr>
          <w:rFonts w:ascii="Times New Roman" w:cs="Times New Roman" w:eastAsia="Times New Roman" w:hAnsi="Times New Roman"/>
          <w:sz w:val="20"/>
          <w:szCs w:val="20"/>
          <w:color w:val="auto"/>
        </w:rPr>
      </w:pPr>
    </w:p>
    <w:p>
      <w:pPr>
        <w:jc w:val="both"/>
        <w:ind w:firstLine="597"/>
        <w:spacing w:after="0" w:line="254" w:lineRule="auto"/>
        <w:tabs>
          <w:tab w:leader="none" w:pos="1191" w:val="left"/>
        </w:tabs>
        <w:numPr>
          <w:ilvl w:val="1"/>
          <w:numId w:val="5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portion of the Premises shall be condemned or taken for governmental occupancy for a period of less than one year, this Lease shall continue in full force and effect and Tenant shall continue to pay in full all Base Rent and any additional rent herein reserved, without reduction or abatement, and Tenant shall be entitled to receive, for itself, so much of any award or payment made for such use as is equal to the payments that are actually made by Tenant to Landlord during such temporary taking, and Landlord shall receive the balance thereof. Tenant’s obligations under this Paragraph shall survive the expiration or earlier termination of this Lease.</w:t>
      </w:r>
    </w:p>
    <w:p>
      <w:pPr>
        <w:spacing w:after="0" w:line="110"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LATE CHARGE/NSF CHARGE.</w:t>
      </w:r>
    </w:p>
    <w:p>
      <w:pPr>
        <w:spacing w:after="0" w:line="160"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20"/>
          <w:szCs w:val="20"/>
          <w:color w:val="auto"/>
        </w:rPr>
        <w:t>Tenant acknowledges that late payment of rent and other sums due under this Lease would cause Landlord to incur costs not contemplated by this Lease, the exact amount of which would be difficult to ascertain. These costs include, but are not limited to, processing and accounting charges and increased interest expenses on Landlord’s funds. Accordingly, if any installment of rent or any other sums due from Tenant are not received within five (5) Business days of when due, Tenant shall pay to Landlord a late charge equal to five percent (5%) of the overdue amount. In addition, if any rent or other sums due from Tenant are not received by Landlord within ten (10) days after written notice that such payment is delinquent, the unpaid amount shall bear interest from the due date until paid at the publicly announced prime rate or reference rate charged on such due date by the San Francisco Main Office of Bank of America, N.T.&amp;S.A. (or any successor bank) for short term, unsecured loans to its most credit worthy borrowers, plus two percent (2%) per annum, but in no event shall such rate of interest exceed the maximum rate permitted by law. In addition to the foregoing, in the event any payment of rent or other sums due Landlord from Tenant is made by the tender of a check, and said check is dishonored by Tenant’s bank for insufficient funds or for any other reason, Tenant shall pay Landlord a $50 returned check fee (the “NSF charge”) to compensate Landlord for the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17" w:right="339" w:bottom="1440" w:gutter="0" w:footer="0" w:header="0"/>
        </w:sectPr>
      </w:pPr>
    </w:p>
    <w:bookmarkStart w:id="616" w:name="page617"/>
    <w:bookmarkEnd w:id="616"/>
    <w:p>
      <w:pPr>
        <w:jc w:val="both"/>
        <w:spacing w:after="0" w:line="254" w:lineRule="auto"/>
        <w:rPr>
          <w:sz w:val="20"/>
          <w:szCs w:val="20"/>
          <w:color w:val="auto"/>
        </w:rPr>
      </w:pPr>
      <w:r>
        <w:rPr>
          <w:rFonts w:ascii="Times New Roman" w:cs="Times New Roman" w:eastAsia="Times New Roman" w:hAnsi="Times New Roman"/>
          <w:sz w:val="20"/>
          <w:szCs w:val="20"/>
          <w:color w:val="auto"/>
        </w:rPr>
        <w:t>associated with processing such dishonored check. The parties agree that the foregoing late charges and NSF charge represent a fair and reasonable estimate of the costs Landlord will incur because of said late or dishonored payment. Acceptance of said charges by Landlord shall not constitute a waiver of Tenant’s default for the overdue amount, nor prevent Landlord from exercising the other rights and remedies granted Landlord under this Lease. Tenant shall be allotted one (1), five (5) day late period over the course of the Term which shall not trigger the Late Charge provided in Section 25.</w:t>
      </w:r>
    </w:p>
    <w:p>
      <w:pPr>
        <w:spacing w:after="0" w:line="110" w:lineRule="exact"/>
        <w:rPr>
          <w:sz w:val="20"/>
          <w:szCs w:val="20"/>
          <w:color w:val="auto"/>
        </w:rPr>
      </w:pPr>
    </w:p>
    <w:p>
      <w:pPr>
        <w:ind w:left="600" w:hanging="600"/>
        <w:spacing w:after="0"/>
        <w:tabs>
          <w:tab w:leader="none" w:pos="600" w:val="left"/>
        </w:tabs>
        <w:numPr>
          <w:ilvl w:val="0"/>
          <w:numId w:val="5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SECURITY DEPOSIT.</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49" w:lineRule="auto"/>
        <w:tabs>
          <w:tab w:leader="none" w:pos="1192" w:val="left"/>
        </w:tabs>
        <w:numPr>
          <w:ilvl w:val="1"/>
          <w:numId w:val="5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signing this Lease, Tenant has delivered to Landlord, as security for the full and faithful performance of every portion of this Lease to be performed by Tenant, an unconditional, irrevocable standby letter of credit in the amount of Seven Hundred Thousand Dollars ($700,000.00) (the “Letter of Credit”). The Letter of Credit shall (i) be issued to Landlord, as beneficiary, in substantially the same form as provided for in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and by a bank approved by Landlord in its sole discretion (Landlord agrees that either Wells Fargo or Bank of America is an approved issuing bank), (ii) provide for drawing thereon in Oakland or San Francisco, California, (iii) have a term of at least one year (with the Letter of Credit required to be renewed or replaced by Tenant so as to be available to be drawn on at any time during the Lease Term, including any extension thereof, plus a period of sixty (60) calendar days), (iv) require the issuing bank to pay to Landlord the amount of a draw upon receipt by such bank of a sight draft signed by Landlord and upon presentation to the issuing bank of nothing more than a written statement signed by Landlord that an event entitling Landlord to draw under the Letter of Credit has occurred under this Lease, (v) permit multiple drawings, (vi) expressly state that the Letter of Credit and the right to draw thereunder may be transferred or assigned from time to time by Landlord to any successor or assignee of Landlord under this Lease without the payment of any fees or charges, and (vii) provide that it shall automatically renew for additional periods of one year each from the expiration date or future expiration date, unless at least thirty (30) days prior to any expiration date, the issuer notifies Landlord by registered mail of the issuer’s election not to renew the Letter of Credit.</w:t>
      </w:r>
    </w:p>
    <w:p>
      <w:pPr>
        <w:spacing w:after="0" w:line="118" w:lineRule="exact"/>
        <w:rPr>
          <w:rFonts w:ascii="Times New Roman" w:cs="Times New Roman" w:eastAsia="Times New Roman" w:hAnsi="Times New Roman"/>
          <w:sz w:val="20"/>
          <w:szCs w:val="20"/>
          <w:color w:val="auto"/>
        </w:rPr>
      </w:pPr>
    </w:p>
    <w:p>
      <w:pPr>
        <w:jc w:val="both"/>
        <w:ind w:firstLine="597"/>
        <w:spacing w:after="0" w:line="250" w:lineRule="auto"/>
        <w:tabs>
          <w:tab w:leader="none" w:pos="1191" w:val="left"/>
        </w:tabs>
        <w:numPr>
          <w:ilvl w:val="1"/>
          <w:numId w:val="5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pay all expenses, points or fees incurred by Tenant in obtaining the Letter of Credit and for any transfer of the Letter of Credit. The full amount of the Letter of Credit shall be available to Landlord upon presentation of Landlord’s signed draft. If an Event of Default is declared under this Lease, Landlord may draw all or any portion of the Letter of Credit to remedy such default. If any portion of the Letter of Credit is so drawn, Tenant shall, within ten (10) days after demand therefor, increase the amount of the Letter of Credit in an amount sufficient to restore the Letter of Credit to its original amount, and Tenant’s failure to do so shall be a material breach of this Lease. Tenant acknowledges that Landlord has the right to transfer or mortgage its interest in the Building and in this Lease, and Tenant agrees that in the event of any such transfer or mortgage, Landlord shall have the right to transfer or assign the Letter of Credit and the proceeds of and draw thereon to the transferee or mortgagee. Accordingly, the Letter of Credit shall expressly indicate that it is transferable in its entirety, subject to the terms and condition and thereof, by Landlord as beneficiary. Upon receiving written notice of transfer, and upon presentation to the issuing bank of the original LOC and any issuer-required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21" w:right="33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20"/>
          <w:szCs w:val="20"/>
          <w:color w:val="auto"/>
        </w:rPr>
        <w:t>documentation, the issuing bank will reissue the Letter of Credit naming such transferee as the beneficiary.</w:t>
      </w:r>
    </w:p>
    <w:p>
      <w:pPr>
        <w:spacing w:after="0" w:line="156" w:lineRule="exact"/>
        <w:rPr>
          <w:sz w:val="20"/>
          <w:szCs w:val="20"/>
          <w:color w:val="auto"/>
        </w:rPr>
      </w:pPr>
    </w:p>
    <w:p>
      <w:pPr>
        <w:jc w:val="both"/>
        <w:ind w:firstLine="597"/>
        <w:spacing w:after="0" w:line="252" w:lineRule="auto"/>
        <w:tabs>
          <w:tab w:leader="none" w:pos="1191" w:val="left"/>
        </w:tabs>
        <w:numPr>
          <w:ilvl w:val="0"/>
          <w:numId w:val="5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proceeds from the draw by Landlord under the Letter of Credit not applied by Landlord to cure any default or breach by Tenant under this Lease shall be held as a cash security deposit. Landlord shall not be required to keep the security deposit separate from its general funds, Tenant shall not be entitled to interest thereon, and Tenant waives the benefit of any law to the contrary. Tenant waives the provisions of California Civil Code Section 1950.7 (which restricts application of a security deposit only to those sums reasonably necessary’ to remedy defaults in the payment of rent, to repair damage caused by Tenant, or to clean premises) and all similar laws now in force or subsequently adopted which restrict application of security deposits to specific purposes.</w:t>
      </w:r>
    </w:p>
    <w:p>
      <w:pPr>
        <w:spacing w:after="0" w:line="119" w:lineRule="exact"/>
        <w:rPr>
          <w:rFonts w:ascii="Times New Roman" w:cs="Times New Roman" w:eastAsia="Times New Roman" w:hAnsi="Times New Roman"/>
          <w:sz w:val="20"/>
          <w:szCs w:val="20"/>
          <w:color w:val="auto"/>
        </w:rPr>
      </w:pPr>
    </w:p>
    <w:p>
      <w:pPr>
        <w:jc w:val="both"/>
        <w:ind w:firstLine="597"/>
        <w:spacing w:after="0" w:line="249" w:lineRule="auto"/>
        <w:tabs>
          <w:tab w:leader="none" w:pos="1190" w:val="left"/>
        </w:tabs>
        <w:numPr>
          <w:ilvl w:val="0"/>
          <w:numId w:val="5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shall be renewed by the issuer (or replaced with a similarly qualifying letter of credit acceptable to Landlord) at least thirty (30) calendar days prior to the expiration date thereof from time to time during the Lease Term. If, for any reason, Tenant fails to cause the Letter of Credit to be so renewed or replaced at least thirty (30) days prior to its expiration date, Landlord shall have the right to immediately draw upon the Letter of Credit in full and hold the proceeds thereof as a cash Security Deposit hereunder. Upon the expiration of the Lease Term, if Tenant has then fully performed every provision of this Lease to be performed by it, and any and all of Tenant’s monetary obligations under the Lease have been satisfied, Landlord shall return the Letter of Credit to Tenant and consent to the cancellation of the Letter of Credit; provided, however, prior to the surrender and cancellation thereof, Landlord may draw upon the Letter of Credit an amount up to Five Thousand Dollars ($5,000.00) and hold such proceeds as a deposit on account of any amounts due from Tenant attributable to Tenant’s Percentage Share of Property Taxes and Operating Expenses for the calendar year in which the Lease terminates or expires, and any unapplied funds so held by Landlord shall be refunded to Tenant within thirty (30) days following Tenant’s approval or deemed approval of Landlord’s Statement for the calendar year in which the Lease expiration or termination occurs. In lieu of drawing on the Letter of Credit as hereinabove provided, Tenant shall have the right to deliver to Landlord a cash deposit, to be held as a cash security deposit.</w:t>
      </w:r>
    </w:p>
    <w:p>
      <w:pPr>
        <w:spacing w:after="0" w:line="121" w:lineRule="exact"/>
        <w:rPr>
          <w:rFonts w:ascii="Times New Roman" w:cs="Times New Roman" w:eastAsia="Times New Roman" w:hAnsi="Times New Roman"/>
          <w:sz w:val="20"/>
          <w:szCs w:val="20"/>
          <w:color w:val="auto"/>
        </w:rPr>
      </w:pPr>
    </w:p>
    <w:p>
      <w:pPr>
        <w:jc w:val="both"/>
        <w:ind w:firstLine="597"/>
        <w:spacing w:after="0" w:line="235" w:lineRule="auto"/>
        <w:tabs>
          <w:tab w:leader="none" w:pos="1191" w:val="left"/>
        </w:tabs>
        <w:numPr>
          <w:ilvl w:val="0"/>
          <w:numId w:val="5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this Paragraph, Tenant shall have the right to require Landlord to amend the Letter of Credit to evidence a reduction in the draw amount thereunder (i) following the first day of the thirty-seventh (36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month of the Term of this Lease, to Four Hundred Thousand Dollars ($400,000.00), and (ii) following the first day of the forty-eighth (48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month of the Term of this lease to Two Hundred Thousand Dollars ($200,000.00) (each such date being referred to as a “Reduction Date”), provided that, as to each Reduction Date (i) Tenant occupies at least sixty six percent (66%) of the Premises (except in the case of a Permitted Transfer), and (ii) no monetary Event of Default has occurred under this Lease at any time prior to the Reduction Date. Notwithstanding anything in the foregoing to the contrary, upon the occurrence of any event provided in clauses (i) and (ii) above, Tenant’s right to any subsequent reduction in the Letter of Credit as hereinabove provided shall be deemed automatically revoked and of no further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21" w:right="339" w:bottom="1440" w:gutter="0" w:footer="0" w:header="0"/>
        </w:sectPr>
      </w:pPr>
    </w:p>
    <w:bookmarkStart w:id="618" w:name="page619"/>
    <w:bookmarkEnd w:id="618"/>
    <w:p>
      <w:pPr>
        <w:jc w:val="both"/>
        <w:ind w:firstLine="597"/>
        <w:spacing w:after="0" w:line="254" w:lineRule="auto"/>
        <w:tabs>
          <w:tab w:leader="none" w:pos="1195" w:val="left"/>
        </w:tabs>
        <w:numPr>
          <w:ilvl w:val="1"/>
          <w:numId w:val="5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agrees and acknowledges that Tenant has no property interest whatsoever in the Letter of Credit or the proceeds thereof and that, in the event that Tenant becomes a debtor under any chapter of the Federal Bankruptcy Code, the Letter of Credit and any proceeds thereof shall not be deemed to be an asset or property of the Tenant, and that neither Tenant, any trustee, nor Tenant’s bankruptcy estate shall have any right to restrict or limit Landlord’s claim and/or rights to the Letter of Credit and/or the proceeds thereof by Section 502(b)(6) of the Federal Bankruptcy Code.</w:t>
      </w:r>
    </w:p>
    <w:p>
      <w:pPr>
        <w:spacing w:after="0" w:line="110"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ESTOPPEL CERTIFICATE AND FINANCIAL STATEMENTS.</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51" w:lineRule="auto"/>
        <w:tabs>
          <w:tab w:leader="none" w:pos="1192" w:val="left"/>
        </w:tabs>
        <w:numPr>
          <w:ilvl w:val="1"/>
          <w:numId w:val="5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ten (10) Business days after receipt of written notice from Landlord, Tenant shall execute and deliver to Landlord, in recordable form, a certificate stating (i) that this Lease is unmodified and in full force and effect (or, if there have been modifications, that this Lease is in full force and effect, as modified, and stating the date and nature of each modification), (ii) the date, if any, to which rental and other sums payable hereunder have been paid, (iii) that no notice has been received by Tenant of any default which has not been cured, except as to defaults specified in said certificate and (iv) such other matters as may be reasonably requested by Landlord. Upon Tenant’s failure to deliver such certificate within such ten (10)-day period, if Tenant fails to deliver such certificate within five (5) days of receipt of written notice of such failure to timely deliver the same, it shall constitute an Event of Default by Tenant hereunder.</w:t>
      </w:r>
    </w:p>
    <w:p>
      <w:pPr>
        <w:spacing w:after="0" w:line="120" w:lineRule="exact"/>
        <w:rPr>
          <w:rFonts w:ascii="Times New Roman" w:cs="Times New Roman" w:eastAsia="Times New Roman" w:hAnsi="Times New Roman"/>
          <w:sz w:val="20"/>
          <w:szCs w:val="20"/>
          <w:color w:val="auto"/>
        </w:rPr>
      </w:pPr>
    </w:p>
    <w:p>
      <w:pPr>
        <w:jc w:val="both"/>
        <w:ind w:firstLine="597"/>
        <w:spacing w:after="0" w:line="250" w:lineRule="auto"/>
        <w:tabs>
          <w:tab w:leader="none" w:pos="1191" w:val="left"/>
        </w:tabs>
        <w:numPr>
          <w:ilvl w:val="1"/>
          <w:numId w:val="5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acknowledges that the financial capability of Tenant to perform its obligations under this Lease is material to Landlord and that Landlord would not enter into this Lease but for its belief, based on its review of Tenant’s financial statements, that Tenant is capable of performing such financial obligations. Tenant hereby represents, warrants and certifies to Landlord that any financial statements of Tenant and any person guarantying the obligations of Tenant under this Lease previously delivered to Landlord were at the time given true and correct in all material respects and that there have been no material subsequent changes thereto as of the date of this Lease. At the request of Landlord, from time to time, but not more than once per calendar year, Tenant shall provide Landlord with Tenant’s current financial statements, and such other information discussing the financial worth of Tenant under this Lease reasonably requested by Landlord, which statements and information Landlord shall keep strictly confidential (and Landlord shall sign a commercially reasonable non-disclosure agreement if requested by Tenant) and use solely for purposes of this Lease and in connection with the ownership, management, financing and disposition of the Building.</w:t>
      </w:r>
    </w:p>
    <w:p>
      <w:pPr>
        <w:spacing w:after="0" w:line="113"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SURRENDER.</w:t>
      </w:r>
    </w:p>
    <w:p>
      <w:pPr>
        <w:spacing w:after="0" w:line="160"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20"/>
          <w:szCs w:val="20"/>
          <w:color w:val="auto"/>
        </w:rPr>
        <w:t>Tenant shall surrender the Premises at the termination of the tenancy herein created broom clean, and in the same condition as herein agreed it was received, reasonable use and wear thereof and damage by the act of God or by the elements excepted. The voluntary or other surrender of this Lease by Tenant, or a mutual cancellation thereof, shall not work a merger and shall at the option of Landlord, terminate all of any existing subleases or subtenancies, or may, at the option of Landlord, operate as an assignment to it of any or all such subleases or subtenancies. At the expiration or sooner termination of this Lease, Tenant shall remove or cause to be removed at its sole expense all of Tenant’s personal property, furniture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22" w:right="339" w:bottom="1440" w:gutter="0" w:footer="0" w:header="0"/>
        </w:sectPr>
      </w:pPr>
    </w:p>
    <w:bookmarkStart w:id="619" w:name="page620"/>
    <w:bookmarkEnd w:id="619"/>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equipment, and all Alterations in accordance with </w:t>
      </w:r>
      <w:r>
        <w:rPr>
          <w:rFonts w:ascii="Times New Roman" w:cs="Times New Roman" w:eastAsia="Times New Roman" w:hAnsi="Times New Roman"/>
          <w:sz w:val="19"/>
          <w:szCs w:val="19"/>
          <w:u w:val="single" w:color="auto"/>
          <w:color w:val="auto"/>
        </w:rPr>
        <w:t>Paragraph 13</w:t>
      </w:r>
      <w:r>
        <w:rPr>
          <w:rFonts w:ascii="Times New Roman" w:cs="Times New Roman" w:eastAsia="Times New Roman" w:hAnsi="Times New Roman"/>
          <w:sz w:val="19"/>
          <w:szCs w:val="19"/>
          <w:color w:val="auto"/>
        </w:rPr>
        <w:t xml:space="preserve"> hereof; provided, however, Tenant shall not be required to remove any of Tenant’s voice and data cabling installed in connection with Tenant’s initial occupancy of the Premises or any of the Tenant Improvements constructed by Landlord under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of this Lease. Tenant shall repair at its expense all damage to the Premises and the Building caused by the removal of any of the items provided herein. Tenant’s obligations under this Paragraph shall survive the termination of this Lease.</w:t>
      </w:r>
    </w:p>
    <w:p>
      <w:pPr>
        <w:spacing w:after="0" w:line="93" w:lineRule="exact"/>
        <w:rPr>
          <w:sz w:val="20"/>
          <w:szCs w:val="20"/>
          <w:color w:val="auto"/>
        </w:rPr>
      </w:pPr>
    </w:p>
    <w:p>
      <w:pPr>
        <w:ind w:left="600" w:hanging="600"/>
        <w:spacing w:after="0"/>
        <w:tabs>
          <w:tab w:leader="none" w:pos="600" w:val="left"/>
        </w:tabs>
        <w:numPr>
          <w:ilvl w:val="0"/>
          <w:numId w:val="5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HOLDING OVER.</w:t>
      </w:r>
    </w:p>
    <w:p>
      <w:pPr>
        <w:spacing w:after="0" w:line="160"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20"/>
          <w:szCs w:val="20"/>
          <w:color w:val="auto"/>
        </w:rPr>
        <w:t xml:space="preserve">If, without objection by Landlord, Tenant holds possession of the Premises after expiration of the Term of this Lease, Tenant shall become a tenant from month to month upon the terms herein specified but at a Base Rent equal to one hundred fifty percent (150%) of the Base Rent in effect at the expiration of the Term of this Lease, payable in advance on or before the first day of each month. Such month to month tenancy may be terminated by either Landlord or Tenant by giving thirty (30) days’ written notice of termination to the other at any time. If Tenant fails to surrender the Premises upon the expiration or termination of this Lease except as hereinabove provided, Tenant hereby indemnifies and agrees to hold Landlord harmless from all costs, loss, expense or liability, including without limitation, costs, real estate brokers claims and attorneys’ fees, arising out of or in connection with any delay by Tenant in surrendering and vacating the Premises, including, without limitation, any claims made by any succeeding tenant based on any delay and any liabilities arising out of or in connection with these claims. Nothing in this </w:t>
      </w:r>
      <w:r>
        <w:rPr>
          <w:rFonts w:ascii="Times New Roman" w:cs="Times New Roman" w:eastAsia="Times New Roman" w:hAnsi="Times New Roman"/>
          <w:sz w:val="20"/>
          <w:szCs w:val="20"/>
          <w:u w:val="single" w:color="auto"/>
          <w:color w:val="auto"/>
        </w:rPr>
        <w:t>Paragraph 29</w:t>
      </w:r>
      <w:r>
        <w:rPr>
          <w:rFonts w:ascii="Times New Roman" w:cs="Times New Roman" w:eastAsia="Times New Roman" w:hAnsi="Times New Roman"/>
          <w:sz w:val="20"/>
          <w:szCs w:val="20"/>
          <w:color w:val="auto"/>
        </w:rPr>
        <w:t xml:space="preserve"> shall be deemed to permit Tenant to retain possession of the Premises after the expiration or sooner termination of the Term.</w:t>
      </w:r>
    </w:p>
    <w:p>
      <w:pPr>
        <w:spacing w:after="0" w:line="114" w:lineRule="exact"/>
        <w:rPr>
          <w:sz w:val="20"/>
          <w:szCs w:val="20"/>
          <w:color w:val="auto"/>
        </w:rPr>
      </w:pPr>
    </w:p>
    <w:p>
      <w:pPr>
        <w:ind w:left="600" w:hanging="600"/>
        <w:spacing w:after="0"/>
        <w:tabs>
          <w:tab w:leader="none" w:pos="600" w:val="left"/>
        </w:tabs>
        <w:numPr>
          <w:ilvl w:val="0"/>
          <w:numId w:val="5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SUBORDINATION.</w:t>
      </w:r>
    </w:p>
    <w:p>
      <w:pPr>
        <w:spacing w:after="0" w:line="160" w:lineRule="exact"/>
        <w:rPr>
          <w:sz w:val="20"/>
          <w:szCs w:val="20"/>
          <w:color w:val="auto"/>
        </w:rPr>
      </w:pPr>
    </w:p>
    <w:p>
      <w:pPr>
        <w:jc w:val="both"/>
        <w:ind w:firstLine="597"/>
        <w:spacing w:after="0" w:line="265" w:lineRule="auto"/>
        <w:rPr>
          <w:sz w:val="20"/>
          <w:szCs w:val="20"/>
          <w:color w:val="auto"/>
        </w:rPr>
      </w:pPr>
      <w:r>
        <w:rPr>
          <w:rFonts w:ascii="Times New Roman" w:cs="Times New Roman" w:eastAsia="Times New Roman" w:hAnsi="Times New Roman"/>
          <w:sz w:val="19"/>
          <w:szCs w:val="19"/>
          <w:color w:val="auto"/>
        </w:rPr>
        <w:t>This Lease, along with all rights of Tenant hereunder, is and shall be subject and subordinate to: (a) all ground leases encumbering all or any portion of the Project (each, a “Superior Lease”); (b) all mortgages or deeds of trust encumbering all or any portion of the Project (each, a “Superior Mortgage”), whether or not affecting properties or interests other than the Project; (c) each and every advance made or hereafter to be made under each Superior Mortgage; (d) all renewals, modifications, replacements and extensions of any Superior Lease; and</w:t>
      </w:r>
    </w:p>
    <w:p>
      <w:pPr>
        <w:spacing w:after="0" w:line="3" w:lineRule="exact"/>
        <w:rPr>
          <w:sz w:val="20"/>
          <w:szCs w:val="20"/>
          <w:color w:val="auto"/>
        </w:rPr>
      </w:pPr>
    </w:p>
    <w:p>
      <w:pPr>
        <w:jc w:val="both"/>
        <w:spacing w:after="0" w:line="247" w:lineRule="auto"/>
        <w:tabs>
          <w:tab w:leader="none" w:pos="308" w:val="left"/>
        </w:tabs>
        <w:numPr>
          <w:ilvl w:val="0"/>
          <w:numId w:val="5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renewals, modifications, replacements, extensions, spreaders and consolidations of any Superior Mortgage (all such interests in clauses (a) through (e) collectively, whether in existence as of the date of this Lease, or first encumbering all or any portion of the Project after the date of this Lease, being referred to as the “Superior Interests,” and each holder of any such Superior Interest [including its successors in interest], a “Superior Interest Holder”). Notwithstanding the foregoing, any Superior Interest Holder may elect, at any time, to subordinate its Superior Interest to the lien of this Lease. No successor landlord shall be (w) deemed to have assumed or to otherwise have liability for any default, act or omission of any Landlord having an interest in the Project prior to the date such Successor Landlord acquires title thereto; (x) subject to any defense that accrued to Tenant prior to such date, or (y) bound by any material modification of this Lease made without the prior written consent of such Successor Landlord; or (z) bound by any Rent paid more than one month in advance, unless such Rent is actually received by Successor Landlord. The agreements set forth in this </w:t>
      </w:r>
      <w:r>
        <w:rPr>
          <w:rFonts w:ascii="Times New Roman" w:cs="Times New Roman" w:eastAsia="Times New Roman" w:hAnsi="Times New Roman"/>
          <w:sz w:val="20"/>
          <w:szCs w:val="20"/>
          <w:u w:val="single" w:color="auto"/>
          <w:color w:val="auto"/>
        </w:rPr>
        <w:t>Paragraph 30</w:t>
      </w:r>
      <w:r>
        <w:rPr>
          <w:rFonts w:ascii="Times New Roman" w:cs="Times New Roman" w:eastAsia="Times New Roman" w:hAnsi="Times New Roman"/>
          <w:sz w:val="20"/>
          <w:szCs w:val="20"/>
          <w:color w:val="auto"/>
        </w:rPr>
        <w:t xml:space="preserve"> shall be self-operative and no further agreement of Tenant shall be necessary in order to effect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21" w:right="339" w:bottom="1440" w:gutter="0" w:footer="0" w:header="0"/>
        </w:sectPr>
      </w:pPr>
    </w:p>
    <w:bookmarkStart w:id="620" w:name="page621"/>
    <w:bookmarkEnd w:id="620"/>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subordination and attornment; provided, however notwithstanding the foregoing, (i) with respect to the deed of trust that encumbers the Property as of the date of this Lease in favor of Bank of America, N.A. (the “Existing Lender”), Landlord shall use commercially reasonable efforts to obtain from the Existing Lender a non-disturbance and attornment agreement (the “SNDA”) in the form generally used by the Existing Lender (a copy of which has been provided to Tenant prior to the date of this Lease), and providing for customary nondisturbance language (which may contain exclusions with respect to certain obligations of Landlord not assumed by the Existing Lender) to the effect that Tenant’s right to quiet possession of the Premises shall not be disturbed so long as Tenant shall pay the Rent and all other sums due hereunder and observe and perform all of the provisions of this Lease to be observed and performed by Tenant, and (ii) with respect to the interest of any Superior Interest Holder first encumbering all or any portion of the Project after the date of this Lease and to which Landlord intends that this Lease be subordinate to the interest of the Superior Interest Holder, Landlord shall provide to Tenant an SNDA on said Superior Interest Holder’s standard form, and Tenant shall, within ten (10) business days after written notice, execute, acknowledge and deliver the SNDA, provided the same provides for the effectiveness of this Lease following any foreclosure of the Superior Interest Holder (together with exclusions therefrom) as hereinabove provided in this </w:t>
      </w:r>
      <w:r>
        <w:rPr>
          <w:rFonts w:ascii="Times New Roman" w:cs="Times New Roman" w:eastAsia="Times New Roman" w:hAnsi="Times New Roman"/>
          <w:sz w:val="20"/>
          <w:szCs w:val="20"/>
          <w:u w:val="single" w:color="auto"/>
          <w:color w:val="auto"/>
        </w:rPr>
        <w:t>Paragraph 30</w:t>
      </w:r>
      <w:r>
        <w:rPr>
          <w:rFonts w:ascii="Times New Roman" w:cs="Times New Roman" w:eastAsia="Times New Roman" w:hAnsi="Times New Roman"/>
          <w:sz w:val="20"/>
          <w:szCs w:val="20"/>
          <w:color w:val="auto"/>
        </w:rPr>
        <w:t xml:space="preserve">. If Tenant fails to execute and deliver such instruments to Landlord, as to any Superior Mortgage entered into after the date of this Lease, within the ten (10) business day period specified above, Landlord, at any time thereafter, may send Tenant a written notice requiring the delivery of such instruments to Landlord in the form last requested by the Superior Interest Holder, and the failure of Tenant to deliver such instruments in such form as previously requested within five (5) business days after said second written notice shall constitute an Event of Default under this Lease and Landlord’s remedies shall be as specified in </w:t>
      </w:r>
      <w:r>
        <w:rPr>
          <w:rFonts w:ascii="Times New Roman" w:cs="Times New Roman" w:eastAsia="Times New Roman" w:hAnsi="Times New Roman"/>
          <w:sz w:val="20"/>
          <w:szCs w:val="20"/>
          <w:u w:val="single" w:color="auto"/>
          <w:color w:val="auto"/>
        </w:rPr>
        <w:t>Paragraph 17</w:t>
      </w:r>
      <w:r>
        <w:rPr>
          <w:rFonts w:ascii="Times New Roman" w:cs="Times New Roman" w:eastAsia="Times New Roman" w:hAnsi="Times New Roman"/>
          <w:sz w:val="20"/>
          <w:szCs w:val="20"/>
          <w:color w:val="auto"/>
        </w:rPr>
        <w:t>. Any cost or fee required to be paid to the Existing Lender to obtain the SNDA, including any attorneys’ fees incurred in the negotiation thereof, shall be paid for by Tenant, as and when requested by Existing Lender. Landlord shall bear the cost of any SNDA requested by a Superior Interest Hold first encumbering the Project after the date of this Lease, other than attorneys’ fees incurred in the negotiation thereof requested by Tenant, which shall be borne by Tenant, Landlord shall use commercially reasonable efforts to obtain from the Existing Lender a signed SNDA in the form generally used by the Existing Lender (a copy of which has been provided to Tenant prior to the date of this Lease) within thirty (30) days of the date of this Lease.</w:t>
      </w:r>
    </w:p>
    <w:p>
      <w:pPr>
        <w:spacing w:after="0" w:line="119" w:lineRule="exact"/>
        <w:rPr>
          <w:sz w:val="20"/>
          <w:szCs w:val="20"/>
          <w:color w:val="auto"/>
        </w:rPr>
      </w:pPr>
    </w:p>
    <w:p>
      <w:pPr>
        <w:ind w:left="600" w:hanging="600"/>
        <w:spacing w:after="0"/>
        <w:tabs>
          <w:tab w:leader="none" w:pos="600" w:val="left"/>
        </w:tabs>
        <w:numPr>
          <w:ilvl w:val="0"/>
          <w:numId w:val="5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INABILITY TO PERFORM</w:t>
      </w:r>
    </w:p>
    <w:p>
      <w:pPr>
        <w:spacing w:after="0" w:line="160"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Neither party shall be in default hereunder nor shall either party be liable to the other for any loss or damages if a party is unable to fulfill any of its obligations (other than the Tenant’s obligations to pay Rent), or is delayed in doing so, if the inability or delay is caused by reason of acts of God, civil unrest, terrorist acts, or any other similar cause, which is beyond the reasonable control of such party.(herein referred to as “Force Majeure”).</w:t>
      </w:r>
    </w:p>
    <w:p>
      <w:pPr>
        <w:spacing w:after="0" w:line="110" w:lineRule="exact"/>
        <w:rPr>
          <w:sz w:val="20"/>
          <w:szCs w:val="20"/>
          <w:color w:val="auto"/>
        </w:rPr>
      </w:pPr>
    </w:p>
    <w:p>
      <w:pPr>
        <w:ind w:left="600" w:hanging="600"/>
        <w:spacing w:after="0"/>
        <w:tabs>
          <w:tab w:leader="none" w:pos="600" w:val="left"/>
        </w:tabs>
        <w:numPr>
          <w:ilvl w:val="0"/>
          <w:numId w:val="5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PARKING</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62" w:lineRule="auto"/>
        <w:tabs>
          <w:tab w:leader="none" w:pos="1192" w:val="left"/>
        </w:tabs>
        <w:numPr>
          <w:ilvl w:val="1"/>
          <w:numId w:val="5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have the nonexclusive right to use the number of parking spaces in the parking area of the Project designated in the Basic Lease Information (“Parking Area”) solely for its use and the use of its employees for the parking of motor vehicles, upon the payment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21" w:right="339" w:bottom="1440" w:gutter="0" w:footer="0" w:header="0"/>
        </w:sectPr>
      </w:pPr>
    </w:p>
    <w:bookmarkStart w:id="621" w:name="page622"/>
    <w:bookmarkEnd w:id="621"/>
    <w:p>
      <w:pPr>
        <w:jc w:val="both"/>
        <w:spacing w:after="0" w:line="251" w:lineRule="auto"/>
        <w:rPr>
          <w:sz w:val="20"/>
          <w:szCs w:val="20"/>
          <w:color w:val="auto"/>
        </w:rPr>
      </w:pPr>
      <w:r>
        <w:rPr>
          <w:rFonts w:ascii="Times New Roman" w:cs="Times New Roman" w:eastAsia="Times New Roman" w:hAnsi="Times New Roman"/>
          <w:sz w:val="20"/>
          <w:szCs w:val="20"/>
          <w:color w:val="auto"/>
        </w:rPr>
        <w:t>Landlord, as additional rent, of a monthly parking fee (the “Parking Fee”), per vehicle, in an amount equal to the then prevailing market rate being charged to the general public for the use of parking spaces in the Old Oakland project, as determined by Landlord, from time to time, in Landlord’s sole discretion. Tenant may terminate its right to use the parking spaces at any time upon thirty (30) days’ prior written notice to Landlord, but without any refund of any previously paid Parking Fees. Tenant shall not have the exclusive right to use any specific parking spaces. The use of the Parking Area shall be governed by such parking rules and regulations as may be adopted from time to time by Landlord and/or the operator of the Parking Area. Landlord may revoke Tenant’s or any of Tenant’s employee’s use of the Parking Area for breach of the parking rules and regulations, including non-payment of the Parking Fee, upon written notice to Tenant, and such action shall not constitute an eviction of Tenant or a disturbance of Tenant’s use of the Premises.</w:t>
      </w:r>
    </w:p>
    <w:p>
      <w:pPr>
        <w:spacing w:after="0" w:line="117" w:lineRule="exact"/>
        <w:rPr>
          <w:sz w:val="20"/>
          <w:szCs w:val="20"/>
          <w:color w:val="auto"/>
        </w:rPr>
      </w:pPr>
    </w:p>
    <w:p>
      <w:pPr>
        <w:jc w:val="both"/>
        <w:ind w:firstLine="597"/>
        <w:spacing w:after="0" w:line="251" w:lineRule="auto"/>
        <w:tabs>
          <w:tab w:leader="none" w:pos="1191" w:val="left"/>
        </w:tabs>
        <w:numPr>
          <w:ilvl w:val="1"/>
          <w:numId w:val="5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may, from time to time, designate and/or relocate Tenant’s use of the Parking Area to other parking facilities within the Project, and Landlord further reserves the right to change, reconfigure or rearrange the Parking Area, and, upon giving Tenant ninety (90) days prior written notice, to restrict, reduce or completely eliminate the rights granted Tenant hereunder to use the Parking Area for any reason, including, without limitation, the intention of Landlord to grant other tenants parking rights in and to the Parking Area or the intent to develop all or any part of the Parking Area. No such action shall be deemed an eviction of Tenant or a disturbance of Tenant’s use of the Premises or entitle Tenant to any offset or credit against the payment of rent or impair or otherwise affect any of Tenant’s other obligations under this Lease.</w:t>
      </w:r>
    </w:p>
    <w:p>
      <w:pPr>
        <w:spacing w:after="0" w:line="120" w:lineRule="exact"/>
        <w:rPr>
          <w:rFonts w:ascii="Times New Roman" w:cs="Times New Roman" w:eastAsia="Times New Roman" w:hAnsi="Times New Roman"/>
          <w:sz w:val="20"/>
          <w:szCs w:val="20"/>
          <w:color w:val="auto"/>
        </w:rPr>
      </w:pPr>
    </w:p>
    <w:p>
      <w:pPr>
        <w:jc w:val="both"/>
        <w:ind w:firstLine="597"/>
        <w:spacing w:after="0" w:line="252" w:lineRule="auto"/>
        <w:tabs>
          <w:tab w:leader="none" w:pos="1192" w:val="left"/>
        </w:tabs>
        <w:numPr>
          <w:ilvl w:val="1"/>
          <w:numId w:val="5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Landlord nor Landlord’s parking operator shall have any liability or responsibility to Tenant or any other party parking in the Parking Area for any loss or damage that may be occasioned by, or may arise out of, such parking, including, without limitation, loss of property or damage to person or property from any cause whatsoever, and Tenant, in consideration of the parking privileges hereby conferred on Tenant, waives any and all claims, losses, causes of action and liabilities against Landlord and Landlord’s parking operator by reason of occurrences in or about the Parking Area and the driveway exits and/or entrances thereto, whether attributable to the active or passive negligence of Landlord or otherwise.</w:t>
      </w:r>
    </w:p>
    <w:p>
      <w:pPr>
        <w:spacing w:after="0" w:line="115"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FUTURE CONSTRUCTION WORK.</w:t>
      </w:r>
    </w:p>
    <w:p>
      <w:pPr>
        <w:spacing w:after="0" w:line="160"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20"/>
          <w:szCs w:val="20"/>
          <w:color w:val="auto"/>
        </w:rPr>
        <w:t>Landlord reserves the right (upon thirty (30) days’ prior notice to, but otherwise without the consent of, Tenant) to make improvements and/or additions to portions of the Building, including, without limitation, adding floor area to one or more existing floors of the Building, and to undertake structural and seismic improvement projects in the Building. Such construction activity may result in columns, beams and other structural components being placed in the Premises to accommodate the construction work and/or the permanent additions and/or expansions to be constructed. Any such construction activity is entirely discretionary with Landlord, and Tenant agrees that no representation, express or implied, with respect to the future condition of the Building or any improvements thereto have been made to Tenant by Landlord or any Landlord’s representative. Tenant hereby waives any and all rights or claims of any kind for rent offsets or based on constructive eviction, nuisance or interference with enjoyment which may arise in connection with, or result from, such construction activities; provided,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22" w:right="339" w:bottom="1440" w:gutter="0" w:footer="0" w:header="0"/>
        </w:sectPr>
      </w:pPr>
    </w:p>
    <w:bookmarkStart w:id="622" w:name="page623"/>
    <w:bookmarkEnd w:id="622"/>
    <w:p>
      <w:pPr>
        <w:spacing w:after="0" w:line="258" w:lineRule="auto"/>
        <w:rPr>
          <w:sz w:val="20"/>
          <w:szCs w:val="20"/>
          <w:color w:val="auto"/>
        </w:rPr>
      </w:pPr>
      <w:r>
        <w:rPr>
          <w:rFonts w:ascii="Times New Roman" w:cs="Times New Roman" w:eastAsia="Times New Roman" w:hAnsi="Times New Roman"/>
          <w:sz w:val="20"/>
          <w:szCs w:val="20"/>
          <w:color w:val="auto"/>
        </w:rPr>
        <w:t>Landlord shall use commercially reasonable efforts to minimize disruption of Tenant’s business caused by such construction activities, and, other than temporary Building closures or interruptions of utilities (which may be effected periodically on weekends and no more than four</w:t>
      </w:r>
    </w:p>
    <w:p>
      <w:pPr>
        <w:jc w:val="both"/>
        <w:spacing w:after="0" w:line="247" w:lineRule="auto"/>
        <w:tabs>
          <w:tab w:leader="none" w:pos="304" w:val="left"/>
        </w:tabs>
        <w:numPr>
          <w:ilvl w:val="0"/>
          <w:numId w:val="5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hours in duration at a time during business hours, and no more than two (2) business days a month), prior written notice is given to Tenant, Landlord shall maintain Tenant’s ability to access the Premises and the ability of Tenant to conduct business operations in the Premises without material interference (other than attendant noise and construction activity). Notwithstanding anything in this Paragraph to the contrary, if Landlord determines that any of the foregoing construction activities will result in a material interference with or disruption to Tenant’s business in the Premises, Landlord, upon one hundred eighty (180) days’ prior written notice to Tenant that Landlord intends to commence such construction activity, shall attempt to relocate Tenant, temporarily, to other space in the Project, of equal or superior usability, size, finishes and tenant improvements, or if such space is not available or not acceptable to Tenant, Tenant shall have the right to elect to remain in the Premises or to terminate this Lease. Any such relocation of Tenant to other premises in the Project or to replacement premises outside of the Project shall be Landlord’s sole cost and expense. If this Lease is not terminated as hereinabove provided, and the Premises are altered by reason of such improvements, Landlord agrees to remeasure the Premises following the completion of the improvements and to adjust Tenant’s rental obligations hereunder based on the new square footage of the Premises, as determined by Landlord in good faith; provided, however, that in no event shall Tenant’s rental obligations be increased as a result of such remeasurement.</w:t>
      </w:r>
    </w:p>
    <w:p>
      <w:pPr>
        <w:spacing w:after="0" w:line="120" w:lineRule="exact"/>
        <w:rPr>
          <w:sz w:val="20"/>
          <w:szCs w:val="20"/>
          <w:color w:val="auto"/>
        </w:rPr>
      </w:pPr>
    </w:p>
    <w:p>
      <w:pPr>
        <w:ind w:left="600" w:hanging="600"/>
        <w:spacing w:after="0"/>
        <w:tabs>
          <w:tab w:leader="none" w:pos="600" w:val="left"/>
        </w:tabs>
        <w:numPr>
          <w:ilvl w:val="0"/>
          <w:numId w:val="5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159" w:lineRule="exact"/>
        <w:rPr>
          <w:rFonts w:ascii="Times New Roman" w:cs="Times New Roman" w:eastAsia="Times New Roman" w:hAnsi="Times New Roman"/>
          <w:sz w:val="20"/>
          <w:szCs w:val="20"/>
          <w:b w:val="1"/>
          <w:bCs w:val="1"/>
          <w:color w:val="auto"/>
        </w:rPr>
      </w:pPr>
    </w:p>
    <w:p>
      <w:pPr>
        <w:jc w:val="both"/>
        <w:ind w:firstLine="597"/>
        <w:spacing w:after="0" w:line="256" w:lineRule="auto"/>
        <w:tabs>
          <w:tab w:leader="none" w:pos="1192" w:val="left"/>
        </w:tabs>
        <w:numPr>
          <w:ilvl w:val="1"/>
          <w:numId w:val="5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“Landlord” and “Tenant” as used herein shall include the plural as well as the singular. Words used in masculine gender include the feminine and neuter. If there be more than one Tenant, the obligations hereunder imposed on Tenant shall be joint and several. Subject to the provisions hereof relating to assignment and subletting, this Lease is intended to and does bind the heirs, executors, administrators, successors and assigns of any and all of the parties hereto. Time is of the essence of this Lease.</w:t>
      </w:r>
    </w:p>
    <w:p>
      <w:pPr>
        <w:spacing w:after="0" w:line="113" w:lineRule="exact"/>
        <w:rPr>
          <w:rFonts w:ascii="Times New Roman" w:cs="Times New Roman" w:eastAsia="Times New Roman" w:hAnsi="Times New Roman"/>
          <w:sz w:val="20"/>
          <w:szCs w:val="20"/>
          <w:color w:val="auto"/>
        </w:rPr>
      </w:pPr>
    </w:p>
    <w:p>
      <w:pPr>
        <w:jc w:val="both"/>
        <w:ind w:firstLine="597"/>
        <w:spacing w:after="0" w:line="256" w:lineRule="auto"/>
        <w:tabs>
          <w:tab w:leader="none" w:pos="1191" w:val="left"/>
        </w:tabs>
        <w:numPr>
          <w:ilvl w:val="1"/>
          <w:numId w:val="5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covenants and agrees that, upon performance by Tenant of all of the terms, covenants, obligations and provisions of this Lease on Tenant’s part to be kept and performed, Tenant shall have, hold and enjoy the Premises, subject and subordinate to the terms and conditions of this Lease, without hindrance or interruption by Landlord or any other person or persons lawfully or equitably claiming by, through or under Landlord.</w:t>
      </w:r>
    </w:p>
    <w:p>
      <w:pPr>
        <w:spacing w:after="0" w:line="113" w:lineRule="exact"/>
        <w:rPr>
          <w:rFonts w:ascii="Times New Roman" w:cs="Times New Roman" w:eastAsia="Times New Roman" w:hAnsi="Times New Roman"/>
          <w:sz w:val="20"/>
          <w:szCs w:val="20"/>
          <w:color w:val="auto"/>
        </w:rPr>
      </w:pPr>
    </w:p>
    <w:p>
      <w:pPr>
        <w:jc w:val="both"/>
        <w:ind w:firstLine="597"/>
        <w:spacing w:after="0" w:line="251" w:lineRule="auto"/>
        <w:tabs>
          <w:tab w:leader="none" w:pos="1192" w:val="left"/>
        </w:tabs>
        <w:numPr>
          <w:ilvl w:val="1"/>
          <w:numId w:val="5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is a corporation or limited liability company, Tenant and each person executing this Lease on behalf of Tenant represents and warrants to Landlord that (i) Tenant is duly incorporated or formed, as the case may be, and validly existing under the laws of its state of incorporation or formation, (ii) Tenant is qualified to do business in California, (iii) Tenant has the full right, power and authority to enter into this Lease and to perform all of Tenant’s obligations hereunder, and (iv) each person signing this Lease on behalf of the corporation or company is duly and validly authorized to do so. If Tenant is a partnership (whether a general or limited partnership), each person executing this Lease on behalf of Tenant represents and warrants to Landlord that (A) he/she is a general partner of Tenant, (B) he/she is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322" w:right="339" w:bottom="1440" w:gutter="0" w:footer="0" w:header="0"/>
        </w:sectPr>
      </w:pPr>
    </w:p>
    <w:bookmarkStart w:id="623" w:name="page624"/>
    <w:bookmarkEnd w:id="623"/>
    <w:p>
      <w:pPr>
        <w:spacing w:after="0" w:line="277" w:lineRule="auto"/>
        <w:rPr>
          <w:sz w:val="20"/>
          <w:szCs w:val="20"/>
          <w:color w:val="auto"/>
        </w:rPr>
      </w:pPr>
      <w:r>
        <w:rPr>
          <w:rFonts w:ascii="Times New Roman" w:cs="Times New Roman" w:eastAsia="Times New Roman" w:hAnsi="Times New Roman"/>
          <w:sz w:val="20"/>
          <w:szCs w:val="20"/>
          <w:color w:val="auto"/>
        </w:rPr>
        <w:t>to execute and deliver this Lease on behalf of Tenant, (C) this Lease is binding on Tenant (and each general partner of Tenant) in accordance with its terms, and (D) each general partner of Tenant is personally liable for the obligations of Tenant under this Lease.</w:t>
      </w:r>
    </w:p>
    <w:p>
      <w:pPr>
        <w:spacing w:after="0" w:line="91" w:lineRule="exact"/>
        <w:rPr>
          <w:sz w:val="20"/>
          <w:szCs w:val="20"/>
          <w:color w:val="auto"/>
        </w:rPr>
      </w:pPr>
    </w:p>
    <w:p>
      <w:pPr>
        <w:jc w:val="both"/>
        <w:ind w:firstLine="597"/>
        <w:spacing w:after="0" w:line="252" w:lineRule="auto"/>
        <w:tabs>
          <w:tab w:leader="none" w:pos="1190" w:val="left"/>
        </w:tabs>
        <w:numPr>
          <w:ilvl w:val="0"/>
          <w:numId w:val="5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oral agreements between Landlord and Tenant affecting this Lease, and this Lease supersedes and cancels any and all previous negotiations, arrangements, brochures, agreements and understandings, if any, between Landlord and Tenant or displayed by Landlord to Tenant with respect to the subject matter of this Lease or the Building. There are no representations between Landlord and Tenant other than those contained in this Lease and all reliance with respect to any representations is based solely upon the terms of this Lease. None of the terms, covenants, conditions or provisions of this Lease can be modified, deleted or added to except in writing signed by the parties hereto.</w:t>
      </w:r>
    </w:p>
    <w:p>
      <w:pPr>
        <w:spacing w:after="0" w:line="119" w:lineRule="exact"/>
        <w:rPr>
          <w:rFonts w:ascii="Times New Roman" w:cs="Times New Roman" w:eastAsia="Times New Roman" w:hAnsi="Times New Roman"/>
          <w:sz w:val="20"/>
          <w:szCs w:val="20"/>
          <w:color w:val="auto"/>
        </w:rPr>
      </w:pPr>
    </w:p>
    <w:p>
      <w:pPr>
        <w:jc w:val="both"/>
        <w:ind w:firstLine="597"/>
        <w:spacing w:after="0" w:line="262" w:lineRule="auto"/>
        <w:tabs>
          <w:tab w:leader="none" w:pos="1191" w:val="left"/>
        </w:tabs>
        <w:numPr>
          <w:ilvl w:val="0"/>
          <w:numId w:val="5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use the name of the Building for any purpose other than as an address of the business to be conducted by Tenant in the Premises. Landlord reserves the right to change the name of the Building at any time in its sole discretion by written notice to Tenant and Landlord shall not be liable to Tenant for any loss, cost or expense on account of any such change of name.</w:t>
      </w:r>
    </w:p>
    <w:p>
      <w:pPr>
        <w:spacing w:after="0" w:line="105" w:lineRule="exact"/>
        <w:rPr>
          <w:rFonts w:ascii="Times New Roman" w:cs="Times New Roman" w:eastAsia="Times New Roman" w:hAnsi="Times New Roman"/>
          <w:sz w:val="20"/>
          <w:szCs w:val="20"/>
          <w:color w:val="auto"/>
        </w:rPr>
      </w:pPr>
    </w:p>
    <w:p>
      <w:pPr>
        <w:jc w:val="both"/>
        <w:ind w:firstLine="597"/>
        <w:spacing w:after="0" w:line="249" w:lineRule="auto"/>
        <w:tabs>
          <w:tab w:leader="none" w:pos="1194" w:val="left"/>
        </w:tabs>
        <w:numPr>
          <w:ilvl w:val="0"/>
          <w:numId w:val="5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rentable square footage of the Premises (referred to in this Lease as “rsf” or “RSF”) has been determined in by Landlord in accordance with industry standards, and Tenant has been given an opportunity to review Landlord’s determination of the RSF of the Premises and the methodology used by Landlord in measuring the RSF of the Project. Tenant’s Percentage Share has been determined by taking the quotient arrived at by dividing the number of rentable square feet of the Premises provided in the </w:t>
      </w:r>
      <w:r>
        <w:rPr>
          <w:rFonts w:ascii="Times New Roman" w:cs="Times New Roman" w:eastAsia="Times New Roman" w:hAnsi="Times New Roman"/>
          <w:sz w:val="20"/>
          <w:szCs w:val="20"/>
          <w:i w:val="1"/>
          <w:iCs w:val="1"/>
          <w:color w:val="auto"/>
        </w:rPr>
        <w:t>Basic Lease Information</w:t>
      </w:r>
      <w:r>
        <w:rPr>
          <w:rFonts w:ascii="Times New Roman" w:cs="Times New Roman" w:eastAsia="Times New Roman" w:hAnsi="Times New Roman"/>
          <w:sz w:val="20"/>
          <w:szCs w:val="20"/>
          <w:color w:val="auto"/>
        </w:rPr>
        <w:t xml:space="preserve"> by the number of the rentable square feet of the Project, and multiplying said quotient by 100. Landlord reserves the right to periodically remeasure the Building and/or the Premises in accordance with generally accepted industry standards, which may result in an increase or decrease in the number of rentable square feet contained therein, provided that such remeasurement shall not under any circumstances entitle Tenant to a refund or credit for any sums paid under this Lease. In the event of such an adjustment in the rentable square footage, all amounts, percentages and figures (other than any Landlord allowance or contribution for construction of improvements already completed) determined based on rentable square footage, such as Tenant’s Percentage Share, Base Rent, and parking rights, if any, shall be adjusted prospectively; provided, however, no such adjustment in rentable square footage (whether individually or in the aggregate) shall result in an increase in any amount payable under this Lease by more than three percent (3%) from that applicable under this Lease as of the Lease Date. Landlord shall not be permitted to remeasure the Premises more than once during the Term, and at no time during the first three (3) years of the Term. Subject to the foregoing, the square footage figures contained in this Lease are final and binding on the parties.</w:t>
      </w:r>
    </w:p>
    <w:p>
      <w:pPr>
        <w:spacing w:after="0" w:line="118" w:lineRule="exact"/>
        <w:rPr>
          <w:rFonts w:ascii="Times New Roman" w:cs="Times New Roman" w:eastAsia="Times New Roman" w:hAnsi="Times New Roman"/>
          <w:sz w:val="20"/>
          <w:szCs w:val="20"/>
          <w:color w:val="auto"/>
        </w:rPr>
      </w:pPr>
    </w:p>
    <w:p>
      <w:pPr>
        <w:jc w:val="both"/>
        <w:ind w:firstLine="597"/>
        <w:spacing w:after="0" w:line="256" w:lineRule="auto"/>
        <w:tabs>
          <w:tab w:leader="none" w:pos="1190" w:val="left"/>
        </w:tabs>
        <w:numPr>
          <w:ilvl w:val="0"/>
          <w:numId w:val="5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perform any acts hereunder at Landlord’s expense or be entitled to any setoff of rent or other amounts owing under this Lease. All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22" w:right="339" w:bottom="1440" w:gutter="0" w:footer="0" w:header="0"/>
        </w:sectPr>
      </w:pPr>
    </w:p>
    <w:bookmarkStart w:id="624" w:name="page625"/>
    <w:bookmarkEnd w:id="624"/>
    <w:p>
      <w:pPr>
        <w:spacing w:after="0"/>
        <w:rPr>
          <w:sz w:val="20"/>
          <w:szCs w:val="20"/>
          <w:color w:val="auto"/>
        </w:rPr>
      </w:pPr>
      <w:r>
        <w:rPr>
          <w:rFonts w:ascii="Times New Roman" w:cs="Times New Roman" w:eastAsia="Times New Roman" w:hAnsi="Times New Roman"/>
          <w:sz w:val="19"/>
          <w:szCs w:val="19"/>
          <w:color w:val="auto"/>
        </w:rPr>
        <w:t>provisions to be performed by Tenant under any of the terms of this Lease shall be at its sole cost and expense and without abatement of rent.</w:t>
      </w:r>
    </w:p>
    <w:p>
      <w:pPr>
        <w:spacing w:after="0" w:line="167" w:lineRule="exact"/>
        <w:rPr>
          <w:sz w:val="20"/>
          <w:szCs w:val="20"/>
          <w:color w:val="auto"/>
        </w:rPr>
      </w:pPr>
    </w:p>
    <w:p>
      <w:pPr>
        <w:ind w:firstLine="597"/>
        <w:spacing w:after="0" w:line="277" w:lineRule="auto"/>
        <w:tabs>
          <w:tab w:leader="none" w:pos="1191" w:val="left"/>
        </w:tabs>
        <w:numPr>
          <w:ilvl w:val="1"/>
          <w:numId w:val="5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Lease which shall be held invalid, void or illegal shall in no way affect, impair or invalidate any of the other provisions hereof and such other provisions shall remain in full force and effect.</w:t>
      </w:r>
    </w:p>
    <w:p>
      <w:pPr>
        <w:spacing w:after="0" w:line="91" w:lineRule="exact"/>
        <w:rPr>
          <w:rFonts w:ascii="Times New Roman" w:cs="Times New Roman" w:eastAsia="Times New Roman" w:hAnsi="Times New Roman"/>
          <w:sz w:val="20"/>
          <w:szCs w:val="20"/>
          <w:color w:val="auto"/>
        </w:rPr>
      </w:pPr>
    </w:p>
    <w:p>
      <w:pPr>
        <w:jc w:val="both"/>
        <w:ind w:firstLine="597"/>
        <w:spacing w:after="0" w:line="256" w:lineRule="auto"/>
        <w:tabs>
          <w:tab w:leader="none" w:pos="1184" w:val="left"/>
        </w:tabs>
        <w:numPr>
          <w:ilvl w:val="1"/>
          <w:numId w:val="5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diminution or shutting off of light, air, or view by any materials, improvements or structures that may be placed on the exterior of the Building or erected on lands adjacent to the Building shall not affect this Lease or impose any liability on Landlord; provided, however, Landlord agrees that it shall not permanently close or bricken the windows of the Premises unless required to do so by applicable law.</w:t>
      </w:r>
    </w:p>
    <w:p>
      <w:pPr>
        <w:spacing w:after="0" w:line="113" w:lineRule="exact"/>
        <w:rPr>
          <w:rFonts w:ascii="Times New Roman" w:cs="Times New Roman" w:eastAsia="Times New Roman" w:hAnsi="Times New Roman"/>
          <w:sz w:val="20"/>
          <w:szCs w:val="20"/>
          <w:color w:val="auto"/>
        </w:rPr>
      </w:pPr>
    </w:p>
    <w:p>
      <w:pPr>
        <w:jc w:val="both"/>
        <w:ind w:firstLine="597"/>
        <w:spacing w:after="0" w:line="251" w:lineRule="auto"/>
        <w:tabs>
          <w:tab w:leader="none" w:pos="1184" w:val="left"/>
        </w:tabs>
        <w:numPr>
          <w:ilvl w:val="1"/>
          <w:numId w:val="5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HEREBY WAIVES TRIAL BY JURY IN ANY ACTION, PROCEEDING OR COUNTERCLAIM BROUGHT BY EITHER OF THE PARTIES HERETO ON ANY MATTERS WHATSOEVER ARISING OUT OF OR IN ANYWAY CONNECTED WITH THIS LEASE (INCLUDING AN ACTION OR PROCEEDING BETWEEN LANDLORD AND THE TRUSTEE OR DEBTOR IN POSSESSION WHILE TENANT IS A DEBTOR IN A PROCEEDING UNDER ANY BANKRUPTCY LAW). IN THE EVENT LANDLORD COMMENCES ANY SUMMARY PROCEEDINGS OR ACTION FOR NON-PAYMENT OF BASE RENT OR ANY ADDITIONAL RENT, TENANT SHALL NOT INTERPOSE ANY COUNTERCLAIM OF ANY NATURE OR DESCRIPTION (UNLESS SUCH COUNTERCLAIM SHALL BE MANDATORY) IN ANY SUCH PROCEEDING OR ACTION, BUT SHALL BE RELEGATED TO AN INDEPENDENT ACTION AT LAW.</w:t>
      </w:r>
    </w:p>
    <w:p>
      <w:pPr>
        <w:spacing w:after="0" w:line="116" w:lineRule="exact"/>
        <w:rPr>
          <w:rFonts w:ascii="Times New Roman" w:cs="Times New Roman" w:eastAsia="Times New Roman" w:hAnsi="Times New Roman"/>
          <w:sz w:val="20"/>
          <w:szCs w:val="20"/>
          <w:color w:val="auto"/>
        </w:rPr>
      </w:pPr>
    </w:p>
    <w:p>
      <w:pPr>
        <w:ind w:left="1180" w:hanging="583"/>
        <w:spacing w:after="0"/>
        <w:tabs>
          <w:tab w:leader="none" w:pos="1180" w:val="left"/>
        </w:tabs>
        <w:numPr>
          <w:ilvl w:val="1"/>
          <w:numId w:val="5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Lease shall be governed by the laws of the State of California applicable to transactions to be performed wholly therein.</w:t>
      </w:r>
    </w:p>
    <w:p>
      <w:pPr>
        <w:spacing w:after="0" w:line="151"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BROKER.</w:t>
      </w:r>
    </w:p>
    <w:p>
      <w:pPr>
        <w:spacing w:after="0" w:line="160"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20"/>
          <w:szCs w:val="20"/>
          <w:color w:val="auto"/>
        </w:rPr>
        <w:t xml:space="preserve">Each party represents and warrants to the other party that they have had no dealings with any broker, finder, or similar person who is or might be entitled to a commission or other fee in connection with the execution of this Lease, except for Landlord’s Broker and, if expressly provided in the </w:t>
      </w:r>
      <w:r>
        <w:rPr>
          <w:rFonts w:ascii="Times New Roman" w:cs="Times New Roman" w:eastAsia="Times New Roman" w:hAnsi="Times New Roman"/>
          <w:sz w:val="20"/>
          <w:szCs w:val="20"/>
          <w:i w:val="1"/>
          <w:iCs w:val="1"/>
          <w:color w:val="auto"/>
        </w:rPr>
        <w:t>Basic Lease Information,</w:t>
      </w:r>
      <w:r>
        <w:rPr>
          <w:rFonts w:ascii="Times New Roman" w:cs="Times New Roman" w:eastAsia="Times New Roman" w:hAnsi="Times New Roman"/>
          <w:sz w:val="20"/>
          <w:szCs w:val="20"/>
          <w:color w:val="auto"/>
        </w:rPr>
        <w:t xml:space="preserve"> Tenant’s Broker. Landlord shall pay the commission due Landlord’s Broker and Tenant’s Broker pursuant to a separate agreement between Landlord and Landlord’s Broker. Landlord and Tenant shall each indemnify, defend and hold the other harmless from and against any and all claims and damages and for any and all costs and expenses (including reasonable attorneys’ fees and costs) resulting from claims that may be asserted against the other party by any broker, agent or finder not disclosed herein.</w:t>
      </w:r>
    </w:p>
    <w:p>
      <w:pPr>
        <w:spacing w:after="0" w:line="117" w:lineRule="exact"/>
        <w:rPr>
          <w:sz w:val="20"/>
          <w:szCs w:val="20"/>
          <w:color w:val="auto"/>
        </w:rPr>
      </w:pPr>
    </w:p>
    <w:p>
      <w:pPr>
        <w:ind w:left="600" w:hanging="600"/>
        <w:spacing w:after="0"/>
        <w:tabs>
          <w:tab w:leader="none" w:pos="600" w:val="left"/>
        </w:tabs>
        <w:numPr>
          <w:ilvl w:val="0"/>
          <w:numId w:val="5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OFFER.</w:t>
      </w:r>
    </w:p>
    <w:p>
      <w:pPr>
        <w:spacing w:after="0" w:line="160"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20"/>
          <w:szCs w:val="20"/>
          <w:color w:val="auto"/>
        </w:rPr>
        <w:t>No contractual or other rights shall exist between Landlord and Tenant with respect to the Premises until both have executed and delivered this Lease. The submission of this Lease to Tenant shall be for examination purposes only, and does not and shall not constitute a reservation of or any option for Tenant to lease, or otherwise create any interest by Tenant in the Premises or any other premises situated in the Building. Execution of this Lease by Tenant and return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21" w:right="339" w:bottom="1440" w:gutter="0" w:footer="0" w:header="0"/>
        </w:sectPr>
      </w:pPr>
    </w:p>
    <w:bookmarkStart w:id="625" w:name="page626"/>
    <w:bookmarkEnd w:id="625"/>
    <w:p>
      <w:pPr>
        <w:spacing w:after="0" w:line="277" w:lineRule="auto"/>
        <w:rPr>
          <w:sz w:val="20"/>
          <w:szCs w:val="20"/>
          <w:color w:val="auto"/>
        </w:rPr>
      </w:pPr>
      <w:r>
        <w:rPr>
          <w:rFonts w:ascii="Times New Roman" w:cs="Times New Roman" w:eastAsia="Times New Roman" w:hAnsi="Times New Roman"/>
          <w:sz w:val="20"/>
          <w:szCs w:val="20"/>
          <w:color w:val="auto"/>
        </w:rPr>
        <w:t>Landlord shall not be binding upon Landlord, notwithstanding any time interval, until Landlord has in fact executed and delivered this Lease to Tenant.</w:t>
      </w:r>
    </w:p>
    <w:p>
      <w:pPr>
        <w:spacing w:after="0" w:line="87" w:lineRule="exact"/>
        <w:rPr>
          <w:sz w:val="20"/>
          <w:szCs w:val="20"/>
          <w:color w:val="auto"/>
        </w:rPr>
      </w:pPr>
    </w:p>
    <w:p>
      <w:pPr>
        <w:ind w:left="600" w:hanging="600"/>
        <w:spacing w:after="0"/>
        <w:tabs>
          <w:tab w:leader="none" w:pos="600" w:val="left"/>
        </w:tabs>
        <w:numPr>
          <w:ilvl w:val="0"/>
          <w:numId w:val="5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BICYCLES</w:t>
      </w:r>
    </w:p>
    <w:p>
      <w:pPr>
        <w:spacing w:after="0" w:line="160" w:lineRule="exact"/>
        <w:rPr>
          <w:sz w:val="20"/>
          <w:szCs w:val="20"/>
          <w:color w:val="auto"/>
        </w:rPr>
      </w:pPr>
    </w:p>
    <w:p>
      <w:pPr>
        <w:ind w:firstLine="597"/>
        <w:spacing w:after="0" w:line="277" w:lineRule="auto"/>
        <w:rPr>
          <w:sz w:val="20"/>
          <w:szCs w:val="20"/>
          <w:color w:val="auto"/>
        </w:rPr>
      </w:pPr>
      <w:r>
        <w:rPr>
          <w:rFonts w:ascii="Times New Roman" w:cs="Times New Roman" w:eastAsia="Times New Roman" w:hAnsi="Times New Roman"/>
          <w:sz w:val="20"/>
          <w:szCs w:val="20"/>
          <w:color w:val="auto"/>
        </w:rPr>
        <w:t>Tenant and its personnel shall be permitted to bring bicycles into the Building and Premises, provided the same are stored in any designated bicycle area or within the Premises.</w:t>
      </w:r>
    </w:p>
    <w:p>
      <w:pPr>
        <w:spacing w:after="0" w:line="87" w:lineRule="exact"/>
        <w:rPr>
          <w:sz w:val="20"/>
          <w:szCs w:val="20"/>
          <w:color w:val="auto"/>
        </w:rPr>
      </w:pPr>
    </w:p>
    <w:p>
      <w:pPr>
        <w:ind w:left="600" w:hanging="600"/>
        <w:spacing w:after="0"/>
        <w:tabs>
          <w:tab w:leader="none" w:pos="600" w:val="left"/>
        </w:tabs>
        <w:numPr>
          <w:ilvl w:val="0"/>
          <w:numId w:val="5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DOGS</w:t>
      </w:r>
    </w:p>
    <w:p>
      <w:pPr>
        <w:spacing w:after="0" w:line="160" w:lineRule="exact"/>
        <w:rPr>
          <w:sz w:val="20"/>
          <w:szCs w:val="20"/>
          <w:color w:val="auto"/>
        </w:rPr>
      </w:pPr>
    </w:p>
    <w:p>
      <w:pPr>
        <w:ind w:firstLine="597"/>
        <w:spacing w:after="0" w:line="277" w:lineRule="auto"/>
        <w:rPr>
          <w:sz w:val="20"/>
          <w:szCs w:val="20"/>
          <w:color w:val="auto"/>
        </w:rPr>
      </w:pPr>
      <w:r>
        <w:rPr>
          <w:rFonts w:ascii="Times New Roman" w:cs="Times New Roman" w:eastAsia="Times New Roman" w:hAnsi="Times New Roman"/>
          <w:sz w:val="20"/>
          <w:szCs w:val="20"/>
          <w:color w:val="auto"/>
        </w:rPr>
        <w:t>Subject to such reasonable rules developed by Landlord governing access by pets, Tenant shall be permitted to bring dogs into the Premises, at its own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21" w:right="339" w:bottom="1440" w:gutter="0" w:footer="0" w:header="0"/>
        </w:sectPr>
      </w:pPr>
    </w:p>
    <w:bookmarkStart w:id="626" w:name="page627"/>
    <w:bookmarkEnd w:id="626"/>
    <w:p>
      <w:pPr>
        <w:ind w:left="5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Lease as of the date first above written.</w:t>
      </w:r>
    </w:p>
    <w:p>
      <w:pPr>
        <w:spacing w:after="0" w:line="206"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20"/>
          <w:szCs w:val="20"/>
          <w:b w:val="1"/>
          <w:bCs w:val="1"/>
          <w:u w:val="single" w:color="auto"/>
          <w:color w:val="auto"/>
        </w:rPr>
        <w:t>LANDLORD:</w:t>
      </w:r>
      <w:r>
        <w:rPr>
          <w:sz w:val="20"/>
          <w:szCs w:val="20"/>
          <w:color w:val="auto"/>
        </w:rPr>
        <w:tab/>
      </w:r>
      <w:r>
        <w:rPr>
          <w:rFonts w:ascii="Times New Roman" w:cs="Times New Roman" w:eastAsia="Times New Roman" w:hAnsi="Times New Roman"/>
          <w:sz w:val="20"/>
          <w:szCs w:val="20"/>
          <w:b w:val="1"/>
          <w:bCs w:val="1"/>
          <w:u w:val="single" w:color="auto"/>
          <w:color w:val="auto"/>
        </w:rPr>
        <w:t>TENANT: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11 WEST NINTH STREET PROPERTY OWNER, LP, </w:t>
            </w:r>
            <w:r>
              <w:rPr>
                <w:rFonts w:ascii="Times New Roman" w:cs="Times New Roman" w:eastAsia="Times New Roman" w:hAnsi="Times New Roman"/>
                <w:sz w:val="20"/>
                <w:szCs w:val="20"/>
                <w:color w:val="auto"/>
              </w:rPr>
              <w:t>a</w:t>
            </w:r>
          </w:p>
        </w:tc>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THREDUP INC.,</w:t>
            </w:r>
          </w:p>
        </w:tc>
        <w:tc>
          <w:tcPr>
            <w:tcW w:w="0" w:type="dxa"/>
            <w:vAlign w:val="bottom"/>
          </w:tcPr>
          <w:p>
            <w:pPr>
              <w:spacing w:after="0"/>
              <w:rPr>
                <w:sz w:val="1"/>
                <w:szCs w:val="1"/>
                <w:color w:val="auto"/>
              </w:rPr>
            </w:pPr>
          </w:p>
        </w:tc>
      </w:tr>
      <w:tr>
        <w:trPr>
          <w:trHeight w:val="259"/>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 limited partnership</w:t>
            </w:r>
          </w:p>
        </w:tc>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 Delaware corporation</w:t>
            </w:r>
          </w:p>
        </w:tc>
        <w:tc>
          <w:tcPr>
            <w:tcW w:w="0" w:type="dxa"/>
            <w:vAlign w:val="bottom"/>
          </w:tcPr>
          <w:p>
            <w:pPr>
              <w:spacing w:after="0"/>
              <w:rPr>
                <w:sz w:val="1"/>
                <w:szCs w:val="1"/>
                <w:color w:val="auto"/>
              </w:rPr>
            </w:pPr>
          </w:p>
        </w:tc>
      </w:tr>
      <w:tr>
        <w:trPr>
          <w:trHeight w:val="41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11 West Ninth Street GP, LLC</w:t>
            </w:r>
          </w:p>
        </w:tc>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James Reinhart</w:t>
            </w:r>
          </w:p>
        </w:tc>
        <w:tc>
          <w:tcPr>
            <w:tcW w:w="0" w:type="dxa"/>
            <w:vAlign w:val="bottom"/>
          </w:tcPr>
          <w:p>
            <w:pPr>
              <w:spacing w:after="0"/>
              <w:rPr>
                <w:sz w:val="1"/>
                <w:szCs w:val="1"/>
                <w:color w:val="auto"/>
              </w:rPr>
            </w:pPr>
          </w:p>
        </w:tc>
      </w:tr>
      <w:tr>
        <w:trPr>
          <w:trHeight w:val="75"/>
        </w:trPr>
        <w:tc>
          <w:tcPr>
            <w:tcW w:w="920" w:type="dxa"/>
            <w:vAlign w:val="bottom"/>
          </w:tcPr>
          <w:p>
            <w:pPr>
              <w:spacing w:after="0"/>
              <w:rPr>
                <w:sz w:val="6"/>
                <w:szCs w:val="6"/>
                <w:color w:val="auto"/>
              </w:rPr>
            </w:pPr>
          </w:p>
        </w:tc>
        <w:tc>
          <w:tcPr>
            <w:tcW w:w="4680" w:type="dxa"/>
            <w:vAlign w:val="bottom"/>
            <w:vMerge w:val="restart"/>
          </w:tcPr>
          <w:p>
            <w:pPr>
              <w:ind w:left="20"/>
              <w:spacing w:after="0" w:line="224" w:lineRule="exact"/>
              <w:rPr>
                <w:sz w:val="20"/>
                <w:szCs w:val="20"/>
                <w:color w:val="auto"/>
              </w:rPr>
            </w:pPr>
            <w:r>
              <w:rPr>
                <w:rFonts w:ascii="Times New Roman" w:cs="Times New Roman" w:eastAsia="Times New Roman" w:hAnsi="Times New Roman"/>
                <w:sz w:val="20"/>
                <w:szCs w:val="20"/>
                <w:color w:val="auto"/>
              </w:rPr>
              <w:t>a Delaware limited liability company</w:t>
            </w:r>
          </w:p>
        </w:tc>
        <w:tc>
          <w:tcPr>
            <w:tcW w:w="940" w:type="dxa"/>
            <w:vAlign w:val="bottom"/>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468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920" w:type="dxa"/>
            <w:vAlign w:val="bottom"/>
          </w:tcPr>
          <w:p>
            <w:pPr>
              <w:spacing w:after="0"/>
              <w:rPr>
                <w:sz w:val="23"/>
                <w:szCs w:val="23"/>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Its General Partner</w:t>
            </w:r>
          </w:p>
        </w:tc>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CEO</w:t>
            </w:r>
          </w:p>
        </w:tc>
        <w:tc>
          <w:tcPr>
            <w:tcW w:w="0" w:type="dxa"/>
            <w:vAlign w:val="bottom"/>
          </w:tcPr>
          <w:p>
            <w:pPr>
              <w:spacing w:after="0"/>
              <w:rPr>
                <w:sz w:val="1"/>
                <w:szCs w:val="1"/>
                <w:color w:val="auto"/>
              </w:rPr>
            </w:pPr>
          </w:p>
        </w:tc>
      </w:tr>
      <w:tr>
        <w:trPr>
          <w:trHeight w:val="40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Adam R. Goldenberg</w:t>
            </w:r>
          </w:p>
        </w:tc>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20"/>
          </w:cols>
          <w:pgMar w:left="340" w:top="1317" w:right="339" w:bottom="1440" w:gutter="0" w:footer="0" w:header="0"/>
        </w:sectPr>
      </w:pPr>
    </w:p>
    <w:bookmarkStart w:id="627" w:name="page628"/>
    <w:bookmarkEnd w:id="62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RIDER TO LEASE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Delger Block</w:t>
      </w:r>
    </w:p>
    <w:p>
      <w:pPr>
        <w:spacing w:after="0" w:line="156" w:lineRule="exact"/>
        <w:rPr>
          <w:sz w:val="20"/>
          <w:szCs w:val="20"/>
          <w:color w:val="auto"/>
        </w:rPr>
      </w:pPr>
    </w:p>
    <w:p>
      <w:pPr>
        <w:jc w:val="both"/>
        <w:ind w:firstLine="597"/>
        <w:spacing w:after="0" w:line="255"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that certain Lease, dated March 31, 2019, between </w:t>
      </w:r>
      <w:r>
        <w:rPr>
          <w:rFonts w:ascii="Times New Roman" w:cs="Times New Roman" w:eastAsia="Times New Roman" w:hAnsi="Times New Roman"/>
          <w:sz w:val="20"/>
          <w:szCs w:val="20"/>
          <w:b w:val="1"/>
          <w:bCs w:val="1"/>
          <w:color w:val="auto"/>
        </w:rPr>
        <w:t>11 WEST NINTH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STREET PROPERTY OWNER, LP</w:t>
      </w:r>
      <w:r>
        <w:rPr>
          <w:rFonts w:ascii="Times New Roman" w:cs="Times New Roman" w:eastAsia="Times New Roman" w:hAnsi="Times New Roman"/>
          <w:sz w:val="20"/>
          <w:szCs w:val="20"/>
          <w:color w:val="auto"/>
        </w:rPr>
        <w:t>, a Delaware limited partnership, as Landlord, and</w:t>
      </w:r>
      <w:r>
        <w:rPr>
          <w:rFonts w:ascii="Times New Roman" w:cs="Times New Roman" w:eastAsia="Times New Roman" w:hAnsi="Times New Roman"/>
          <w:sz w:val="20"/>
          <w:szCs w:val="20"/>
          <w:b w:val="1"/>
          <w:bCs w:val="1"/>
          <w:color w:val="auto"/>
        </w:rPr>
        <w:t xml:space="preserve"> THREDUP, INC</w:t>
      </w:r>
      <w:r>
        <w:rPr>
          <w:rFonts w:ascii="Times New Roman" w:cs="Times New Roman" w:eastAsia="Times New Roman" w:hAnsi="Times New Roman"/>
          <w:sz w:val="20"/>
          <w:szCs w:val="20"/>
          <w:color w:val="auto"/>
        </w:rPr>
        <w:t>., a Delaware corporation,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(the “Lease”), Landlord and Tenant hereby amend and supplement the Lease as hereinafter set forth. In the event of any conflict or inconsistency between the Lease and this Rider, the terms of this Rider shall control and prevail. Capitalized terms used herein and not otherwise defined shall have the meaning given said terms in the Lease.</w:t>
      </w:r>
    </w:p>
    <w:p>
      <w:pPr>
        <w:spacing w:after="0" w:line="110" w:lineRule="exact"/>
        <w:rPr>
          <w:sz w:val="20"/>
          <w:szCs w:val="20"/>
          <w:color w:val="auto"/>
        </w:rPr>
      </w:pPr>
    </w:p>
    <w:p>
      <w:pPr>
        <w:ind w:left="600" w:hanging="600"/>
        <w:spacing w:after="0"/>
        <w:tabs>
          <w:tab w:leader="none" w:pos="600" w:val="left"/>
        </w:tabs>
        <w:numPr>
          <w:ilvl w:val="0"/>
          <w:numId w:val="5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EXTENSION OPTION</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20"/>
          <w:szCs w:val="20"/>
          <w:color w:val="auto"/>
        </w:rPr>
        <w:t>Tenant shall have the right to extend the Term of this Lease, one (1) time (an “Extension Option”), for a five (5) year period (the “Extension Option Period”) if Tenant (i) gives Landlord written notice of such election (the “Option Notice”) not later than twelve( 12) months before the expiration of the Term of this Lease (the “Option Exercise Date”); (ii) is not in default under any provision of this Lease on the date of giving the Option Notice; and (iii) is not in default of any provision of this Lease on the date of the expiration of the original or then current Term of this Lease. The foregoing conditions are for the sole benefit of Landlord, and Landlord, alone, shall have the right in its sole and absolute discretion to insist on strict observance with the foregoing conditions or to waive any of the foregoing conditions. All of the terms and conditions of this Lease shall apply during the extension term (other than the further right to extend the Term, and any obligation to construction Tenant Improvement provided in this Lease, which shall be inapplicable). The Base Rent for the extension term shall equal the greater of (i) the Base Rent payable by Tenant as of the last month of the Term prior to the commencement of the Extension Option Period, and (ii) one hundred percent (100%) of the fair market rental value as of the Expiration Date for the occupancy of the Premises for the permitted use under this Lease, determined using the “market comparison approach” described below (“Market Rent”). The determination of Market Rent shall be made as follows:</w:t>
      </w:r>
    </w:p>
    <w:p>
      <w:pPr>
        <w:spacing w:after="0" w:line="123" w:lineRule="exact"/>
        <w:rPr>
          <w:sz w:val="20"/>
          <w:szCs w:val="20"/>
          <w:color w:val="auto"/>
        </w:rPr>
      </w:pPr>
    </w:p>
    <w:p>
      <w:pPr>
        <w:jc w:val="both"/>
        <w:ind w:firstLine="597"/>
        <w:spacing w:after="0" w:line="254" w:lineRule="auto"/>
        <w:tabs>
          <w:tab w:leader="none" w:pos="1192" w:val="left"/>
        </w:tabs>
        <w:numPr>
          <w:ilvl w:val="0"/>
          <w:numId w:val="5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prior to the Option Exercise Date (and whether or not Tenant has prior thereto exercised its right to extend the Term of this Lease), the parties shall make themselves available to meet at a mutually agreeable time and place to present such evidence as either party desires in a good faith attempt to arrive at a mutually acceptable Market Rent. If the parties are unable to so agree on a mutually acceptable Market Rent on or before the Option Exercise Date (the “Arbitration Date”), and Tenant elects (and is otherwise entitled) to exercise its right to extend the Term of this Lease as hereinabove provided, the determination of Market Rent shall be arbitrated as follows:</w:t>
      </w:r>
    </w:p>
    <w:p>
      <w:pPr>
        <w:spacing w:after="0" w:line="114" w:lineRule="exact"/>
        <w:rPr>
          <w:rFonts w:ascii="Times New Roman" w:cs="Times New Roman" w:eastAsia="Times New Roman" w:hAnsi="Times New Roman"/>
          <w:sz w:val="20"/>
          <w:szCs w:val="20"/>
          <w:color w:val="auto"/>
        </w:rPr>
      </w:pPr>
    </w:p>
    <w:p>
      <w:pPr>
        <w:jc w:val="both"/>
        <w:ind w:firstLine="1194"/>
        <w:spacing w:after="0" w:line="254" w:lineRule="auto"/>
        <w:tabs>
          <w:tab w:leader="none" w:pos="1781" w:val="left"/>
        </w:tabs>
        <w:numPr>
          <w:ilvl w:val="1"/>
          <w:numId w:val="5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ten (10) days after the Arbitration Date, each party, at its own cost and by giving notice to the other party, shall appoint a California licensed real estate broker with at least ten (10) years’ full-time commercial office leasing experience in the Oakland office leasing market, to appraise and determine Market Rent. If, in the time provided, only one (1) party shall give notice of appointment of an appraiser, the single appraiser appointed shall determine the Market Rent. If two (2) brokers are appointed by the parties, the two (2)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RIDER TO LEASE - 1</w:t>
      </w:r>
    </w:p>
    <w:p>
      <w:pPr>
        <w:sectPr>
          <w:pgSz w:w="11900" w:h="16838" w:orient="portrait"/>
          <w:cols w:equalWidth="0" w:num="1">
            <w:col w:w="11240"/>
          </w:cols>
          <w:pgMar w:left="320" w:top="1313" w:right="339" w:bottom="1440" w:gutter="0" w:footer="0" w:header="0"/>
        </w:sectPr>
      </w:pPr>
    </w:p>
    <w:bookmarkStart w:id="628" w:name="page629"/>
    <w:bookmarkEnd w:id="628"/>
    <w:p>
      <w:pPr>
        <w:jc w:val="both"/>
        <w:spacing w:after="0" w:line="256" w:lineRule="auto"/>
        <w:rPr>
          <w:sz w:val="20"/>
          <w:szCs w:val="20"/>
          <w:color w:val="auto"/>
        </w:rPr>
      </w:pPr>
      <w:r>
        <w:rPr>
          <w:rFonts w:ascii="Times New Roman" w:cs="Times New Roman" w:eastAsia="Times New Roman" w:hAnsi="Times New Roman"/>
          <w:sz w:val="20"/>
          <w:szCs w:val="20"/>
          <w:color w:val="auto"/>
        </w:rPr>
        <w:t>shall independently, and without consultation, prepare a written determination of the Market Rent within ten (10) days. Each broker shall seal its respective determination after completion. After both determinations are completed, the resulting estimates of Market Rent shall be opened simultaneously and compared. If, in the time provided, only one (1) broker shall submit a written determination of Market Rent, the Market Rent shall be the Market Rent determined by said single broker.</w:t>
      </w:r>
    </w:p>
    <w:p>
      <w:pPr>
        <w:spacing w:after="0" w:line="114" w:lineRule="exact"/>
        <w:rPr>
          <w:sz w:val="20"/>
          <w:szCs w:val="20"/>
          <w:color w:val="auto"/>
        </w:rPr>
      </w:pPr>
    </w:p>
    <w:p>
      <w:pPr>
        <w:jc w:val="both"/>
        <w:ind w:firstLine="1194"/>
        <w:spacing w:after="0" w:line="249" w:lineRule="auto"/>
        <w:tabs>
          <w:tab w:leader="none" w:pos="1786" w:val="left"/>
        </w:tabs>
        <w:numPr>
          <w:ilvl w:val="1"/>
          <w:numId w:val="5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values of the brokers differ, and the parties do not otherwise then agree as to the determination of Market Rent, the two (2) brokers shall designate a single appraiser, who shall be a licensed real estate appraiser and a member of the American Institute of Real Estate Appraisers or the Society of Real Estate Appraisers, with at least ten (10) years’ experience in appraising fair market rental values in commercial office buildings in the Oakland market. If the two (2) brokers have not agreed on the appraiser after ten (10) days, either Landlord or Tenant, by giving ten (10) days’ notice to the other party, may apply to the then Presiding Judge of the Superior Court of Oakland for the selection of a single appraiser who meets the qualifications set forth in this subsection above. The appraiser, however selected, shall be a person who has not previously acted in any capacity for either party. The appraiser shall make an appraisal of the Market Rent within thirty (30) days after selection and without consultation with the first two (2) brokers, and shall select the Market Rent of one of the two (2) brokers that the appraiser determines is closest, on a dollar basis, to the Market Rent determined by the appraiser. The appraiser shall have no right to determine, modify’ or impose Market Rent other than as provided above. Each party may submit written material to the appraiser, with a copy to the other party, on the issue of Market Rent.</w:t>
      </w:r>
    </w:p>
    <w:p>
      <w:pPr>
        <w:spacing w:after="0" w:line="125" w:lineRule="exact"/>
        <w:rPr>
          <w:rFonts w:ascii="Times New Roman" w:cs="Times New Roman" w:eastAsia="Times New Roman" w:hAnsi="Times New Roman"/>
          <w:sz w:val="20"/>
          <w:szCs w:val="20"/>
          <w:color w:val="auto"/>
        </w:rPr>
      </w:pPr>
    </w:p>
    <w:p>
      <w:pPr>
        <w:jc w:val="both"/>
        <w:ind w:firstLine="597"/>
        <w:spacing w:after="0" w:line="252" w:lineRule="auto"/>
        <w:tabs>
          <w:tab w:leader="none" w:pos="1190" w:val="left"/>
        </w:tabs>
        <w:numPr>
          <w:ilvl w:val="0"/>
          <w:numId w:val="5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determination of the Market Rent is delayed beyond the commencement of the Extension Option Period, Tenant shall pay Base Rent based on Landlord’s good faith reasonable estimate of Market Rent until the determination of Market Rent hereunder. Following the determination of the Market Rent, if Market Rent is determined to be other than as designated by Landlord, there shall be adjustment made to the Base Rent payment then due for the difference between the amount of Base Rent Tenant has paid to Landlord since the commencement of the Extension Option Period and the amount that Tenant would have paid if the Base Rent as adjusted pursuant to this subsection had been in effect as of the commencement of the Extension Option Period.</w:t>
      </w:r>
    </w:p>
    <w:p>
      <w:pPr>
        <w:spacing w:after="0" w:line="119" w:lineRule="exact"/>
        <w:rPr>
          <w:rFonts w:ascii="Times New Roman" w:cs="Times New Roman" w:eastAsia="Times New Roman" w:hAnsi="Times New Roman"/>
          <w:sz w:val="20"/>
          <w:szCs w:val="20"/>
          <w:color w:val="auto"/>
        </w:rPr>
      </w:pPr>
    </w:p>
    <w:p>
      <w:pPr>
        <w:ind w:firstLine="597"/>
        <w:spacing w:after="0" w:line="277" w:lineRule="auto"/>
        <w:tabs>
          <w:tab w:leader="none" w:pos="1191" w:val="left"/>
        </w:tabs>
        <w:numPr>
          <w:ilvl w:val="0"/>
          <w:numId w:val="5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pay the fees and expenses of its own appraiser, and if an appraiser is selected or necessary, the party whose fair market rent determinant is not chosen shall pay one hundred percent (100%) of the fees and expenses of the appraiser.</w:t>
      </w:r>
    </w:p>
    <w:p>
      <w:pPr>
        <w:spacing w:after="0" w:line="91" w:lineRule="exact"/>
        <w:rPr>
          <w:rFonts w:ascii="Times New Roman" w:cs="Times New Roman" w:eastAsia="Times New Roman" w:hAnsi="Times New Roman"/>
          <w:sz w:val="20"/>
          <w:szCs w:val="20"/>
          <w:color w:val="auto"/>
        </w:rPr>
      </w:pPr>
    </w:p>
    <w:p>
      <w:pPr>
        <w:jc w:val="both"/>
        <w:ind w:firstLine="597"/>
        <w:spacing w:after="0" w:line="252" w:lineRule="auto"/>
        <w:tabs>
          <w:tab w:leader="none" w:pos="1190" w:val="left"/>
        </w:tabs>
        <w:numPr>
          <w:ilvl w:val="0"/>
          <w:numId w:val="5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appraisers shall determine the Market Rent using the “market comparison approach,” with the relevant market being that for renewal tenants occupying similar office space in the Old Oakland office market (and immediately surrounding office building properties) as of the commencement of the Extension Option Period, taking into consideration location, building condition and the value of the improvements made by Landlord or which would be owned by Landlord at the expiration of the Lease to that of the comparison space. Market Rent shall also reflect the then prevailing rent structure, inducements and concessions for comparable office lease renewals, so that if, for example, at the time Market Rent is being determined the prevailing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RIDER TO LEASE - 2</w:t>
      </w:r>
    </w:p>
    <w:p>
      <w:pPr>
        <w:sectPr>
          <w:pgSz w:w="11900" w:h="16838" w:orient="portrait"/>
          <w:cols w:equalWidth="0" w:num="1">
            <w:col w:w="11240"/>
          </w:cols>
          <w:pgMar w:left="320" w:top="1322" w:right="339" w:bottom="1440" w:gutter="0" w:footer="0" w:header="0"/>
        </w:sectPr>
      </w:pPr>
    </w:p>
    <w:bookmarkStart w:id="629" w:name="page630"/>
    <w:bookmarkEnd w:id="629"/>
    <w:p>
      <w:pPr>
        <w:jc w:val="both"/>
        <w:spacing w:after="0" w:line="262" w:lineRule="auto"/>
        <w:rPr>
          <w:sz w:val="20"/>
          <w:szCs w:val="20"/>
          <w:color w:val="auto"/>
        </w:rPr>
      </w:pPr>
      <w:r>
        <w:rPr>
          <w:rFonts w:ascii="Times New Roman" w:cs="Times New Roman" w:eastAsia="Times New Roman" w:hAnsi="Times New Roman"/>
          <w:sz w:val="20"/>
          <w:szCs w:val="20"/>
          <w:color w:val="auto"/>
        </w:rPr>
        <w:t>rent structure for comparable space and for comparable lease terms includes periodic rent adjustments, Market Rent shall reflect such rent structure The brokers and/or the appraiser shall determine the Market Rent in accordance with the terms of this Lease (including the terms of this Rider).</w:t>
      </w:r>
    </w:p>
    <w:p>
      <w:pPr>
        <w:spacing w:after="0" w:line="105" w:lineRule="exact"/>
        <w:rPr>
          <w:sz w:val="20"/>
          <w:szCs w:val="20"/>
          <w:color w:val="auto"/>
        </w:rPr>
      </w:pPr>
    </w:p>
    <w:p>
      <w:pPr>
        <w:ind w:firstLine="597"/>
        <w:spacing w:after="0" w:line="277" w:lineRule="auto"/>
        <w:tabs>
          <w:tab w:leader="none" w:pos="1192" w:val="left"/>
        </w:tabs>
        <w:numPr>
          <w:ilvl w:val="1"/>
          <w:numId w:val="5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appraisers shall have no power to modify the provisions of this Lease and this Rider, and their sole function shall be to determine the Market Rent in accordance with this Rider.</w:t>
      </w:r>
    </w:p>
    <w:p>
      <w:pPr>
        <w:spacing w:after="0" w:line="91" w:lineRule="exact"/>
        <w:rPr>
          <w:rFonts w:ascii="Times New Roman" w:cs="Times New Roman" w:eastAsia="Times New Roman" w:hAnsi="Times New Roman"/>
          <w:sz w:val="20"/>
          <w:szCs w:val="20"/>
          <w:color w:val="auto"/>
        </w:rPr>
      </w:pPr>
    </w:p>
    <w:p>
      <w:pPr>
        <w:jc w:val="both"/>
        <w:ind w:firstLine="597"/>
        <w:spacing w:after="0" w:line="262" w:lineRule="auto"/>
        <w:tabs>
          <w:tab w:leader="none" w:pos="1195" w:val="left"/>
        </w:tabs>
        <w:numPr>
          <w:ilvl w:val="1"/>
          <w:numId w:val="5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Extension Option is personal to the named Tenant under this Lease and any Permitted Transferee and shall be null and void and of no further effect effective upon any assignment or subletting of the Premises other than pursuant to a Permitted Transfer.</w:t>
      </w:r>
    </w:p>
    <w:p>
      <w:pPr>
        <w:spacing w:after="0" w:line="101" w:lineRule="exact"/>
        <w:rPr>
          <w:rFonts w:ascii="Times New Roman" w:cs="Times New Roman" w:eastAsia="Times New Roman" w:hAnsi="Times New Roman"/>
          <w:sz w:val="20"/>
          <w:szCs w:val="20"/>
          <w:color w:val="auto"/>
        </w:rPr>
      </w:pPr>
    </w:p>
    <w:p>
      <w:pPr>
        <w:ind w:left="600" w:hanging="600"/>
        <w:spacing w:after="0"/>
        <w:tabs>
          <w:tab w:leader="none" w:pos="600" w:val="left"/>
        </w:tabs>
        <w:numPr>
          <w:ilvl w:val="0"/>
          <w:numId w:val="5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OF FIRST REFUSAL</w:t>
      </w:r>
    </w:p>
    <w:p>
      <w:pPr>
        <w:spacing w:after="0" w:line="155" w:lineRule="exact"/>
        <w:rPr>
          <w:rFonts w:ascii="Times New Roman" w:cs="Times New Roman" w:eastAsia="Times New Roman" w:hAnsi="Times New Roman"/>
          <w:sz w:val="20"/>
          <w:szCs w:val="20"/>
          <w:b w:val="1"/>
          <w:bCs w:val="1"/>
          <w:color w:val="auto"/>
        </w:rPr>
      </w:pPr>
    </w:p>
    <w:p>
      <w:pPr>
        <w:jc w:val="both"/>
        <w:ind w:firstLine="597"/>
        <w:spacing w:after="0" w:line="265" w:lineRule="auto"/>
        <w:tabs>
          <w:tab w:leader="none" w:pos="1192" w:val="left"/>
        </w:tabs>
        <w:numPr>
          <w:ilvl w:val="1"/>
          <w:numId w:val="5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of this </w:t>
      </w:r>
      <w:r>
        <w:rPr>
          <w:rFonts w:ascii="Times New Roman" w:cs="Times New Roman" w:eastAsia="Times New Roman" w:hAnsi="Times New Roman"/>
          <w:sz w:val="19"/>
          <w:szCs w:val="19"/>
          <w:u w:val="single" w:color="auto"/>
          <w:color w:val="auto"/>
        </w:rPr>
        <w:t>Paragraph 37</w:t>
      </w:r>
      <w:r>
        <w:rPr>
          <w:rFonts w:ascii="Times New Roman" w:cs="Times New Roman" w:eastAsia="Times New Roman" w:hAnsi="Times New Roman"/>
          <w:sz w:val="19"/>
          <w:szCs w:val="19"/>
          <w:color w:val="auto"/>
        </w:rPr>
        <w:t>, during the first twenty-four (24) months of the Term (the “</w:t>
      </w:r>
      <w:r>
        <w:rPr>
          <w:rFonts w:ascii="Times New Roman" w:cs="Times New Roman" w:eastAsia="Times New Roman" w:hAnsi="Times New Roman"/>
          <w:sz w:val="19"/>
          <w:szCs w:val="19"/>
          <w:b w:val="1"/>
          <w:bCs w:val="1"/>
          <w:color w:val="auto"/>
        </w:rPr>
        <w:t>ROFR Period</w:t>
      </w:r>
      <w:r>
        <w:rPr>
          <w:rFonts w:ascii="Times New Roman" w:cs="Times New Roman" w:eastAsia="Times New Roman" w:hAnsi="Times New Roman"/>
          <w:sz w:val="19"/>
          <w:szCs w:val="19"/>
          <w:color w:val="auto"/>
        </w:rPr>
        <w:t>”), Landlord grants Tenant the right of first refusal to lease that portion of the subterranean floor of Building, containing approximately 8,000 rentable square feet, located on the south side of the Building along 9”‘ Street (the “</w:t>
      </w:r>
      <w:r>
        <w:rPr>
          <w:rFonts w:ascii="Times New Roman" w:cs="Times New Roman" w:eastAsia="Times New Roman" w:hAnsi="Times New Roman"/>
          <w:sz w:val="19"/>
          <w:szCs w:val="19"/>
          <w:b w:val="1"/>
          <w:bCs w:val="1"/>
          <w:color w:val="auto"/>
        </w:rPr>
        <w:t>Covered Space</w:t>
      </w:r>
      <w:r>
        <w:rPr>
          <w:rFonts w:ascii="Times New Roman" w:cs="Times New Roman" w:eastAsia="Times New Roman" w:hAnsi="Times New Roman"/>
          <w:sz w:val="19"/>
          <w:szCs w:val="19"/>
          <w:color w:val="auto"/>
        </w:rPr>
        <w:t>”). Tenant acknowledges that Landlord will market the Covered Space for lease to third parties during the ROFR Period and that Tenant’s sole right to lease the Covered Space under this Paragraph arises if Landlord accepts or enters into a letter of intent to lease all or any portion of the Covered Space (a “</w:t>
      </w:r>
      <w:r>
        <w:rPr>
          <w:rFonts w:ascii="Times New Roman" w:cs="Times New Roman" w:eastAsia="Times New Roman" w:hAnsi="Times New Roman"/>
          <w:sz w:val="19"/>
          <w:szCs w:val="19"/>
          <w:b w:val="1"/>
          <w:bCs w:val="1"/>
          <w:color w:val="auto"/>
        </w:rPr>
        <w:t>Qualifying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Letter of Intent</w:t>
      </w:r>
      <w:r>
        <w:rPr>
          <w:rFonts w:ascii="Times New Roman" w:cs="Times New Roman" w:eastAsia="Times New Roman" w:hAnsi="Times New Roman"/>
          <w:sz w:val="19"/>
          <w:szCs w:val="19"/>
          <w:color w:val="auto"/>
        </w:rPr>
        <w:t>”). If Landlord enters into or accepts a Qualifying Letter of Intent during the ROFR Period, Landlord shall provide written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notice to Tenant thereof, Landlord agrees to give written notice to Tenant of Landlord’s intent to lease the Covered Space (the “</w:t>
      </w:r>
      <w:r>
        <w:rPr>
          <w:rFonts w:ascii="Times New Roman" w:cs="Times New Roman" w:eastAsia="Times New Roman" w:hAnsi="Times New Roman"/>
          <w:sz w:val="19"/>
          <w:szCs w:val="19"/>
          <w:b w:val="1"/>
          <w:bCs w:val="1"/>
          <w:color w:val="auto"/>
        </w:rPr>
        <w:t>Offer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Tenant shall have seven (7) business days from delivery of the Offer Notice to exercise the right granted Tenant hereunder to lease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Covered Space on all of the terms and conditions of this Lease, except as provided in this </w:t>
      </w:r>
      <w:r>
        <w:rPr>
          <w:rFonts w:ascii="Times New Roman" w:cs="Times New Roman" w:eastAsia="Times New Roman" w:hAnsi="Times New Roman"/>
          <w:sz w:val="19"/>
          <w:szCs w:val="19"/>
          <w:u w:val="single" w:color="auto"/>
          <w:color w:val="auto"/>
        </w:rPr>
        <w:t>Paragraph 37</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Acceptance Notice</w:t>
      </w:r>
      <w:r>
        <w:rPr>
          <w:rFonts w:ascii="Times New Roman" w:cs="Times New Roman" w:eastAsia="Times New Roman" w:hAnsi="Times New Roman"/>
          <w:sz w:val="19"/>
          <w:szCs w:val="19"/>
          <w:color w:val="auto"/>
        </w:rPr>
        <w:t>”).</w:t>
      </w:r>
    </w:p>
    <w:p>
      <w:pPr>
        <w:spacing w:after="0" w:line="110" w:lineRule="exact"/>
        <w:rPr>
          <w:rFonts w:ascii="Times New Roman" w:cs="Times New Roman" w:eastAsia="Times New Roman" w:hAnsi="Times New Roman"/>
          <w:sz w:val="19"/>
          <w:szCs w:val="19"/>
          <w:color w:val="auto"/>
        </w:rPr>
      </w:pPr>
    </w:p>
    <w:p>
      <w:pPr>
        <w:jc w:val="both"/>
        <w:ind w:firstLine="597"/>
        <w:spacing w:after="0" w:line="251" w:lineRule="auto"/>
        <w:tabs>
          <w:tab w:leader="none" w:pos="1191" w:val="left"/>
        </w:tabs>
        <w:numPr>
          <w:ilvl w:val="1"/>
          <w:numId w:val="5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Tenant does not timely deliver an Acceptance Notice, Tenant’s right to lease all or any portion of the Covered Space under this Paragraph 37 shall lapse and be of no further force and effect, notwithstanding any future availability of such space for lease by Landlord, and Landlord may lease the Covered Space or any portion thereof to any other person. If Tenant timely gives Landlord an Acceptance Notice, Landlord will prepare an amendment to this Lease adding the Covered Space to the Premises on the terms and conditions of this </w:t>
      </w:r>
      <w:r>
        <w:rPr>
          <w:rFonts w:ascii="Times New Roman" w:cs="Times New Roman" w:eastAsia="Times New Roman" w:hAnsi="Times New Roman"/>
          <w:sz w:val="20"/>
          <w:szCs w:val="20"/>
          <w:u w:val="single" w:color="auto"/>
          <w:color w:val="auto"/>
        </w:rPr>
        <w:t>Paragraph 37</w:t>
      </w:r>
      <w:r>
        <w:rPr>
          <w:rFonts w:ascii="Times New Roman" w:cs="Times New Roman" w:eastAsia="Times New Roman" w:hAnsi="Times New Roman"/>
          <w:sz w:val="20"/>
          <w:szCs w:val="20"/>
          <w:color w:val="auto"/>
        </w:rPr>
        <w:t xml:space="preserve"> (and otherwise on the terms and conditions of this Lease). The failure of Tenant to execute the Amendment within seven (7) business days of presentation thereof by Landlord to Tenant, subject to minor clarifications and corrections not inconsistent with this </w:t>
      </w:r>
      <w:r>
        <w:rPr>
          <w:rFonts w:ascii="Times New Roman" w:cs="Times New Roman" w:eastAsia="Times New Roman" w:hAnsi="Times New Roman"/>
          <w:sz w:val="20"/>
          <w:szCs w:val="20"/>
          <w:u w:val="single" w:color="auto"/>
          <w:color w:val="auto"/>
        </w:rPr>
        <w:t>Paragraph 37</w:t>
      </w:r>
      <w:r>
        <w:rPr>
          <w:rFonts w:ascii="Times New Roman" w:cs="Times New Roman" w:eastAsia="Times New Roman" w:hAnsi="Times New Roman"/>
          <w:sz w:val="20"/>
          <w:szCs w:val="20"/>
          <w:color w:val="auto"/>
        </w:rPr>
        <w:t>, shall result in a rescission of the offer to lease the Covered Space, and Landlord may proceed to lease the Covered Space as if Tenant has not timely delivered an Acceptance Notice.</w:t>
      </w:r>
    </w:p>
    <w:p>
      <w:pPr>
        <w:spacing w:after="0" w:line="116" w:lineRule="exact"/>
        <w:rPr>
          <w:rFonts w:ascii="Times New Roman" w:cs="Times New Roman" w:eastAsia="Times New Roman" w:hAnsi="Times New Roman"/>
          <w:sz w:val="20"/>
          <w:szCs w:val="20"/>
          <w:color w:val="auto"/>
        </w:rPr>
      </w:pPr>
    </w:p>
    <w:p>
      <w:pPr>
        <w:jc w:val="both"/>
        <w:ind w:firstLine="597"/>
        <w:spacing w:after="0" w:line="256" w:lineRule="auto"/>
        <w:tabs>
          <w:tab w:leader="none" w:pos="1192" w:val="left"/>
        </w:tabs>
        <w:numPr>
          <w:ilvl w:val="1"/>
          <w:numId w:val="5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Tenant timely exercises its rights under this </w:t>
      </w:r>
      <w:r>
        <w:rPr>
          <w:rFonts w:ascii="Times New Roman" w:cs="Times New Roman" w:eastAsia="Times New Roman" w:hAnsi="Times New Roman"/>
          <w:sz w:val="20"/>
          <w:szCs w:val="20"/>
          <w:u w:val="single" w:color="auto"/>
          <w:color w:val="auto"/>
        </w:rPr>
        <w:t>Paragraph 37</w:t>
      </w:r>
      <w:r>
        <w:rPr>
          <w:rFonts w:ascii="Times New Roman" w:cs="Times New Roman" w:eastAsia="Times New Roman" w:hAnsi="Times New Roman"/>
          <w:sz w:val="20"/>
          <w:szCs w:val="20"/>
          <w:color w:val="auto"/>
        </w:rPr>
        <w:t>, the Covered Space will be added to the Premises on all of the terms and conditions of this Lease, but at a base rent of $3.75 per rentable square foot, per month. Landlord will build out and improve the Covered Space with the same level of improvements as the Premises, at Landlord’s cost, based a standard office space configuration of the Covered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RIDER TO LEASE - 3</w:t>
      </w:r>
    </w:p>
    <w:p>
      <w:pPr>
        <w:sectPr>
          <w:pgSz w:w="11900" w:h="16838" w:orient="portrait"/>
          <w:cols w:equalWidth="0" w:num="1">
            <w:col w:w="11240"/>
          </w:cols>
          <w:pgMar w:left="320" w:top="1322" w:right="339" w:bottom="1440" w:gutter="0" w:footer="0" w:header="0"/>
        </w:sectPr>
      </w:pPr>
    </w:p>
    <w:bookmarkStart w:id="630" w:name="page631"/>
    <w:bookmarkEnd w:id="630"/>
    <w:p>
      <w:pPr>
        <w:jc w:val="both"/>
        <w:ind w:firstLine="597"/>
        <w:spacing w:after="0" w:line="254" w:lineRule="auto"/>
        <w:tabs>
          <w:tab w:leader="none" w:pos="1190" w:val="left"/>
        </w:tabs>
        <w:numPr>
          <w:ilvl w:val="0"/>
          <w:numId w:val="5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foregoing right of first refusal contained in this </w:t>
      </w:r>
      <w:r>
        <w:rPr>
          <w:rFonts w:ascii="Times New Roman" w:cs="Times New Roman" w:eastAsia="Times New Roman" w:hAnsi="Times New Roman"/>
          <w:sz w:val="20"/>
          <w:szCs w:val="20"/>
          <w:u w:val="single" w:color="auto"/>
          <w:color w:val="auto"/>
        </w:rPr>
        <w:t>Paragraph 37</w:t>
      </w:r>
      <w:r>
        <w:rPr>
          <w:rFonts w:ascii="Times New Roman" w:cs="Times New Roman" w:eastAsia="Times New Roman" w:hAnsi="Times New Roman"/>
          <w:sz w:val="20"/>
          <w:szCs w:val="20"/>
          <w:color w:val="auto"/>
        </w:rPr>
        <w:t xml:space="preserve"> is personal to the named Tenant under this Lease and any Permitted Transferee and shall not inure to the benefit of any assignee or subtenant of the named Tenant except for any Permitted Transferee hereunder of any person, and Tenant shall have no right to exercise the foregoing right of first refusal if at the time Landlord is required to give Tenant an Offer Notice, an Event of Default shall then exist under this Lease or if Tenant or any Permitted Transferee does not occupy for its own use, more than 50% of the entire Premises.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parties have executed this Rider as of this 31st day of March, 2019.</w:t>
      </w:r>
    </w:p>
    <w:p>
      <w:pPr>
        <w:spacing w:after="0" w:line="202"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20"/>
          <w:szCs w:val="20"/>
          <w:b w:val="1"/>
          <w:bCs w:val="1"/>
          <w:u w:val="single" w:color="auto"/>
          <w:color w:val="auto"/>
        </w:rPr>
        <w:t>LANDLORD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b w:val="1"/>
          <w:bCs w:val="1"/>
          <w:u w:val="single" w:color="auto"/>
          <w:color w:val="auto"/>
        </w:rPr>
        <w:t>TENANT</w:t>
      </w:r>
      <w:r>
        <w:rPr>
          <w:rFonts w:ascii="Times New Roman" w:cs="Times New Roman" w:eastAsia="Times New Roman" w:hAnsi="Times New Roman"/>
          <w:sz w:val="20"/>
          <w:szCs w:val="20"/>
          <w:color w:val="auto"/>
        </w:rPr>
        <w: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56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11 WEST NINTH STREET PROPERTY OWNER, LP, </w:t>
            </w:r>
            <w:r>
              <w:rPr>
                <w:rFonts w:ascii="Times New Roman" w:cs="Times New Roman" w:eastAsia="Times New Roman" w:hAnsi="Times New Roman"/>
                <w:sz w:val="20"/>
                <w:szCs w:val="20"/>
                <w:color w:val="auto"/>
              </w:rPr>
              <w:t>a</w:t>
            </w:r>
          </w:p>
        </w:tc>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THREDUP INC.,</w:t>
            </w:r>
          </w:p>
        </w:tc>
        <w:tc>
          <w:tcPr>
            <w:tcW w:w="0" w:type="dxa"/>
            <w:vAlign w:val="bottom"/>
          </w:tcPr>
          <w:p>
            <w:pPr>
              <w:spacing w:after="0"/>
              <w:rPr>
                <w:sz w:val="1"/>
                <w:szCs w:val="1"/>
                <w:color w:val="auto"/>
              </w:rPr>
            </w:pPr>
          </w:p>
        </w:tc>
      </w:tr>
      <w:tr>
        <w:trPr>
          <w:trHeight w:val="259"/>
        </w:trPr>
        <w:tc>
          <w:tcPr>
            <w:tcW w:w="5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 limited partnership</w:t>
            </w:r>
          </w:p>
        </w:tc>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 Delaware corporation</w:t>
            </w:r>
          </w:p>
        </w:tc>
        <w:tc>
          <w:tcPr>
            <w:tcW w:w="0" w:type="dxa"/>
            <w:vAlign w:val="bottom"/>
          </w:tcPr>
          <w:p>
            <w:pPr>
              <w:spacing w:after="0"/>
              <w:rPr>
                <w:sz w:val="1"/>
                <w:szCs w:val="1"/>
                <w:color w:val="auto"/>
              </w:rPr>
            </w:pPr>
          </w:p>
        </w:tc>
      </w:tr>
      <w:tr>
        <w:trPr>
          <w:trHeight w:val="525"/>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11 West Ninth Street GP, LLC</w:t>
            </w:r>
          </w:p>
        </w:tc>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James Reinhart</w:t>
            </w: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4980" w:type="dxa"/>
            <w:vAlign w:val="bottom"/>
            <w:gridSpan w:val="2"/>
            <w:vMerge w:val="restart"/>
          </w:tcPr>
          <w:p>
            <w:pPr>
              <w:ind w:left="320"/>
              <w:spacing w:after="0" w:line="224" w:lineRule="exact"/>
              <w:rPr>
                <w:sz w:val="20"/>
                <w:szCs w:val="20"/>
                <w:color w:val="auto"/>
              </w:rPr>
            </w:pPr>
            <w:r>
              <w:rPr>
                <w:rFonts w:ascii="Times New Roman" w:cs="Times New Roman" w:eastAsia="Times New Roman" w:hAnsi="Times New Roman"/>
                <w:sz w:val="20"/>
                <w:szCs w:val="20"/>
                <w:color w:val="auto"/>
              </w:rPr>
              <w:t>a Delaware limited liability company</w:t>
            </w:r>
          </w:p>
        </w:tc>
        <w:tc>
          <w:tcPr>
            <w:tcW w:w="940" w:type="dxa"/>
            <w:vAlign w:val="bottom"/>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49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620" w:type="dxa"/>
            <w:vAlign w:val="bottom"/>
          </w:tcPr>
          <w:p>
            <w:pPr>
              <w:spacing w:after="0"/>
              <w:rPr>
                <w:sz w:val="23"/>
                <w:szCs w:val="23"/>
                <w:color w:val="auto"/>
              </w:rPr>
            </w:pP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Its General Partner</w:t>
            </w:r>
          </w:p>
        </w:tc>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CEO</w:t>
            </w:r>
          </w:p>
        </w:tc>
        <w:tc>
          <w:tcPr>
            <w:tcW w:w="0" w:type="dxa"/>
            <w:vAlign w:val="bottom"/>
          </w:tcPr>
          <w:p>
            <w:pPr>
              <w:spacing w:after="0"/>
              <w:rPr>
                <w:sz w:val="1"/>
                <w:szCs w:val="1"/>
                <w:color w:val="auto"/>
              </w:rPr>
            </w:pPr>
          </w:p>
        </w:tc>
      </w:tr>
      <w:tr>
        <w:trPr>
          <w:trHeight w:val="403"/>
        </w:trPr>
        <w:tc>
          <w:tcPr>
            <w:tcW w:w="620" w:type="dxa"/>
            <w:vAlign w:val="bottom"/>
          </w:tcPr>
          <w:p>
            <w:pPr>
              <w:spacing w:after="0"/>
              <w:rPr>
                <w:sz w:val="24"/>
                <w:szCs w:val="24"/>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Adam R. Goldenberg</w:t>
            </w:r>
          </w:p>
        </w:tc>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20" w:type="dxa"/>
            <w:vAlign w:val="bottom"/>
          </w:tcPr>
          <w:p>
            <w:pPr>
              <w:spacing w:after="0"/>
              <w:rPr>
                <w:sz w:val="24"/>
                <w:szCs w:val="24"/>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Its:</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Managing Member</w:t>
            </w:r>
          </w:p>
        </w:tc>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RIDER TO LEASE - 4</w:t>
      </w:r>
    </w:p>
    <w:p>
      <w:pPr>
        <w:sectPr>
          <w:pgSz w:w="11900" w:h="16838" w:orient="portrait"/>
          <w:cols w:equalWidth="0" w:num="1">
            <w:col w:w="11240"/>
          </w:cols>
          <w:pgMar w:left="320" w:top="1321" w:right="339" w:bottom="1440" w:gutter="0" w:footer="0" w:header="0"/>
        </w:sectPr>
      </w:pPr>
    </w:p>
    <w:bookmarkStart w:id="631" w:name="page632"/>
    <w:bookmarkEnd w:id="631"/>
    <w:p>
      <w:pPr>
        <w:spacing w:after="0" w:line="257" w:lineRule="auto"/>
        <w:rPr>
          <w:sz w:val="20"/>
          <w:szCs w:val="20"/>
          <w:color w:val="auto"/>
        </w:rPr>
      </w:pPr>
      <w:r>
        <w:rPr>
          <w:rFonts w:ascii="Times New Roman" w:cs="Times New Roman" w:eastAsia="Times New Roman" w:hAnsi="Times New Roman"/>
          <w:sz w:val="17"/>
          <w:szCs w:val="17"/>
          <w:b w:val="1"/>
          <w:bCs w:val="1"/>
          <w:color w:val="auto"/>
        </w:rPr>
        <w:t>CERTAIN CONFIDENTIAL INFORMATION, MARKED BY [***], HAS BEEN EXCLUDED FROM THIS EXHIBIT BECAUSE IT IS BOTH (I) NOT MATERIAL AND (II) WOULD BE COMPETITIVELY HARMFUL IF PUBLICLY DISCLOSED.</w:t>
      </w:r>
    </w:p>
    <w:p>
      <w:pPr>
        <w:jc w:val="right"/>
        <w:spacing w:after="0"/>
        <w:rPr>
          <w:sz w:val="20"/>
          <w:szCs w:val="20"/>
          <w:color w:val="auto"/>
        </w:rPr>
      </w:pPr>
      <w:r>
        <w:rPr>
          <w:rFonts w:ascii="Times New Roman" w:cs="Times New Roman" w:eastAsia="Times New Roman" w:hAnsi="Times New Roman"/>
          <w:sz w:val="17"/>
          <w:szCs w:val="17"/>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THREDUP INC., A DELAWARE 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THREDUP CF LLC, A DELAWARE LIMITED LIABILITY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THREDUP INTERMEDIARY HOLDINGS LLC, A VIRGINIA LIMITED LIABILITY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KNITWIT GC LLC, A VIRGINIA LIMITED LIABILITY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WESTERN ALLIANCE BANK, AN ARIZONA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LOAN AND SECURITY AGREEMENT</w:t>
      </w:r>
    </w:p>
    <w:p>
      <w:pPr>
        <w:sectPr>
          <w:pgSz w:w="11900" w:h="16838" w:orient="portrait"/>
          <w:cols w:equalWidth="0" w:num="1">
            <w:col w:w="11240"/>
          </w:cols>
          <w:pgMar w:left="320" w:top="119" w:right="339" w:bottom="1440" w:gutter="0" w:footer="0" w:header="0"/>
        </w:sectPr>
      </w:pPr>
    </w:p>
    <w:bookmarkStart w:id="632" w:name="page633"/>
    <w:bookmarkEnd w:id="632"/>
    <w:p>
      <w:pPr>
        <w:jc w:val="both"/>
        <w:ind w:firstLine="597"/>
        <w:spacing w:after="0" w:line="248"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AMENDED AND RESTATED LOAN AND SECURITY AGREEMENT</w:t>
      </w:r>
      <w:r>
        <w:rPr>
          <w:rFonts w:ascii="Times New Roman" w:cs="Times New Roman" w:eastAsia="Times New Roman" w:hAnsi="Times New Roman"/>
          <w:sz w:val="17"/>
          <w:szCs w:val="17"/>
          <w:color w:val="auto"/>
        </w:rPr>
        <w:t xml:space="preserve"> (the “Agreement”) is entered into as of February 3, 2021, by and among </w:t>
      </w:r>
      <w:r>
        <w:rPr>
          <w:rFonts w:ascii="Times New Roman" w:cs="Times New Roman" w:eastAsia="Times New Roman" w:hAnsi="Times New Roman"/>
          <w:sz w:val="17"/>
          <w:szCs w:val="17"/>
          <w:b w:val="1"/>
          <w:bCs w:val="1"/>
          <w:color w:val="auto"/>
        </w:rPr>
        <w:t xml:space="preserve">WESTERN ALLIANCE BANK, </w:t>
      </w:r>
      <w:r>
        <w:rPr>
          <w:rFonts w:ascii="Times New Roman" w:cs="Times New Roman" w:eastAsia="Times New Roman" w:hAnsi="Times New Roman"/>
          <w:sz w:val="17"/>
          <w:szCs w:val="17"/>
          <w:color w:val="auto"/>
        </w:rPr>
        <w:t>an Arizona corporation (“Bank”), and</w:t>
      </w:r>
      <w:r>
        <w:rPr>
          <w:rFonts w:ascii="Times New Roman" w:cs="Times New Roman" w:eastAsia="Times New Roman" w:hAnsi="Times New Roman"/>
          <w:sz w:val="17"/>
          <w:szCs w:val="17"/>
          <w:b w:val="1"/>
          <w:bCs w:val="1"/>
          <w:color w:val="auto"/>
        </w:rPr>
        <w:t xml:space="preserve"> THREDUP, INC., </w:t>
      </w:r>
      <w:r>
        <w:rPr>
          <w:rFonts w:ascii="Times New Roman" w:cs="Times New Roman" w:eastAsia="Times New Roman" w:hAnsi="Times New Roman"/>
          <w:sz w:val="17"/>
          <w:szCs w:val="17"/>
          <w:color w:val="auto"/>
        </w:rPr>
        <w:t>a Delaware corporation (“Parent”),</w:t>
      </w:r>
      <w:r>
        <w:rPr>
          <w:rFonts w:ascii="Times New Roman" w:cs="Times New Roman" w:eastAsia="Times New Roman" w:hAnsi="Times New Roman"/>
          <w:sz w:val="17"/>
          <w:szCs w:val="17"/>
          <w:b w:val="1"/>
          <w:bCs w:val="1"/>
          <w:color w:val="auto"/>
        </w:rPr>
        <w:t xml:space="preserve"> THREDUP CF LLC, </w:t>
      </w:r>
      <w:r>
        <w:rPr>
          <w:rFonts w:ascii="Times New Roman" w:cs="Times New Roman" w:eastAsia="Times New Roman" w:hAnsi="Times New Roman"/>
          <w:sz w:val="17"/>
          <w:szCs w:val="17"/>
          <w:color w:val="auto"/>
        </w:rPr>
        <w:t>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limited liability company (“ThredUP CF”), </w:t>
      </w:r>
      <w:r>
        <w:rPr>
          <w:rFonts w:ascii="Times New Roman" w:cs="Times New Roman" w:eastAsia="Times New Roman" w:hAnsi="Times New Roman"/>
          <w:sz w:val="17"/>
          <w:szCs w:val="17"/>
          <w:b w:val="1"/>
          <w:bCs w:val="1"/>
          <w:color w:val="auto"/>
        </w:rPr>
        <w:t>THREDUP INTERMEDIARY HOLDINGS LLC</w:t>
      </w:r>
      <w:r>
        <w:rPr>
          <w:rFonts w:ascii="Times New Roman" w:cs="Times New Roman" w:eastAsia="Times New Roman" w:hAnsi="Times New Roman"/>
          <w:sz w:val="17"/>
          <w:szCs w:val="17"/>
          <w:color w:val="auto"/>
        </w:rPr>
        <w:t xml:space="preserve">, a Virginia limited liability company (“Holdings”), and </w:t>
      </w:r>
      <w:r>
        <w:rPr>
          <w:rFonts w:ascii="Times New Roman" w:cs="Times New Roman" w:eastAsia="Times New Roman" w:hAnsi="Times New Roman"/>
          <w:sz w:val="17"/>
          <w:szCs w:val="17"/>
          <w:b w:val="1"/>
          <w:bCs w:val="1"/>
          <w:color w:val="auto"/>
        </w:rPr>
        <w:t>KNITWIT GC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LLC</w:t>
      </w:r>
      <w:r>
        <w:rPr>
          <w:rFonts w:ascii="Times New Roman" w:cs="Times New Roman" w:eastAsia="Times New Roman" w:hAnsi="Times New Roman"/>
          <w:sz w:val="17"/>
          <w:szCs w:val="17"/>
          <w:color w:val="auto"/>
        </w:rPr>
        <w:t>, a Virginia limited liability company (“Knitwit”, and together with Parent, ThredUP CF and Holdings, each a “Borrower” and collectively, the “Borrowers”).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amends and restates in its entirety that certain Loan and Security Agreement dated as of February 7, 2019, (as amended from time to time, including by that certain Default Waiver and First Amendment to Loan and Security Agreement dated as of May 29, 2020, that certain Second Amendment to Loan and Security Agreement dated as of November 23, 2020, and that certain Third Amendment to Loan and Security Agreement dated as of December 23, 2020, collectively, the “Original Agreement”).</w:t>
      </w:r>
    </w:p>
    <w:p>
      <w:pPr>
        <w:spacing w:after="0" w:line="20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94"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Borrowers wish to obtain credit from time to time from Bank, and Bank desires to extend credit to Borrowers. This Agreement sets forth the terms on which Bank will advance credit to Borrowers, and Borrowers will repay the amounts owing to Bank.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parties agree as follows:</w:t>
      </w:r>
    </w:p>
    <w:p>
      <w:pPr>
        <w:spacing w:after="0" w:line="199" w:lineRule="exact"/>
        <w:rPr>
          <w:sz w:val="20"/>
          <w:szCs w:val="20"/>
          <w:color w:val="auto"/>
        </w:rPr>
      </w:pPr>
    </w:p>
    <w:p>
      <w:pPr>
        <w:ind w:left="1200" w:hanging="603"/>
        <w:spacing w:after="0"/>
        <w:tabs>
          <w:tab w:leader="none" w:pos="1200" w:val="left"/>
        </w:tabs>
        <w:numPr>
          <w:ilvl w:val="0"/>
          <w:numId w:val="5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 AND CONSTRUCTION.</w:t>
      </w:r>
    </w:p>
    <w:p>
      <w:pPr>
        <w:spacing w:after="0" w:line="202"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1.1</w:t>
      </w:r>
      <w:r>
        <w:rPr>
          <w:rFonts w:ascii="Times New Roman" w:cs="Times New Roman" w:eastAsia="Times New Roman" w:hAnsi="Times New Roman"/>
          <w:sz w:val="16"/>
          <w:szCs w:val="16"/>
          <w:b w:val="1"/>
          <w:bCs w:val="1"/>
          <w:color w:val="auto"/>
        </w:rPr>
        <w:t xml:space="preserve">Definitions. </w:t>
      </w:r>
      <w:r>
        <w:rPr>
          <w:rFonts w:ascii="Times New Roman" w:cs="Times New Roman" w:eastAsia="Times New Roman" w:hAnsi="Times New Roman"/>
          <w:sz w:val="16"/>
          <w:szCs w:val="16"/>
          <w:color w:val="auto"/>
        </w:rPr>
        <w:t>As used in this Agreement, the following terms shall have the following definitions:</w:t>
      </w:r>
    </w:p>
    <w:p>
      <w:pPr>
        <w:spacing w:after="0" w:line="207"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“Accounts” means all presently existing and hereafter arising accounts, contract rights, payment intangibles, and all other forms of obligations owing to a Borrower arising out of the sale or lease of goods (including, without limitation, the licensing of software and other technology) or the rendering of services by a Borrower, whether or not earned by performance, and any and all credit insurance, guaranties, and other security therefor, as well as all merchandise returned to or reclaimed by a Borrower and each Borrower’s Books relating to any of the foregoing.</w:t>
      </w:r>
    </w:p>
    <w:p>
      <w:pPr>
        <w:spacing w:after="0" w:line="174"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partners.</w:t>
      </w:r>
    </w:p>
    <w:p>
      <w:pPr>
        <w:spacing w:after="0" w:line="159"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“Bank Expenses” means all: reasonable out-of-pocket costs or expenses (including reasonable attorneys’ fees and expenses) incurred in connection with the preparation, negotiation, administration, and enforcement of the Loan Documents; reasonable Collateral audit fees; and Bank’s reasonable attorneys’ fees and expenses incurred in amending, enforcing or defending the Loan Documents (including fees and expenses of appeal), incurred before, during and after an Insolvency Proceeding, whether or not suit is brought.</w:t>
      </w:r>
    </w:p>
    <w:p>
      <w:pPr>
        <w:spacing w:after="0" w:line="174"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“Borrower’s Books” means all of a Borrower’s books and records including: ledgers; records concerning such Borrower’s assets or liabilities, the Collateral, business operations or financial condition; and all computer programs, or tape files, and the equipment, containing such information.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“Business Day” means any day that is not a Saturday, Sunday, or other day on which banks in the State of California are authorized or required to close.</w:t>
      </w:r>
    </w:p>
    <w:p>
      <w:pPr>
        <w:spacing w:after="0" w:line="203"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“Change in Control” shall mean a transaction in which any “person” or “group” (within the meaning of Section 13(d) and 14(d)(2) of the Securities Exchange Act of 1934) becomes the “beneficial owner” (as defined in Rule 13d-3 under the Securities Exchange Act of 1934), directly or indirectly, of a sufficient number of shares of all</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314" w:right="339" w:bottom="1440" w:gutter="0" w:footer="0" w:header="0"/>
        </w:sectPr>
      </w:pPr>
    </w:p>
    <w:bookmarkStart w:id="633" w:name="page634"/>
    <w:bookmarkEnd w:id="633"/>
    <w:p>
      <w:pPr>
        <w:jc w:val="both"/>
        <w:spacing w:after="0" w:line="269" w:lineRule="auto"/>
        <w:rPr>
          <w:sz w:val="20"/>
          <w:szCs w:val="20"/>
          <w:color w:val="auto"/>
        </w:rPr>
      </w:pPr>
      <w:r>
        <w:rPr>
          <w:rFonts w:ascii="Times New Roman" w:cs="Times New Roman" w:eastAsia="Times New Roman" w:hAnsi="Times New Roman"/>
          <w:sz w:val="17"/>
          <w:szCs w:val="17"/>
          <w:color w:val="auto"/>
        </w:rPr>
        <w:t>classes of stock then outstanding of a Borrower ordinarily entitled to vote in the election of directors, empowering such “person” or “group” to elect a majority of the board of directors of such Borrower, who did not have such power before such transaction.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“Closing Date” means the date of this Agreement.</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“Code” means the California Uniform Commercial Code.</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“Collateral” means the property described on Exhibit A attached hereto.</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“Collection Account” means the deposit account maintained with Bank by Parent or any other Borrower into which all Collections received are to be deposited.</w:t>
      </w:r>
    </w:p>
    <w:p>
      <w:pPr>
        <w:spacing w:after="0" w:line="2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“Collections” means all payments and proceeds from or on behalf of an account debtor with respect to Accounts or other Collateral.</w:t>
      </w:r>
    </w:p>
    <w:p>
      <w:pPr>
        <w:spacing w:after="0" w:line="203" w:lineRule="exact"/>
        <w:rPr>
          <w:sz w:val="20"/>
          <w:szCs w:val="20"/>
          <w:color w:val="auto"/>
        </w:rPr>
      </w:pPr>
    </w:p>
    <w:p>
      <w:pPr>
        <w:jc w:val="both"/>
        <w:ind w:firstLine="597"/>
        <w:spacing w:after="0" w:line="247" w:lineRule="auto"/>
        <w:rPr>
          <w:sz w:val="20"/>
          <w:szCs w:val="20"/>
          <w:color w:val="auto"/>
        </w:rPr>
      </w:pPr>
      <w:r>
        <w:rPr>
          <w:rFonts w:ascii="Times New Roman" w:cs="Times New Roman" w:eastAsia="Times New Roman" w:hAnsi="Times New Roman"/>
          <w:sz w:val="17"/>
          <w:szCs w:val="17"/>
          <w:color w:val="auto"/>
        </w:rPr>
        <w:t>“Contingent Obligation” means, as applied to any Person, any direct or indirect liability, contingent or otherwise, of that Person with respect to (i) any indebtedness, lease, dividend, letter of credit or other obligation of another; (ii) any obligations with respect to undrawn letters of credit, corporate credit cards, or merchant services issued or provided for the account of that Person; and (iii) all obligations arising under any agreement or arrangement designed to protect such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Bank in good faith; provided, however, that such amount shall not in any event exceed the maximum amount of the obligations under the guarantee or other support arrangement.</w:t>
      </w:r>
    </w:p>
    <w:p>
      <w:pPr>
        <w:spacing w:after="0" w:line="182"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“Copyrights” means any and all copyright rights, copyright applications, copyright registrations and like protections in each work or authorship and derivative work thereof.</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“Credit Extension” means each Term Loan, or any other extension of credit by Bank for the benefit of Borrowers hereunder.</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“Daily Balance” means the amount of the Obligations owed at the end of a given day.</w:t>
      </w:r>
    </w:p>
    <w:p>
      <w:pPr>
        <w:spacing w:after="0" w:line="203" w:lineRule="exact"/>
        <w:rPr>
          <w:sz w:val="20"/>
          <w:szCs w:val="20"/>
          <w:color w:val="auto"/>
        </w:rPr>
      </w:pPr>
    </w:p>
    <w:p>
      <w:pPr>
        <w:jc w:val="both"/>
        <w:ind w:firstLine="597"/>
        <w:spacing w:after="0" w:line="301" w:lineRule="auto"/>
        <w:rPr>
          <w:sz w:val="20"/>
          <w:szCs w:val="20"/>
          <w:color w:val="auto"/>
        </w:rPr>
      </w:pPr>
      <w:r>
        <w:rPr>
          <w:rFonts w:ascii="Times New Roman" w:cs="Times New Roman" w:eastAsia="Times New Roman" w:hAnsi="Times New Roman"/>
          <w:sz w:val="16"/>
          <w:szCs w:val="16"/>
          <w:color w:val="auto"/>
        </w:rPr>
        <w:t xml:space="preserve">“EBDA” means (a) net income,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to the extent deducted in the calculation of net income and without duplication, (b) depreciation expense, (c) amortization expense, and (d) non-cash items related to stock based compensation,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(e) the average aggregate trailing three (3) month principal payments on all Term Loans.</w:t>
      </w:r>
    </w:p>
    <w:p>
      <w:pPr>
        <w:spacing w:after="0" w:line="136"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“Eligible Equipment” means (a) an amount not to exceed twenty-five percent (25%) of soft costs, including sales tax, freight, and installation expenses, (b) carousels, conveyers, sprinklers, electrical circuity, hangers, nettings, merchandise stations, itemization stations, photo studios, or other equipment required to operate distribution centers, and (c) building purchases, tenant improvements, furniture or fixtures, and other hard costs for physical goods purchased for the purpose of establishing physical locations, including distribution centers, retail locations, headquarters locations, or vending machines.</w:t>
      </w:r>
    </w:p>
    <w:p>
      <w:pPr>
        <w:spacing w:after="0" w:line="174"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“Equipment” means all present and future machinery, equipment, tenant improvements, furniture, fixtures, vehicles, tools, parts and attachments in which a Borrower has any interest.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“ERISA” means the Employee Retirement Income Security Act of 1974, as amended, and the regulations thereunder.</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“Event of Default” has the meaning assigned in Article 8.</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18" w:right="339" w:bottom="1440" w:gutter="0" w:footer="0" w:header="0"/>
        </w:sectPr>
      </w:pPr>
    </w:p>
    <w:bookmarkStart w:id="634" w:name="page635"/>
    <w:bookmarkEnd w:id="634"/>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“Fixed Charge Coverage Ratio” means, expressed as a ratio, (x) net income, less (a) taxes and (b) distributions, plus, to the extent deducted in the calculation of net income, (c) depreciation expense, (d) amortization expense, (e) non-cash stock based compensation, and (f) interest expense, divided by (y) the aggregate amount of principal and interest outstanding on all Term Loans.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“GAAP” means generally accepted accounting principles as in effect from time to time.</w:t>
      </w:r>
    </w:p>
    <w:p>
      <w:pPr>
        <w:spacing w:after="0" w:line="203"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w:t>
      </w:r>
    </w:p>
    <w:p>
      <w:pPr>
        <w:spacing w:after="0" w:line="171"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171"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17"/>
          <w:szCs w:val="17"/>
          <w:color w:val="auto"/>
        </w:rPr>
        <w:t>“Intellectual Property Collateral” means all of each Borrower’s right, title, and interest in and to the following: Copyrights, Trademarks and Patents; all trade secrets, all design rights, claims for damages by way of past, present and future infringement of any of the rights included above, all licenses or other rights to use any of the Copyrights, Patents or Trademarks, and all license fees and royalties arising from such use to the extent permitted by such license or rights; all amendments, renewals and extensions of any of the Copyrights, Trademarks or Patents; and all proceeds and products of the foregoing, including without limitation all payments under insurance or any indemnity or warranty payable in respect of any of the foregoing.</w:t>
      </w:r>
    </w:p>
    <w:p>
      <w:pPr>
        <w:spacing w:after="0" w:line="176"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“IPO” means the firm commitment underwritten initial public offering of Borrower’s common stock pursuant to a registration statement under the Securities Act of 1933, as amended, filed with and declared effective by the Securities and Exchange Commission.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“IP Security Agreement” means that certain Intellectual Property Security Agreement, dated as of the date hereof, between Bank and the Borrowers.</w:t>
      </w:r>
    </w:p>
    <w:p>
      <w:pPr>
        <w:spacing w:after="0" w:line="203"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17"/>
          <w:szCs w:val="17"/>
          <w:color w:val="auto"/>
        </w:rPr>
        <w:t>“Inventory” means all inventory in which a Borrower has or acquires any interest, including work in process and finished products intended for sale or lease or to be furnished under a contract of service, of every kind and description now or at any time hereafter owned by or in the custody or possession, actual or constructive, of a Borrower, including such inventory as is temporarily out of its custody or possession or in transit and including any returns upon any accounts or other proceeds, including insurance proceeds, resulting from the sale or disposition of any of the foregoing and any documents of title representing any of the above, and such Borrower’s Books relating to any of the foregoing.</w:t>
      </w:r>
    </w:p>
    <w:p>
      <w:pPr>
        <w:spacing w:after="0" w:line="176"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“Investment” means any beneficial ownership of (including stock, partnership interest or other securities) any Person, or any loan, advance or capital contribution to any Person.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“IRC” means the Internal Revenue Code of 1986, as amended, and the regulations thereunder.</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“Lien” means any mortgage, lien, deed of trust, charge, pledge, security interest or other encumbrance.</w:t>
      </w:r>
    </w:p>
    <w:p>
      <w:pPr>
        <w:spacing w:after="0" w:line="203"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“Loan Documents” means, collectively, this Agreement, any note or notes, documents or instruments executed by a Borrower, and any other document, instrument or agreement entered into in connection with this Agreement, all as amended or extended from time to time.</w:t>
      </w:r>
    </w:p>
    <w:p>
      <w:pPr>
        <w:spacing w:after="0" w:line="159"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“Material Adverse Effect” means a material adverse effect on (i) the business operations or financial condition of Borrowers and their Subsidiaries taken as a whole or (ii) the ability of Borrowers to repay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18" w:right="33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17"/>
          <w:szCs w:val="17"/>
          <w:color w:val="auto"/>
        </w:rPr>
        <w:t>Obligations or otherwise perform its obligations under the Loan Documents or (iii) the value or priority of Bank’s security interests in the Collateral.</w:t>
      </w:r>
    </w:p>
    <w:p>
      <w:pPr>
        <w:spacing w:after="0" w:line="203"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“Minimum Cash” means unrestricted cash held at Bank of at least, (i) from the Closing Date through December 31, 2022, Twenty Million Dollars ($20,000,000) and (ii) from January 1, 2023 through the repayment in full of the Obligations, Ten Million Dollars ($10,000,000).</w:t>
      </w:r>
    </w:p>
    <w:p>
      <w:pPr>
        <w:spacing w:after="0" w:line="159"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“Negotiable Collateral” means all letters of credit of which a Borrower is a beneficiary, notes, drafts, instruments, securities, documents of title, and chattel paper, and a Borrower’s Books relating to any of the foregoing.</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“New Equity” means net cash proceeds received on or after the Closing Date from the sale and/or issuance of Borrower’s equity securities.</w:t>
      </w:r>
    </w:p>
    <w:p>
      <w:pPr>
        <w:spacing w:after="0" w:line="203"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“Obligations” means all debt, principal, interest, Bank Expenses and other amounts owed to Bank by a Borrower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a Borrower to others that Bank may have obtained by assignment or otherwise.</w:t>
      </w:r>
    </w:p>
    <w:p>
      <w:pPr>
        <w:spacing w:after="0" w:line="171"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“Patents” means all patents, patent applications and like protections including without limitation improvements, divisions, continuations, renewals, reissues, extensions and continuations-in-part of the same.</w:t>
      </w:r>
    </w:p>
    <w:p>
      <w:pPr>
        <w:spacing w:after="0" w:line="159"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“Periodic Payments” means all installments or similar recurring payments that Borrowers may now or hereafter become obligated to pay to Bank pursuant to the terms and provisions of any instrument, or agreement now or hereafter in existence between Borrowers and Bank.</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“Permitted Indebtedness” means:</w:t>
      </w:r>
    </w:p>
    <w:p>
      <w:pPr>
        <w:spacing w:after="0" w:line="203" w:lineRule="exact"/>
        <w:rPr>
          <w:sz w:val="20"/>
          <w:szCs w:val="20"/>
          <w:color w:val="auto"/>
        </w:rPr>
      </w:pPr>
    </w:p>
    <w:p>
      <w:pPr>
        <w:ind w:left="1180" w:hanging="583"/>
        <w:spacing w:after="0"/>
        <w:tabs>
          <w:tab w:leader="none" w:pos="1180" w:val="left"/>
        </w:tabs>
        <w:numPr>
          <w:ilvl w:val="0"/>
          <w:numId w:val="5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Indebtedness of Borrowers in favor of Bank arising under this Agreement or any other Loan Document;</w:t>
      </w:r>
    </w:p>
    <w:p>
      <w:pPr>
        <w:spacing w:after="0" w:line="202" w:lineRule="exact"/>
        <w:rPr>
          <w:rFonts w:ascii="Times New Roman" w:cs="Times New Roman" w:eastAsia="Times New Roman" w:hAnsi="Times New Roman"/>
          <w:sz w:val="17"/>
          <w:szCs w:val="17"/>
          <w:b w:val="1"/>
          <w:bCs w:val="1"/>
          <w:color w:val="auto"/>
        </w:rPr>
      </w:pPr>
    </w:p>
    <w:p>
      <w:pPr>
        <w:ind w:left="1180" w:hanging="583"/>
        <w:spacing w:after="0"/>
        <w:tabs>
          <w:tab w:leader="none" w:pos="1180" w:val="left"/>
        </w:tabs>
        <w:numPr>
          <w:ilvl w:val="0"/>
          <w:numId w:val="5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Indebtedness existing on the Closing Date and disclosed in the Schedule;</w:t>
      </w:r>
    </w:p>
    <w:p>
      <w:pPr>
        <w:spacing w:after="0" w:line="202" w:lineRule="exact"/>
        <w:rPr>
          <w:rFonts w:ascii="Times New Roman" w:cs="Times New Roman" w:eastAsia="Times New Roman" w:hAnsi="Times New Roman"/>
          <w:sz w:val="17"/>
          <w:szCs w:val="17"/>
          <w:b w:val="1"/>
          <w:bCs w:val="1"/>
          <w:color w:val="auto"/>
        </w:rPr>
      </w:pPr>
    </w:p>
    <w:p>
      <w:pPr>
        <w:jc w:val="both"/>
        <w:ind w:firstLine="597"/>
        <w:spacing w:after="0" w:line="256" w:lineRule="auto"/>
        <w:tabs>
          <w:tab w:leader="none" w:pos="1192" w:val="left"/>
        </w:tabs>
        <w:numPr>
          <w:ilvl w:val="0"/>
          <w:numId w:val="5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Indebtedness secured by a lien described in clause </w:t>
      </w:r>
      <w:r>
        <w:rPr>
          <w:rFonts w:ascii="Times New Roman" w:cs="Times New Roman" w:eastAsia="Times New Roman" w:hAnsi="Times New Roman"/>
          <w:sz w:val="17"/>
          <w:szCs w:val="17"/>
          <w:color w:val="0000FF"/>
        </w:rPr>
        <w:t>(c)</w:t>
      </w:r>
      <w:r>
        <w:rPr>
          <w:rFonts w:ascii="Times New Roman" w:cs="Times New Roman" w:eastAsia="Times New Roman" w:hAnsi="Times New Roman"/>
          <w:sz w:val="17"/>
          <w:szCs w:val="17"/>
          <w:color w:val="auto"/>
        </w:rPr>
        <w:t xml:space="preserve"> of the defined term “Permitted Liens,” provided (i) such Indebtedness does not exceed the lesser of the cost or fair market value of the equipment financed with such Indebtedness and (ii) such Indebtedness does not exceed One Hundred Thousand Dollars ($100,000) in the aggregate at any given time; and</w:t>
      </w:r>
    </w:p>
    <w:p>
      <w:pPr>
        <w:spacing w:after="0" w:line="170" w:lineRule="exact"/>
        <w:rPr>
          <w:rFonts w:ascii="Times New Roman" w:cs="Times New Roman" w:eastAsia="Times New Roman" w:hAnsi="Times New Roman"/>
          <w:sz w:val="17"/>
          <w:szCs w:val="17"/>
          <w:b w:val="1"/>
          <w:bCs w:val="1"/>
          <w:color w:val="auto"/>
        </w:rPr>
      </w:pPr>
    </w:p>
    <w:p>
      <w:pPr>
        <w:ind w:left="1180" w:hanging="583"/>
        <w:spacing w:after="0"/>
        <w:tabs>
          <w:tab w:leader="none" w:pos="1180" w:val="left"/>
        </w:tabs>
        <w:numPr>
          <w:ilvl w:val="0"/>
          <w:numId w:val="5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Subordinated Debt.</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“Permitted Investment” means:</w:t>
      </w:r>
    </w:p>
    <w:p>
      <w:pPr>
        <w:spacing w:after="0" w:line="203" w:lineRule="exact"/>
        <w:rPr>
          <w:sz w:val="20"/>
          <w:szCs w:val="20"/>
          <w:color w:val="auto"/>
        </w:rPr>
      </w:pPr>
    </w:p>
    <w:p>
      <w:pPr>
        <w:ind w:left="1180" w:hanging="583"/>
        <w:spacing w:after="0"/>
        <w:tabs>
          <w:tab w:leader="none" w:pos="1180" w:val="left"/>
        </w:tabs>
        <w:numPr>
          <w:ilvl w:val="0"/>
          <w:numId w:val="5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Investments existing on the Closing Date disclosed in the Schedule; and</w:t>
      </w:r>
    </w:p>
    <w:p>
      <w:pPr>
        <w:spacing w:after="0" w:line="202" w:lineRule="exact"/>
        <w:rPr>
          <w:rFonts w:ascii="Times New Roman" w:cs="Times New Roman" w:eastAsia="Times New Roman" w:hAnsi="Times New Roman"/>
          <w:sz w:val="17"/>
          <w:szCs w:val="17"/>
          <w:b w:val="1"/>
          <w:bCs w:val="1"/>
          <w:color w:val="auto"/>
        </w:rPr>
      </w:pPr>
    </w:p>
    <w:p>
      <w:pPr>
        <w:jc w:val="both"/>
        <w:ind w:firstLine="597"/>
        <w:spacing w:after="0" w:line="252" w:lineRule="auto"/>
        <w:tabs>
          <w:tab w:leader="none" w:pos="1186" w:val="left"/>
        </w:tabs>
        <w:numPr>
          <w:ilvl w:val="0"/>
          <w:numId w:val="5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 marketable direct obligations issued or unconditionally guaranteed by the United States of America or any agency or any State thereof maturing within one (1) year from the date of acquisition thereof, (ii) commercial paper maturing no more than one (1) year from the date of creation thereof and currently having rating of at least A-2 or P-2 from either Standard &amp; Poor’s Corporation or Moody’s Investors Service, (iii) certificates of deposit maturing no more than one (1) year from the date of investment therein issued by Bank and (iv) Bank’s money market accounts.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19" w:right="339" w:bottom="1440" w:gutter="0" w:footer="0" w:header="0"/>
        </w:sectPr>
      </w:pPr>
    </w:p>
    <w:bookmarkStart w:id="636" w:name="page637"/>
    <w:bookmarkEnd w:id="636"/>
    <w:p>
      <w:pPr>
        <w:ind w:left="600"/>
        <w:spacing w:after="0"/>
        <w:rPr>
          <w:sz w:val="20"/>
          <w:szCs w:val="20"/>
          <w:color w:val="auto"/>
        </w:rPr>
      </w:pPr>
      <w:r>
        <w:rPr>
          <w:rFonts w:ascii="Times New Roman" w:cs="Times New Roman" w:eastAsia="Times New Roman" w:hAnsi="Times New Roman"/>
          <w:sz w:val="17"/>
          <w:szCs w:val="17"/>
          <w:color w:val="auto"/>
        </w:rPr>
        <w:t>“Permitted Liens” means the following:</w:t>
      </w:r>
    </w:p>
    <w:p>
      <w:pPr>
        <w:spacing w:after="0" w:line="203" w:lineRule="exact"/>
        <w:rPr>
          <w:sz w:val="20"/>
          <w:szCs w:val="20"/>
          <w:color w:val="auto"/>
        </w:rPr>
      </w:pPr>
    </w:p>
    <w:p>
      <w:pPr>
        <w:ind w:left="1180" w:hanging="583"/>
        <w:spacing w:after="0"/>
        <w:tabs>
          <w:tab w:leader="none" w:pos="1180" w:val="left"/>
        </w:tabs>
        <w:numPr>
          <w:ilvl w:val="0"/>
          <w:numId w:val="5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Liens existing on the Closing Date and disclosed in the Schedule or arising under this Agreement or the other Loan Documents;</w:t>
      </w:r>
    </w:p>
    <w:p>
      <w:pPr>
        <w:spacing w:after="0" w:line="202" w:lineRule="exact"/>
        <w:rPr>
          <w:rFonts w:ascii="Times New Roman" w:cs="Times New Roman" w:eastAsia="Times New Roman" w:hAnsi="Times New Roman"/>
          <w:sz w:val="17"/>
          <w:szCs w:val="17"/>
          <w:b w:val="1"/>
          <w:bCs w:val="1"/>
          <w:color w:val="auto"/>
        </w:rPr>
      </w:pPr>
    </w:p>
    <w:p>
      <w:pPr>
        <w:ind w:firstLine="597"/>
        <w:spacing w:after="0" w:line="269" w:lineRule="auto"/>
        <w:tabs>
          <w:tab w:leader="none" w:pos="1186" w:val="left"/>
        </w:tabs>
        <w:numPr>
          <w:ilvl w:val="0"/>
          <w:numId w:val="5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for taxes, fees, assessments or other governmental charges or levies, either not delinquent or being contested in good faith by appropriate proceedings, provided the same have no priority over any of Bank’s security interests;</w:t>
      </w:r>
    </w:p>
    <w:p>
      <w:pPr>
        <w:spacing w:after="0" w:line="159" w:lineRule="exact"/>
        <w:rPr>
          <w:rFonts w:ascii="Times New Roman" w:cs="Times New Roman" w:eastAsia="Times New Roman" w:hAnsi="Times New Roman"/>
          <w:sz w:val="17"/>
          <w:szCs w:val="17"/>
          <w:b w:val="1"/>
          <w:bCs w:val="1"/>
          <w:color w:val="auto"/>
        </w:rPr>
      </w:pPr>
    </w:p>
    <w:p>
      <w:pPr>
        <w:jc w:val="both"/>
        <w:ind w:firstLine="597"/>
        <w:spacing w:after="0" w:line="256" w:lineRule="auto"/>
        <w:tabs>
          <w:tab w:leader="none" w:pos="1192" w:val="left"/>
        </w:tabs>
        <w:numPr>
          <w:ilvl w:val="0"/>
          <w:numId w:val="5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(i) upon or in any equipment which was not financed by Bank acquired or held by a Borrower or any of its Subsidiaries to secure the purchase price of such equipment or indebtedness incurred solely for the purpose of financing the acquisition of such equipment, or (ii) existing on such equipment at the time of its acquisition, provided that the Lien is confined solely to the property so acquired and improvements thereon, and the proceeds of such equipment;</w:t>
      </w:r>
    </w:p>
    <w:p>
      <w:pPr>
        <w:spacing w:after="0" w:line="170" w:lineRule="exact"/>
        <w:rPr>
          <w:rFonts w:ascii="Times New Roman" w:cs="Times New Roman" w:eastAsia="Times New Roman" w:hAnsi="Times New Roman"/>
          <w:sz w:val="17"/>
          <w:szCs w:val="17"/>
          <w:b w:val="1"/>
          <w:bCs w:val="1"/>
          <w:color w:val="auto"/>
        </w:rPr>
      </w:pPr>
    </w:p>
    <w:p>
      <w:pPr>
        <w:ind w:firstLine="597"/>
        <w:spacing w:after="0" w:line="269" w:lineRule="auto"/>
        <w:tabs>
          <w:tab w:leader="none" w:pos="1186" w:val="left"/>
        </w:tabs>
        <w:numPr>
          <w:ilvl w:val="0"/>
          <w:numId w:val="5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incurred in connection with capital expenditures, including leasehold improvements, as permitted pursuant to Section 7.12 hereof and in an aggregate amount not to exceed Two Hundred Fifty Thousand Dollars ($250,000); and</w:t>
      </w:r>
    </w:p>
    <w:p>
      <w:pPr>
        <w:spacing w:after="0" w:line="159" w:lineRule="exact"/>
        <w:rPr>
          <w:rFonts w:ascii="Times New Roman" w:cs="Times New Roman" w:eastAsia="Times New Roman" w:hAnsi="Times New Roman"/>
          <w:sz w:val="17"/>
          <w:szCs w:val="17"/>
          <w:b w:val="1"/>
          <w:bCs w:val="1"/>
          <w:color w:val="auto"/>
        </w:rPr>
      </w:pPr>
    </w:p>
    <w:p>
      <w:pPr>
        <w:jc w:val="both"/>
        <w:ind w:firstLine="597"/>
        <w:spacing w:after="0" w:line="256" w:lineRule="auto"/>
        <w:tabs>
          <w:tab w:leader="none" w:pos="1192" w:val="left"/>
        </w:tabs>
        <w:numPr>
          <w:ilvl w:val="0"/>
          <w:numId w:val="5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incurred in connection with the extension, renewal or refinancing of the indebtedness secured by Liens of the type described in clauses (a) through (d) above, provided that any extension, renewal or replacement Lien shall be limited to the property encumbered by the existing Lien and the principal amount of the indebtedness being extended, renewed or refinanced does not increase.</w:t>
      </w:r>
    </w:p>
    <w:p>
      <w:pPr>
        <w:spacing w:after="0" w:line="171"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59"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“Prime Rate” means the greater of four and one quarter percent (4.25%) or the Prime Rate published in the Money Rates section of the Western Edition of The Wall Street Journal, or such other rate of interest publicly announced from time to time by Bank as its Prime Rate. Bank may price loans to its customers at, above or below the Prime Rate. Any change in the Prime Rate shall take effect at the opening of business on the day specified in the public announcement of a change in Prime Rate.</w:t>
      </w:r>
    </w:p>
    <w:p>
      <w:pPr>
        <w:spacing w:after="0" w:line="174"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“PT Provider” means Borrowers’ payment transmitter accounts with PayPal, Blackhawk, Stripe, and other payment transmitter providers approved by Bank in its sole discretion.</w:t>
      </w:r>
    </w:p>
    <w:p>
      <w:pPr>
        <w:spacing w:after="0" w:line="159"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“Responsible Officer” means each of the Chief Executive Officer, the Chief Operating Officer, the Chief Financial Officer, Secretary and the Controller of each Borrower.</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“RML” means the number of months obtained by dividing (a) Borrowers’ unrestricted cash at Bank by (b) Borrowers’ monthly trailing three (3) month average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EBDA.</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“Schedule” means the schedule of exceptions attached hereto and approved by Bank, if any.</w:t>
      </w:r>
    </w:p>
    <w:p>
      <w:pPr>
        <w:spacing w:after="0" w:line="203"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“Subordinated Debt” means any debt incurred by a Borrower that is subordinated to the debt owing by Borrowers to Bank on terms reasonably acceptable to Bank (and identified as being such by Borrowers and Bank).</w:t>
      </w:r>
    </w:p>
    <w:p>
      <w:pPr>
        <w:spacing w:after="0" w:line="159"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“Subsidiary” means any corporation, limited liability company, partnership or other entity in which (i) any general partnership interest or (ii) more than fifty percent (50%) of the stock or other units of ownership which by the terms thereof has the ordinary voting power to elect the Board of Directors, managers or trustees of the entity, at the time as of which any determination is being made, is owned by a Borrower, either directly or through an Affiliate.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18" w:right="339" w:bottom="1440" w:gutter="0" w:footer="0" w:header="0"/>
        </w:sectPr>
      </w:pPr>
    </w:p>
    <w:bookmarkStart w:id="637" w:name="page638"/>
    <w:bookmarkEnd w:id="637"/>
    <w:p>
      <w:pPr>
        <w:ind w:left="600"/>
        <w:spacing w:after="0"/>
        <w:rPr>
          <w:sz w:val="20"/>
          <w:szCs w:val="20"/>
          <w:color w:val="auto"/>
        </w:rPr>
      </w:pPr>
      <w:r>
        <w:rPr>
          <w:rFonts w:ascii="Times New Roman" w:cs="Times New Roman" w:eastAsia="Times New Roman" w:hAnsi="Times New Roman"/>
          <w:sz w:val="17"/>
          <w:szCs w:val="17"/>
          <w:color w:val="auto"/>
        </w:rPr>
        <w:t>“Term A Loan” is defined in Section 2.1(a)(i)(a).</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“Term B Loan” and “Term B Loans” is defined in Section 2.1(a)(i)(b).</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“Term C Loan” and “Term C Loans” is defined in Section 2.1(a)(i)(c).</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“Term Loan” and “Term Loans” is defined in Section 2.1(a)(i)(c).</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“Term Loan Maturity Date” means May 29, 2024.</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“ThredUp Circular” means thredUP Circular Fashion Fund Inc., a wholly owned non-profit subsidiary incorporated under the laws of Delaware.</w:t>
      </w:r>
    </w:p>
    <w:p>
      <w:pPr>
        <w:spacing w:after="0" w:line="203"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“Total Liabilities” means at any date as of which the amount thereof shall be determined, all obligations that should, in accordance with GAAP be classified as liabilities on the consolidated balance sheet of Borrowers, including in any event all Indebtedness.</w:t>
      </w:r>
    </w:p>
    <w:p>
      <w:pPr>
        <w:spacing w:after="0" w:line="159"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“Trademarks” means any trademark and servicemark rights, whether registered or not, applications to register and registrations of the same and like protections, and the entire goodwill of the business of each Borrower connected with and symbolized by such trademarks.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“Transfer” has the meaning assigned to such term in Section 7.1.</w:t>
      </w:r>
    </w:p>
    <w:p>
      <w:pPr>
        <w:spacing w:after="0" w:line="203"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“Warrant” means those certain Warrants to Purchase Stock, issued by Borrower to Bank on (i) February 7, 2019 (as amended from time to time, including by that certain First Amendment to Warrant dated as of May 29, 2020) and (ii) May 29, 2020.</w:t>
      </w:r>
    </w:p>
    <w:p>
      <w:pPr>
        <w:spacing w:after="0" w:line="155" w:lineRule="exact"/>
        <w:rPr>
          <w:sz w:val="20"/>
          <w:szCs w:val="20"/>
          <w:color w:val="auto"/>
        </w:rPr>
      </w:pPr>
    </w:p>
    <w:p>
      <w:pPr>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1.2 Accounting Terms. </w:t>
      </w:r>
      <w:r>
        <w:rPr>
          <w:rFonts w:ascii="Times New Roman" w:cs="Times New Roman" w:eastAsia="Times New Roman" w:hAnsi="Times New Roman"/>
          <w:sz w:val="17"/>
          <w:szCs w:val="17"/>
          <w:color w:val="auto"/>
        </w:rPr>
        <w:t>All accounting terms not specifically defined herein shall be construed in accordance with GAAP and all calculations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 hereunder shall be made in accordance with GAAP. When used herein, the terms “financial statements” shall include the notes and schedules thereto.</w:t>
      </w:r>
    </w:p>
    <w:p>
      <w:pPr>
        <w:spacing w:after="0" w:line="151" w:lineRule="exact"/>
        <w:rPr>
          <w:sz w:val="20"/>
          <w:szCs w:val="20"/>
          <w:color w:val="auto"/>
        </w:rPr>
      </w:pPr>
    </w:p>
    <w:p>
      <w:pPr>
        <w:ind w:left="1200" w:hanging="603"/>
        <w:spacing w:after="0"/>
        <w:tabs>
          <w:tab w:leader="none" w:pos="1200" w:val="left"/>
        </w:tabs>
        <w:numPr>
          <w:ilvl w:val="0"/>
          <w:numId w:val="5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LOANS AND TERMS OF PAYMENT.</w:t>
      </w:r>
    </w:p>
    <w:p>
      <w:pPr>
        <w:spacing w:after="0" w:line="202"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2.1</w:t>
      </w:r>
      <w:r>
        <w:rPr>
          <w:rFonts w:ascii="Times New Roman" w:cs="Times New Roman" w:eastAsia="Times New Roman" w:hAnsi="Times New Roman"/>
          <w:sz w:val="16"/>
          <w:szCs w:val="16"/>
          <w:b w:val="1"/>
          <w:bCs w:val="1"/>
          <w:color w:val="auto"/>
        </w:rPr>
        <w:t>Credit Extensions.</w:t>
      </w:r>
    </w:p>
    <w:p>
      <w:pPr>
        <w:spacing w:after="0" w:line="207" w:lineRule="exact"/>
        <w:rPr>
          <w:sz w:val="20"/>
          <w:szCs w:val="20"/>
          <w:color w:val="auto"/>
        </w:rPr>
      </w:pPr>
    </w:p>
    <w:p>
      <w:pPr>
        <w:jc w:val="both"/>
        <w:ind w:firstLine="1792"/>
        <w:spacing w:after="0" w:line="256" w:lineRule="auto"/>
        <w:rPr>
          <w:sz w:val="20"/>
          <w:szCs w:val="20"/>
          <w:color w:val="auto"/>
        </w:rPr>
      </w:pPr>
      <w:r>
        <w:rPr>
          <w:rFonts w:ascii="Times New Roman" w:cs="Times New Roman" w:eastAsia="Times New Roman" w:hAnsi="Times New Roman"/>
          <w:sz w:val="17"/>
          <w:szCs w:val="17"/>
          <w:color w:val="auto"/>
        </w:rPr>
        <w:t>Each Borrower promises to pay to the order of Bank, in lawful money of the United States of America, the aggregate unpaid principal amount of all Credit Extensions made by Bank to Borrowers hereunder. Borrowers shall also pay interest on the unpaid principal amount of such Credit Extensions at rates in accordance with the terms hereof.</w:t>
      </w:r>
    </w:p>
    <w:p>
      <w:pPr>
        <w:spacing w:after="0" w:line="167" w:lineRule="exact"/>
        <w:rPr>
          <w:sz w:val="20"/>
          <w:szCs w:val="20"/>
          <w:color w:val="auto"/>
        </w:rPr>
      </w:pPr>
    </w:p>
    <w:p>
      <w:pPr>
        <w:ind w:left="2380" w:hanging="589"/>
        <w:spacing w:after="0"/>
        <w:tabs>
          <w:tab w:leader="none" w:pos="2380" w:val="left"/>
        </w:tabs>
        <w:numPr>
          <w:ilvl w:val="0"/>
          <w:numId w:val="5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Loans</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b w:val="1"/>
          <w:bCs w:val="1"/>
          <w:color w:val="auto"/>
        </w:rPr>
      </w:pPr>
    </w:p>
    <w:p>
      <w:pPr>
        <w:ind w:left="2980" w:hanging="591"/>
        <w:spacing w:after="0"/>
        <w:tabs>
          <w:tab w:leader="none" w:pos="2980" w:val="left"/>
        </w:tabs>
        <w:numPr>
          <w:ilvl w:val="1"/>
          <w:numId w:val="5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Availability</w:t>
      </w:r>
      <w:r>
        <w:rPr>
          <w:rFonts w:ascii="Times New Roman" w:cs="Times New Roman" w:eastAsia="Times New Roman" w:hAnsi="Times New Roman"/>
          <w:sz w:val="17"/>
          <w:szCs w:val="17"/>
          <w:color w:val="auto"/>
        </w:rPr>
        <w:t>.</w:t>
      </w:r>
    </w:p>
    <w:p>
      <w:pPr>
        <w:spacing w:after="0" w:line="202" w:lineRule="exact"/>
        <w:rPr>
          <w:rFonts w:ascii="Times New Roman" w:cs="Times New Roman" w:eastAsia="Times New Roman" w:hAnsi="Times New Roman"/>
          <w:sz w:val="17"/>
          <w:szCs w:val="17"/>
          <w:b w:val="1"/>
          <w:bCs w:val="1"/>
          <w:color w:val="auto"/>
        </w:rPr>
      </w:pPr>
    </w:p>
    <w:p>
      <w:pPr>
        <w:ind w:left="3580" w:hanging="594"/>
        <w:spacing w:after="0"/>
        <w:tabs>
          <w:tab w:leader="none" w:pos="3580" w:val="left"/>
        </w:tabs>
        <w:numPr>
          <w:ilvl w:val="2"/>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A Loan</w:t>
      </w:r>
      <w:r>
        <w:rPr>
          <w:rFonts w:ascii="Times New Roman" w:cs="Times New Roman" w:eastAsia="Times New Roman" w:hAnsi="Times New Roman"/>
          <w:sz w:val="17"/>
          <w:szCs w:val="17"/>
          <w:color w:val="auto"/>
        </w:rPr>
        <w:t>. As of the Closing Date, Bank has made one (1) term loan to Borrowers in an aggregate amount</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 to Twenty Million Dollars ($20,000,000) (the “</w:t>
      </w:r>
      <w:r>
        <w:rPr>
          <w:rFonts w:ascii="Times New Roman" w:cs="Times New Roman" w:eastAsia="Times New Roman" w:hAnsi="Times New Roman"/>
          <w:sz w:val="17"/>
          <w:szCs w:val="17"/>
          <w:b w:val="1"/>
          <w:bCs w:val="1"/>
          <w:color w:val="auto"/>
        </w:rPr>
        <w:t>Term A Loan</w:t>
      </w:r>
      <w:r>
        <w:rPr>
          <w:rFonts w:ascii="Times New Roman" w:cs="Times New Roman" w:eastAsia="Times New Roman" w:hAnsi="Times New Roman"/>
          <w:sz w:val="17"/>
          <w:szCs w:val="17"/>
          <w:color w:val="auto"/>
        </w:rPr>
        <w:t>”). After repayment, the Term A Loan may not be reborrowed.</w:t>
      </w:r>
    </w:p>
    <w:p>
      <w:pPr>
        <w:spacing w:after="0" w:line="186" w:lineRule="exact"/>
        <w:rPr>
          <w:rFonts w:ascii="Times New Roman" w:cs="Times New Roman" w:eastAsia="Times New Roman" w:hAnsi="Times New Roman"/>
          <w:sz w:val="17"/>
          <w:szCs w:val="17"/>
          <w:color w:val="auto"/>
        </w:rPr>
      </w:pPr>
    </w:p>
    <w:p>
      <w:pPr>
        <w:ind w:firstLine="2986"/>
        <w:spacing w:after="0" w:line="301" w:lineRule="auto"/>
        <w:tabs>
          <w:tab w:leader="none" w:pos="3574" w:val="left"/>
        </w:tabs>
        <w:numPr>
          <w:ilvl w:val="2"/>
          <w:numId w:val="5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B Loans</w:t>
      </w:r>
      <w:r>
        <w:rPr>
          <w:rFonts w:ascii="Times New Roman" w:cs="Times New Roman" w:eastAsia="Times New Roman" w:hAnsi="Times New Roman"/>
          <w:sz w:val="16"/>
          <w:szCs w:val="16"/>
          <w:color w:val="auto"/>
        </w:rPr>
        <w:t>. As of the Closing Date, Bank has made term loans to Borrowers in an aggregate amount equal to Ten Million Dollars ($10,000,000) (each term loan a “</w:t>
      </w:r>
      <w:r>
        <w:rPr>
          <w:rFonts w:ascii="Times New Roman" w:cs="Times New Roman" w:eastAsia="Times New Roman" w:hAnsi="Times New Roman"/>
          <w:sz w:val="16"/>
          <w:szCs w:val="16"/>
          <w:b w:val="1"/>
          <w:bCs w:val="1"/>
          <w:color w:val="auto"/>
        </w:rPr>
        <w:t>Term B Loan</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Term B Loans</w:t>
      </w:r>
      <w:r>
        <w:rPr>
          <w:rFonts w:ascii="Times New Roman" w:cs="Times New Roman" w:eastAsia="Times New Roman" w:hAnsi="Times New Roman"/>
          <w:sz w:val="16"/>
          <w:szCs w:val="16"/>
          <w:color w:val="auto"/>
        </w:rPr>
        <w:t>”). After repayment, no Term B Loan may be reborrowed.</w:t>
      </w:r>
    </w:p>
    <w:p>
      <w:pPr>
        <w:spacing w:after="0" w:line="135" w:lineRule="exact"/>
        <w:rPr>
          <w:rFonts w:ascii="Times New Roman" w:cs="Times New Roman" w:eastAsia="Times New Roman" w:hAnsi="Times New Roman"/>
          <w:sz w:val="16"/>
          <w:szCs w:val="16"/>
          <w:color w:val="auto"/>
        </w:rPr>
      </w:pPr>
    </w:p>
    <w:p>
      <w:pPr>
        <w:ind w:firstLine="2986"/>
        <w:spacing w:after="0" w:line="269" w:lineRule="auto"/>
        <w:tabs>
          <w:tab w:leader="none" w:pos="3574" w:val="left"/>
        </w:tabs>
        <w:numPr>
          <w:ilvl w:val="2"/>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C Loans</w:t>
      </w:r>
      <w:r>
        <w:rPr>
          <w:rFonts w:ascii="Times New Roman" w:cs="Times New Roman" w:eastAsia="Times New Roman" w:hAnsi="Times New Roman"/>
          <w:sz w:val="17"/>
          <w:szCs w:val="17"/>
          <w:color w:val="auto"/>
        </w:rPr>
        <w:t>. As of the Closing Date, Bank has made term loans to Borrowers in an aggregate amount equal to Five Million Dollars ($5,000,000) (the “</w:t>
      </w:r>
      <w:r>
        <w:rPr>
          <w:rFonts w:ascii="Times New Roman" w:cs="Times New Roman" w:eastAsia="Times New Roman" w:hAnsi="Times New Roman"/>
          <w:sz w:val="17"/>
          <w:szCs w:val="17"/>
          <w:b w:val="1"/>
          <w:bCs w:val="1"/>
          <w:color w:val="auto"/>
        </w:rPr>
        <w:t>Original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17" w:right="339" w:bottom="1440" w:gutter="0" w:footer="0" w:header="0"/>
        </w:sectPr>
      </w:pPr>
    </w:p>
    <w:bookmarkStart w:id="638" w:name="page639"/>
    <w:bookmarkEnd w:id="638"/>
    <w:p>
      <w:pPr>
        <w:jc w:val="both"/>
        <w:spacing w:after="0" w:line="269" w:lineRule="auto"/>
        <w:rPr>
          <w:sz w:val="20"/>
          <w:szCs w:val="20"/>
          <w:color w:val="auto"/>
        </w:rPr>
      </w:pPr>
      <w:r>
        <w:rPr>
          <w:rFonts w:ascii="Times New Roman" w:cs="Times New Roman" w:eastAsia="Times New Roman" w:hAnsi="Times New Roman"/>
          <w:sz w:val="16"/>
          <w:szCs w:val="16"/>
          <w:b w:val="1"/>
          <w:bCs w:val="1"/>
          <w:color w:val="auto"/>
        </w:rPr>
        <w:t>Term C Loan</w:t>
      </w:r>
      <w:r>
        <w:rPr>
          <w:rFonts w:ascii="Times New Roman" w:cs="Times New Roman" w:eastAsia="Times New Roman" w:hAnsi="Times New Roman"/>
          <w:sz w:val="16"/>
          <w:szCs w:val="16"/>
          <w:color w:val="auto"/>
        </w:rPr>
        <w:t>”). Subject to the terms and conditions of this Agreement, from the Closing Date through March 31, 2021, Bank may, in its sole and absolute discretion,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make term loans to Borrowers in an aggregate amount not to exceed Five Million Dollars ($5,000,000) (each term loan a “</w:t>
      </w:r>
      <w:r>
        <w:rPr>
          <w:rFonts w:ascii="Times New Roman" w:cs="Times New Roman" w:eastAsia="Times New Roman" w:hAnsi="Times New Roman"/>
          <w:sz w:val="16"/>
          <w:szCs w:val="16"/>
          <w:b w:val="1"/>
          <w:bCs w:val="1"/>
          <w:color w:val="auto"/>
        </w:rPr>
        <w:t>Term C Loan</w:t>
      </w:r>
      <w:r>
        <w:rPr>
          <w:rFonts w:ascii="Times New Roman" w:cs="Times New Roman" w:eastAsia="Times New Roman" w:hAnsi="Times New Roman"/>
          <w:sz w:val="16"/>
          <w:szCs w:val="16"/>
          <w:color w:val="auto"/>
        </w:rPr>
        <w:t>” and collectively with the Original Agreement Term C Loan, the “</w:t>
      </w:r>
      <w:r>
        <w:rPr>
          <w:rFonts w:ascii="Times New Roman" w:cs="Times New Roman" w:eastAsia="Times New Roman" w:hAnsi="Times New Roman"/>
          <w:sz w:val="16"/>
          <w:szCs w:val="16"/>
          <w:b w:val="1"/>
          <w:bCs w:val="1"/>
          <w:color w:val="auto"/>
        </w:rPr>
        <w:t>Term C Loans</w:t>
      </w:r>
      <w:r>
        <w:rPr>
          <w:rFonts w:ascii="Times New Roman" w:cs="Times New Roman" w:eastAsia="Times New Roman" w:hAnsi="Times New Roman"/>
          <w:sz w:val="16"/>
          <w:szCs w:val="16"/>
          <w:color w:val="auto"/>
        </w:rPr>
        <w:t>”; the Term A Loan, each Term B Loan, and each Term C Loan is hereinafter referred to singly as a “</w:t>
      </w:r>
      <w:r>
        <w:rPr>
          <w:rFonts w:ascii="Times New Roman" w:cs="Times New Roman" w:eastAsia="Times New Roman" w:hAnsi="Times New Roman"/>
          <w:sz w:val="16"/>
          <w:szCs w:val="16"/>
          <w:b w:val="1"/>
          <w:bCs w:val="1"/>
          <w:color w:val="auto"/>
        </w:rPr>
        <w:t>Term Loan</w:t>
      </w:r>
      <w:r>
        <w:rPr>
          <w:rFonts w:ascii="Times New Roman" w:cs="Times New Roman" w:eastAsia="Times New Roman" w:hAnsi="Times New Roman"/>
          <w:sz w:val="16"/>
          <w:szCs w:val="16"/>
          <w:color w:val="auto"/>
        </w:rPr>
        <w:t>” and the Term A Loan, the Term B Loans, and the Term C Loans are hereinafter referred to collectively as the “</w:t>
      </w:r>
      <w:r>
        <w:rPr>
          <w:rFonts w:ascii="Times New Roman" w:cs="Times New Roman" w:eastAsia="Times New Roman" w:hAnsi="Times New Roman"/>
          <w:sz w:val="16"/>
          <w:szCs w:val="16"/>
          <w:b w:val="1"/>
          <w:bCs w:val="1"/>
          <w:color w:val="auto"/>
        </w:rPr>
        <w:t>Term Loans</w:t>
      </w:r>
      <w:r>
        <w:rPr>
          <w:rFonts w:ascii="Times New Roman" w:cs="Times New Roman" w:eastAsia="Times New Roman" w:hAnsi="Times New Roman"/>
          <w:sz w:val="16"/>
          <w:szCs w:val="16"/>
          <w:color w:val="auto"/>
        </w:rPr>
        <w:t>”). Each Term C Loan shall be equal to or less than eighty-five percent (85%) of the invoice value of the Eligible Equipment, which any Borrower shall have purchased within one hundred eighty (180) days of the date of the corresponding Term C Loan and as determined by Bank. After repayment, no Term C Loan may be reborrowed.</w:t>
      </w:r>
    </w:p>
    <w:p>
      <w:pPr>
        <w:spacing w:after="0" w:line="160" w:lineRule="exact"/>
        <w:rPr>
          <w:sz w:val="20"/>
          <w:szCs w:val="20"/>
          <w:color w:val="auto"/>
        </w:rPr>
      </w:pPr>
    </w:p>
    <w:p>
      <w:pPr>
        <w:jc w:val="both"/>
        <w:ind w:firstLine="2389"/>
        <w:spacing w:after="0" w:line="270" w:lineRule="auto"/>
        <w:tabs>
          <w:tab w:leader="none" w:pos="2978" w:val="left"/>
        </w:tabs>
        <w:numPr>
          <w:ilvl w:val="1"/>
          <w:numId w:val="5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Repayment</w:t>
      </w:r>
      <w:r>
        <w:rPr>
          <w:rFonts w:ascii="Times New Roman" w:cs="Times New Roman" w:eastAsia="Times New Roman" w:hAnsi="Times New Roman"/>
          <w:sz w:val="16"/>
          <w:szCs w:val="16"/>
          <w:color w:val="auto"/>
        </w:rPr>
        <w:t>. Interest shall accrue from the date of each Term Loan at the rate specified in Section 2.3 through June 30, 2021, and shall be payable monthly on the tenth (10th) day of each month so long as any amounts are outstanding under the Term Loans. The Term Loans shall be payable in</w:t>
      </w:r>
    </w:p>
    <w:p>
      <w:pPr>
        <w:jc w:val="both"/>
        <w:spacing w:after="0" w:line="245" w:lineRule="auto"/>
        <w:tabs>
          <w:tab w:leader="none" w:pos="216" w:val="left"/>
        </w:tabs>
        <w:numPr>
          <w:ilvl w:val="0"/>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 monthly installments of principal, plus all accrued interest, beginning on July 10, 2021, and continuing on the same day of each month thereafter through the Term Loan Maturity Date, with each installment of principal to be equal to the quotient derived by dividing (i) the aggregate principal amount of the Term Loans by (ii) sixty (60); plus (II) one (1) payment due and payable on the Term Loan Maturity Date equal to the entire remaining outstanding principal amount of the Term Loans, together with all accrued and unpaid interest, and all other amounts owing under this Agreement. The Term Loans, once repaid, may not be reborrowed. Borrowers may prepay the Term Loans without penalty or premium.</w:t>
      </w:r>
    </w:p>
    <w:p>
      <w:pPr>
        <w:spacing w:after="0" w:line="176"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2.2</w:t>
      </w:r>
      <w:r>
        <w:rPr>
          <w:sz w:val="20"/>
          <w:szCs w:val="20"/>
          <w:color w:val="auto"/>
        </w:rPr>
        <w:tab/>
      </w:r>
      <w:r>
        <w:rPr>
          <w:rFonts w:ascii="Times New Roman" w:cs="Times New Roman" w:eastAsia="Times New Roman" w:hAnsi="Times New Roman"/>
          <w:sz w:val="16"/>
          <w:szCs w:val="16"/>
          <w:b w:val="1"/>
          <w:bCs w:val="1"/>
          <w:color w:val="auto"/>
        </w:rPr>
        <w:t>Intentionally Omitted.</w:t>
      </w:r>
    </w:p>
    <w:p>
      <w:pPr>
        <w:spacing w:after="0" w:line="203"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Interest Rates, Payments, and Calculations.</w:t>
      </w:r>
    </w:p>
    <w:p>
      <w:pPr>
        <w:spacing w:after="0" w:line="203" w:lineRule="exact"/>
        <w:rPr>
          <w:sz w:val="20"/>
          <w:szCs w:val="20"/>
          <w:color w:val="auto"/>
        </w:rPr>
      </w:pPr>
    </w:p>
    <w:p>
      <w:pPr>
        <w:ind w:firstLine="1791"/>
        <w:spacing w:after="0" w:line="274" w:lineRule="auto"/>
        <w:tabs>
          <w:tab w:leader="none" w:pos="2384" w:val="left"/>
        </w:tabs>
        <w:numPr>
          <w:ilvl w:val="0"/>
          <w:numId w:val="5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Interest Rates on the Term Loans. </w:t>
      </w:r>
      <w:r>
        <w:rPr>
          <w:rFonts w:ascii="Times New Roman" w:cs="Times New Roman" w:eastAsia="Times New Roman" w:hAnsi="Times New Roman"/>
          <w:sz w:val="17"/>
          <w:szCs w:val="17"/>
          <w:color w:val="auto"/>
        </w:rPr>
        <w:t>Except as set forth in Section 2.3(b), the Term Loans shall bear interest, on the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Daily Balance thereof, at a rate equal to one and a half percent (1.50%) above the Prime Rate.</w:t>
      </w:r>
    </w:p>
    <w:p>
      <w:pPr>
        <w:spacing w:after="0" w:line="150" w:lineRule="exact"/>
        <w:rPr>
          <w:rFonts w:ascii="Times New Roman" w:cs="Times New Roman" w:eastAsia="Times New Roman" w:hAnsi="Times New Roman"/>
          <w:sz w:val="17"/>
          <w:szCs w:val="17"/>
          <w:b w:val="1"/>
          <w:bCs w:val="1"/>
          <w:color w:val="auto"/>
        </w:rPr>
      </w:pPr>
    </w:p>
    <w:p>
      <w:pPr>
        <w:jc w:val="both"/>
        <w:ind w:firstLine="1791"/>
        <w:spacing w:after="0" w:line="251" w:lineRule="auto"/>
        <w:tabs>
          <w:tab w:leader="none" w:pos="2381" w:val="left"/>
        </w:tabs>
        <w:numPr>
          <w:ilvl w:val="0"/>
          <w:numId w:val="5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Late Fee; Default Rate. </w:t>
      </w:r>
      <w:r>
        <w:rPr>
          <w:rFonts w:ascii="Times New Roman" w:cs="Times New Roman" w:eastAsia="Times New Roman" w:hAnsi="Times New Roman"/>
          <w:sz w:val="17"/>
          <w:szCs w:val="17"/>
          <w:color w:val="auto"/>
        </w:rPr>
        <w:t>At the election of Bank, if any payment is not made within ten (10) days after the date such payment is due,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Borrowers shall pay Bank a late fee equal to the lesser of (i) five percent (5%) of the amount of such unpaid amount or (ii) the maximum amount permitted to be charged under applicable law, not in any case to be less than Twenty-Five Dollars ($25). All Obligations shall bear interest, from and after the occurrence and during the continuance of an Event of Default, at a rate equal to five (5) percentage points above the interest rate applicable immediately prior to the occurrence of the Event of Default.</w:t>
      </w:r>
    </w:p>
    <w:p>
      <w:pPr>
        <w:spacing w:after="0" w:line="171" w:lineRule="exact"/>
        <w:rPr>
          <w:rFonts w:ascii="Times New Roman" w:cs="Times New Roman" w:eastAsia="Times New Roman" w:hAnsi="Times New Roman"/>
          <w:sz w:val="17"/>
          <w:szCs w:val="17"/>
          <w:b w:val="1"/>
          <w:bCs w:val="1"/>
          <w:color w:val="auto"/>
        </w:rPr>
      </w:pPr>
    </w:p>
    <w:p>
      <w:pPr>
        <w:jc w:val="both"/>
        <w:ind w:firstLine="1791"/>
        <w:spacing w:after="0" w:line="255" w:lineRule="auto"/>
        <w:tabs>
          <w:tab w:leader="none" w:pos="2387" w:val="left"/>
        </w:tabs>
        <w:numPr>
          <w:ilvl w:val="0"/>
          <w:numId w:val="5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Payments. </w:t>
      </w:r>
      <w:r>
        <w:rPr>
          <w:rFonts w:ascii="Times New Roman" w:cs="Times New Roman" w:eastAsia="Times New Roman" w:hAnsi="Times New Roman"/>
          <w:sz w:val="16"/>
          <w:szCs w:val="16"/>
          <w:color w:val="auto"/>
        </w:rPr>
        <w:t>Interest hereunder shall be due and payable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calendar day of each month during the term hereof. Bank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at its option, charge such interest, all Bank Expenses, and all Periodic Payments against any of a Borrower’s deposit accounts or against the Term Loans, in which case those amounts shall thereafter accrue interest at the rate then applicable hereunder. Any interest not paid when due shall be compounded by becoming a part of the Obligations, and such interest shall thereafter accrue interest at the rate then applicable hereunder. All payments shall be free and clear of any taxes, withholdings, duties, impositions or other charges, to the end that Bank will receive the entire amount of any Obligations payable hereunder, regardless of source of payment.</w:t>
      </w:r>
    </w:p>
    <w:p>
      <w:pPr>
        <w:spacing w:after="0" w:line="168" w:lineRule="exact"/>
        <w:rPr>
          <w:rFonts w:ascii="Times New Roman" w:cs="Times New Roman" w:eastAsia="Times New Roman" w:hAnsi="Times New Roman"/>
          <w:sz w:val="16"/>
          <w:szCs w:val="16"/>
          <w:b w:val="1"/>
          <w:bCs w:val="1"/>
          <w:color w:val="auto"/>
        </w:rPr>
      </w:pPr>
    </w:p>
    <w:p>
      <w:pPr>
        <w:jc w:val="both"/>
        <w:ind w:firstLine="1791"/>
        <w:spacing w:after="0" w:line="259" w:lineRule="auto"/>
        <w:tabs>
          <w:tab w:leader="none" w:pos="2381" w:val="left"/>
        </w:tabs>
        <w:numPr>
          <w:ilvl w:val="0"/>
          <w:numId w:val="5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Computation. </w:t>
      </w:r>
      <w:r>
        <w:rPr>
          <w:rFonts w:ascii="Times New Roman" w:cs="Times New Roman" w:eastAsia="Times New Roman" w:hAnsi="Times New Roman"/>
          <w:sz w:val="17"/>
          <w:szCs w:val="17"/>
          <w:color w:val="auto"/>
        </w:rPr>
        <w:t>In the event the Prime Rate is changed from time to time hereafter, the applicable rate of interest hereunder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increased or decreased, effective as of the day the Prime Rate is changed, by an amount equal to such change in the Prime Rate. All interest chargeable under the Loan Documents shall be computed on the basis of a three hundred sixty (360) day year for the actual number of days elapsed.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13" w:right="339" w:bottom="1440" w:gutter="0" w:footer="0" w:header="0"/>
        </w:sectPr>
      </w:pPr>
    </w:p>
    <w:bookmarkStart w:id="639" w:name="page640"/>
    <w:bookmarkEnd w:id="639"/>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2.4</w:t>
      </w:r>
      <w:r>
        <w:rPr>
          <w:sz w:val="20"/>
          <w:szCs w:val="20"/>
          <w:color w:val="auto"/>
        </w:rPr>
        <w:tab/>
      </w:r>
      <w:r>
        <w:rPr>
          <w:rFonts w:ascii="Times New Roman" w:cs="Times New Roman" w:eastAsia="Times New Roman" w:hAnsi="Times New Roman"/>
          <w:sz w:val="16"/>
          <w:szCs w:val="16"/>
          <w:b w:val="1"/>
          <w:bCs w:val="1"/>
          <w:color w:val="auto"/>
        </w:rPr>
        <w:t>Collections; Remittances; Account Collection Services</w:t>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jc w:val="both"/>
        <w:ind w:firstLine="1791"/>
        <w:spacing w:after="0" w:line="249" w:lineRule="auto"/>
        <w:tabs>
          <w:tab w:leader="none" w:pos="2383" w:val="left"/>
        </w:tabs>
        <w:numPr>
          <w:ilvl w:val="0"/>
          <w:numId w:val="5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the terms and conditions contained herein, Bank shall have the exclusive right to receive all Collections. Borrower shall promptly notify, transfer and deliver to Bank all Collections any Borrower or any of its Subsidiaries receives for deposit into the Collection Account. At Bank’s request, Borrower shall instruct all account debtors to make payments directly to the Collection Account, or shall instruct them to deliver such payments to Bank by wire transfer, ACH, or other means as Bank may direct for deposit to the Collection Account. Borrower shall forward all collections to Bank which have not been directed to the Collections Account by account debtors. The costs associated with establishing and maintaining the Collection Account shall be the Borrowers’ sole cost and expense.</w:t>
      </w:r>
    </w:p>
    <w:p>
      <w:pPr>
        <w:spacing w:after="0" w:line="176" w:lineRule="exact"/>
        <w:rPr>
          <w:rFonts w:ascii="Times New Roman" w:cs="Times New Roman" w:eastAsia="Times New Roman" w:hAnsi="Times New Roman"/>
          <w:sz w:val="17"/>
          <w:szCs w:val="17"/>
          <w:b w:val="1"/>
          <w:bCs w:val="1"/>
          <w:color w:val="auto"/>
        </w:rPr>
      </w:pPr>
    </w:p>
    <w:p>
      <w:pPr>
        <w:jc w:val="both"/>
        <w:ind w:firstLine="1791"/>
        <w:spacing w:after="0" w:line="248" w:lineRule="auto"/>
        <w:tabs>
          <w:tab w:leader="none" w:pos="2380" w:val="left"/>
        </w:tabs>
        <w:numPr>
          <w:ilvl w:val="0"/>
          <w:numId w:val="5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shall transfer all Collections deposited into the Collection Account to Borrower’s general operating account maintained with Bank within one (1) Business Day of the date received; provided that upon the occurrence and during the continuance of any Event of Default, Bank may apply all Collections deposited into the Collection Account to the Obligations in such order and manner as Bank may determine in its sole and absolute discretion. Bank has no duty to do any act other than to apply such amounts as required above. If an item of Collections is not honored or Bank does not receive good funds for any reason, any amount previously transferred to Borrower’s general operating account with Bank shall be reversed as of the date transferred. Bank shall have, with respect to any goods related to the Accounts, all the rights and remedies of an unpaid seller under the UCC and other applicable law, including the rights of replevin, claim and delivery, reclamation and stoppage in transit.</w:t>
      </w:r>
    </w:p>
    <w:p>
      <w:pPr>
        <w:spacing w:after="0" w:line="175" w:lineRule="exact"/>
        <w:rPr>
          <w:sz w:val="20"/>
          <w:szCs w:val="20"/>
          <w:color w:val="auto"/>
        </w:rPr>
      </w:pPr>
    </w:p>
    <w:p>
      <w:pPr>
        <w:jc w:val="both"/>
        <w:ind w:firstLine="119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2.5 Crediting Payments. </w:t>
      </w:r>
      <w:r>
        <w:rPr>
          <w:rFonts w:ascii="Times New Roman" w:cs="Times New Roman" w:eastAsia="Times New Roman" w:hAnsi="Times New Roman"/>
          <w:sz w:val="17"/>
          <w:szCs w:val="17"/>
          <w:color w:val="auto"/>
        </w:rPr>
        <w:t>Prior to the occurrence of an Event of Default, Bank shall credit a wire transfer of funds, check or other item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 to such deposit account or Obligation as Parent specifies. After the occurrence and during the continuation of an Event of Default, the receipt by Bank of any wire transfer of funds, check, or other item of payment shall, at the Bank’s discretion, be immediately applied to conditionally reduce Obligations, but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12:00 noon Pacific time shall, at the option of the Bank,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176"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2.6</w:t>
      </w:r>
      <w:r>
        <w:rPr>
          <w:sz w:val="20"/>
          <w:szCs w:val="20"/>
          <w:color w:val="auto"/>
        </w:rPr>
        <w:tab/>
      </w:r>
      <w:r>
        <w:rPr>
          <w:rFonts w:ascii="Times New Roman" w:cs="Times New Roman" w:eastAsia="Times New Roman" w:hAnsi="Times New Roman"/>
          <w:sz w:val="16"/>
          <w:szCs w:val="16"/>
          <w:b w:val="1"/>
          <w:bCs w:val="1"/>
          <w:color w:val="auto"/>
        </w:rPr>
        <w:t xml:space="preserve">Fees. </w:t>
      </w:r>
      <w:r>
        <w:rPr>
          <w:rFonts w:ascii="Times New Roman" w:cs="Times New Roman" w:eastAsia="Times New Roman" w:hAnsi="Times New Roman"/>
          <w:sz w:val="16"/>
          <w:szCs w:val="16"/>
          <w:color w:val="auto"/>
        </w:rPr>
        <w:t>Borrowers shall pay to Bank the following:</w:t>
      </w:r>
    </w:p>
    <w:p>
      <w:pPr>
        <w:spacing w:after="0" w:line="203" w:lineRule="exact"/>
        <w:rPr>
          <w:sz w:val="20"/>
          <w:szCs w:val="20"/>
          <w:color w:val="auto"/>
        </w:rPr>
      </w:pPr>
    </w:p>
    <w:p>
      <w:pPr>
        <w:ind w:left="2380" w:hanging="589"/>
        <w:spacing w:after="0"/>
        <w:tabs>
          <w:tab w:leader="none" w:pos="2380" w:val="left"/>
        </w:tabs>
        <w:numPr>
          <w:ilvl w:val="0"/>
          <w:numId w:val="5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Facility Fee</w:t>
      </w:r>
      <w:r>
        <w:rPr>
          <w:rFonts w:ascii="Times New Roman" w:cs="Times New Roman" w:eastAsia="Times New Roman" w:hAnsi="Times New Roman"/>
          <w:sz w:val="16"/>
          <w:szCs w:val="16"/>
          <w:color w:val="auto"/>
        </w:rPr>
        <w:t>. As of the Closing Date, Borrower has paid to Bank a Facility Fee equal to Two Hundred Thousand Dollars ($200,000).</w:t>
      </w:r>
    </w:p>
    <w:p>
      <w:pPr>
        <w:spacing w:after="0" w:line="214" w:lineRule="exact"/>
        <w:rPr>
          <w:rFonts w:ascii="Times New Roman" w:cs="Times New Roman" w:eastAsia="Times New Roman" w:hAnsi="Times New Roman"/>
          <w:sz w:val="16"/>
          <w:szCs w:val="16"/>
          <w:b w:val="1"/>
          <w:bCs w:val="1"/>
          <w:color w:val="auto"/>
        </w:rPr>
      </w:pPr>
    </w:p>
    <w:p>
      <w:pPr>
        <w:jc w:val="both"/>
        <w:ind w:firstLine="1791"/>
        <w:spacing w:after="0" w:line="259" w:lineRule="auto"/>
        <w:tabs>
          <w:tab w:leader="none" w:pos="2380" w:val="left"/>
        </w:tabs>
        <w:numPr>
          <w:ilvl w:val="0"/>
          <w:numId w:val="5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Success Fee</w:t>
      </w:r>
      <w:r>
        <w:rPr>
          <w:rFonts w:ascii="Times New Roman" w:cs="Times New Roman" w:eastAsia="Times New Roman" w:hAnsi="Times New Roman"/>
          <w:sz w:val="17"/>
          <w:szCs w:val="17"/>
          <w:color w:val="auto"/>
        </w:rPr>
        <w:t>. On the earlier of the date on which Borrower (i) prepays all Obligations outstanding under the Term Loans, (ii)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consummates an IPO, or (iii) the Term Loan Maturity Date, a fee equal to one percent (1%) of the principal amount of all Term Loans drawn by the Borrowers as of such date.</w:t>
      </w:r>
    </w:p>
    <w:p>
      <w:pPr>
        <w:spacing w:after="0" w:line="163" w:lineRule="exact"/>
        <w:rPr>
          <w:rFonts w:ascii="Times New Roman" w:cs="Times New Roman" w:eastAsia="Times New Roman" w:hAnsi="Times New Roman"/>
          <w:sz w:val="17"/>
          <w:szCs w:val="17"/>
          <w:b w:val="1"/>
          <w:bCs w:val="1"/>
          <w:color w:val="auto"/>
        </w:rPr>
      </w:pPr>
    </w:p>
    <w:p>
      <w:pPr>
        <w:ind w:firstLine="1791"/>
        <w:spacing w:after="0" w:line="306" w:lineRule="auto"/>
        <w:tabs>
          <w:tab w:leader="none" w:pos="2386" w:val="left"/>
        </w:tabs>
        <w:numPr>
          <w:ilvl w:val="0"/>
          <w:numId w:val="5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Bank Expenses</w:t>
      </w:r>
      <w:r>
        <w:rPr>
          <w:rFonts w:ascii="Times New Roman" w:cs="Times New Roman" w:eastAsia="Times New Roman" w:hAnsi="Times New Roman"/>
          <w:sz w:val="16"/>
          <w:szCs w:val="16"/>
          <w:color w:val="auto"/>
        </w:rPr>
        <w:t>. On the Closing Date, all Bank Expenses incurred through the Closing Date, including reasonable and documented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attorneys’ fees and expenses and, after the Closing Date, all Bank Expenses, including reasonable attorneys’ fees and expenses, as and when they are incurred by Bank.</w:t>
      </w:r>
    </w:p>
    <w:p>
      <w:pPr>
        <w:spacing w:after="0" w:line="128" w:lineRule="exact"/>
        <w:rPr>
          <w:rFonts w:ascii="Times New Roman" w:cs="Times New Roman" w:eastAsia="Times New Roman" w:hAnsi="Times New Roman"/>
          <w:sz w:val="16"/>
          <w:szCs w:val="16"/>
          <w:b w:val="1"/>
          <w:bCs w:val="1"/>
          <w:color w:val="auto"/>
        </w:rPr>
      </w:pPr>
    </w:p>
    <w:p>
      <w:pPr>
        <w:ind w:right="80" w:firstLine="1791"/>
        <w:spacing w:after="0" w:line="274" w:lineRule="auto"/>
        <w:tabs>
          <w:tab w:leader="none" w:pos="2380" w:val="left"/>
        </w:tabs>
        <w:numPr>
          <w:ilvl w:val="0"/>
          <w:numId w:val="5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Fee in Lieu of Additional Warrant</w:t>
      </w:r>
      <w:r>
        <w:rPr>
          <w:rFonts w:ascii="Times New Roman" w:cs="Times New Roman" w:eastAsia="Times New Roman" w:hAnsi="Times New Roman"/>
          <w:sz w:val="17"/>
          <w:szCs w:val="17"/>
          <w:color w:val="auto"/>
        </w:rPr>
        <w:t>. As of the Closing Date, Borrower has paid to Bank fees in lieu of additional warrants equal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aggregate amount of One Hundred Seventy-Five Thousand Dollars ($175,000).</w:t>
      </w:r>
    </w:p>
    <w:p>
      <w:pPr>
        <w:spacing w:after="0" w:line="151" w:lineRule="exact"/>
        <w:rPr>
          <w:sz w:val="20"/>
          <w:szCs w:val="20"/>
          <w:color w:val="auto"/>
        </w:rPr>
      </w:pPr>
    </w:p>
    <w:p>
      <w:pPr>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2.7 Term. </w:t>
      </w:r>
      <w:r>
        <w:rPr>
          <w:rFonts w:ascii="Times New Roman" w:cs="Times New Roman" w:eastAsia="Times New Roman" w:hAnsi="Times New Roman"/>
          <w:sz w:val="17"/>
          <w:szCs w:val="17"/>
          <w:color w:val="auto"/>
        </w:rPr>
        <w:t>This Agreement shall become effective on the Closing Date and, subject to Section 13.7, shall continue in full force and effect for 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long as any Obligations remain outstanding or Bank has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13" w:right="339" w:bottom="1440" w:gutter="0" w:footer="0" w:header="0"/>
        </w:sectPr>
      </w:pPr>
    </w:p>
    <w:bookmarkStart w:id="640" w:name="page641"/>
    <w:bookmarkEnd w:id="640"/>
    <w:p>
      <w:pPr>
        <w:jc w:val="both"/>
        <w:spacing w:after="0" w:line="256" w:lineRule="auto"/>
        <w:rPr>
          <w:sz w:val="20"/>
          <w:szCs w:val="20"/>
          <w:color w:val="auto"/>
        </w:rPr>
      </w:pPr>
      <w:r>
        <w:rPr>
          <w:rFonts w:ascii="Times New Roman" w:cs="Times New Roman" w:eastAsia="Times New Roman" w:hAnsi="Times New Roman"/>
          <w:sz w:val="17"/>
          <w:szCs w:val="17"/>
          <w:color w:val="auto"/>
        </w:rPr>
        <w:t>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 Notwithstanding termination, Bank’s Lien on the Collateral shall remain in effect for so long as any Obligations are outstanding.</w:t>
      </w:r>
    </w:p>
    <w:p>
      <w:pPr>
        <w:spacing w:after="0" w:line="167"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2.8 Extension of Maturity</w:t>
      </w:r>
      <w:r>
        <w:rPr>
          <w:rFonts w:ascii="Times New Roman" w:cs="Times New Roman" w:eastAsia="Times New Roman" w:hAnsi="Times New Roman"/>
          <w:sz w:val="17"/>
          <w:szCs w:val="17"/>
          <w:color w:val="auto"/>
        </w:rPr>
        <w:t>. Notwithstanding anything contained herein to the contrary, Bank shall have the right, in its sole and absolute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discretion, to extend the maturity date of any Term Loan to the tenth day of the month next following the actual maturity date as stated in this Agreement.</w:t>
      </w:r>
    </w:p>
    <w:p>
      <w:pPr>
        <w:spacing w:after="0" w:line="151" w:lineRule="exact"/>
        <w:rPr>
          <w:sz w:val="20"/>
          <w:szCs w:val="20"/>
          <w:color w:val="auto"/>
        </w:rPr>
      </w:pPr>
    </w:p>
    <w:p>
      <w:pPr>
        <w:ind w:left="1200" w:hanging="603"/>
        <w:spacing w:after="0"/>
        <w:tabs>
          <w:tab w:leader="none" w:pos="1200" w:val="left"/>
        </w:tabs>
        <w:numPr>
          <w:ilvl w:val="0"/>
          <w:numId w:val="5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CONDITIONS OF LOANS.</w:t>
      </w:r>
    </w:p>
    <w:p>
      <w:pPr>
        <w:spacing w:after="0" w:line="203" w:lineRule="exact"/>
        <w:rPr>
          <w:sz w:val="20"/>
          <w:szCs w:val="20"/>
          <w:color w:val="auto"/>
        </w:rPr>
      </w:pPr>
    </w:p>
    <w:p>
      <w:pPr>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3.1 Conditions Precedent to Initial Credit Extension. </w:t>
      </w:r>
      <w:r>
        <w:rPr>
          <w:rFonts w:ascii="Times New Roman" w:cs="Times New Roman" w:eastAsia="Times New Roman" w:hAnsi="Times New Roman"/>
          <w:sz w:val="17"/>
          <w:szCs w:val="17"/>
          <w:color w:val="auto"/>
        </w:rPr>
        <w:t>The obligation of Bank to make the initial Credit Extension is subject to the condition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precedent that Bank shall have received, in form and substance satisfactory to Bank, the following:</w:t>
      </w:r>
    </w:p>
    <w:p>
      <w:pPr>
        <w:spacing w:after="0" w:line="155" w:lineRule="exact"/>
        <w:rPr>
          <w:sz w:val="20"/>
          <w:szCs w:val="20"/>
          <w:color w:val="auto"/>
        </w:rPr>
      </w:pPr>
    </w:p>
    <w:p>
      <w:pPr>
        <w:ind w:left="2380" w:hanging="589"/>
        <w:spacing w:after="0"/>
        <w:tabs>
          <w:tab w:leader="none" w:pos="2380" w:val="left"/>
        </w:tabs>
        <w:numPr>
          <w:ilvl w:val="0"/>
          <w:numId w:val="5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w:t>
      </w:r>
    </w:p>
    <w:p>
      <w:pPr>
        <w:spacing w:after="0" w:line="202"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certificate of the Secretary of each Borrower with respect to incumbency and resolutions authorizing the execution and delivery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w:t>
      </w:r>
    </w:p>
    <w:p>
      <w:pPr>
        <w:spacing w:after="0" w:line="186" w:lineRule="exact"/>
        <w:rPr>
          <w:sz w:val="20"/>
          <w:szCs w:val="20"/>
          <w:color w:val="auto"/>
        </w:rPr>
      </w:pPr>
    </w:p>
    <w:p>
      <w:pPr>
        <w:ind w:left="2380" w:hanging="589"/>
        <w:spacing w:after="0"/>
        <w:tabs>
          <w:tab w:leader="none" w:pos="2380" w:val="left"/>
        </w:tabs>
        <w:numPr>
          <w:ilvl w:val="0"/>
          <w:numId w:val="5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UCC National Form Financing Statements, naming each Borrower;</w:t>
      </w:r>
    </w:p>
    <w:p>
      <w:pPr>
        <w:spacing w:after="0" w:line="202"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 Amended and Restated IP Security Agreement;</w:t>
      </w:r>
    </w:p>
    <w:p>
      <w:pPr>
        <w:spacing w:after="0" w:line="202"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agreement to provide insurance;</w:t>
      </w:r>
    </w:p>
    <w:p>
      <w:pPr>
        <w:spacing w:after="0" w:line="202"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payment of the fees and Bank Expenses then due specified in Section 2.6 hereof;</w:t>
      </w:r>
    </w:p>
    <w:p>
      <w:pPr>
        <w:spacing w:after="0" w:line="202"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current financial statements of Borrowers, on a consolidated basis; and</w:t>
      </w:r>
    </w:p>
    <w:p>
      <w:pPr>
        <w:spacing w:after="0" w:line="202"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other documents, and completion of such other matters, as Bank may reasonably deem necessary or appropriate.</w:t>
      </w:r>
    </w:p>
    <w:p>
      <w:pPr>
        <w:spacing w:after="0" w:line="199" w:lineRule="exact"/>
        <w:rPr>
          <w:sz w:val="20"/>
          <w:szCs w:val="20"/>
          <w:color w:val="auto"/>
        </w:rPr>
      </w:pPr>
    </w:p>
    <w:p>
      <w:pPr>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3.2 Conditions Precedent to all Credit Extensions. </w:t>
      </w:r>
      <w:r>
        <w:rPr>
          <w:rFonts w:ascii="Times New Roman" w:cs="Times New Roman" w:eastAsia="Times New Roman" w:hAnsi="Times New Roman"/>
          <w:sz w:val="17"/>
          <w:szCs w:val="17"/>
          <w:color w:val="auto"/>
        </w:rPr>
        <w:t>The obligation of Bank to make each Credit Extension, including the initial Credit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Extension, is further subject to the following conditions:</w:t>
      </w:r>
    </w:p>
    <w:p>
      <w:pPr>
        <w:spacing w:after="0" w:line="155" w:lineRule="exact"/>
        <w:rPr>
          <w:sz w:val="20"/>
          <w:szCs w:val="20"/>
          <w:color w:val="auto"/>
        </w:rPr>
      </w:pPr>
    </w:p>
    <w:p>
      <w:pPr>
        <w:ind w:left="2380" w:hanging="589"/>
        <w:spacing w:after="0"/>
        <w:tabs>
          <w:tab w:leader="none" w:pos="2380" w:val="left"/>
        </w:tabs>
        <w:numPr>
          <w:ilvl w:val="1"/>
          <w:numId w:val="5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timely receipt by Bank of the Term Loan Request Form in substantially the form of Exhibit B hereto; and</w:t>
      </w:r>
    </w:p>
    <w:p>
      <w:pPr>
        <w:spacing w:after="0" w:line="202" w:lineRule="exact"/>
        <w:rPr>
          <w:rFonts w:ascii="Times New Roman" w:cs="Times New Roman" w:eastAsia="Times New Roman" w:hAnsi="Times New Roman"/>
          <w:sz w:val="17"/>
          <w:szCs w:val="17"/>
          <w:b w:val="1"/>
          <w:bCs w:val="1"/>
          <w:color w:val="auto"/>
        </w:rPr>
      </w:pPr>
    </w:p>
    <w:p>
      <w:pPr>
        <w:jc w:val="both"/>
        <w:ind w:firstLine="1791"/>
        <w:spacing w:after="0" w:line="252" w:lineRule="auto"/>
        <w:tabs>
          <w:tab w:leader="none" w:pos="2380" w:val="left"/>
        </w:tabs>
        <w:numPr>
          <w:ilvl w:val="1"/>
          <w:numId w:val="5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representations and warranties contained in Section 5 shall be true and correct in all material respects on and as of the date of such Term Loan Request Form and on the effective date of each Credit Extension as though made at and as of each such date, and no Event of Default shall have occurred and be continuing, or would exist after giving effect to such Credit Extension. The making of each Credit Extension shall be deemed to be a representation and warranty by each Borrower on the date of such Credit Extension as to the accuracy of the facts referred to in this Section 3.2.</w:t>
      </w:r>
    </w:p>
    <w:p>
      <w:pPr>
        <w:spacing w:after="0" w:line="170" w:lineRule="exact"/>
        <w:rPr>
          <w:rFonts w:ascii="Times New Roman" w:cs="Times New Roman" w:eastAsia="Times New Roman" w:hAnsi="Times New Roman"/>
          <w:sz w:val="17"/>
          <w:szCs w:val="17"/>
          <w:b w:val="1"/>
          <w:bCs w:val="1"/>
          <w:color w:val="auto"/>
        </w:rPr>
      </w:pPr>
    </w:p>
    <w:p>
      <w:pPr>
        <w:ind w:left="1200" w:hanging="603"/>
        <w:spacing w:after="0"/>
        <w:tabs>
          <w:tab w:leader="none" w:pos="1200" w:val="left"/>
        </w:tabs>
        <w:numPr>
          <w:ilvl w:val="0"/>
          <w:numId w:val="5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CREATION OF SECURITY INTEREST.</w:t>
      </w:r>
    </w:p>
    <w:p>
      <w:pPr>
        <w:spacing w:after="0" w:line="202"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4.1</w:t>
      </w:r>
      <w:r>
        <w:rPr>
          <w:rFonts w:ascii="Times New Roman" w:cs="Times New Roman" w:eastAsia="Times New Roman" w:hAnsi="Times New Roman"/>
          <w:sz w:val="16"/>
          <w:szCs w:val="16"/>
          <w:b w:val="1"/>
          <w:bCs w:val="1"/>
          <w:color w:val="auto"/>
        </w:rPr>
        <w:t xml:space="preserve">Grant of Security Interest. </w:t>
      </w:r>
      <w:r>
        <w:rPr>
          <w:rFonts w:ascii="Times New Roman" w:cs="Times New Roman" w:eastAsia="Times New Roman" w:hAnsi="Times New Roman"/>
          <w:sz w:val="16"/>
          <w:szCs w:val="16"/>
          <w:color w:val="auto"/>
        </w:rPr>
        <w:t>Each Borrower grants and pledges to Bank a continuing security interest in all presently existing and hereafter</w:t>
      </w:r>
    </w:p>
    <w:p>
      <w:pPr>
        <w:spacing w:after="0" w:line="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acquired or arising Collateral in order to secure prompt repayment of any and all Obligations and in order to secure prompt performance by Borrowers of each of their covenants and duties under the Loan Documents. Such security interest constitutes a valid, first priority security interest in the presently existing Collateral, and will constitute a valid, first priority security interest in Collateral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18" w:right="339" w:bottom="1440" w:gutter="0" w:footer="0" w:header="0"/>
        </w:sectPr>
      </w:pPr>
    </w:p>
    <w:bookmarkStart w:id="641" w:name="page642"/>
    <w:bookmarkEnd w:id="641"/>
    <w:p>
      <w:pPr>
        <w:spacing w:after="0"/>
        <w:rPr>
          <w:sz w:val="20"/>
          <w:szCs w:val="20"/>
          <w:color w:val="auto"/>
        </w:rPr>
      </w:pPr>
      <w:r>
        <w:rPr>
          <w:rFonts w:ascii="Times New Roman" w:cs="Times New Roman" w:eastAsia="Times New Roman" w:hAnsi="Times New Roman"/>
          <w:sz w:val="17"/>
          <w:szCs w:val="17"/>
          <w:color w:val="auto"/>
        </w:rPr>
        <w:t>acquired after the date hereof, subject only to Permitted Liens that are permitted by the terms of this Agreement to have superior priority to Bank’s Lien.</w:t>
      </w:r>
    </w:p>
    <w:p>
      <w:pPr>
        <w:spacing w:after="0" w:line="199"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4.2 Delivery of Additional Documentation Required. </w:t>
      </w:r>
      <w:r>
        <w:rPr>
          <w:rFonts w:ascii="Times New Roman" w:cs="Times New Roman" w:eastAsia="Times New Roman" w:hAnsi="Times New Roman"/>
          <w:sz w:val="17"/>
          <w:szCs w:val="17"/>
          <w:color w:val="auto"/>
        </w:rPr>
        <w:t>Each Borrower shall from time to time execute and deliver to Bank, at the request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Bank, all Negotiable Collateral, all financing statements and other documents that Bank may reasonably request, in form satisfactory to Bank, to perfect and continue the perfection of Bank’s security interests in the Collateral and in order to fully consummate all of the transactions contemplated under the Loan Documents. Each Borrower from time to time may deposit with Bank specific time deposit accounts to secure specific Obligations. Each Borrower authorizes Bank to hold such balances in pledge and to decline to honor any drafts thereon or any request by any Borrower or any other Person to pay or otherwise transfer any part of such balances for so long as the Obligations are outstanding.</w:t>
      </w:r>
    </w:p>
    <w:p>
      <w:pPr>
        <w:spacing w:after="0" w:line="172"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4.3 Right to Inspect. </w:t>
      </w:r>
      <w:r>
        <w:rPr>
          <w:rFonts w:ascii="Times New Roman" w:cs="Times New Roman" w:eastAsia="Times New Roman" w:hAnsi="Times New Roman"/>
          <w:sz w:val="17"/>
          <w:szCs w:val="17"/>
          <w:color w:val="auto"/>
        </w:rPr>
        <w:t>Bank (through any of its officers, employees, or agents) shall have the right, upon reasonable prior notice, from time to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each Borrower’s usual business hours but no more than once a year (unless an Event of Default has occurred and is continuing), to inspect Borrower’s Books and to make copies thereof and to check, test, and appraise the Collateral in order to verify each Borrower’s financial condition or the amount, condition of, or any other matter relating to, the Collateral.</w:t>
      </w:r>
    </w:p>
    <w:p>
      <w:pPr>
        <w:spacing w:after="0" w:line="168" w:lineRule="exact"/>
        <w:rPr>
          <w:sz w:val="20"/>
          <w:szCs w:val="20"/>
          <w:color w:val="auto"/>
        </w:rPr>
      </w:pPr>
    </w:p>
    <w:p>
      <w:pPr>
        <w:ind w:left="1200" w:right="6660" w:hanging="603"/>
        <w:spacing w:after="0" w:line="519" w:lineRule="auto"/>
        <w:tabs>
          <w:tab w:leader="none" w:pos="1200" w:val="left"/>
        </w:tabs>
        <w:numPr>
          <w:ilvl w:val="0"/>
          <w:numId w:val="5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REPRESENTATION AND WARRANTIES. </w:t>
      </w:r>
      <w:r>
        <w:rPr>
          <w:rFonts w:ascii="Times New Roman" w:cs="Times New Roman" w:eastAsia="Times New Roman" w:hAnsi="Times New Roman"/>
          <w:sz w:val="16"/>
          <w:szCs w:val="16"/>
          <w:color w:val="auto"/>
        </w:rPr>
        <w:t>Each Borrower represents and warrants as follows:</w:t>
      </w:r>
    </w:p>
    <w:p>
      <w:pPr>
        <w:spacing w:after="0" w:line="1"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5.1 Due Organization and Qualification. </w:t>
      </w:r>
      <w:r>
        <w:rPr>
          <w:rFonts w:ascii="Times New Roman" w:cs="Times New Roman" w:eastAsia="Times New Roman" w:hAnsi="Times New Roman"/>
          <w:sz w:val="17"/>
          <w:szCs w:val="17"/>
          <w:color w:val="auto"/>
        </w:rPr>
        <w:t>Borrower and each Subsidiary is a corporation, limited liability company, partnership or other entity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duly existing under the laws of its state of incorporation or organization and qualified and licensed to do business in any state in which the conduct of its business or its ownership of property requires that it be so qualified.</w:t>
      </w:r>
    </w:p>
    <w:p>
      <w:pPr>
        <w:spacing w:after="0" w:line="164"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5.2 Due Authorization; No Conflict. </w:t>
      </w:r>
      <w:r>
        <w:rPr>
          <w:rFonts w:ascii="Times New Roman" w:cs="Times New Roman" w:eastAsia="Times New Roman" w:hAnsi="Times New Roman"/>
          <w:sz w:val="17"/>
          <w:szCs w:val="17"/>
          <w:color w:val="auto"/>
        </w:rPr>
        <w:t>The execution, delivery, and performance of the Loan Documents are within Borrower’s powers, have been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duly authorized, and are not in conflict with nor constitute a breach of any provision contained in Borrower’s Certificate of Incorporation, Bylaws, or Limited Liability Company Agreement, nor will they constitute an event of default under any material agreement to which Borrower is a party or by which Borrower is bound. Borrower is not in default under any material agreement to which it is a party or by which it is bound.</w:t>
      </w:r>
    </w:p>
    <w:p>
      <w:pPr>
        <w:spacing w:after="0" w:line="168"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6"/>
          <w:szCs w:val="16"/>
          <w:b w:val="1"/>
          <w:bCs w:val="1"/>
          <w:color w:val="auto"/>
        </w:rPr>
        <w:t xml:space="preserve">No Prior Encumbrances. </w:t>
      </w:r>
      <w:r>
        <w:rPr>
          <w:rFonts w:ascii="Times New Roman" w:cs="Times New Roman" w:eastAsia="Times New Roman" w:hAnsi="Times New Roman"/>
          <w:sz w:val="16"/>
          <w:szCs w:val="16"/>
          <w:color w:val="auto"/>
        </w:rPr>
        <w:t>Borrower has good and marketable title to its property, free and clear of Liens, except for Permitted Liens.</w:t>
      </w:r>
    </w:p>
    <w:p>
      <w:pPr>
        <w:spacing w:after="0" w:line="203"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5.4 Bona Fide Accounts. </w:t>
      </w:r>
      <w:r>
        <w:rPr>
          <w:rFonts w:ascii="Times New Roman" w:cs="Times New Roman" w:eastAsia="Times New Roman" w:hAnsi="Times New Roman"/>
          <w:sz w:val="17"/>
          <w:szCs w:val="17"/>
          <w:color w:val="auto"/>
        </w:rPr>
        <w:t>The Accounts are bona fide existing obligations. The property and services giving rise to such Accounts has been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delivered or rendered to the account debtor or to the account debtor’s agent for immediate and unconditional acceptance by the account debtor. Borrower has not received notice of actual or imminent Insolvency Proceeding of any account debtor.</w:t>
      </w:r>
    </w:p>
    <w:p>
      <w:pPr>
        <w:spacing w:after="0" w:line="164"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5.5 Merchantable Inventory. </w:t>
      </w:r>
      <w:r>
        <w:rPr>
          <w:rFonts w:ascii="Times New Roman" w:cs="Times New Roman" w:eastAsia="Times New Roman" w:hAnsi="Times New Roman"/>
          <w:sz w:val="17"/>
          <w:szCs w:val="17"/>
          <w:color w:val="auto"/>
        </w:rPr>
        <w:t>All Inventory is in all material respects of good and marketable quality, free from all material defects, except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Inventory for which adequate reserves have been made.</w:t>
      </w:r>
    </w:p>
    <w:p>
      <w:pPr>
        <w:spacing w:after="0" w:line="151"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5.6 Intellectual Property Collateral. </w:t>
      </w:r>
      <w:r>
        <w:rPr>
          <w:rFonts w:ascii="Times New Roman" w:cs="Times New Roman" w:eastAsia="Times New Roman" w:hAnsi="Times New Roman"/>
          <w:sz w:val="17"/>
          <w:szCs w:val="17"/>
          <w:color w:val="auto"/>
        </w:rPr>
        <w:t>Borrower is the sole owner of the Intellectual Property Collateral, except for non-exclusive licenses granted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Borrower to its customers in the ordinary course of business. Each of the Patents is valid and enforceable, and no part of the Intellectual Property Collateral has been judged invalid or unenforceable, in whole or in part, and no written claim has been made that any part of the Intellectual Property Collateral violates the rights of any third party. Except as set forth in the Schedule, Borrower’s rights as a licensee of intellectual property do not give rise to more than five percent (5%) of its gross revenue in any given month, including without limitation revenue derived from the sale, licensing, rendering or disposition of any product or service. Except as set forth in the Schedule, Borrower is not a party to, or bound by, any agreement for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18" w:right="339" w:bottom="1440" w:gutter="0" w:footer="0" w:header="0"/>
        </w:sectPr>
      </w:pPr>
    </w:p>
    <w:bookmarkStart w:id="642" w:name="page643"/>
    <w:bookmarkEnd w:id="642"/>
    <w:p>
      <w:pPr>
        <w:spacing w:after="0"/>
        <w:rPr>
          <w:sz w:val="20"/>
          <w:szCs w:val="20"/>
          <w:color w:val="auto"/>
        </w:rPr>
      </w:pPr>
      <w:r>
        <w:rPr>
          <w:rFonts w:ascii="Times New Roman" w:cs="Times New Roman" w:eastAsia="Times New Roman" w:hAnsi="Times New Roman"/>
          <w:sz w:val="17"/>
          <w:szCs w:val="17"/>
          <w:color w:val="auto"/>
        </w:rPr>
        <w:t>licensing of Intellectual Property Collateral by Borrower that restricts the grant by Borrower of a security interest in Borrower’s rights under such agreement.</w:t>
      </w:r>
    </w:p>
    <w:p>
      <w:pPr>
        <w:spacing w:after="0" w:line="199"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5.7 Name; Location of Chief Executive Office. </w:t>
      </w:r>
      <w:r>
        <w:rPr>
          <w:rFonts w:ascii="Times New Roman" w:cs="Times New Roman" w:eastAsia="Times New Roman" w:hAnsi="Times New Roman"/>
          <w:sz w:val="17"/>
          <w:szCs w:val="17"/>
          <w:color w:val="auto"/>
        </w:rPr>
        <w:t>Except as disclosed in the Schedule, Borrower has not done business under any name other than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specified on the signature page hereof. The chief executive office of Borrower is located at the address indicated in Section 10 hereof. All Borrower’s Inventory and Equipment is located only at the location set forth in Section 10 hereof (except for Inventory and Equipment (i) in transit from one location to another or (ii) being held by potential customers for periods of fewer than ninety (90) days).</w:t>
      </w:r>
    </w:p>
    <w:p>
      <w:pPr>
        <w:spacing w:after="0" w:line="168"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5.8 Litigation. </w:t>
      </w:r>
      <w:r>
        <w:rPr>
          <w:rFonts w:ascii="Times New Roman" w:cs="Times New Roman" w:eastAsia="Times New Roman" w:hAnsi="Times New Roman"/>
          <w:sz w:val="17"/>
          <w:szCs w:val="17"/>
          <w:color w:val="auto"/>
        </w:rPr>
        <w:t>Except as set forth in the Schedule, there are no actions or proceedings pending by or against Borrower or any Subsidiary before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court or administrative agency in which an adverse decision could have a Material Adverse Effect, or a material adverse effect on Borrower’s interest or Bank’s security interest in the Collateral.</w:t>
      </w:r>
    </w:p>
    <w:p>
      <w:pPr>
        <w:spacing w:after="0" w:line="164"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5.9 No Material Adverse Change in Financial Statements. </w:t>
      </w:r>
      <w:r>
        <w:rPr>
          <w:rFonts w:ascii="Times New Roman" w:cs="Times New Roman" w:eastAsia="Times New Roman" w:hAnsi="Times New Roman"/>
          <w:sz w:val="17"/>
          <w:szCs w:val="17"/>
          <w:color w:val="auto"/>
        </w:rPr>
        <w:t>All consolidated and consolidating financial statements related to Borrower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Subsidiary that Bank has received from Borrower fairly present in all material respects Borrower’s financial condition as of the date thereof and Borrower’s consolidated and consolidating results of operations for the period then ended. There has not been a material adverse change in the consolidated or the consolidating financial condition of Borrower since the date of the most recent of such financial statements submitted to Bank.</w:t>
      </w:r>
    </w:p>
    <w:p>
      <w:pPr>
        <w:spacing w:after="0" w:line="168"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5.10</w:t>
      </w:r>
      <w:r>
        <w:rPr>
          <w:sz w:val="20"/>
          <w:szCs w:val="20"/>
          <w:color w:val="auto"/>
        </w:rPr>
        <w:tab/>
      </w:r>
      <w:r>
        <w:rPr>
          <w:rFonts w:ascii="Times New Roman" w:cs="Times New Roman" w:eastAsia="Times New Roman" w:hAnsi="Times New Roman"/>
          <w:sz w:val="16"/>
          <w:szCs w:val="16"/>
          <w:b w:val="1"/>
          <w:bCs w:val="1"/>
          <w:color w:val="auto"/>
        </w:rPr>
        <w:t xml:space="preserve">Solvency, Payment of Debts. </w:t>
      </w:r>
      <w:r>
        <w:rPr>
          <w:rFonts w:ascii="Times New Roman" w:cs="Times New Roman" w:eastAsia="Times New Roman" w:hAnsi="Times New Roman"/>
          <w:sz w:val="16"/>
          <w:szCs w:val="16"/>
          <w:color w:val="auto"/>
        </w:rPr>
        <w:t>Borrower is solvent and able to pay its debts (including trade debts) as they mature.</w:t>
      </w:r>
    </w:p>
    <w:p>
      <w:pPr>
        <w:spacing w:after="0" w:line="203" w:lineRule="exact"/>
        <w:rPr>
          <w:sz w:val="20"/>
          <w:szCs w:val="20"/>
          <w:color w:val="auto"/>
        </w:rPr>
      </w:pPr>
    </w:p>
    <w:p>
      <w:pPr>
        <w:jc w:val="both"/>
        <w:ind w:firstLine="1195"/>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5.11 Regulatory Compliance. </w:t>
      </w:r>
      <w:r>
        <w:rPr>
          <w:rFonts w:ascii="Times New Roman" w:cs="Times New Roman" w:eastAsia="Times New Roman" w:hAnsi="Times New Roman"/>
          <w:sz w:val="17"/>
          <w:szCs w:val="17"/>
          <w:color w:val="auto"/>
        </w:rPr>
        <w:t>Borrower and each Subsidiary have met the minimum funding requirements of ERISA with respect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benefit plans subject to ERISA, and no event has occurred resulting from Borrower’s failure to comply with ERISA that could result in Borrower’s incurring any material liability. Borrower is not an “investment company” or a company “controlled” by an “investment company” within the meaning of the Investment Company Act of 1940. Borrower is not engaged principally, or as one of the important activities, in the business of extending credit for the purpose of purchasing or carrying margin stock (within the meaning of Regulations T and U of the Board of Governors of the Federal Reserve System). Borrower has complied with all the provisions of the Federal Fair Labor Standards Act. Borrower has not violated any statutes, laws, ordinances or rules applicable to it, the violation of which could have a Material Adverse Effect.</w:t>
      </w:r>
    </w:p>
    <w:p>
      <w:pPr>
        <w:spacing w:after="0" w:line="173" w:lineRule="exact"/>
        <w:rPr>
          <w:sz w:val="20"/>
          <w:szCs w:val="20"/>
          <w:color w:val="auto"/>
        </w:rPr>
      </w:pPr>
    </w:p>
    <w:p>
      <w:pPr>
        <w:jc w:val="both"/>
        <w:ind w:firstLine="119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5.12 Environmental Condition. </w:t>
      </w:r>
      <w:r>
        <w:rPr>
          <w:rFonts w:ascii="Times New Roman" w:cs="Times New Roman" w:eastAsia="Times New Roman" w:hAnsi="Times New Roman"/>
          <w:sz w:val="17"/>
          <w:szCs w:val="17"/>
          <w:color w:val="auto"/>
        </w:rPr>
        <w:t>Except as disclosed in the Schedule, none of Borrower’s or any Subsidiary’s properties or assets has ever been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used by Borrower or any Subsidiary or, to the best of Borrower’s knowledge, by previous owners or operators, in the disposal of, or to produce, store, handle, treat, release, or transport, any hazardous waste or hazardous substance other than in accordance with applicable law; to the best of Borrower’s knowledge, none of Borrower’s properties or assets has ever been designated or identified in any manner pursuant to any environmental protection statute as a hazardous waste or hazardous substance disposal site, or a candidate for closure pursuant to any environmental protection statute; no lien arising under any environmental protection statute has attached to any revenues or to any real or personal property owned by Borrower or any Subsidiary; and neither Borrower nor any Subsidiary has received a summons, citation, notice, or directive from the Environmental Protection Agency or any other federal, state or other governmental agency concerning any action or omission by Borrower or any Subsidiary resulting in the releasing, or otherwise disposing of hazardous waste or hazardous substances into the environment.</w:t>
      </w:r>
    </w:p>
    <w:p>
      <w:pPr>
        <w:spacing w:after="0" w:line="176"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5.13 Taxes. </w:t>
      </w:r>
      <w:r>
        <w:rPr>
          <w:rFonts w:ascii="Times New Roman" w:cs="Times New Roman" w:eastAsia="Times New Roman" w:hAnsi="Times New Roman"/>
          <w:sz w:val="17"/>
          <w:szCs w:val="17"/>
          <w:color w:val="auto"/>
        </w:rPr>
        <w:t>Borrower and each Subsidiary have filed or caused to be filed all tax returns required to be filed, and have paid, or have made adequate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 for the payment of, all taxes reflected therein.</w:t>
      </w:r>
    </w:p>
    <w:p>
      <w:pPr>
        <w:spacing w:after="0" w:line="151"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 xml:space="preserve">Subsidiaries. </w:t>
      </w:r>
      <w:r>
        <w:rPr>
          <w:rFonts w:ascii="Times New Roman" w:cs="Times New Roman" w:eastAsia="Times New Roman" w:hAnsi="Times New Roman"/>
          <w:sz w:val="17"/>
          <w:szCs w:val="17"/>
          <w:color w:val="auto"/>
        </w:rPr>
        <w:t>Borrower does not own any stock, partnership interest or other equity securities of any Person, except for Permitted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17" w:right="339" w:bottom="1440" w:gutter="0" w:footer="0" w:header="0"/>
        </w:sectPr>
      </w:pPr>
    </w:p>
    <w:bookmarkStart w:id="643" w:name="page644"/>
    <w:bookmarkEnd w:id="643"/>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5.15 Government Consents. </w:t>
      </w:r>
      <w:r>
        <w:rPr>
          <w:rFonts w:ascii="Times New Roman" w:cs="Times New Roman" w:eastAsia="Times New Roman" w:hAnsi="Times New Roman"/>
          <w:sz w:val="17"/>
          <w:szCs w:val="17"/>
          <w:color w:val="auto"/>
        </w:rPr>
        <w:t>Borrower and each Subsidiary have obtained all material consents, approvals and authorizations of, made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declarations or filings with, and given all notices to, all governmental authorities that are necessary for the continued operation of Borrower’s business as currently conducted.</w:t>
      </w:r>
    </w:p>
    <w:p>
      <w:pPr>
        <w:spacing w:after="0" w:line="164"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5.16 Operating, Depository and Investment Accounts. </w:t>
      </w:r>
      <w:r>
        <w:rPr>
          <w:rFonts w:ascii="Times New Roman" w:cs="Times New Roman" w:eastAsia="Times New Roman" w:hAnsi="Times New Roman"/>
          <w:sz w:val="17"/>
          <w:szCs w:val="17"/>
          <w:color w:val="auto"/>
        </w:rPr>
        <w:t>Except as set forth in the Schedule, none of Borrower’s nor any Subsidiary’s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depository or investment accounts are maintained or invested with a Person other than Bank.</w:t>
      </w:r>
    </w:p>
    <w:p>
      <w:pPr>
        <w:spacing w:after="0" w:line="151"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5.17 Full Disclosure. </w:t>
      </w:r>
      <w:r>
        <w:rPr>
          <w:rFonts w:ascii="Times New Roman" w:cs="Times New Roman" w:eastAsia="Times New Roman" w:hAnsi="Times New Roman"/>
          <w:sz w:val="17"/>
          <w:szCs w:val="17"/>
          <w:color w:val="auto"/>
        </w:rPr>
        <w:t>No representation, warranty or other statement made by Borrower in any certificate or written statement furnished to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contains any untrue statement of a material fact or omits to state a material fact necessary in order to make the statements contained in such certificates or statements not misleading.</w:t>
      </w:r>
    </w:p>
    <w:p>
      <w:pPr>
        <w:spacing w:after="0" w:line="164" w:lineRule="exact"/>
        <w:rPr>
          <w:sz w:val="20"/>
          <w:szCs w:val="20"/>
          <w:color w:val="auto"/>
        </w:rPr>
      </w:pPr>
    </w:p>
    <w:p>
      <w:pPr>
        <w:ind w:left="1200" w:hanging="603"/>
        <w:spacing w:after="0"/>
        <w:tabs>
          <w:tab w:leader="none" w:pos="1200" w:val="left"/>
        </w:tabs>
        <w:numPr>
          <w:ilvl w:val="0"/>
          <w:numId w:val="5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AFFIRMATIVE COVENANTS.</w:t>
      </w:r>
    </w:p>
    <w:p>
      <w:pPr>
        <w:spacing w:after="0" w:line="206"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Borrower (except as indicated) shall do all of the following:</w:t>
      </w:r>
    </w:p>
    <w:p>
      <w:pPr>
        <w:spacing w:after="0" w:line="199"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6.1 Good Standing. </w:t>
      </w:r>
      <w:r>
        <w:rPr>
          <w:rFonts w:ascii="Times New Roman" w:cs="Times New Roman" w:eastAsia="Times New Roman" w:hAnsi="Times New Roman"/>
          <w:sz w:val="17"/>
          <w:szCs w:val="17"/>
          <w:color w:val="auto"/>
        </w:rPr>
        <w:t>Borrower shall maintain its and each of its Subsidiaries’ existence and good standing in its jurisdiction of incorporation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and maintain qualification in each jurisdiction in which it is required under applicable law. Borrower shall maintain, and shall cause each of its Subsidiaries to maintain, in force all licenses, approvals and agreements, the loss of which could reasonably be expected to have a Material Adverse Effect.</w:t>
      </w:r>
    </w:p>
    <w:p>
      <w:pPr>
        <w:spacing w:after="0" w:line="164"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6.2 Government Compliance. </w:t>
      </w:r>
      <w:r>
        <w:rPr>
          <w:rFonts w:ascii="Times New Roman" w:cs="Times New Roman" w:eastAsia="Times New Roman" w:hAnsi="Times New Roman"/>
          <w:sz w:val="17"/>
          <w:szCs w:val="17"/>
          <w:color w:val="auto"/>
        </w:rPr>
        <w:t>Borrower shall meet, and shall cause each Subsidiary to meet, the minimum funding requirements of ERISA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any employee benefit plans subject to ERISA. Borrower shall comply, and shall cause each Subsidiary to comply, with all statutes, laws, ordinances and government rules and regulations to which it is subject, noncompliance with which could reasonably be expected to have a Material Adverse Effect.</w:t>
      </w:r>
    </w:p>
    <w:p>
      <w:pPr>
        <w:spacing w:after="0" w:line="164"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6.3</w:t>
      </w:r>
      <w:r>
        <w:rPr>
          <w:sz w:val="20"/>
          <w:szCs w:val="20"/>
          <w:color w:val="auto"/>
        </w:rPr>
        <w:tab/>
      </w:r>
      <w:r>
        <w:rPr>
          <w:rFonts w:ascii="Times New Roman" w:cs="Times New Roman" w:eastAsia="Times New Roman" w:hAnsi="Times New Roman"/>
          <w:sz w:val="16"/>
          <w:szCs w:val="16"/>
          <w:b w:val="1"/>
          <w:bCs w:val="1"/>
          <w:color w:val="auto"/>
        </w:rPr>
        <w:t>Financial Statements, Reports, Certificates</w:t>
      </w:r>
      <w:r>
        <w:rPr>
          <w:rFonts w:ascii="Times New Roman" w:cs="Times New Roman" w:eastAsia="Times New Roman" w:hAnsi="Times New Roman"/>
          <w:sz w:val="16"/>
          <w:szCs w:val="16"/>
          <w:color w:val="auto"/>
        </w:rPr>
        <w:t>. Parent shall deliver the following to Bank:</w:t>
      </w:r>
    </w:p>
    <w:p>
      <w:pPr>
        <w:spacing w:after="0" w:line="207" w:lineRule="exact"/>
        <w:rPr>
          <w:sz w:val="20"/>
          <w:szCs w:val="20"/>
          <w:color w:val="auto"/>
        </w:rPr>
      </w:pPr>
    </w:p>
    <w:p>
      <w:pPr>
        <w:jc w:val="both"/>
        <w:ind w:firstLine="1791"/>
        <w:spacing w:after="0" w:line="249" w:lineRule="auto"/>
        <w:tabs>
          <w:tab w:leader="none" w:pos="2383" w:val="left"/>
        </w:tabs>
        <w:numPr>
          <w:ilvl w:val="0"/>
          <w:numId w:val="5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 as soon as available, but in any event within (y) thirty (30) days after the end of each calendar month, or (z) forty-five (45) days after the end of each fiscal quarter if Borrowers have consummated an initial public offering, a company prepared consolidated balance sheet, income statement, and cash flow statement covering Borrowers’ consolidated operations during such period, prepared in accordance with GAAP, consistently applied, in a form acceptable to Bank and certified by a Responsible Officer, and (ii) upon Bank’s request, as soon as available, but in any event within thirty (30) days after the end of each fiscal quarter, a company prepared consolidating balance sheet, income statement, and cash flow statement covering Borrowers’ consolidating operations during such period, prepared in accordance with GAAP, consistently applied, in a form acceptable to Bank and certified by a Responsible Officer;</w:t>
      </w:r>
    </w:p>
    <w:p>
      <w:pPr>
        <w:spacing w:after="0" w:line="176" w:lineRule="exact"/>
        <w:rPr>
          <w:rFonts w:ascii="Times New Roman" w:cs="Times New Roman" w:eastAsia="Times New Roman" w:hAnsi="Times New Roman"/>
          <w:sz w:val="17"/>
          <w:szCs w:val="17"/>
          <w:b w:val="1"/>
          <w:bCs w:val="1"/>
          <w:color w:val="auto"/>
        </w:rPr>
      </w:pPr>
    </w:p>
    <w:p>
      <w:pPr>
        <w:jc w:val="both"/>
        <w:ind w:firstLine="1791"/>
        <w:spacing w:after="0" w:line="252" w:lineRule="auto"/>
        <w:tabs>
          <w:tab w:leader="none" w:pos="2380" w:val="left"/>
        </w:tabs>
        <w:numPr>
          <w:ilvl w:val="0"/>
          <w:numId w:val="5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soon as available, but in any event within two hundred ten (210) days after the end of Borrowers’ fiscal year, beginning with Borrowers’ 2020 fiscal year, audited consolidated and consolidating financial statements of Borrowers prepared in accordance with GAAP, consistently applied, together with an unqualified opinion on such financial statements of an independent certified public accounting firm reasonably acceptable to Bank; provided, however, for Borrowers’ 2019 fiscal year, such financial statements must be delivered to Bank in final form by no later than June 30, 2021;</w:t>
      </w:r>
    </w:p>
    <w:p>
      <w:pPr>
        <w:spacing w:after="0" w:line="174" w:lineRule="exact"/>
        <w:rPr>
          <w:rFonts w:ascii="Times New Roman" w:cs="Times New Roman" w:eastAsia="Times New Roman" w:hAnsi="Times New Roman"/>
          <w:sz w:val="17"/>
          <w:szCs w:val="17"/>
          <w:b w:val="1"/>
          <w:bCs w:val="1"/>
          <w:color w:val="auto"/>
        </w:rPr>
      </w:pPr>
    </w:p>
    <w:p>
      <w:pPr>
        <w:jc w:val="both"/>
        <w:ind w:firstLine="1791"/>
        <w:spacing w:after="0" w:line="256" w:lineRule="auto"/>
        <w:tabs>
          <w:tab w:leader="none" w:pos="2386" w:val="left"/>
        </w:tabs>
        <w:numPr>
          <w:ilvl w:val="0"/>
          <w:numId w:val="5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 copies of all statements, reports and notices sent or made available generally by any Borrower to its security holders or to any holders of Subordinated Debt; provided that such distribution is permitted by any subordination or intercreditor agreement in place with the holders of Subordinated Debt and (ii) if applicable, all reports on Forms 10-K and 10-Q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14" w:right="339" w:bottom="1440" w:gutter="0" w:footer="0" w:header="0"/>
        </w:sectPr>
      </w:pPr>
    </w:p>
    <w:bookmarkStart w:id="644" w:name="page645"/>
    <w:bookmarkEnd w:id="644"/>
    <w:p>
      <w:pPr>
        <w:ind w:firstLine="1791"/>
        <w:spacing w:after="0" w:line="269" w:lineRule="auto"/>
        <w:tabs>
          <w:tab w:leader="none" w:pos="2380" w:val="left"/>
        </w:tabs>
        <w:numPr>
          <w:ilvl w:val="0"/>
          <w:numId w:val="5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promptly upon receipt of notice thereof, a report of any legal actions pending or threatened against a Borrower or any Subsidiary which could reasonably be expected to result in damages or costs to such Borrower or any Subsidiary of Two Hundred Fifty Thousand Dollars ($250,000) or more;</w:t>
      </w:r>
    </w:p>
    <w:p>
      <w:pPr>
        <w:spacing w:after="0" w:line="159" w:lineRule="exact"/>
        <w:rPr>
          <w:rFonts w:ascii="Times New Roman" w:cs="Times New Roman" w:eastAsia="Times New Roman" w:hAnsi="Times New Roman"/>
          <w:sz w:val="17"/>
          <w:szCs w:val="17"/>
          <w:b w:val="1"/>
          <w:bCs w:val="1"/>
          <w:color w:val="auto"/>
        </w:rPr>
      </w:pPr>
    </w:p>
    <w:p>
      <w:pPr>
        <w:jc w:val="both"/>
        <w:ind w:firstLine="1791"/>
        <w:spacing w:after="0" w:line="248" w:lineRule="auto"/>
        <w:tabs>
          <w:tab w:leader="none" w:pos="2386" w:val="left"/>
        </w:tabs>
        <w:numPr>
          <w:ilvl w:val="0"/>
          <w:numId w:val="5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soon as available, but in any event within the earlier of (x) thirty (30) days after approval by each Borrower’s board of directors, or (y) sixty (60) days after the end of each fiscal year of each Borrower, (i) annual operating budgets (including income statements, balance sheets and cash flow statements, by month) for the upcoming fiscal year of each Borrower, and (ii) annual financial projections for the following fiscal year as approved by each Borrower’s board of directors and by Bank in its sole but reasonable discretion, together with any related business forecasts used in the preparation of such annual financial projections; provided, however, that if Borrower has not delivered such annual operating budgets and financial projections within thirty (30) days after the end of each fiscal year of each Borrower, Bank may request and Borrower shall deliver draft annual operating budgets and financial projections upon three (3) Business Days’ notice; and</w:t>
      </w:r>
    </w:p>
    <w:p>
      <w:pPr>
        <w:spacing w:after="0" w:line="178"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budgets, sales projections, operating plans or other financial information as Bank may reasonably request from time to time.</w:t>
      </w:r>
    </w:p>
    <w:p>
      <w:pPr>
        <w:spacing w:after="0" w:line="203"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Parent shall deliver to Bank with the monthly financial statements a Compliance Certificate signed by a Responsible Officer in substantially the form of Exhibit C hereto, together with aged listings of accounts receivable and accounts payable by invoice date, and an inventory turnover workbook.</w:t>
      </w:r>
    </w:p>
    <w:p>
      <w:pPr>
        <w:spacing w:after="0" w:line="159" w:lineRule="exact"/>
        <w:rPr>
          <w:sz w:val="20"/>
          <w:szCs w:val="20"/>
          <w:color w:val="auto"/>
        </w:rPr>
      </w:pPr>
    </w:p>
    <w:p>
      <w:pPr>
        <w:jc w:val="both"/>
        <w:ind w:firstLine="597"/>
        <w:spacing w:after="0" w:line="269" w:lineRule="auto"/>
        <w:rPr>
          <w:sz w:val="20"/>
          <w:szCs w:val="20"/>
          <w:color w:val="auto"/>
        </w:rPr>
      </w:pPr>
      <w:r>
        <w:rPr>
          <w:rFonts w:ascii="Times New Roman" w:cs="Times New Roman" w:eastAsia="Times New Roman" w:hAnsi="Times New Roman"/>
          <w:sz w:val="17"/>
          <w:szCs w:val="17"/>
          <w:color w:val="auto"/>
        </w:rPr>
        <w:t>Bank shall have a right from time to time hereafter to audit each Borrower’s Accounts and appraise Collateral at Borrowers’ expense, provided that such audits will be conducted no more often than once every twelve (12) months unless an Event of Default has occurred and is continuing.</w:t>
      </w:r>
    </w:p>
    <w:p>
      <w:pPr>
        <w:spacing w:after="0" w:line="155" w:lineRule="exact"/>
        <w:rPr>
          <w:sz w:val="20"/>
          <w:szCs w:val="20"/>
          <w:color w:val="auto"/>
        </w:rPr>
      </w:pPr>
    </w:p>
    <w:p>
      <w:pPr>
        <w:jc w:val="both"/>
        <w:ind w:firstLine="1195"/>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6.4 Inventory; Returns. </w:t>
      </w:r>
      <w:r>
        <w:rPr>
          <w:rFonts w:ascii="Times New Roman" w:cs="Times New Roman" w:eastAsia="Times New Roman" w:hAnsi="Times New Roman"/>
          <w:sz w:val="16"/>
          <w:szCs w:val="16"/>
          <w:color w:val="auto"/>
        </w:rPr>
        <w:t>Borrower shall keep all Inventory in good and marketable condition, free from all material defects except for Inventory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which adequate reserves have been made. Returns and allowances, if any, as between Borrower and its account debtors shall be on the same basis and in accordance with the usual customary practices of Borrower, as they exist at the time of the execution and delivery of this Agreement. Borrower shall promptly notify Bank of all returns and recoveries and of all disputes and claims, where the return, recovery, dispute or claim involves more than One Hundred Thousand Dollars ($100,000).</w:t>
      </w:r>
    </w:p>
    <w:p>
      <w:pPr>
        <w:spacing w:after="0" w:line="152" w:lineRule="exact"/>
        <w:rPr>
          <w:sz w:val="20"/>
          <w:szCs w:val="20"/>
          <w:color w:val="auto"/>
        </w:rPr>
      </w:pPr>
    </w:p>
    <w:p>
      <w:pPr>
        <w:jc w:val="both"/>
        <w:ind w:firstLine="1195"/>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6.5 Taxes. </w:t>
      </w:r>
      <w:r>
        <w:rPr>
          <w:rFonts w:ascii="Times New Roman" w:cs="Times New Roman" w:eastAsia="Times New Roman" w:hAnsi="Times New Roman"/>
          <w:sz w:val="17"/>
          <w:szCs w:val="17"/>
          <w:color w:val="auto"/>
        </w:rPr>
        <w:t>Borrower shall make, and shall cause each Subsidiary to make, due and timely payment or deposit of all material federal, state,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local taxes, assessments, or contributions required of it by law, and will execute and deliver to Bank, on demand, appropriate certificates attesting to the payment or deposit thereof; and Borrower will make, and will cause each Subsidiary to make, timely payment or deposit of all material tax payments and withholding taxes required of it by applicable laws, including, but not limited to, those laws concerning F.I.C.A., F.U.T.A., state disability, and local, state, and federal income taxes, and will, upon request, furnish Bank with proof satisfactory to Bank indicating that Borrower or a Subsidiary has made such payments or deposits; provided that Borrower or a Subsidiary need not make any payment if the amount or validity of such payment is contested in good faith by appropriate proceedings and is reserved against (to the extent required by GAAP) by Borrower.</w:t>
      </w:r>
    </w:p>
    <w:p>
      <w:pPr>
        <w:spacing w:after="0" w:line="173"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6.6</w:t>
      </w:r>
      <w:r>
        <w:rPr>
          <w:sz w:val="20"/>
          <w:szCs w:val="20"/>
          <w:color w:val="auto"/>
        </w:rPr>
        <w:tab/>
      </w:r>
      <w:r>
        <w:rPr>
          <w:rFonts w:ascii="Times New Roman" w:cs="Times New Roman" w:eastAsia="Times New Roman" w:hAnsi="Times New Roman"/>
          <w:sz w:val="16"/>
          <w:szCs w:val="16"/>
          <w:b w:val="1"/>
          <w:bCs w:val="1"/>
          <w:color w:val="auto"/>
        </w:rPr>
        <w:t>Insurance.</w:t>
      </w:r>
    </w:p>
    <w:p>
      <w:pPr>
        <w:spacing w:after="0" w:line="207" w:lineRule="exact"/>
        <w:rPr>
          <w:sz w:val="20"/>
          <w:szCs w:val="20"/>
          <w:color w:val="auto"/>
        </w:rPr>
      </w:pPr>
    </w:p>
    <w:p>
      <w:pPr>
        <w:jc w:val="both"/>
        <w:ind w:firstLine="1791"/>
        <w:spacing w:after="0" w:line="252" w:lineRule="auto"/>
        <w:tabs>
          <w:tab w:leader="none" w:pos="2383" w:val="left"/>
        </w:tabs>
        <w:numPr>
          <w:ilvl w:val="0"/>
          <w:numId w:val="5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at its expense, shall keep the Collateral insured against loss or damage by fire, theft, explosion, sprinklers, and all other hazards and risks, and in such amounts, as ordinarily insured against by other owners in similar businesses conducted in the locations where Borrower’s business is conducted on the date hereof. Borrower shall also maintain insurance relating to Borrower’s business, ownership and use of the Collateral in amounts and of a type that are customary to businesses similar to Borrower’s.</w:t>
      </w:r>
    </w:p>
    <w:p>
      <w:pPr>
        <w:spacing w:after="0" w:line="174" w:lineRule="exact"/>
        <w:rPr>
          <w:rFonts w:ascii="Times New Roman" w:cs="Times New Roman" w:eastAsia="Times New Roman" w:hAnsi="Times New Roman"/>
          <w:sz w:val="17"/>
          <w:szCs w:val="17"/>
          <w:b w:val="1"/>
          <w:bCs w:val="1"/>
          <w:color w:val="auto"/>
        </w:rPr>
      </w:pPr>
    </w:p>
    <w:p>
      <w:pPr>
        <w:jc w:val="both"/>
        <w:ind w:firstLine="1791"/>
        <w:spacing w:after="0" w:line="256" w:lineRule="auto"/>
        <w:tabs>
          <w:tab w:leader="none" w:pos="2380" w:val="left"/>
        </w:tabs>
        <w:numPr>
          <w:ilvl w:val="0"/>
          <w:numId w:val="5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such policies of insurance shall be in such form, with such companies, and in such amounts as are reasonably satisfactory to Bank. All such policies of property insurance shall contain a lender’s loss payable endorsement, in a form satisfactory to Bank, showing Bank as an additional loss payee thereof, and all</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18" w:right="339" w:bottom="1440" w:gutter="0" w:footer="0" w:header="0"/>
        </w:sectPr>
      </w:pPr>
    </w:p>
    <w:bookmarkStart w:id="645" w:name="page646"/>
    <w:bookmarkEnd w:id="645"/>
    <w:p>
      <w:pPr>
        <w:jc w:val="both"/>
        <w:spacing w:after="0" w:line="256" w:lineRule="auto"/>
        <w:rPr>
          <w:sz w:val="20"/>
          <w:szCs w:val="20"/>
          <w:color w:val="auto"/>
        </w:rPr>
      </w:pPr>
      <w:r>
        <w:rPr>
          <w:rFonts w:ascii="Times New Roman" w:cs="Times New Roman" w:eastAsia="Times New Roman" w:hAnsi="Times New Roman"/>
          <w:sz w:val="17"/>
          <w:szCs w:val="17"/>
          <w:color w:val="auto"/>
        </w:rPr>
        <w:t>liability insurance policies shall show the Bank as an additional insured and shall specify that the insurer must give at least twenty (20) days notice to Bank before canceling its policy for any reason. Upon Bank’s request, Borrower shall deliver to Bank certificates of insurance evidencing coverage in good standing. All proceeds payable under any such policy shall, at the option of Bank, be payable to Bank to be applied on account of the Obligations.</w:t>
      </w:r>
    </w:p>
    <w:p>
      <w:pPr>
        <w:spacing w:after="0" w:line="167"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6.7</w:t>
      </w:r>
      <w:r>
        <w:rPr>
          <w:sz w:val="20"/>
          <w:szCs w:val="20"/>
          <w:color w:val="auto"/>
        </w:rPr>
        <w:tab/>
      </w:r>
      <w:r>
        <w:rPr>
          <w:rFonts w:ascii="Times New Roman" w:cs="Times New Roman" w:eastAsia="Times New Roman" w:hAnsi="Times New Roman"/>
          <w:sz w:val="16"/>
          <w:szCs w:val="16"/>
          <w:b w:val="1"/>
          <w:bCs w:val="1"/>
          <w:color w:val="auto"/>
        </w:rPr>
        <w:t>Accounts.</w:t>
      </w:r>
    </w:p>
    <w:p>
      <w:pPr>
        <w:spacing w:after="0" w:line="207" w:lineRule="exact"/>
        <w:rPr>
          <w:sz w:val="20"/>
          <w:szCs w:val="20"/>
          <w:color w:val="auto"/>
        </w:rPr>
      </w:pPr>
    </w:p>
    <w:p>
      <w:pPr>
        <w:ind w:firstLine="1791"/>
        <w:spacing w:after="0" w:line="269" w:lineRule="auto"/>
        <w:tabs>
          <w:tab w:leader="none" w:pos="2383" w:val="left"/>
        </w:tabs>
        <w:numPr>
          <w:ilvl w:val="0"/>
          <w:numId w:val="5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shall maintain and shall cause each of its Subsidiaries to maintain its primary depository and operating accounts with Bank, which shall maintain an average monthly balance of not less than Fifteen Million Dollars ($15,000,000).</w:t>
      </w:r>
    </w:p>
    <w:p>
      <w:pPr>
        <w:spacing w:after="0" w:line="159" w:lineRule="exact"/>
        <w:rPr>
          <w:rFonts w:ascii="Times New Roman" w:cs="Times New Roman" w:eastAsia="Times New Roman" w:hAnsi="Times New Roman"/>
          <w:sz w:val="17"/>
          <w:szCs w:val="17"/>
          <w:b w:val="1"/>
          <w:bCs w:val="1"/>
          <w:color w:val="auto"/>
        </w:rPr>
      </w:pPr>
    </w:p>
    <w:p>
      <w:pPr>
        <w:jc w:val="both"/>
        <w:ind w:firstLine="1791"/>
        <w:spacing w:after="0" w:line="256" w:lineRule="auto"/>
        <w:tabs>
          <w:tab w:leader="none" w:pos="2380" w:val="left"/>
        </w:tabs>
        <w:numPr>
          <w:ilvl w:val="0"/>
          <w:numId w:val="5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Borrower has any cash in excess of Fifteen Million Dollars ($15,000,000), Borrower shall maintain and shall cause each of its Subsidiaries to maintain the balance of any such excess cash in accounts with Bank, until the average daily balance equals at least Five Million Dollars ($5,000,000). So long as Borrower complies with this covenant, Borrower will be permitted to deposit cash in excess of the foregoing without restriction.</w:t>
      </w:r>
    </w:p>
    <w:p>
      <w:pPr>
        <w:spacing w:after="0" w:line="170" w:lineRule="exact"/>
        <w:rPr>
          <w:rFonts w:ascii="Times New Roman" w:cs="Times New Roman" w:eastAsia="Times New Roman" w:hAnsi="Times New Roman"/>
          <w:sz w:val="17"/>
          <w:szCs w:val="17"/>
          <w:b w:val="1"/>
          <w:bCs w:val="1"/>
          <w:color w:val="auto"/>
        </w:rPr>
      </w:pPr>
    </w:p>
    <w:p>
      <w:pPr>
        <w:jc w:val="both"/>
        <w:ind w:firstLine="1791"/>
        <w:spacing w:after="0" w:line="256" w:lineRule="auto"/>
        <w:tabs>
          <w:tab w:leader="none" w:pos="2386" w:val="left"/>
        </w:tabs>
        <w:numPr>
          <w:ilvl w:val="0"/>
          <w:numId w:val="5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the foregoing, (1) Borrower may continue to maintain its existing depository and operating accounts outside Bank with satisfactory Control Agreements and (2) its existing and future accounts with PT Providers, without control agreements, so long as the aggregate principal balance held across all such accounts does not exceed the standard one to two day payment-in-transit period or Two Million Dollars ($2,000,000).</w:t>
      </w:r>
    </w:p>
    <w:p>
      <w:pPr>
        <w:spacing w:after="0" w:line="170" w:lineRule="exact"/>
        <w:rPr>
          <w:rFonts w:ascii="Times New Roman" w:cs="Times New Roman" w:eastAsia="Times New Roman" w:hAnsi="Times New Roman"/>
          <w:sz w:val="17"/>
          <w:szCs w:val="17"/>
          <w:b w:val="1"/>
          <w:bCs w:val="1"/>
          <w:color w:val="auto"/>
        </w:rPr>
      </w:pPr>
    </w:p>
    <w:p>
      <w:pPr>
        <w:jc w:val="both"/>
        <w:ind w:firstLine="1791"/>
        <w:spacing w:after="0" w:line="256" w:lineRule="auto"/>
        <w:tabs>
          <w:tab w:leader="none" w:pos="2380" w:val="left"/>
        </w:tabs>
        <w:numPr>
          <w:ilvl w:val="0"/>
          <w:numId w:val="5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shall endeavor to utilize and shall cause each of its Subsidiaries to endeavor to utilize Bank’s International Banking Division for any international banking services required by Borrower, including, but not limited to, foreign currency wires, hedges, swaps, FX Contracts, and Letters of Credit.</w:t>
      </w:r>
    </w:p>
    <w:p>
      <w:pPr>
        <w:spacing w:after="0" w:line="170" w:lineRule="exact"/>
        <w:rPr>
          <w:rFonts w:ascii="Times New Roman" w:cs="Times New Roman" w:eastAsia="Times New Roman" w:hAnsi="Times New Roman"/>
          <w:sz w:val="17"/>
          <w:szCs w:val="17"/>
          <w:b w:val="1"/>
          <w:bCs w:val="1"/>
          <w:color w:val="auto"/>
        </w:rPr>
      </w:pPr>
    </w:p>
    <w:p>
      <w:pPr>
        <w:jc w:val="both"/>
        <w:ind w:firstLine="1791"/>
        <w:spacing w:after="0" w:line="248" w:lineRule="auto"/>
        <w:tabs>
          <w:tab w:leader="none" w:pos="2386" w:val="left"/>
        </w:tabs>
        <w:numPr>
          <w:ilvl w:val="0"/>
          <w:numId w:val="5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addition to and without limiting the restrictions in (a), Borrower shall provide Bank five (5) days prior written notice before establishing any banking or investment account at or with any bank or financial institution other than Bank or Bank’s Affiliates. For each banking or investment account that Borrower at any time maintains, Borrower shall cause the applicable bank or financial institution (other than Bank) at or with which any such account is maintained to execute and deliver a Control Agreement or other appropriate instrument with respect to such account to perfect Bank’s Lien in such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175"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6.8</w:t>
      </w:r>
      <w:r>
        <w:rPr>
          <w:sz w:val="20"/>
          <w:szCs w:val="20"/>
          <w:color w:val="auto"/>
        </w:rPr>
        <w:tab/>
      </w:r>
      <w:r>
        <w:rPr>
          <w:rFonts w:ascii="Times New Roman" w:cs="Times New Roman" w:eastAsia="Times New Roman" w:hAnsi="Times New Roman"/>
          <w:sz w:val="16"/>
          <w:szCs w:val="16"/>
          <w:b w:val="1"/>
          <w:bCs w:val="1"/>
          <w:color w:val="auto"/>
        </w:rPr>
        <w:t>Financial Covenants.</w:t>
      </w:r>
    </w:p>
    <w:p>
      <w:pPr>
        <w:spacing w:after="0" w:line="203" w:lineRule="exact"/>
        <w:rPr>
          <w:sz w:val="20"/>
          <w:szCs w:val="20"/>
          <w:color w:val="auto"/>
        </w:rPr>
      </w:pPr>
    </w:p>
    <w:p>
      <w:pPr>
        <w:ind w:firstLine="1791"/>
        <w:spacing w:after="0" w:line="274" w:lineRule="auto"/>
        <w:tabs>
          <w:tab w:leader="none" w:pos="2383" w:val="left"/>
        </w:tabs>
        <w:numPr>
          <w:ilvl w:val="0"/>
          <w:numId w:val="5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Liquidity</w:t>
      </w:r>
      <w:r>
        <w:rPr>
          <w:rFonts w:ascii="Times New Roman" w:cs="Times New Roman" w:eastAsia="Times New Roman" w:hAnsi="Times New Roman"/>
          <w:sz w:val="17"/>
          <w:szCs w:val="17"/>
          <w:color w:val="auto"/>
        </w:rPr>
        <w:t>. Borrower shall maintain (i) from the Closing Date through December 31, 2022, RML of at least twelve (12), and (ii)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Closing Date through repayment in full of the Obligations, Minimum Cash.</w:t>
      </w:r>
    </w:p>
    <w:p>
      <w:pPr>
        <w:spacing w:after="0" w:line="150" w:lineRule="exact"/>
        <w:rPr>
          <w:rFonts w:ascii="Times New Roman" w:cs="Times New Roman" w:eastAsia="Times New Roman" w:hAnsi="Times New Roman"/>
          <w:sz w:val="17"/>
          <w:szCs w:val="17"/>
          <w:b w:val="1"/>
          <w:bCs w:val="1"/>
          <w:color w:val="auto"/>
        </w:rPr>
      </w:pPr>
    </w:p>
    <w:p>
      <w:pPr>
        <w:jc w:val="both"/>
        <w:ind w:firstLine="1791"/>
        <w:spacing w:after="0" w:line="259" w:lineRule="auto"/>
        <w:tabs>
          <w:tab w:leader="none" w:pos="2380" w:val="left"/>
        </w:tabs>
        <w:numPr>
          <w:ilvl w:val="0"/>
          <w:numId w:val="5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Performance to Plan</w:t>
      </w:r>
      <w:r>
        <w:rPr>
          <w:rFonts w:ascii="Times New Roman" w:cs="Times New Roman" w:eastAsia="Times New Roman" w:hAnsi="Times New Roman"/>
          <w:sz w:val="17"/>
          <w:szCs w:val="17"/>
          <w:color w:val="auto"/>
        </w:rPr>
        <w:t>. Borrower shall maintain quarterly net revenue, based on Borrower’s board approved and Bank accepted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projections delivered in accordance with Section 6.3(e), of at least (i) [***] percent ([***]%) of such projections for Borrower’s fiscal quarters ending March 31, 2021 and June 30, 2021, and (ii) [***] percent ([***]%) of such projections for Borrower’s fiscal quarters ending September 30, 2021 and December 31, 2021.</w:t>
      </w:r>
    </w:p>
    <w:p>
      <w:pPr>
        <w:spacing w:after="0" w:line="168"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Thereafter, Borrower shall maintain net revenue growth, measured on a quarterly basis and tested on the last day of each fiscal quarter, of at least (i) [***] percent ([***]%) year over year for Borrower’s fiscal quarters ending March 31, 2022, June 30, 2022, September 30, 2022, and December 31, 2022, and (ii) [***] percent ([***]%) year over year for each fiscal quarter thereafter.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18" w:right="339" w:bottom="1440" w:gutter="0" w:footer="0" w:header="0"/>
        </w:sectPr>
      </w:pPr>
    </w:p>
    <w:bookmarkStart w:id="646" w:name="page647"/>
    <w:bookmarkEnd w:id="646"/>
    <w:p>
      <w:pPr>
        <w:ind w:firstLine="1791"/>
        <w:spacing w:after="0" w:line="274" w:lineRule="auto"/>
        <w:tabs>
          <w:tab w:leader="none" w:pos="2386" w:val="left"/>
        </w:tabs>
        <w:numPr>
          <w:ilvl w:val="0"/>
          <w:numId w:val="5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 Service</w:t>
      </w:r>
      <w:r>
        <w:rPr>
          <w:rFonts w:ascii="Times New Roman" w:cs="Times New Roman" w:eastAsia="Times New Roman" w:hAnsi="Times New Roman"/>
          <w:sz w:val="17"/>
          <w:szCs w:val="17"/>
          <w:color w:val="auto"/>
        </w:rPr>
        <w:t>. Borrower shall maintain a Fixed Charge Coverage Ratio (tested as of the last day of each quarter) of at least (i) 1.00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1.00 for the fiscal quarter ending December 31, 2022, and (ii) 1.20 to 1.00 for the fiscal quarter ending March 31, 2023 and each fiscal quarter thereafter.</w:t>
      </w:r>
    </w:p>
    <w:p>
      <w:pPr>
        <w:spacing w:after="0" w:line="150" w:lineRule="exact"/>
        <w:rPr>
          <w:rFonts w:ascii="Times New Roman" w:cs="Times New Roman" w:eastAsia="Times New Roman" w:hAnsi="Times New Roman"/>
          <w:sz w:val="17"/>
          <w:szCs w:val="17"/>
          <w:b w:val="1"/>
          <w:bCs w:val="1"/>
          <w:color w:val="auto"/>
        </w:rPr>
      </w:pPr>
    </w:p>
    <w:p>
      <w:pPr>
        <w:jc w:val="both"/>
        <w:ind w:firstLine="1791"/>
        <w:spacing w:after="0" w:line="259" w:lineRule="auto"/>
        <w:tabs>
          <w:tab w:leader="none" w:pos="2380" w:val="left"/>
        </w:tabs>
        <w:numPr>
          <w:ilvl w:val="0"/>
          <w:numId w:val="5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Milestone</w:t>
      </w:r>
      <w:r>
        <w:rPr>
          <w:rFonts w:ascii="Times New Roman" w:cs="Times New Roman" w:eastAsia="Times New Roman" w:hAnsi="Times New Roman"/>
          <w:sz w:val="17"/>
          <w:szCs w:val="17"/>
          <w:color w:val="auto"/>
        </w:rPr>
        <w:t>. Borrower shall deliver evidence, satisfactory to Bank in its sole but reasonable discretion, after the Closing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but on or prior to March 31, 2022, that Borrower has received at least Fifty Million Dollars ($50,000,000) in New Equity or issuance of Subordinated Debt to investors or creditors and on terms and conditions acceptable to Bank in its sole but reasonable discretion.</w:t>
      </w:r>
    </w:p>
    <w:p>
      <w:pPr>
        <w:spacing w:after="0" w:line="164"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6.9</w:t>
      </w:r>
      <w:r>
        <w:rPr>
          <w:sz w:val="20"/>
          <w:szCs w:val="20"/>
          <w:color w:val="auto"/>
        </w:rPr>
        <w:tab/>
      </w:r>
      <w:r>
        <w:rPr>
          <w:rFonts w:ascii="Times New Roman" w:cs="Times New Roman" w:eastAsia="Times New Roman" w:hAnsi="Times New Roman"/>
          <w:sz w:val="16"/>
          <w:szCs w:val="16"/>
          <w:b w:val="1"/>
          <w:bCs w:val="1"/>
          <w:color w:val="auto"/>
        </w:rPr>
        <w:t>Intellectual Property Rights.</w:t>
      </w:r>
    </w:p>
    <w:p>
      <w:pPr>
        <w:spacing w:after="0" w:line="207" w:lineRule="exact"/>
        <w:rPr>
          <w:sz w:val="20"/>
          <w:szCs w:val="20"/>
          <w:color w:val="auto"/>
        </w:rPr>
      </w:pPr>
    </w:p>
    <w:p>
      <w:pPr>
        <w:jc w:val="both"/>
        <w:ind w:firstLine="1791"/>
        <w:spacing w:after="0" w:line="247" w:lineRule="auto"/>
        <w:tabs>
          <w:tab w:leader="none" w:pos="2383" w:val="left"/>
        </w:tabs>
        <w:numPr>
          <w:ilvl w:val="0"/>
          <w:numId w:val="5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shall promptly give Bank written notice of any applications or registrations of intellectual property rights filed with the United States Patent and Trademark Office, including the date of such filing and the registration or application numbers, if any. Borrower shall (i) give Bank not less than 30 days prior written notice of the filing of any applications or registrations with the United States Copyright Office, including the title of such intellectual property rights to be registered, as such title will appear on such applications or registrations, and the date such applications or registrations will be filed, and (ii) prior to the filing of any such applications or registrations, shall execute such documents as Bank may reasonably request for Bank to maintain its perfection in such intellectual property rights to be registered by Borrower, and upon the request of Bank, shall file such documents simultaneously with the filing of any such applications or registrations. Upon filing any such applications or registrations with the United States Copyright Office, Borrower shall promptly provide Bank with (i) a copy of such applications or registrations, without the exhibits, if any, thereto, (ii) evidence of the filing of any documents requested by Bank to be filed for Bank to maintain the perfection and priority of its security interest in such intellectual property rights, and (iii) the date of such filing.</w:t>
      </w:r>
    </w:p>
    <w:p>
      <w:pPr>
        <w:spacing w:after="0" w:line="180" w:lineRule="exact"/>
        <w:rPr>
          <w:rFonts w:ascii="Times New Roman" w:cs="Times New Roman" w:eastAsia="Times New Roman" w:hAnsi="Times New Roman"/>
          <w:sz w:val="17"/>
          <w:szCs w:val="17"/>
          <w:b w:val="1"/>
          <w:bCs w:val="1"/>
          <w:color w:val="auto"/>
        </w:rPr>
      </w:pPr>
    </w:p>
    <w:p>
      <w:pPr>
        <w:jc w:val="both"/>
        <w:ind w:firstLine="1791"/>
        <w:spacing w:after="0" w:line="252" w:lineRule="auto"/>
        <w:tabs>
          <w:tab w:leader="none" w:pos="2380" w:val="left"/>
        </w:tabs>
        <w:numPr>
          <w:ilvl w:val="0"/>
          <w:numId w:val="5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may audit Borrower’s Intellectual Property Collateral to confirm compliance with this Section, provided such audit may not occur more often than twice per year, unless an Event of Default has occurred and is continuing. Bank shall have the right, but not the obligation, to take, at Borrower’s sole expense, any actions that Borrower is required under this Section to take but which Borrower fails to take, after 15 days’ notice to Borrower. Borrower shall reimburse and indemnify Bank for all reasonable costs and reasonable expenses incurred in the reasonable exercise of its rights under this Section.</w:t>
      </w:r>
    </w:p>
    <w:p>
      <w:pPr>
        <w:spacing w:after="0" w:line="170"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6.10 Further Assurances. </w:t>
      </w:r>
      <w:r>
        <w:rPr>
          <w:rFonts w:ascii="Times New Roman" w:cs="Times New Roman" w:eastAsia="Times New Roman" w:hAnsi="Times New Roman"/>
          <w:sz w:val="17"/>
          <w:szCs w:val="17"/>
          <w:color w:val="auto"/>
        </w:rPr>
        <w:t>At any time and from time to time Borrower shall execute and deliver such further instruments and take such further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action as may reasonably be requested by Bank to effect the purposes of this Agreement.</w:t>
      </w:r>
    </w:p>
    <w:p>
      <w:pPr>
        <w:spacing w:after="0" w:line="151"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6.11 Post-Closing Condition</w:t>
      </w:r>
      <w:r>
        <w:rPr>
          <w:rFonts w:ascii="Times New Roman" w:cs="Times New Roman" w:eastAsia="Times New Roman" w:hAnsi="Times New Roman"/>
          <w:sz w:val="17"/>
          <w:szCs w:val="17"/>
          <w:color w:val="auto"/>
        </w:rPr>
        <w:t>. As soon as possible, but in any event within sixty (60) days of the Closing Date, Borrower shall deliver to Bank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Borrower’s leased locations at 580 Horizon Dr., Suwanee, GA 30024, and 969 Broadway #200, Oakland, CA 94607, a landlord subordination agreement, duly executed by the landlord of such location.</w:t>
      </w:r>
    </w:p>
    <w:p>
      <w:pPr>
        <w:spacing w:after="0" w:line="164" w:lineRule="exact"/>
        <w:rPr>
          <w:sz w:val="20"/>
          <w:szCs w:val="20"/>
          <w:color w:val="auto"/>
        </w:rPr>
      </w:pPr>
    </w:p>
    <w:p>
      <w:pPr>
        <w:ind w:left="1200" w:hanging="603"/>
        <w:spacing w:after="0"/>
        <w:tabs>
          <w:tab w:leader="none" w:pos="1200" w:val="left"/>
        </w:tabs>
        <w:numPr>
          <w:ilvl w:val="0"/>
          <w:numId w:val="5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NEGATIVE COVENANTS.</w:t>
      </w:r>
    </w:p>
    <w:p>
      <w:pPr>
        <w:spacing w:after="0" w:line="206"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Borrower will not do any of the following:</w:t>
      </w:r>
    </w:p>
    <w:p>
      <w:pPr>
        <w:spacing w:after="0" w:line="199"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7.1 Dispositions. </w:t>
      </w:r>
      <w:r>
        <w:rPr>
          <w:rFonts w:ascii="Times New Roman" w:cs="Times New Roman" w:eastAsia="Times New Roman" w:hAnsi="Times New Roman"/>
          <w:sz w:val="17"/>
          <w:szCs w:val="17"/>
          <w:color w:val="auto"/>
        </w:rPr>
        <w:t>Convey, sell, lease, transfer or otherwise dispose of (collectively, a “Transfer”), or permit any of its Subsidiaries to Transfer,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any part of its business or property, other than: (i) Transfers of Inventory in the ordinary course of business; (ii) Transfers of non-exclusive licenses and similar arrangements for the use of the property of Borrower or its Subsidiaries in the ordinary course of business; (iii) Transfers of worn-out or obsolete Equipment which was not financed by Bank; or (iv) Transfers to 501(c)(3) or any other charitable Subsidiaries in an aggregate amount not to exceed Five Hundred Thousand Dollars ($500,000) per fiscal year.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315" w:right="339" w:bottom="1440" w:gutter="0" w:footer="0" w:header="0"/>
        </w:sectPr>
      </w:pPr>
    </w:p>
    <w:bookmarkStart w:id="647" w:name="page648"/>
    <w:bookmarkEnd w:id="647"/>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7.2 Change in Business; Change in Control or Executive Office. </w:t>
      </w:r>
      <w:r>
        <w:rPr>
          <w:rFonts w:ascii="Times New Roman" w:cs="Times New Roman" w:eastAsia="Times New Roman" w:hAnsi="Times New Roman"/>
          <w:sz w:val="17"/>
          <w:szCs w:val="17"/>
          <w:color w:val="auto"/>
        </w:rPr>
        <w:t>Engage in any business, or permit any of its Subsidiaries to engage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other than the businesses currently engaged in by Borrower and any business substantially similar or related thereto (or incidental thereto); or cease to conduct business in the manner conducted by Borrower as of the Closing Date; or suffer or permit a Change in Control; or without thirty (30) days prior written notification to Bank, relocate its chief executive office or state of incorporation; or without ten (10) days prior written notification to Bank, change its legal name; or without Bank’s prior written consent, change the date on which its fiscal year ends.</w:t>
      </w:r>
    </w:p>
    <w:p>
      <w:pPr>
        <w:spacing w:after="0" w:line="172"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7.3 Mergers or Acquisitions. </w:t>
      </w:r>
      <w:r>
        <w:rPr>
          <w:rFonts w:ascii="Times New Roman" w:cs="Times New Roman" w:eastAsia="Times New Roman" w:hAnsi="Times New Roman"/>
          <w:sz w:val="17"/>
          <w:szCs w:val="17"/>
          <w:color w:val="auto"/>
        </w:rPr>
        <w:t>Merge or consolidate, or permit any of its Subsidiaries to merge or consolidate, with or into any other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or acquire, or permit any of its Subsidiaries to acquire, all or substantially all of the capital stock or any material portion of property of another Person; provided however, only advance written notice to Bank will be required for any action restricted by this Section 7.3 if all Obligations are paid in full in cash out of the proceeds of the initial closing of such action and such payment is listed as a condition to the consummation of such action. Notwithstanding the foregoing, a Borrower may merge with and into another Borrower.</w:t>
      </w:r>
    </w:p>
    <w:p>
      <w:pPr>
        <w:spacing w:after="0" w:line="172"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7.4 Indebtedness. </w:t>
      </w:r>
      <w:r>
        <w:rPr>
          <w:rFonts w:ascii="Times New Roman" w:cs="Times New Roman" w:eastAsia="Times New Roman" w:hAnsi="Times New Roman"/>
          <w:sz w:val="17"/>
          <w:szCs w:val="17"/>
          <w:color w:val="auto"/>
        </w:rPr>
        <w:t>Create, incur, assume or be or remain liable with respect to any Indebtedness, or permit any Subsidiary so to do, other than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Permitted Indebtedness.</w:t>
      </w:r>
    </w:p>
    <w:p>
      <w:pPr>
        <w:spacing w:after="0" w:line="151"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7.5 Encumbrances. </w:t>
      </w:r>
      <w:r>
        <w:rPr>
          <w:rFonts w:ascii="Times New Roman" w:cs="Times New Roman" w:eastAsia="Times New Roman" w:hAnsi="Times New Roman"/>
          <w:sz w:val="17"/>
          <w:szCs w:val="17"/>
          <w:color w:val="auto"/>
        </w:rPr>
        <w:t>Create, incur, assume or suffer to exist any Lien with respect to any of its property (including without limitation,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Intellectual Property Collateral), or assign or otherwise convey any right to receive income, including the sale of any Accounts, or permit any of its Subsidiaries to do so, except for Permitted Liens, or agree with any Person other than Bank not to grant a security interest in, or otherwise encumber, any of its property (including without limitation, its Intellectual Property Collateral), or permit any Subsidiary to do so.</w:t>
      </w:r>
    </w:p>
    <w:p>
      <w:pPr>
        <w:spacing w:after="0" w:line="168"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7.6 Distributions. </w:t>
      </w:r>
      <w:r>
        <w:rPr>
          <w:rFonts w:ascii="Times New Roman" w:cs="Times New Roman" w:eastAsia="Times New Roman" w:hAnsi="Times New Roman"/>
          <w:sz w:val="17"/>
          <w:szCs w:val="17"/>
          <w:color w:val="auto"/>
        </w:rPr>
        <w:t>Pay any dividends or make any other distribution or payment on account of or in redemption, retirement or purchase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capital stock, or permit any of its Subsidiaries to do so, except that Borrower may repurchase the stock of former employees pursuant to stock repurchase agreements as long as an Event of Default does not exist prior to such repurchase or would not exist after giving effect to such repurchase.</w:t>
      </w:r>
    </w:p>
    <w:p>
      <w:pPr>
        <w:spacing w:after="0" w:line="164"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7.7 Investments. </w:t>
      </w:r>
      <w:r>
        <w:rPr>
          <w:rFonts w:ascii="Times New Roman" w:cs="Times New Roman" w:eastAsia="Times New Roman" w:hAnsi="Times New Roman"/>
          <w:sz w:val="17"/>
          <w:szCs w:val="17"/>
          <w:color w:val="auto"/>
        </w:rPr>
        <w:t>Directly or indirectly acquire or own, or make any Investment in or to any Person, or permit any of its Subsidiaries so to do,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than Permitted Investments; or maintain or invest any of its property with a Person other than Bank or permit any of its Subsidiaries to do so unless such Person has entered into an account control agreement with Bank in form and substance reasonably satisfactory to Bank; or suffer or permit any Subsidiary to be a party to, or be bound by, an agreement that restricts such Subsidiary from paying dividends or otherwise distributing property to Borrower.</w:t>
      </w:r>
    </w:p>
    <w:p>
      <w:pPr>
        <w:spacing w:after="0" w:line="168"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7.8 Transactions with Affiliates. </w:t>
      </w:r>
      <w:r>
        <w:rPr>
          <w:rFonts w:ascii="Times New Roman" w:cs="Times New Roman" w:eastAsia="Times New Roman" w:hAnsi="Times New Roman"/>
          <w:sz w:val="17"/>
          <w:szCs w:val="17"/>
          <w:color w:val="auto"/>
        </w:rPr>
        <w:t>Directly or indirectly enter into or permit to exist any material transaction with any Affiliate of Borrower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for transactions that are in the ordinary course of Borrower’s business, upon fair and reasonable terms that are no less favorable to Borrower than would be obtained in an arm’s length transaction with a non-affiliated Person.</w:t>
      </w:r>
    </w:p>
    <w:p>
      <w:pPr>
        <w:spacing w:after="0" w:line="164"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7.9 Subordinated Debt. </w:t>
      </w:r>
      <w:r>
        <w:rPr>
          <w:rFonts w:ascii="Times New Roman" w:cs="Times New Roman" w:eastAsia="Times New Roman" w:hAnsi="Times New Roman"/>
          <w:sz w:val="17"/>
          <w:szCs w:val="17"/>
          <w:color w:val="auto"/>
        </w:rPr>
        <w:t>Make any payment in respect of any Subordinated Debt, or permit any of its Subsidiaries to make any such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in compliance with the terms of such Subordinated Debt, or amend any provision contained in any documentation relating to the Subordinated Debt without Bank’s prior written consent.</w:t>
      </w:r>
    </w:p>
    <w:p>
      <w:pPr>
        <w:spacing w:after="0" w:line="164"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7.10 Inventory and Equipment. </w:t>
      </w:r>
      <w:r>
        <w:rPr>
          <w:rFonts w:ascii="Times New Roman" w:cs="Times New Roman" w:eastAsia="Times New Roman" w:hAnsi="Times New Roman"/>
          <w:sz w:val="17"/>
          <w:szCs w:val="17"/>
          <w:color w:val="auto"/>
        </w:rPr>
        <w:t>Store the Inventory or the Equipment with a bailee, warehouseman, or other third party unless the third party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notified of Bank’s security interest and Bank (a) has received an acknowledgment from the third party that it is holding or will hold the Inventory or Equipment for Bank’s benefit or (b) is in pledge possession of the warehouse receipt, where negotiable, covering such Inventory or Equipment. Store or maintain any Equipment or Inventory at a location other than the location set forth in Section 10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13" w:right="339" w:bottom="1440" w:gutter="0" w:footer="0" w:header="0"/>
        </w:sectPr>
      </w:pPr>
    </w:p>
    <w:bookmarkStart w:id="648" w:name="page649"/>
    <w:bookmarkEnd w:id="648"/>
    <w:p>
      <w:pPr>
        <w:jc w:val="both"/>
        <w:spacing w:after="0" w:line="269" w:lineRule="auto"/>
        <w:rPr>
          <w:sz w:val="20"/>
          <w:szCs w:val="20"/>
          <w:color w:val="auto"/>
        </w:rPr>
      </w:pPr>
      <w:r>
        <w:rPr>
          <w:rFonts w:ascii="Times New Roman" w:cs="Times New Roman" w:eastAsia="Times New Roman" w:hAnsi="Times New Roman"/>
          <w:sz w:val="17"/>
          <w:szCs w:val="17"/>
          <w:color w:val="auto"/>
        </w:rPr>
        <w:t>of this Agreement (except for Inventory and Equipment (i) in transit from one location to another or (ii) being held by potential customers for periods of less than ninety (90) days).</w:t>
      </w:r>
    </w:p>
    <w:p>
      <w:pPr>
        <w:spacing w:after="0" w:line="155"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7.11 Compliance. </w:t>
      </w:r>
      <w:r>
        <w:rPr>
          <w:rFonts w:ascii="Times New Roman" w:cs="Times New Roman" w:eastAsia="Times New Roman" w:hAnsi="Times New Roman"/>
          <w:sz w:val="17"/>
          <w:szCs w:val="17"/>
          <w:color w:val="auto"/>
        </w:rPr>
        <w:t>Become an “investment company” or be controlled by an “investment company,” within the meaning of the Investment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Act of 1940, or become principally engaged in, or undertake as one of its important activities, the business of extending credit for the purpose of purchasing or carrying margin stock, or use the proceeds of any Credit Extension for such purpose. Fail to meet the minimum funding requirements of ERISA, permit a Reportable Event or Prohibited Transaction, as defined in ERISA, to occur, fail to comply with the Federal Fair Labor Standards Act or violate any law or regulation, which violation could have a Material Adverse Effect.</w:t>
      </w:r>
    </w:p>
    <w:p>
      <w:pPr>
        <w:spacing w:after="0" w:line="172"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7.12 Capital Expenditures. </w:t>
      </w:r>
      <w:r>
        <w:rPr>
          <w:rFonts w:ascii="Times New Roman" w:cs="Times New Roman" w:eastAsia="Times New Roman" w:hAnsi="Times New Roman"/>
          <w:sz w:val="17"/>
          <w:szCs w:val="17"/>
          <w:color w:val="auto"/>
        </w:rPr>
        <w:t>Make or contract to make, without Bank’s prior written consent, capital expenditures, including leasehold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improvements, in any fiscal year in excess of (i) the amounts provided for in the annual financial projections of the Borrowers delivered to Bank pursuant to Section 6.3(e) hereof, plus (ii) Five Hundred Thousand Dollars ($500,000) or incur liability for rentals of property (including both real and personal property) in an amount which, together with capital expenditures, shall in any fiscal year exceed such sum.</w:t>
      </w:r>
    </w:p>
    <w:p>
      <w:pPr>
        <w:spacing w:after="0" w:line="168"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7.13 Thredup Circular Assets</w:t>
      </w:r>
      <w:r>
        <w:rPr>
          <w:rFonts w:ascii="Times New Roman" w:cs="Times New Roman" w:eastAsia="Times New Roman" w:hAnsi="Times New Roman"/>
          <w:sz w:val="17"/>
          <w:szCs w:val="17"/>
          <w:color w:val="auto"/>
        </w:rPr>
        <w:t>. Permit the aggregate value of cash and cash equivalents held by Thredup Circular to exceed Two Hundred Fifty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Thousand Dollars ($250,000) at any time.</w:t>
      </w:r>
    </w:p>
    <w:p>
      <w:pPr>
        <w:spacing w:after="0" w:line="151" w:lineRule="exact"/>
        <w:rPr>
          <w:sz w:val="20"/>
          <w:szCs w:val="20"/>
          <w:color w:val="auto"/>
        </w:rPr>
      </w:pPr>
    </w:p>
    <w:p>
      <w:pPr>
        <w:ind w:left="1200" w:hanging="603"/>
        <w:spacing w:after="0"/>
        <w:tabs>
          <w:tab w:leader="none" w:pos="1200" w:val="left"/>
        </w:tabs>
        <w:numPr>
          <w:ilvl w:val="0"/>
          <w:numId w:val="5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EVENTS OF DEFAULT.</w:t>
      </w:r>
    </w:p>
    <w:p>
      <w:pPr>
        <w:spacing w:after="0" w:line="206"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one or more of the following events shall constitute an Event of Default by Borrowers under this Agreement:</w:t>
      </w:r>
    </w:p>
    <w:p>
      <w:pPr>
        <w:spacing w:after="0" w:line="198"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8.1</w:t>
      </w:r>
      <w:r>
        <w:rPr>
          <w:rFonts w:ascii="Times New Roman" w:cs="Times New Roman" w:eastAsia="Times New Roman" w:hAnsi="Times New Roman"/>
          <w:sz w:val="16"/>
          <w:szCs w:val="16"/>
          <w:b w:val="1"/>
          <w:bCs w:val="1"/>
          <w:color w:val="auto"/>
        </w:rPr>
        <w:t xml:space="preserve">Payment Default. </w:t>
      </w:r>
      <w:r>
        <w:rPr>
          <w:rFonts w:ascii="Times New Roman" w:cs="Times New Roman" w:eastAsia="Times New Roman" w:hAnsi="Times New Roman"/>
          <w:sz w:val="16"/>
          <w:szCs w:val="16"/>
          <w:color w:val="auto"/>
        </w:rPr>
        <w:t>If a Borrower fails to pay, when due, any of the Obligations;</w:t>
      </w:r>
    </w:p>
    <w:p>
      <w:pPr>
        <w:spacing w:after="0" w:line="202"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8.2</w:t>
      </w:r>
      <w:r>
        <w:rPr>
          <w:rFonts w:ascii="Times New Roman" w:cs="Times New Roman" w:eastAsia="Times New Roman" w:hAnsi="Times New Roman"/>
          <w:sz w:val="16"/>
          <w:szCs w:val="16"/>
          <w:b w:val="1"/>
          <w:bCs w:val="1"/>
          <w:color w:val="auto"/>
        </w:rPr>
        <w:t>Covenant Default.</w:t>
      </w:r>
    </w:p>
    <w:p>
      <w:pPr>
        <w:spacing w:after="0" w:line="206"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1"/>
          <w:numId w:val="5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 Borrower fails to perform any obligation under Article 6 or violates any of the covenants contained in Article 7 of this</w:t>
      </w:r>
    </w:p>
    <w:p>
      <w:pPr>
        <w:spacing w:after="0" w:line="2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Agreement; or</w:t>
      </w:r>
    </w:p>
    <w:p>
      <w:pPr>
        <w:spacing w:after="0" w:line="186" w:lineRule="exact"/>
        <w:rPr>
          <w:rFonts w:ascii="Times New Roman" w:cs="Times New Roman" w:eastAsia="Times New Roman" w:hAnsi="Times New Roman"/>
          <w:sz w:val="17"/>
          <w:szCs w:val="17"/>
          <w:b w:val="1"/>
          <w:bCs w:val="1"/>
          <w:color w:val="auto"/>
        </w:rPr>
      </w:pPr>
    </w:p>
    <w:p>
      <w:pPr>
        <w:jc w:val="both"/>
        <w:ind w:firstLine="1791"/>
        <w:spacing w:after="0" w:line="248" w:lineRule="auto"/>
        <w:tabs>
          <w:tab w:leader="none" w:pos="2380" w:val="left"/>
        </w:tabs>
        <w:numPr>
          <w:ilvl w:val="1"/>
          <w:numId w:val="5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 Borrower fails or neglects to perform or observe any other material term, provision, condition, covenant contained in this Agreement, in any of the Loan Documents, or in any other present or future agreement between a Borrower and Bank and as to any default under such other term, provision, condition or covenant that can be cured, has failed to cure such default within ten (10) days after any Borrower receives notice thereof or any officer of a Borrower becomes aware thereof; provided, however, that if the default cannot by its nature be cured within the ten (10) day period or cannot after diligent attempts by Borrowers be cured within such ten (10) day period, and such default is likely to be cured within a reasonable time, then Borrowers shall have an additional reasonable period (which shall not in any case exceed thirty (30) days) to attempt to cure such default, and within such reasonable time period the failure to have cured such default shall not be deemed an Event of Default but no Credit Extensions will be made.</w:t>
      </w:r>
    </w:p>
    <w:p>
      <w:pPr>
        <w:spacing w:after="0" w:line="175"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8.3</w:t>
      </w:r>
      <w:r>
        <w:rPr>
          <w:sz w:val="20"/>
          <w:szCs w:val="20"/>
          <w:color w:val="auto"/>
        </w:rPr>
        <w:tab/>
      </w:r>
      <w:r>
        <w:rPr>
          <w:rFonts w:ascii="Times New Roman" w:cs="Times New Roman" w:eastAsia="Times New Roman" w:hAnsi="Times New Roman"/>
          <w:sz w:val="16"/>
          <w:szCs w:val="16"/>
          <w:b w:val="1"/>
          <w:bCs w:val="1"/>
          <w:color w:val="auto"/>
        </w:rPr>
        <w:t xml:space="preserve">Material Adverse Effect. </w:t>
      </w:r>
      <w:r>
        <w:rPr>
          <w:rFonts w:ascii="Times New Roman" w:cs="Times New Roman" w:eastAsia="Times New Roman" w:hAnsi="Times New Roman"/>
          <w:sz w:val="16"/>
          <w:szCs w:val="16"/>
          <w:color w:val="auto"/>
        </w:rPr>
        <w:t>If there occurs any circumstance or circumstances that could have a Material Adverse Effect;</w:t>
      </w:r>
    </w:p>
    <w:p>
      <w:pPr>
        <w:spacing w:after="0" w:line="203"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8.4 Attachment. </w:t>
      </w:r>
      <w:r>
        <w:rPr>
          <w:rFonts w:ascii="Times New Roman" w:cs="Times New Roman" w:eastAsia="Times New Roman" w:hAnsi="Times New Roman"/>
          <w:sz w:val="17"/>
          <w:szCs w:val="17"/>
          <w:color w:val="auto"/>
        </w:rPr>
        <w:t>If any portion of a Borrower’s assets is attached, seized, subjected to a writ or distress warrant, or is levied upon, or comes into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possession of any trustee, receiver or person acting in a similar capacity and such attachment, seizure, writ or distress warrant or levy has not been removed, discharged or rescinded within twenty (20) days, or if a Borrower is enjoined, restrained, or in any way prevented by court order from continuing to conduct all or any material part of its business affairs, or if a judgment or other claim becomes a lien or encumbrance upon any material portion of a Borrower’s assets, or if a notice of lien, levy, or assessment is filed of record with respect to any of a Borrower’s assets by the United States Government, or any department, agency, or instrumentality thereof, or by any state, county, municipal, or governmental agency, and the same is not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318" w:right="339" w:bottom="1440" w:gutter="0" w:footer="0" w:header="0"/>
        </w:sectPr>
      </w:pPr>
    </w:p>
    <w:bookmarkStart w:id="649" w:name="page650"/>
    <w:bookmarkEnd w:id="649"/>
    <w:p>
      <w:pPr>
        <w:jc w:val="both"/>
        <w:spacing w:after="0" w:line="256" w:lineRule="auto"/>
        <w:rPr>
          <w:sz w:val="20"/>
          <w:szCs w:val="20"/>
          <w:color w:val="auto"/>
        </w:rPr>
      </w:pPr>
      <w:r>
        <w:rPr>
          <w:rFonts w:ascii="Times New Roman" w:cs="Times New Roman" w:eastAsia="Times New Roman" w:hAnsi="Times New Roman"/>
          <w:sz w:val="17"/>
          <w:szCs w:val="17"/>
          <w:color w:val="auto"/>
        </w:rPr>
        <w:t>paid within twenty (20) days after a Borrower receives notice thereof, provided that none of the foregoing shall constitute an Event of Default where such action or event is stayed or an adequate bond has been posted pending a good faith contest by Borrowers (provided that no Credit Extensions will be required to be made during such cure period);</w:t>
      </w:r>
    </w:p>
    <w:p>
      <w:pPr>
        <w:spacing w:after="0" w:line="167"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8.5 Insolvency. </w:t>
      </w:r>
      <w:r>
        <w:rPr>
          <w:rFonts w:ascii="Times New Roman" w:cs="Times New Roman" w:eastAsia="Times New Roman" w:hAnsi="Times New Roman"/>
          <w:sz w:val="17"/>
          <w:szCs w:val="17"/>
          <w:color w:val="auto"/>
        </w:rPr>
        <w:t>If a Borrower becomes insolvent, or if an Insolvency Proceeding is commenced by a Borrower, or if an Insolvency Proceeding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commenced against a Borrower and is not dismissed or stayed within forty-five (45) days (provided that no Credit Extensions will be made prior to the dismissal of such Insolvency Proceeding);</w:t>
      </w:r>
    </w:p>
    <w:p>
      <w:pPr>
        <w:spacing w:after="0" w:line="164"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8.6 Other Agreements. </w:t>
      </w:r>
      <w:r>
        <w:rPr>
          <w:rFonts w:ascii="Times New Roman" w:cs="Times New Roman" w:eastAsia="Times New Roman" w:hAnsi="Times New Roman"/>
          <w:sz w:val="17"/>
          <w:szCs w:val="17"/>
          <w:color w:val="auto"/>
        </w:rPr>
        <w:t>If there is a default or other failure to perform in any agreement to which a Borrower is a party or by which it is bound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resulting in a right by a third party or parties, whether or not exercised, to accelerate the maturity of any Indebtedness in an amount in excess of Two Hundred Fifty Thousand Dollars ($250,000) or which could reasonably be expected to have a Material Adverse Effect;</w:t>
      </w:r>
    </w:p>
    <w:p>
      <w:pPr>
        <w:spacing w:after="0" w:line="164"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8.7 Judgments. </w:t>
      </w:r>
      <w:r>
        <w:rPr>
          <w:rFonts w:ascii="Times New Roman" w:cs="Times New Roman" w:eastAsia="Times New Roman" w:hAnsi="Times New Roman"/>
          <w:sz w:val="17"/>
          <w:szCs w:val="17"/>
          <w:color w:val="auto"/>
        </w:rPr>
        <w:t>If a judgment or judgments for the payment of money in an amount, individually or in the aggregate, of at least Two Hundred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Fifty Thousand Dollars ($250,000) shall be rendered against a Borrower and shall remain unsatisfied and unstayed for a period of twenty (20) days (provided that no Credit Extensions will be made prior to the satisfaction or stay of such judgment); or</w:t>
      </w:r>
    </w:p>
    <w:p>
      <w:pPr>
        <w:spacing w:after="0" w:line="164"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8.8 Misrepresentations. </w:t>
      </w:r>
      <w:r>
        <w:rPr>
          <w:rFonts w:ascii="Times New Roman" w:cs="Times New Roman" w:eastAsia="Times New Roman" w:hAnsi="Times New Roman"/>
          <w:sz w:val="17"/>
          <w:szCs w:val="17"/>
          <w:color w:val="auto"/>
        </w:rPr>
        <w:t>If any material misrepresentation or material misstatement exists now or hereafter in any warranty or representation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herein or in any certificate delivered to Bank by any Responsible Officer pursuant to this Agreement or to induce Bank to enter into this Agreement or any other Loan Document.</w:t>
      </w:r>
    </w:p>
    <w:p>
      <w:pPr>
        <w:spacing w:after="0" w:line="164" w:lineRule="exact"/>
        <w:rPr>
          <w:sz w:val="20"/>
          <w:szCs w:val="20"/>
          <w:color w:val="auto"/>
        </w:rPr>
      </w:pPr>
    </w:p>
    <w:p>
      <w:pPr>
        <w:ind w:left="1200" w:hanging="603"/>
        <w:spacing w:after="0"/>
        <w:tabs>
          <w:tab w:leader="none" w:pos="1200" w:val="left"/>
        </w:tabs>
        <w:numPr>
          <w:ilvl w:val="0"/>
          <w:numId w:val="5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BANK'S RIGHTS AND REMEDIES.</w:t>
      </w:r>
    </w:p>
    <w:p>
      <w:pPr>
        <w:spacing w:after="0" w:line="203" w:lineRule="exact"/>
        <w:rPr>
          <w:sz w:val="20"/>
          <w:szCs w:val="20"/>
          <w:color w:val="auto"/>
        </w:rPr>
      </w:pPr>
    </w:p>
    <w:p>
      <w:pPr>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9.1 Rights and Remedies. </w:t>
      </w:r>
      <w:r>
        <w:rPr>
          <w:rFonts w:ascii="Times New Roman" w:cs="Times New Roman" w:eastAsia="Times New Roman" w:hAnsi="Times New Roman"/>
          <w:sz w:val="17"/>
          <w:szCs w:val="17"/>
          <w:color w:val="auto"/>
        </w:rPr>
        <w:t>Upon the occurrence and during the continuance of an Event of Default, Bank may, at its election, without notice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election and without demand, do any one or more of the following, all of which are authorized by Borrowers:</w:t>
      </w:r>
    </w:p>
    <w:p>
      <w:pPr>
        <w:spacing w:after="0" w:line="155" w:lineRule="exact"/>
        <w:rPr>
          <w:sz w:val="20"/>
          <w:szCs w:val="20"/>
          <w:color w:val="auto"/>
        </w:rPr>
      </w:pPr>
    </w:p>
    <w:p>
      <w:pPr>
        <w:jc w:val="both"/>
        <w:ind w:firstLine="1791"/>
        <w:spacing w:after="0" w:line="256" w:lineRule="auto"/>
        <w:tabs>
          <w:tab w:leader="none" w:pos="2383" w:val="left"/>
        </w:tabs>
        <w:numPr>
          <w:ilvl w:val="0"/>
          <w:numId w:val="5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Declare all Obligations, whether evidenced by this Agreement, by any of the other Loan Documents, or otherwise, immediately due and payable (provided that upon the occurrence of an Event of Default described in Section 8.5, all Obligations shall become immediately due and payable without any action by Bank);</w:t>
      </w:r>
    </w:p>
    <w:p>
      <w:pPr>
        <w:spacing w:after="0" w:line="170"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Cease advancing money or extending credit to or for the benefit of Borrowers under this Agreement or under any other agreement</w:t>
      </w:r>
    </w:p>
    <w:p>
      <w:pPr>
        <w:spacing w:after="0" w:line="2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between any Borrower and Bank;</w:t>
      </w:r>
    </w:p>
    <w:p>
      <w:pPr>
        <w:spacing w:after="0" w:line="186"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Settle or adjust disputes and claims directly with account debtors for amounts, upon terms and in whatever order that Bank</w:t>
      </w:r>
    </w:p>
    <w:p>
      <w:pPr>
        <w:spacing w:after="0" w:line="2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reasonably considers advisable;</w:t>
      </w:r>
    </w:p>
    <w:p>
      <w:pPr>
        <w:spacing w:after="0" w:line="186" w:lineRule="exact"/>
        <w:rPr>
          <w:rFonts w:ascii="Times New Roman" w:cs="Times New Roman" w:eastAsia="Times New Roman" w:hAnsi="Times New Roman"/>
          <w:sz w:val="17"/>
          <w:szCs w:val="17"/>
          <w:b w:val="1"/>
          <w:bCs w:val="1"/>
          <w:color w:val="auto"/>
        </w:rPr>
      </w:pPr>
    </w:p>
    <w:p>
      <w:pPr>
        <w:jc w:val="both"/>
        <w:ind w:firstLine="1791"/>
        <w:spacing w:after="0" w:line="249" w:lineRule="auto"/>
        <w:tabs>
          <w:tab w:leader="none" w:pos="2380" w:val="left"/>
        </w:tabs>
        <w:numPr>
          <w:ilvl w:val="0"/>
          <w:numId w:val="5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Make such payments and do such acts as Bank considers necessary or reasonable to protect its security interest in the Collateral. Each Borrower agrees to assemble the Collateral if Bank so requires, and to make the Collateral available to Bank as Bank may designate. Each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a Borrower’s owned premises, each Borrower hereby grants Bank a license to enter into possession of such premises and to occupy the same, without charge, in order to exercise any of Bank’s rights or remedies provided herein, at law, in equity, or otherwise;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318" w:right="339" w:bottom="1440" w:gutter="0" w:footer="0" w:header="0"/>
        </w:sectPr>
      </w:pPr>
    </w:p>
    <w:bookmarkStart w:id="650" w:name="page651"/>
    <w:bookmarkEnd w:id="650"/>
    <w:p>
      <w:pPr>
        <w:ind w:firstLine="1791"/>
        <w:spacing w:after="0" w:line="269" w:lineRule="auto"/>
        <w:tabs>
          <w:tab w:leader="none" w:pos="2387" w:val="left"/>
        </w:tabs>
        <w:numPr>
          <w:ilvl w:val="0"/>
          <w:numId w:val="5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Set off and apply to the Obligations any and all (i) balances and deposits of any Borrower held by Bank, or (ii) indebtedness at any time owing to or for the credit or the account of a Borrower held by Bank;</w:t>
      </w:r>
    </w:p>
    <w:p>
      <w:pPr>
        <w:spacing w:after="0" w:line="159" w:lineRule="exact"/>
        <w:rPr>
          <w:rFonts w:ascii="Times New Roman" w:cs="Times New Roman" w:eastAsia="Times New Roman" w:hAnsi="Times New Roman"/>
          <w:sz w:val="17"/>
          <w:szCs w:val="17"/>
          <w:b w:val="1"/>
          <w:bCs w:val="1"/>
          <w:color w:val="auto"/>
        </w:rPr>
      </w:pPr>
    </w:p>
    <w:p>
      <w:pPr>
        <w:jc w:val="both"/>
        <w:ind w:firstLine="1791"/>
        <w:spacing w:after="0" w:line="250" w:lineRule="auto"/>
        <w:tabs>
          <w:tab w:leader="none" w:pos="2381" w:val="left"/>
        </w:tabs>
        <w:numPr>
          <w:ilvl w:val="0"/>
          <w:numId w:val="5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each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each Borrower’s rights under all licenses and all franchise agreements shall inure to Bank’s benefit;</w:t>
      </w:r>
    </w:p>
    <w:p>
      <w:pPr>
        <w:spacing w:after="0" w:line="176" w:lineRule="exact"/>
        <w:rPr>
          <w:rFonts w:ascii="Times New Roman" w:cs="Times New Roman" w:eastAsia="Times New Roman" w:hAnsi="Times New Roman"/>
          <w:sz w:val="17"/>
          <w:szCs w:val="17"/>
          <w:b w:val="1"/>
          <w:bCs w:val="1"/>
          <w:color w:val="auto"/>
        </w:rPr>
      </w:pPr>
    </w:p>
    <w:p>
      <w:pPr>
        <w:jc w:val="both"/>
        <w:ind w:firstLine="1791"/>
        <w:spacing w:after="0" w:line="256" w:lineRule="auto"/>
        <w:tabs>
          <w:tab w:leader="none" w:pos="2384" w:val="left"/>
        </w:tabs>
        <w:numPr>
          <w:ilvl w:val="0"/>
          <w:numId w:val="5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Dispose of the Collateral by way of one or more contracts or transactions, for cash or on terms, in such manner and at such places (including each Borrower’s premises) as Bank determines is commercially reasonable, and apply any proceeds to the Obligations in whatever manner or order Bank deems appropriate;</w:t>
      </w:r>
    </w:p>
    <w:p>
      <w:pPr>
        <w:spacing w:after="0" w:line="170"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may credit bid and purchase at any public sale; and</w:t>
      </w:r>
    </w:p>
    <w:p>
      <w:pPr>
        <w:spacing w:after="0" w:line="202" w:lineRule="exact"/>
        <w:rPr>
          <w:rFonts w:ascii="Times New Roman" w:cs="Times New Roman" w:eastAsia="Times New Roman" w:hAnsi="Times New Roman"/>
          <w:sz w:val="17"/>
          <w:szCs w:val="17"/>
          <w:b w:val="1"/>
          <w:bCs w:val="1"/>
          <w:color w:val="auto"/>
        </w:rPr>
      </w:pPr>
    </w:p>
    <w:p>
      <w:pPr>
        <w:ind w:left="2380" w:hanging="589"/>
        <w:spacing w:after="0"/>
        <w:tabs>
          <w:tab w:leader="none" w:pos="2380" w:val="left"/>
        </w:tabs>
        <w:numPr>
          <w:ilvl w:val="0"/>
          <w:numId w:val="5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deficiency that exists after disposition of the Collateral as provided above will be paid immediately by Borrower.</w:t>
      </w:r>
    </w:p>
    <w:p>
      <w:pPr>
        <w:spacing w:after="0" w:line="199" w:lineRule="exact"/>
        <w:rPr>
          <w:sz w:val="20"/>
          <w:szCs w:val="20"/>
          <w:color w:val="auto"/>
        </w:rPr>
      </w:pPr>
    </w:p>
    <w:p>
      <w:pPr>
        <w:jc w:val="both"/>
        <w:ind w:firstLine="1195"/>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9.2 Power of Attorney. </w:t>
      </w:r>
      <w:r>
        <w:rPr>
          <w:rFonts w:ascii="Times New Roman" w:cs="Times New Roman" w:eastAsia="Times New Roman" w:hAnsi="Times New Roman"/>
          <w:sz w:val="17"/>
          <w:szCs w:val="17"/>
          <w:color w:val="auto"/>
        </w:rPr>
        <w:t>Effective only upon the occurrence and during the continuance of an Event of Default, each Borrower hereby irrevocably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appoints Bank (and any of Bank’s designated officers, or employees) as such Borrower’s true and lawful attorney to: (a) send requests for verification of Accounts or notify account debtors of Bank’s security interest in the Accounts; (b) endorse such Borrower’s name on any checks or other forms of payment or security that may come into Bank’s possession; (c) sign such Borrower’s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such Borrower’s policies of insurance; (f) settle and adjust disputes and claims respecting the accounts directly with account debtors, for amounts and upon terms which Bank determines to be reasonable; and (g) to file, in its sole discretion, one or more financing or continuation statements and amendments thereto, relative to any of the Collateral. The appointment of Bank as each Borrower’s attorney in fact, and each and every one of Bank’s rights and powers, being coupled with an interest, is irrevocable until (x) such Event of Default is waived by Bank or (y) all of the Obligations have been fully repaid and performed and Bank’s obligation to provide Credit Extensions hereunder is terminated.</w:t>
      </w:r>
    </w:p>
    <w:p>
      <w:pPr>
        <w:spacing w:after="0" w:line="178"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9.3 Accounts Collection. </w:t>
      </w:r>
      <w:r>
        <w:rPr>
          <w:rFonts w:ascii="Times New Roman" w:cs="Times New Roman" w:eastAsia="Times New Roman" w:hAnsi="Times New Roman"/>
          <w:sz w:val="17"/>
          <w:szCs w:val="17"/>
          <w:color w:val="auto"/>
        </w:rPr>
        <w:t>At any time after the occurrence and during the continuance of an Event of Default, Bank may notify any Person owing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funds to a Borrower of Bank’s security interest in such funds and verify the amount of such Account. Each Borrower shall collect all amounts owing to such Borrower for Bank, receive in trust all payments as Bank’s trustee, and promptly (within one (1) Business Day) deliver such payments to Bank in their original form as received from the account debtor, with proper endorsements for deposit.</w:t>
      </w:r>
    </w:p>
    <w:p>
      <w:pPr>
        <w:spacing w:after="0" w:line="168" w:lineRule="exact"/>
        <w:rPr>
          <w:sz w:val="20"/>
          <w:szCs w:val="20"/>
          <w:color w:val="auto"/>
        </w:rPr>
      </w:pPr>
    </w:p>
    <w:p>
      <w:pPr>
        <w:jc w:val="both"/>
        <w:ind w:firstLine="1195"/>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9.4 Bank Expenses. </w:t>
      </w:r>
      <w:r>
        <w:rPr>
          <w:rFonts w:ascii="Times New Roman" w:cs="Times New Roman" w:eastAsia="Times New Roman" w:hAnsi="Times New Roman"/>
          <w:sz w:val="17"/>
          <w:szCs w:val="17"/>
          <w:color w:val="auto"/>
        </w:rPr>
        <w:t>If a Borrower fails to pay any amounts or furnish any required proof of payment due to third persons or entities, as required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terms of this Agreement, then Bank may do any or all of the following after reasonable notice to Parent: (a) make payment of the same or any part thereof;</w:t>
      </w:r>
    </w:p>
    <w:p>
      <w:pPr>
        <w:jc w:val="both"/>
        <w:spacing w:after="0" w:line="245" w:lineRule="auto"/>
        <w:tabs>
          <w:tab w:leader="none" w:pos="255" w:val="left"/>
        </w:tabs>
        <w:numPr>
          <w:ilvl w:val="0"/>
          <w:numId w:val="5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up such reserves under a loan facility in Section 2.1 as Bank deems necessary to protect Bank from the exposure created by such failure; or (c) obtain and maintain insurance policies of the type discussed in Section 6.6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317" w:right="339" w:bottom="1440" w:gutter="0" w:footer="0" w:header="0"/>
        </w:sectPr>
      </w:pPr>
    </w:p>
    <w:bookmarkStart w:id="651" w:name="page652"/>
    <w:bookmarkEnd w:id="651"/>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9.5 Bank’s Liability for Collateral. </w:t>
      </w:r>
      <w:r>
        <w:rPr>
          <w:rFonts w:ascii="Times New Roman" w:cs="Times New Roman" w:eastAsia="Times New Roman" w:hAnsi="Times New Roman"/>
          <w:sz w:val="17"/>
          <w:szCs w:val="17"/>
          <w:color w:val="auto"/>
        </w:rPr>
        <w:t>So long as Bank complies with reasonable banking practices, Bank shall not in any way or manner be liable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responsible for: (a) the safekeeping of the Collateral; (b) any loss or damage thereto occurring or arising in any manner or fashion from any cause; (c) any diminution in the value thereof; or (d) any act or default of any carrier, warehouseman, bailee, forwarding agency, or other person whomsoever. All risk of loss, damage or destruction of the Collateral shall be borne by Borrowers.</w:t>
      </w:r>
    </w:p>
    <w:p>
      <w:pPr>
        <w:spacing w:after="0" w:line="168"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9.6 Remedies Cumulative. </w:t>
      </w:r>
      <w:r>
        <w:rPr>
          <w:rFonts w:ascii="Times New Roman" w:cs="Times New Roman" w:eastAsia="Times New Roman" w:hAnsi="Times New Roman"/>
          <w:sz w:val="17"/>
          <w:szCs w:val="17"/>
          <w:color w:val="auto"/>
        </w:rPr>
        <w:t>Bank’s rights and remedies under this Agreement, the Loan Documents, and all other agreements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cumulative. Bank shall have all other rights and remedies not inconsistent herewith as provided under the Code, by law, or in equity. No exercise by Bank of one right or remedy shall be deemed an election, and no waiver by Bank of any Event of Default on a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w:t>
      </w:r>
    </w:p>
    <w:p>
      <w:pPr>
        <w:spacing w:after="0" w:line="172"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9.7 Demand; Protest. </w:t>
      </w:r>
      <w:r>
        <w:rPr>
          <w:rFonts w:ascii="Times New Roman" w:cs="Times New Roman" w:eastAsia="Times New Roman" w:hAnsi="Times New Roman"/>
          <w:sz w:val="17"/>
          <w:szCs w:val="17"/>
          <w:color w:val="auto"/>
        </w:rPr>
        <w:t>Each Borrower waives demand, protest, notice of protest, notice of default or dishonor, notice of payment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nonpayment, notice of any default, nonpayment at maturity, release, compromise, settlement, extension, or renewal of accounts, documents, instruments, chattel paper, and guarantees at any time held by Bank on which any Borrower may in any way be liable.</w:t>
      </w:r>
    </w:p>
    <w:p>
      <w:pPr>
        <w:spacing w:after="0" w:line="164" w:lineRule="exact"/>
        <w:rPr>
          <w:sz w:val="20"/>
          <w:szCs w:val="20"/>
          <w:color w:val="auto"/>
        </w:rPr>
      </w:pPr>
    </w:p>
    <w:p>
      <w:pPr>
        <w:ind w:left="1180" w:hanging="583"/>
        <w:spacing w:after="0"/>
        <w:tabs>
          <w:tab w:leader="none" w:pos="1180" w:val="left"/>
        </w:tabs>
        <w:numPr>
          <w:ilvl w:val="0"/>
          <w:numId w:val="5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p>
    <w:p>
      <w:pPr>
        <w:spacing w:after="0" w:line="207" w:lineRule="exact"/>
        <w:rPr>
          <w:sz w:val="20"/>
          <w:szCs w:val="20"/>
          <w:color w:val="auto"/>
        </w:rPr>
      </w:pPr>
    </w:p>
    <w:p>
      <w:pPr>
        <w:jc w:val="both"/>
        <w:ind w:firstLine="1195"/>
        <w:spacing w:after="0" w:line="268" w:lineRule="auto"/>
        <w:rPr>
          <w:sz w:val="20"/>
          <w:szCs w:val="20"/>
          <w:color w:val="auto"/>
        </w:rPr>
      </w:pPr>
      <w:r>
        <w:rPr>
          <w:rFonts w:ascii="Times New Roman" w:cs="Times New Roman" w:eastAsia="Times New Roman" w:hAnsi="Times New Roman"/>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any Borrower may change its mailing or electronic mail address or facsimile number by giving the other party written notice thereof in accordance with the terms of this Section 10.</w:t>
      </w:r>
    </w:p>
    <w:p>
      <w:pPr>
        <w:spacing w:after="0" w:line="211" w:lineRule="exact"/>
        <w:rPr>
          <w:sz w:val="20"/>
          <w:szCs w:val="20"/>
          <w:color w:val="auto"/>
        </w:rPr>
      </w:pPr>
    </w:p>
    <w:p>
      <w:pPr>
        <w:ind w:left="1440"/>
        <w:spacing w:after="0"/>
        <w:tabs>
          <w:tab w:leader="none" w:pos="4000" w:val="left"/>
        </w:tabs>
        <w:rPr>
          <w:sz w:val="20"/>
          <w:szCs w:val="20"/>
          <w:color w:val="auto"/>
        </w:rPr>
      </w:pPr>
      <w:r>
        <w:rPr>
          <w:rFonts w:ascii="Times New Roman" w:cs="Times New Roman" w:eastAsia="Times New Roman" w:hAnsi="Times New Roman"/>
          <w:sz w:val="17"/>
          <w:szCs w:val="17"/>
          <w:color w:val="auto"/>
        </w:rPr>
        <w:t>If to Borrowers:</w:t>
      </w:r>
      <w:r>
        <w:rPr>
          <w:sz w:val="20"/>
          <w:szCs w:val="20"/>
          <w:color w:val="auto"/>
        </w:rPr>
        <w:tab/>
      </w:r>
      <w:r>
        <w:rPr>
          <w:rFonts w:ascii="Times New Roman" w:cs="Times New Roman" w:eastAsia="Times New Roman" w:hAnsi="Times New Roman"/>
          <w:sz w:val="16"/>
          <w:szCs w:val="16"/>
          <w:color w:val="auto"/>
        </w:rPr>
        <w:t>c/o THREDUP INC.</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969 Broadway, Suite 200</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Oakland, CA 94607</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Attn: Alon Rotem</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Email: [***]</w:t>
      </w: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with a copy (that shall not constitute notice) to:</w:t>
      </w:r>
    </w:p>
    <w:p>
      <w:pPr>
        <w:spacing w:after="0" w:line="30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Goodwin Procter LLP</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3 Embarcadero Center</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San Francisco, CA 94111</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Attn: William B. Pearce</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Email: [***]</w:t>
      </w:r>
    </w:p>
    <w:p>
      <w:pPr>
        <w:spacing w:after="0" w:line="265" w:lineRule="exact"/>
        <w:rPr>
          <w:sz w:val="20"/>
          <w:szCs w:val="20"/>
          <w:color w:val="auto"/>
        </w:rPr>
      </w:pPr>
    </w:p>
    <w:p>
      <w:pPr>
        <w:ind w:left="4020" w:right="3880" w:hanging="2587"/>
        <w:spacing w:after="0" w:line="305" w:lineRule="auto"/>
        <w:tabs>
          <w:tab w:leader="none" w:pos="4000" w:val="left"/>
        </w:tabs>
        <w:rPr>
          <w:sz w:val="20"/>
          <w:szCs w:val="20"/>
          <w:color w:val="auto"/>
        </w:rPr>
      </w:pPr>
      <w:r>
        <w:rPr>
          <w:rFonts w:ascii="Times New Roman" w:cs="Times New Roman" w:eastAsia="Times New Roman" w:hAnsi="Times New Roman"/>
          <w:sz w:val="17"/>
          <w:szCs w:val="17"/>
          <w:color w:val="auto"/>
        </w:rPr>
        <w:t>If to Bank:</w:t>
      </w:r>
      <w:r>
        <w:rPr>
          <w:sz w:val="20"/>
          <w:szCs w:val="20"/>
          <w:color w:val="auto"/>
        </w:rPr>
        <w:tab/>
      </w:r>
      <w:r>
        <w:rPr>
          <w:rFonts w:ascii="Times New Roman" w:cs="Times New Roman" w:eastAsia="Times New Roman" w:hAnsi="Times New Roman"/>
          <w:sz w:val="17"/>
          <w:szCs w:val="17"/>
          <w:color w:val="auto"/>
        </w:rPr>
        <w:t>Bridge Bank, a division of Western Alliance Bank 55 Almaden Boulevard, Suite 100</w:t>
      </w:r>
    </w:p>
    <w:p>
      <w:pPr>
        <w:spacing w:after="0" w:line="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San Jose, CA 95113</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Attn: Jeffrey Brown</w:t>
      </w:r>
    </w:p>
    <w:p>
      <w:pPr>
        <w:spacing w:after="0" w:line="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314" w:right="339" w:bottom="1440" w:gutter="0" w:footer="0" w:header="0"/>
        </w:sectPr>
      </w:pPr>
    </w:p>
    <w:bookmarkStart w:id="652" w:name="page653"/>
    <w:bookmarkEnd w:id="652"/>
    <w:p>
      <w:pPr>
        <w:ind w:left="600"/>
        <w:spacing w:after="0"/>
        <w:rPr>
          <w:sz w:val="20"/>
          <w:szCs w:val="20"/>
          <w:color w:val="auto"/>
        </w:rPr>
      </w:pPr>
      <w:r>
        <w:rPr>
          <w:rFonts w:ascii="Times New Roman" w:cs="Times New Roman" w:eastAsia="Times New Roman" w:hAnsi="Times New Roman"/>
          <w:sz w:val="17"/>
          <w:szCs w:val="17"/>
          <w:color w:val="auto"/>
        </w:rPr>
        <w:t>The parties hereto may change the address at which they are to receive notices hereunder, by notice in writing in the foregoing manner given to the other.</w:t>
      </w:r>
    </w:p>
    <w:p>
      <w:pPr>
        <w:spacing w:after="0" w:line="199" w:lineRule="exact"/>
        <w:rPr>
          <w:sz w:val="20"/>
          <w:szCs w:val="20"/>
          <w:color w:val="auto"/>
        </w:rPr>
      </w:pPr>
    </w:p>
    <w:p>
      <w:pPr>
        <w:ind w:left="1180" w:hanging="583"/>
        <w:spacing w:after="0"/>
        <w:tabs>
          <w:tab w:leader="none" w:pos="1180" w:val="left"/>
        </w:tabs>
        <w:numPr>
          <w:ilvl w:val="0"/>
          <w:numId w:val="6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CHOICE OF LAW AND VENUE; JURY TRIAL WAIVER.</w:t>
      </w:r>
    </w:p>
    <w:p>
      <w:pPr>
        <w:spacing w:after="0" w:line="207" w:lineRule="exact"/>
        <w:rPr>
          <w:sz w:val="20"/>
          <w:szCs w:val="20"/>
          <w:color w:val="auto"/>
        </w:rPr>
      </w:pPr>
    </w:p>
    <w:p>
      <w:pPr>
        <w:jc w:val="both"/>
        <w:ind w:firstLine="597"/>
        <w:spacing w:after="0" w:line="247" w:lineRule="auto"/>
        <w:rPr>
          <w:sz w:val="20"/>
          <w:szCs w:val="20"/>
          <w:color w:val="auto"/>
        </w:rPr>
      </w:pPr>
      <w:r>
        <w:rPr>
          <w:rFonts w:ascii="Times New Roman" w:cs="Times New Roman" w:eastAsia="Times New Roman" w:hAnsi="Times New Roman"/>
          <w:sz w:val="17"/>
          <w:szCs w:val="17"/>
          <w:color w:val="auto"/>
        </w:rPr>
        <w:t>This Agreement and all other Loan Documents (except as otherwise expressly provided in any of the Loan Documents) shall be governed by, and construed in accordance with, the internal laws of the State of California, without regard to principles of conflicts of law. Each of Borrowers and Bank hereby submits to the exclusive jurisdiction of the state and Federal courts located in the County of Santa Clara, State of California. BORROWERS AND BANK EACH HEREBY WAIVE THEIR RESPECTIVE RIGHTS TO A JURY TRIAL OF ANY CLAIM OR CAUSE OF ACTION BASED UPON OR ARISING OUT OF ANY OF THE LOAN DOCUMENTS OR ANY OF THE TRANSACTIONS CONTEMPLATED THEREIN, INCLUDING CONTRACT CLAIMS, TORT CLAIMS, BREACH OF DUTY CLAIMS, AND ALL OTHER COMMON LAW OR STATUTORY CLAIMS. EACH PARTY RECOGNIZES AND AGREES THAT THE FOREGOING WAIVER CONSTITUTES A MATERIAL INDUCEMENT FOR IT TO ENTER INTO THIS AGREEMENT. EACH PARTY REPRESENTS AND WARRANTS THAT IT HAS REVIEWED THIS WAIVER WITH ITS LEGAL COUNSEL AND THAT IT KNOWINGLY AND VOLUNTARILY WAIVES ITS JURY TRIAL RIGHTS FOLLOWING CONSULTATION WITH LEGAL COUNSEL.</w:t>
      </w:r>
    </w:p>
    <w:p>
      <w:pPr>
        <w:spacing w:after="0" w:line="176" w:lineRule="exact"/>
        <w:rPr>
          <w:sz w:val="20"/>
          <w:szCs w:val="20"/>
          <w:color w:val="auto"/>
        </w:rPr>
      </w:pPr>
    </w:p>
    <w:p>
      <w:pPr>
        <w:ind w:left="1180" w:hanging="583"/>
        <w:spacing w:after="0"/>
        <w:tabs>
          <w:tab w:leader="none" w:pos="1180" w:val="left"/>
        </w:tabs>
        <w:numPr>
          <w:ilvl w:val="0"/>
          <w:numId w:val="6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JUDICIAL REFERENCE PROVISION.</w:t>
      </w:r>
    </w:p>
    <w:p>
      <w:pPr>
        <w:spacing w:after="0" w:line="202"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12.1    </w:t>
      </w:r>
      <w:r>
        <w:rPr>
          <w:rFonts w:ascii="Times New Roman" w:cs="Times New Roman" w:eastAsia="Times New Roman" w:hAnsi="Times New Roman"/>
          <w:sz w:val="17"/>
          <w:szCs w:val="17"/>
          <w:color w:val="auto"/>
        </w:rPr>
        <w:t>In the event the jury trial waiver set forth above is not enforceable, the parties elect to proceed under this judicial reference provision.</w:t>
      </w:r>
    </w:p>
    <w:p>
      <w:pPr>
        <w:spacing w:after="0" w:line="203" w:lineRule="exact"/>
        <w:rPr>
          <w:sz w:val="20"/>
          <w:szCs w:val="20"/>
          <w:color w:val="auto"/>
        </w:rPr>
      </w:pPr>
    </w:p>
    <w:p>
      <w:pPr>
        <w:jc w:val="both"/>
        <w:ind w:firstLine="1195"/>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12.2 </w:t>
      </w:r>
      <w:r>
        <w:rPr>
          <w:rFonts w:ascii="Times New Roman" w:cs="Times New Roman" w:eastAsia="Times New Roman" w:hAnsi="Times New Roman"/>
          <w:sz w:val="17"/>
          <w:szCs w:val="17"/>
          <w:color w:val="auto"/>
        </w:rPr>
        <w:t>With the exception of the items specified in Section 12.3, below, any controversy, dispute or claim (each, a “</w:t>
      </w:r>
      <w:r>
        <w:rPr>
          <w:rFonts w:ascii="Times New Roman" w:cs="Times New Roman" w:eastAsia="Times New Roman" w:hAnsi="Times New Roman"/>
          <w:sz w:val="17"/>
          <w:szCs w:val="17"/>
          <w:b w:val="1"/>
          <w:bCs w:val="1"/>
          <w:u w:val="single" w:color="auto"/>
          <w:color w:val="auto"/>
        </w:rPr>
        <w:t>Claim</w:t>
      </w:r>
      <w:r>
        <w:rPr>
          <w:rFonts w:ascii="Times New Roman" w:cs="Times New Roman" w:eastAsia="Times New Roman" w:hAnsi="Times New Roman"/>
          <w:sz w:val="17"/>
          <w:szCs w:val="17"/>
          <w:color w:val="auto"/>
        </w:rPr>
        <w:t>”) between the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arising out of or relating to this Agreement or any other document, instrument or agreement between the undersigned parties (collectively in this Section, the “</w:t>
      </w:r>
      <w:r>
        <w:rPr>
          <w:rFonts w:ascii="Times New Roman" w:cs="Times New Roman" w:eastAsia="Times New Roman" w:hAnsi="Times New Roman"/>
          <w:sz w:val="17"/>
          <w:szCs w:val="17"/>
          <w:b w:val="1"/>
          <w:bCs w:val="1"/>
          <w:u w:val="single" w:color="auto"/>
          <w:color w:val="auto"/>
        </w:rPr>
        <w:t>Loan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Documents</w:t>
      </w:r>
      <w:r>
        <w:rPr>
          <w:rFonts w:ascii="Times New Roman" w:cs="Times New Roman" w:eastAsia="Times New Roman" w:hAnsi="Times New Roman"/>
          <w:sz w:val="17"/>
          <w:szCs w:val="17"/>
          <w:color w:val="auto"/>
        </w:rPr>
        <w:t>”), will be resolved by a reference proceeding in California in accordance with the provisions of Sections 638 et seq. of the California Code of Civil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Procedure (“</w:t>
      </w:r>
      <w:r>
        <w:rPr>
          <w:rFonts w:ascii="Times New Roman" w:cs="Times New Roman" w:eastAsia="Times New Roman" w:hAnsi="Times New Roman"/>
          <w:sz w:val="17"/>
          <w:szCs w:val="17"/>
          <w:b w:val="1"/>
          <w:bCs w:val="1"/>
          <w:u w:val="single" w:color="auto"/>
          <w:color w:val="auto"/>
        </w:rPr>
        <w:t>CCP</w:t>
      </w:r>
      <w:r>
        <w:rPr>
          <w:rFonts w:ascii="Times New Roman" w:cs="Times New Roman" w:eastAsia="Times New Roman" w:hAnsi="Times New Roman"/>
          <w:sz w:val="17"/>
          <w:szCs w:val="17"/>
          <w:color w:val="auto"/>
        </w:rPr>
        <w:t>”), or their successor sections, which shall constitute the exclusive remedy for the resolution of any Claim, including whether the Claim is subject to the reference proceeding. Except as otherwise provided in the Loan Documents, venue for the reference proceeding will be in the state or federal court in the county or district where the real property involved in the action, if any, is located or in the state or federal court in the county or district where venue is otherwise appropriate under applicable law (the “</w:t>
      </w:r>
      <w:r>
        <w:rPr>
          <w:rFonts w:ascii="Times New Roman" w:cs="Times New Roman" w:eastAsia="Times New Roman" w:hAnsi="Times New Roman"/>
          <w:sz w:val="17"/>
          <w:szCs w:val="17"/>
          <w:b w:val="1"/>
          <w:bCs w:val="1"/>
          <w:u w:val="single" w:color="auto"/>
          <w:color w:val="auto"/>
        </w:rPr>
        <w:t>Court</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12.3 </w:t>
      </w:r>
      <w:r>
        <w:rPr>
          <w:rFonts w:ascii="Times New Roman" w:cs="Times New Roman" w:eastAsia="Times New Roman" w:hAnsi="Times New Roman"/>
          <w:sz w:val="17"/>
          <w:szCs w:val="17"/>
          <w:color w:val="auto"/>
        </w:rPr>
        <w:t>The matters that shall not be subject to a reference are the following: (i) nonjudicial foreclosure of any security interests in real or personal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property, (ii) exercise of self-help remedies (including, without limitation, set-off), (iii) appointment of a receiver and (iv) temporary, provisional or ancillary remedies (including, without limitation, writs of attachment, writs of possession, temporary restraining orders or preliminary injunctions). This reference provision does not limit the right of any party to exercise or oppose any of the rights and remedies described in clauses (i) and (ii) or to seek or oppose from a court of competent jurisdiction any of the items described in clauses (iii) and (iv). The exercise of, or opposition to, any of those items does not waive the right of any party to a reference pursuant to this reference provision as provided herein.</w:t>
      </w:r>
    </w:p>
    <w:p>
      <w:pPr>
        <w:spacing w:after="0" w:line="172"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12.4 </w:t>
      </w:r>
      <w:r>
        <w:rPr>
          <w:rFonts w:ascii="Times New Roman" w:cs="Times New Roman" w:eastAsia="Times New Roman" w:hAnsi="Times New Roman"/>
          <w:sz w:val="17"/>
          <w:szCs w:val="17"/>
          <w:color w:val="auto"/>
        </w:rPr>
        <w:t>The referee shall be a retired judge or justice selected by mutual written agreement of the parties. If the parties do not agree within ten (10)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days of a written request to do so by any party, then, upon request of any party, the referee shall be selected by the Presiding Judge of the Court (or his or her representative). A request for appointment of a referee may be heard on an ex parte or expedited basis, and the parties agree that irreparable harm would result if ex parte relief is not granted. Pursuant to CCP § 170.6, each party shall have one peremptory challenge to the referee selected by the Presiding Judge of the Court (or his or her representative).</w:t>
      </w:r>
    </w:p>
    <w:p>
      <w:pPr>
        <w:spacing w:after="0" w:line="172"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12.5 </w:t>
      </w:r>
      <w:r>
        <w:rPr>
          <w:rFonts w:ascii="Times New Roman" w:cs="Times New Roman" w:eastAsia="Times New Roman" w:hAnsi="Times New Roman"/>
          <w:sz w:val="17"/>
          <w:szCs w:val="17"/>
          <w:color w:val="auto"/>
        </w:rPr>
        <w:t>The parties agree that time is of the essence in conducting the reference proceedings. Accordingly, the referee shall be requested,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change in the time periods specified herein for good cause shown, to (i) set the matter for a status and trial-setting conference within fifteen (15) days after the date of selection of the referee, (ii) if practicable, try all issues of law or fact within one hundred twenty (120) days after the date of</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318" w:right="339" w:bottom="1440" w:gutter="0" w:footer="0" w:header="0"/>
        </w:sectPr>
      </w:pPr>
    </w:p>
    <w:bookmarkStart w:id="653" w:name="page654"/>
    <w:bookmarkEnd w:id="653"/>
    <w:p>
      <w:pPr>
        <w:spacing w:after="0"/>
        <w:rPr>
          <w:sz w:val="20"/>
          <w:szCs w:val="20"/>
          <w:color w:val="auto"/>
        </w:rPr>
      </w:pPr>
      <w:r>
        <w:rPr>
          <w:rFonts w:ascii="Times New Roman" w:cs="Times New Roman" w:eastAsia="Times New Roman" w:hAnsi="Times New Roman"/>
          <w:sz w:val="17"/>
          <w:szCs w:val="17"/>
          <w:color w:val="auto"/>
        </w:rPr>
        <w:t>the conference and (iii) report a statement of decision within twenty (20) days after the matter has been submitted for decision.</w:t>
      </w:r>
    </w:p>
    <w:p>
      <w:pPr>
        <w:spacing w:after="0" w:line="199"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12.6 </w:t>
      </w:r>
      <w:r>
        <w:rPr>
          <w:rFonts w:ascii="Times New Roman" w:cs="Times New Roman" w:eastAsia="Times New Roman" w:hAnsi="Times New Roman"/>
          <w:sz w:val="17"/>
          <w:szCs w:val="17"/>
          <w:color w:val="auto"/>
        </w:rPr>
        <w:t>The referee will have power to expand or limit the amount and duration of discovery. The referee may set or extend discovery deadlines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cutoffs for good cause, including a party’s failure to provide requested discovery for any reason whatsoever. Unless otherwise ordered based upon good cause shown, no party shall be entitled to “priority” in conducting discovery, depositions may be taken by either party upon seven (7) days written notice, and all other discovery shall be responded to within fifteen (15) days after service. All disputes relating to discovery which cannot be resolved by the parties shall be submitted to the referee whose decision shall be final and binding.</w:t>
      </w:r>
    </w:p>
    <w:p>
      <w:pPr>
        <w:spacing w:after="0" w:line="172" w:lineRule="exact"/>
        <w:rPr>
          <w:sz w:val="20"/>
          <w:szCs w:val="20"/>
          <w:color w:val="auto"/>
        </w:rPr>
      </w:pPr>
    </w:p>
    <w:p>
      <w:pPr>
        <w:jc w:val="both"/>
        <w:ind w:firstLine="119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12.7 </w:t>
      </w:r>
      <w:r>
        <w:rPr>
          <w:rFonts w:ascii="Times New Roman" w:cs="Times New Roman" w:eastAsia="Times New Roman" w:hAnsi="Times New Roman"/>
          <w:sz w:val="17"/>
          <w:szCs w:val="17"/>
          <w:color w:val="auto"/>
        </w:rPr>
        <w:t>Except as expressly set forth herein, the referee shall determine the manner in which the reference proceeding is conducted including the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place of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and the referee will be provided a courtesy copy of the transcript. The party making such a request shall have the obligation to arrange for and pay the court reporter. Subject to the referee’s power to award costs to the prevailing party, the parties will equally share the cost of the referee and the court reporter at trial.</w:t>
      </w:r>
    </w:p>
    <w:p>
      <w:pPr>
        <w:spacing w:after="0" w:line="172" w:lineRule="exact"/>
        <w:rPr>
          <w:sz w:val="20"/>
          <w:szCs w:val="20"/>
          <w:color w:val="auto"/>
        </w:rPr>
      </w:pPr>
    </w:p>
    <w:p>
      <w:pPr>
        <w:jc w:val="both"/>
        <w:ind w:firstLine="1195"/>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12.8 </w:t>
      </w:r>
      <w:r>
        <w:rPr>
          <w:rFonts w:ascii="Times New Roman" w:cs="Times New Roman" w:eastAsia="Times New Roman" w:hAnsi="Times New Roman"/>
          <w:sz w:val="16"/>
          <w:szCs w:val="16"/>
          <w:color w:val="auto"/>
        </w:rPr>
        <w:t>The referee shall be required to determine all issues in accordance with existing case law and the statutory laws of the State of California.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rules of evidence applicable to proceedings at law in the State of California will be applicable to the reference proceeding. The referee shall be empowered to enter equitable as well as legal relief, enter equitable orders that will be binding on the parties and rule on any motion which would be authorized in a court proceeding, including without limitation motions for summary judgment or summary adjudication. The referee shall issue a decision at the close of the reference proceeding which disposes of all claims of the parties that are the subject of the reference. Pursuant to CCP § 644, such decision shall be entered by the Court as a judgment or an order in the same manner as if the action had been tried by the Court and any such decision will be final, binding and conclusive. The parties reserve the right to appeal from the final judgment or order or from any appealable decision or order entered by the referee. The parties reserve the right to findings of fact, conclusions of laws, a written statement of decision, and the right to move for a new trial or a different judgment, which new trial, if granted, is also to be a reference proceeding under this provision.</w:t>
      </w:r>
    </w:p>
    <w:p>
      <w:pPr>
        <w:spacing w:after="0" w:line="161"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12.9 </w:t>
      </w:r>
      <w:r>
        <w:rPr>
          <w:rFonts w:ascii="Times New Roman" w:cs="Times New Roman" w:eastAsia="Times New Roman" w:hAnsi="Times New Roman"/>
          <w:sz w:val="17"/>
          <w:szCs w:val="17"/>
          <w:color w:val="auto"/>
        </w:rPr>
        <w:t>If the enabling legislation which provides for appointment of a referee is repealed (and no successor statute is enacted), any dispute between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that would otherwise be determined by reference procedure will be resolved and determined by arbitration. The arbitration will be conducted by a retired judge or justice, in accordance with the California Arbitration Act §1280 through §1294.2 of the CCP as amended from time to time. The limitations with respect to discovery set forth above shall apply to any such arbitration proceeding.</w:t>
      </w:r>
    </w:p>
    <w:p>
      <w:pPr>
        <w:spacing w:after="0" w:line="168"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12.10 </w:t>
      </w:r>
      <w:r>
        <w:rPr>
          <w:rFonts w:ascii="Times New Roman" w:cs="Times New Roman" w:eastAsia="Times New Roman" w:hAnsi="Times New Roman"/>
          <w:sz w:val="17"/>
          <w:szCs w:val="17"/>
          <w:color w:val="auto"/>
        </w:rPr>
        <w:t>THE PARTIES RECOGNIZE AND AGREE THAT ALL CONTROVERSIES, DISPUTES AND CLAIMS RESOLVED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REFERENCE PROVISION WILL BE DECIDED BY A REFEREE AND NOT BY A JURY. AFTER CONSULTING (OR HAVING HAD THE OPPORTUNITY TO CONSULT) WITH COUNSEL OF ITS, HIS OR HER OWN CHOICE, EACH PARTY KNOWINGLY AND VOLUNTARILY, AND FOR THE MUTUAL BENEFIT OF ALL PARTIES, AGREES THAT THIS REFERENCE PROVISION WILL APPLY TO ANY CONTROVERSY, DISPUTE OR CLAIM BETWEEN OR AMONG THEM ARISING OUT OF OR IN ANY WAY RELATED TO, THIS AGREEMENT OR THE OTHER LOAN DOCUMENTS.</w:t>
      </w:r>
    </w:p>
    <w:p>
      <w:pPr>
        <w:spacing w:after="0" w:line="172" w:lineRule="exact"/>
        <w:rPr>
          <w:sz w:val="20"/>
          <w:szCs w:val="20"/>
          <w:color w:val="auto"/>
        </w:rPr>
      </w:pPr>
    </w:p>
    <w:p>
      <w:pPr>
        <w:ind w:left="1180" w:hanging="583"/>
        <w:spacing w:after="0"/>
        <w:tabs>
          <w:tab w:leader="none" w:pos="1180" w:val="left"/>
        </w:tabs>
        <w:numPr>
          <w:ilvl w:val="0"/>
          <w:numId w:val="6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PROVISIONS.</w:t>
      </w:r>
    </w:p>
    <w:p>
      <w:pPr>
        <w:spacing w:after="0" w:line="203"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13.1 Successors and Assigns. </w:t>
      </w:r>
      <w:r>
        <w:rPr>
          <w:rFonts w:ascii="Times New Roman" w:cs="Times New Roman" w:eastAsia="Times New Roman" w:hAnsi="Times New Roman"/>
          <w:sz w:val="17"/>
          <w:szCs w:val="17"/>
          <w:color w:val="auto"/>
        </w:rPr>
        <w:t>This Agreement shall bind and inure to the benefit of the respective successors and permitted assigns of each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provided, however, that neither this Agreement nor any rights hereunder may be assigned by any Borrower without Bank’s prior written consent, which consent may be granted or withheld in Bank’s sole discretion. Bank shall have the right without the consent of or notice to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317" w:right="339" w:bottom="1440" w:gutter="0" w:footer="0" w:header="0"/>
        </w:sectPr>
      </w:pPr>
    </w:p>
    <w:bookmarkStart w:id="654" w:name="page655"/>
    <w:bookmarkEnd w:id="654"/>
    <w:p>
      <w:pPr>
        <w:jc w:val="both"/>
        <w:spacing w:after="0" w:line="249" w:lineRule="auto"/>
        <w:rPr>
          <w:sz w:val="20"/>
          <w:szCs w:val="20"/>
          <w:color w:val="auto"/>
        </w:rPr>
      </w:pPr>
      <w:r>
        <w:rPr>
          <w:rFonts w:ascii="Times New Roman" w:cs="Times New Roman" w:eastAsia="Times New Roman" w:hAnsi="Times New Roman"/>
          <w:sz w:val="17"/>
          <w:szCs w:val="17"/>
          <w:color w:val="auto"/>
        </w:rPr>
        <w:t>any Borrower to sell, transfer, negotiate, or grant participation in all or any part of, or any interest in, Bank’s obligations, rights and benefits hereunder; provided that Bank shall provide notice to Borrowers of any sale or transfer that results in Western Alliance Bank no longer acting as “Bank” hereunder. Notwithstanding anything to the contrary contained herein, so long as no Event of Default has occurred and is continuing, Bank shall not sell, transfer, negotiate, or grant participation in all or any part of, or any interest in, Bank’s obligations, rights and benefits hereunder pursuant to this Section 13.1 (other than assignments by Bank due to a forced divestiture at the request of any regulatory agency) to any Person who in the reasonable estimation of Bank is (a) a direct competitor of Borrower, whether as an operating company or direct or indirect parent with voting control over such operating company, or (b) a vulture fund or distressed debt fund.</w:t>
      </w:r>
    </w:p>
    <w:p>
      <w:pPr>
        <w:spacing w:after="0" w:line="173"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13.2 Indemnification. </w:t>
      </w:r>
      <w:r>
        <w:rPr>
          <w:rFonts w:ascii="Times New Roman" w:cs="Times New Roman" w:eastAsia="Times New Roman" w:hAnsi="Times New Roman"/>
          <w:sz w:val="17"/>
          <w:szCs w:val="17"/>
          <w:color w:val="auto"/>
        </w:rPr>
        <w:t>Borrowers shall defend, indemnify and hold harmless Bank and its officers, employees, and agents against: (a)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demands, claims, and liabilities claimed or asserted by any other party in connection with the transactions contemplated by this Agreement; and (b) all losses or Bank Expenses in any way suffered, incurred, or paid by Bank as a result of or in any way arising out of, following, or consequential to transactions between Bank and any Borrower whether under this Agreement, or otherwise (including without limitation reasonable attorneys’ fees and expenses), except for losses caused by Bank’s gross negligence or willful misconduct.</w:t>
      </w:r>
    </w:p>
    <w:p>
      <w:pPr>
        <w:spacing w:after="0" w:line="172"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13.3</w:t>
      </w:r>
      <w:r>
        <w:rPr>
          <w:sz w:val="20"/>
          <w:szCs w:val="20"/>
          <w:color w:val="auto"/>
        </w:rPr>
        <w:tab/>
      </w:r>
      <w:r>
        <w:rPr>
          <w:rFonts w:ascii="Times New Roman" w:cs="Times New Roman" w:eastAsia="Times New Roman" w:hAnsi="Times New Roman"/>
          <w:sz w:val="16"/>
          <w:szCs w:val="16"/>
          <w:b w:val="1"/>
          <w:bCs w:val="1"/>
          <w:color w:val="auto"/>
        </w:rPr>
        <w:t xml:space="preserve">Time of Essence. </w:t>
      </w:r>
      <w:r>
        <w:rPr>
          <w:rFonts w:ascii="Times New Roman" w:cs="Times New Roman" w:eastAsia="Times New Roman" w:hAnsi="Times New Roman"/>
          <w:sz w:val="16"/>
          <w:szCs w:val="16"/>
          <w:color w:val="auto"/>
        </w:rPr>
        <w:t>Time is of the essence for the performance of all obligations set forth in this Agreement.</w:t>
      </w:r>
    </w:p>
    <w:p>
      <w:pPr>
        <w:spacing w:after="0" w:line="203"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13.4 Severability of Provisions. </w:t>
      </w:r>
      <w:r>
        <w:rPr>
          <w:rFonts w:ascii="Times New Roman" w:cs="Times New Roman" w:eastAsia="Times New Roman" w:hAnsi="Times New Roman"/>
          <w:sz w:val="17"/>
          <w:szCs w:val="17"/>
          <w:color w:val="auto"/>
        </w:rPr>
        <w:t>Each provision of this Agreement shall be severable from every other provision of this Agreement for the purpose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determining the legal enforceability of any specific provision.</w:t>
      </w:r>
    </w:p>
    <w:p>
      <w:pPr>
        <w:spacing w:after="0" w:line="151" w:lineRule="exact"/>
        <w:rPr>
          <w:sz w:val="20"/>
          <w:szCs w:val="20"/>
          <w:color w:val="auto"/>
        </w:rPr>
      </w:pPr>
    </w:p>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13.5 Amendments in Writing, Integration. </w:t>
      </w:r>
      <w:r>
        <w:rPr>
          <w:rFonts w:ascii="Times New Roman" w:cs="Times New Roman" w:eastAsia="Times New Roman" w:hAnsi="Times New Roman"/>
          <w:sz w:val="17"/>
          <w:szCs w:val="17"/>
          <w:color w:val="auto"/>
        </w:rPr>
        <w:t>Neither this Agreement nor the Loan Documents can be amended or terminated orally. All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agreements, understandings, representations, warranties, and negotiations between the parties hereto with respect to the subject matter of this Agreement and the Loan Documents, if any, are merged into this Agreement and the Loan Documents.</w:t>
      </w:r>
    </w:p>
    <w:p>
      <w:pPr>
        <w:spacing w:after="0" w:line="164"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13.6 Counterparts. </w:t>
      </w:r>
      <w:r>
        <w:rPr>
          <w:rFonts w:ascii="Times New Roman" w:cs="Times New Roman" w:eastAsia="Times New Roman" w:hAnsi="Times New Roman"/>
          <w:sz w:val="17"/>
          <w:szCs w:val="17"/>
          <w:color w:val="auto"/>
        </w:rPr>
        <w:t>This Agreement may be executed in any number of counterparts and by different parties on separate counterparts, each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when executed and delivered, shall be deemed to be an original, and all of which, when taken together, shall constitute but one and the same Agreement.</w:t>
      </w:r>
    </w:p>
    <w:p>
      <w:pPr>
        <w:spacing w:after="0" w:line="151"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13.7 Survival. </w:t>
      </w:r>
      <w:r>
        <w:rPr>
          <w:rFonts w:ascii="Times New Roman" w:cs="Times New Roman" w:eastAsia="Times New Roman" w:hAnsi="Times New Roman"/>
          <w:sz w:val="17"/>
          <w:szCs w:val="17"/>
          <w:color w:val="auto"/>
        </w:rPr>
        <w:t>All covenants, representations and warranties made in this Agreement shall continue in full force and effect so long as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remain outstanding or Bank has any obligation to make Credit Extensions to Borrowers. The obligations of Borrowers to indemnify Bank with respect to the expenses, damages, losses, costs and liabilities described in Section 13.2 shall survive until all applicable statute of limitations periods with respect to actions that may be brought against Bank have run.</w:t>
      </w:r>
    </w:p>
    <w:p>
      <w:pPr>
        <w:spacing w:after="0" w:line="168" w:lineRule="exact"/>
        <w:rPr>
          <w:sz w:val="20"/>
          <w:szCs w:val="20"/>
          <w:color w:val="auto"/>
        </w:rPr>
      </w:pPr>
    </w:p>
    <w:p>
      <w:pPr>
        <w:jc w:val="both"/>
        <w:ind w:firstLine="119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13.8 Confidentiality. </w:t>
      </w:r>
      <w:r>
        <w:rPr>
          <w:rFonts w:ascii="Times New Roman" w:cs="Times New Roman" w:eastAsia="Times New Roman" w:hAnsi="Times New Roman"/>
          <w:sz w:val="17"/>
          <w:szCs w:val="17"/>
          <w:color w:val="auto"/>
        </w:rPr>
        <w:t>In handling any confidential information Bank and all employees and agents of Bank, including but not limited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accountants, shall exercise the same degree of care that it exercises with respect to its own proprietary information of the same types to maintain the confidentiality of any non-public information thereby received or received pursuant to this Agreement except that disclosure of such information may be made (i) to the subsidiaries or affiliates of Bank in connection with their present or prospective business relations with Borrowers, (ii) to prospective transferees or purchasers of any interest in the Loans, (iii) as required by law, regulations, rule or order, subpoena, judicial order or similar order, (iv) as may be required in connection with the examination, audit or similar investigation of Bank and (v) as Bank may determine in connection with the enforcement of any remedies hereunder. Confidential information hereunder shall not include information that either: (a) is in the public domain or in the knowledge or possession of Bank when disclosed to Bank, or becomes part of the public domain after disclosure to Bank through no fault of Bank; or (b) is disclosed to Bank by a third party, provided Bank does not have actual knowledge that such third party is prohibited from disclosing such information.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317" w:right="339" w:bottom="1440" w:gutter="0" w:footer="0" w:header="0"/>
        </w:sectPr>
      </w:pPr>
    </w:p>
    <w:bookmarkStart w:id="655" w:name="page656"/>
    <w:bookmarkEnd w:id="655"/>
    <w:p>
      <w:pPr>
        <w:jc w:val="both"/>
        <w:ind w:firstLine="119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13.9 Patriot Act Notice. </w:t>
      </w:r>
      <w:r>
        <w:rPr>
          <w:rFonts w:ascii="Times New Roman" w:cs="Times New Roman" w:eastAsia="Times New Roman" w:hAnsi="Times New Roman"/>
          <w:sz w:val="17"/>
          <w:szCs w:val="17"/>
          <w:color w:val="auto"/>
        </w:rPr>
        <w:t>Bank notifies Borrower that, pursuant to the requirements of the USA Patriot Act, Title III of Pub. L. 107-56 (signed into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 on October 26, 2001) (the “ Patriot Act “), it is required to obtain, verify and record information that identifies each Borrower, which information includes names and addresses and other information that will allow Bank to identify any Borrower in accordance with the Patriot Act.</w:t>
      </w:r>
    </w:p>
    <w:p>
      <w:pPr>
        <w:spacing w:after="0" w:line="164"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17"/>
          <w:szCs w:val="17"/>
          <w:b w:val="1"/>
          <w:bCs w:val="1"/>
          <w:color w:val="auto"/>
        </w:rPr>
        <w:t>13.10</w:t>
        <w:tab/>
        <w:t>Effect of Amendment and Restatement</w:t>
      </w:r>
      <w:r>
        <w:rPr>
          <w:rFonts w:ascii="Times New Roman" w:cs="Times New Roman" w:eastAsia="Times New Roman" w:hAnsi="Times New Roman"/>
          <w:sz w:val="17"/>
          <w:szCs w:val="17"/>
          <w:color w:val="auto"/>
        </w:rPr>
        <w:t>. This Agreement does completely amend and restate the terms and conditions of the Original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182" w:lineRule="exact"/>
        <w:rPr>
          <w:sz w:val="20"/>
          <w:szCs w:val="20"/>
          <w:color w:val="auto"/>
        </w:rPr>
      </w:pPr>
    </w:p>
    <w:p>
      <w:pPr>
        <w:ind w:left="1180" w:hanging="583"/>
        <w:spacing w:after="0"/>
        <w:tabs>
          <w:tab w:leader="none" w:pos="1180" w:val="left"/>
        </w:tabs>
        <w:numPr>
          <w:ilvl w:val="0"/>
          <w:numId w:val="6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CO-BORROWER PROVISIONS.</w:t>
      </w:r>
    </w:p>
    <w:p>
      <w:pPr>
        <w:spacing w:after="0" w:line="203" w:lineRule="exact"/>
        <w:rPr>
          <w:sz w:val="20"/>
          <w:szCs w:val="20"/>
          <w:color w:val="auto"/>
        </w:rPr>
      </w:pPr>
    </w:p>
    <w:p>
      <w:pPr>
        <w:jc w:val="both"/>
        <w:ind w:firstLine="1195"/>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14.1 Primary Obligation. </w:t>
      </w:r>
      <w:r>
        <w:rPr>
          <w:rFonts w:ascii="Times New Roman" w:cs="Times New Roman" w:eastAsia="Times New Roman" w:hAnsi="Times New Roman"/>
          <w:sz w:val="17"/>
          <w:szCs w:val="17"/>
          <w:color w:val="auto"/>
        </w:rPr>
        <w:t>This Agreement is a primary and original obligation of each Borrower and shall remain in effect notwithstanding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changes in conditions, including any change of law or any invalidity or irregularity in the creation or acquisition of any Obligations or in the execution or delivery of any agreement between Bank and any Borrower. Each Borrower shall be liable for existing and future Obligations as fully as if all of all Credit Extensions were advanced to such Borrower. Bank may rely on any certificate or representation made by any Borrower as made on behalf of, and binding on, all Borrowers, including without limitation Disbursement Request Forms, Borrowing Base Certificates and Compliance Certificates.</w:t>
      </w:r>
    </w:p>
    <w:p>
      <w:pPr>
        <w:spacing w:after="0" w:line="172"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14.2 Enforcement of Rights. </w:t>
      </w:r>
      <w:r>
        <w:rPr>
          <w:rFonts w:ascii="Times New Roman" w:cs="Times New Roman" w:eastAsia="Times New Roman" w:hAnsi="Times New Roman"/>
          <w:sz w:val="17"/>
          <w:szCs w:val="17"/>
          <w:color w:val="auto"/>
        </w:rPr>
        <w:t>Borrowers are jointly and severally liable for the Obligations and Bank may proceed against one or more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Borrowers to enforce the Obligations without waiving its right to proceed against any of the other Borrowers.</w:t>
      </w:r>
    </w:p>
    <w:p>
      <w:pPr>
        <w:spacing w:after="0" w:line="151"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14.3 Borrowers as Agents. </w:t>
      </w:r>
      <w:r>
        <w:rPr>
          <w:rFonts w:ascii="Times New Roman" w:cs="Times New Roman" w:eastAsia="Times New Roman" w:hAnsi="Times New Roman"/>
          <w:sz w:val="17"/>
          <w:szCs w:val="17"/>
          <w:color w:val="auto"/>
        </w:rPr>
        <w:t>Each Borrower appoints the other Borrower as its agent with all necessary power and authority to give and receive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notices, certificates or demands for and on behalf of both Borrowers, to act as disbursing agent for receipt of any Credit Extensions on behalf of each Borrower and to apply to Bank on behalf of each Borrower for Credit Extensions, any waivers and any consents. This authorization cannot be revoked, and Bank need not inquire as to each Borrower’s authority to act for or on behalf of another Borrower.</w:t>
      </w:r>
    </w:p>
    <w:p>
      <w:pPr>
        <w:spacing w:after="0" w:line="168" w:lineRule="exact"/>
        <w:rPr>
          <w:sz w:val="20"/>
          <w:szCs w:val="20"/>
          <w:color w:val="auto"/>
        </w:rPr>
      </w:pPr>
    </w:p>
    <w:p>
      <w:pPr>
        <w:jc w:val="both"/>
        <w:ind w:firstLine="1195"/>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14.4 Subrogation and Similar Rights. </w:t>
      </w:r>
      <w:r>
        <w:rPr>
          <w:rFonts w:ascii="Times New Roman" w:cs="Times New Roman" w:eastAsia="Times New Roman" w:hAnsi="Times New Roman"/>
          <w:sz w:val="16"/>
          <w:szCs w:val="16"/>
          <w:color w:val="auto"/>
        </w:rPr>
        <w:t>Notwithstanding any other provision of this Agreement or any other Loan Document, each Borrower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irrevocably waives all rights that it may have at law or in equity (including, without limitation, any law subrogating the Borrower to the rights of Bank under the Loan Documents) to seek contribution, indemnification, or any other form of reimbursement from any other Borrower, or any other Person now or hereafter primarily or secondarily liable for any of the Obligations, for any payment made by the Borrower with respect to the Obligations in connection with the Loan Documents or otherwise and all rights that it might have to benefit from, or to participate in, any security for the Obligations as a result of any payment made by the Borrower with respect to the Obligations in connection with the Loan Documents or otherwise. Any agreement providing for indemnification, reimbursement or any other arrangement prohibited under this Section 14.4 shall be null and void. If any payment is made to a Borrower in contravention of this Section 14.4, such Borrower shall hold such payment in trust for Bank and such payment shall be promptly delivered to Bank for application to the Obligations, whether matured or unmatured.</w:t>
      </w:r>
    </w:p>
    <w:p>
      <w:pPr>
        <w:spacing w:after="0" w:line="161" w:lineRule="exact"/>
        <w:rPr>
          <w:sz w:val="20"/>
          <w:szCs w:val="20"/>
          <w:color w:val="auto"/>
        </w:rPr>
      </w:pPr>
    </w:p>
    <w:p>
      <w:pPr>
        <w:jc w:val="both"/>
        <w:ind w:firstLine="119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14.5 Waivers of Notice. </w:t>
      </w:r>
      <w:r>
        <w:rPr>
          <w:rFonts w:ascii="Times New Roman" w:cs="Times New Roman" w:eastAsia="Times New Roman" w:hAnsi="Times New Roman"/>
          <w:sz w:val="17"/>
          <w:szCs w:val="17"/>
          <w:color w:val="auto"/>
        </w:rPr>
        <w:t>Except as otherwise provided in this Agreement, each Borrower waives notice of acceptance hereof; notice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existence, creation or acquisition of any of the Obligations; notice of an Event of Default; notice of the amount of the Obligations outstanding at any time; notice of intent to accelerate; notice of acceleration; notice of any adverse change in the financial condition of any other Borrower or of any other fact that might increase the Borrower’s risk; presentment for payment; demand; protest and notice thereof as to any instrument; default; and all other notices and demands to which the Borrower would otherwise be entitled. Each Borrower waives any defense arising from any defense of any other Borrower, or by reason of the cessation from any cause whatsoever of the liability of any other Borrower. Bank’s failure at any time to require strict performance by any Borrower of any provision of the Loan Documents shall not waive, alter or diminish any right of Bank thereafter to demand strict compliance and performance therewith. Nothing contained herein shall prevent Bank from foreclosing on the Lien of any deed of trust, mortgage or other security instrument, or exercising any rights available thereunder, and the exercise of any such rights shall not constitute a legal or equitable discharge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314" w:right="339" w:bottom="1440" w:gutter="0" w:footer="0" w:header="0"/>
        </w:sectPr>
      </w:pPr>
    </w:p>
    <w:bookmarkStart w:id="656" w:name="page657"/>
    <w:bookmarkEnd w:id="656"/>
    <w:p>
      <w:pPr>
        <w:spacing w:after="0"/>
        <w:rPr>
          <w:sz w:val="20"/>
          <w:szCs w:val="20"/>
          <w:color w:val="auto"/>
        </w:rPr>
      </w:pPr>
      <w:r>
        <w:rPr>
          <w:rFonts w:ascii="Times New Roman" w:cs="Times New Roman" w:eastAsia="Times New Roman" w:hAnsi="Times New Roman"/>
          <w:sz w:val="17"/>
          <w:szCs w:val="17"/>
          <w:color w:val="auto"/>
        </w:rPr>
        <w:t>of any Borrower. Each Borrower also waives any defense arising from any act or omission of Bank that changes the scope of the Borrower’s risks hereunder.</w:t>
      </w:r>
    </w:p>
    <w:p>
      <w:pPr>
        <w:spacing w:after="0" w:line="199" w:lineRule="exact"/>
        <w:rPr>
          <w:sz w:val="20"/>
          <w:szCs w:val="20"/>
          <w:color w:val="auto"/>
        </w:rPr>
      </w:pPr>
    </w:p>
    <w:p>
      <w:pPr>
        <w:jc w:val="both"/>
        <w:ind w:firstLine="119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14.6 Subrogation Defenses. </w:t>
      </w:r>
      <w:r>
        <w:rPr>
          <w:rFonts w:ascii="Times New Roman" w:cs="Times New Roman" w:eastAsia="Times New Roman" w:hAnsi="Times New Roman"/>
          <w:sz w:val="17"/>
          <w:szCs w:val="17"/>
          <w:color w:val="auto"/>
        </w:rPr>
        <w:t>Each Borrower hereby waives any defense based on impairment or destruction of its subrogation or other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against any other Borrower and waives all benefits which might otherwise be available to it under California Civil Code Sections 2809, 2810, 2819, 2839, 2845, 2848, 2849, 2850, 2899, and 3433 and California Code of Civil Procedure Sections 580a, 580b, 580d and 726, as those statutory provisions are now in effect and hereafter amended, and under any other similar statutes now and hereafter in effect.</w:t>
      </w:r>
    </w:p>
    <w:p>
      <w:pPr>
        <w:spacing w:after="0" w:line="168"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14.7</w:t>
      </w:r>
      <w:r>
        <w:rPr>
          <w:sz w:val="20"/>
          <w:szCs w:val="20"/>
          <w:color w:val="auto"/>
        </w:rPr>
        <w:tab/>
      </w:r>
      <w:r>
        <w:rPr>
          <w:rFonts w:ascii="Times New Roman" w:cs="Times New Roman" w:eastAsia="Times New Roman" w:hAnsi="Times New Roman"/>
          <w:sz w:val="16"/>
          <w:szCs w:val="16"/>
          <w:b w:val="1"/>
          <w:bCs w:val="1"/>
          <w:color w:val="auto"/>
        </w:rPr>
        <w:t>Right to Settle, Release.</w:t>
      </w:r>
    </w:p>
    <w:p>
      <w:pPr>
        <w:spacing w:after="0" w:line="207" w:lineRule="exact"/>
        <w:rPr>
          <w:sz w:val="20"/>
          <w:szCs w:val="20"/>
          <w:color w:val="auto"/>
        </w:rPr>
      </w:pPr>
    </w:p>
    <w:p>
      <w:pPr>
        <w:jc w:val="both"/>
        <w:ind w:firstLine="1791"/>
        <w:spacing w:after="0" w:line="256" w:lineRule="auto"/>
        <w:tabs>
          <w:tab w:leader="none" w:pos="2383" w:val="left"/>
        </w:tabs>
        <w:numPr>
          <w:ilvl w:val="0"/>
          <w:numId w:val="6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liability of Borrowers hereunder shall not be diminished by (i) any agreement, understanding or representation that any of the Obligations is or was to be guaranteed by another Person or secured by other property, or (ii) any release or unenforceability, whether partial or total, of rights, if any, which Bank may now or hereafter have against any other Person, including another Borrower, or property with respect to any of the Obligations.</w:t>
      </w:r>
    </w:p>
    <w:p>
      <w:pPr>
        <w:spacing w:after="0" w:line="170" w:lineRule="exact"/>
        <w:rPr>
          <w:rFonts w:ascii="Times New Roman" w:cs="Times New Roman" w:eastAsia="Times New Roman" w:hAnsi="Times New Roman"/>
          <w:sz w:val="17"/>
          <w:szCs w:val="17"/>
          <w:b w:val="1"/>
          <w:bCs w:val="1"/>
          <w:color w:val="auto"/>
        </w:rPr>
      </w:pPr>
    </w:p>
    <w:p>
      <w:pPr>
        <w:jc w:val="both"/>
        <w:ind w:firstLine="1791"/>
        <w:spacing w:after="0" w:line="249" w:lineRule="auto"/>
        <w:tabs>
          <w:tab w:leader="none" w:pos="2380" w:val="left"/>
        </w:tabs>
        <w:numPr>
          <w:ilvl w:val="0"/>
          <w:numId w:val="6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Without affecting the liability of any Borrower hereunder, Bank may (i) compromise, settle, renew, extend the time for payment, change the manner or terms of payment, discharge the performance of, decline to enforce, or release all or any of the Obligations with respect to a Borrower, (ii) grant other indulgences to a Borrower in respect of the Obligations, (iii) modify in any manner any documents relating to the Obligations with respect to a Borrower, (iv) release, surrender or exchange any deposits or other property securing the Obligations, whether pledged by a Borrower or any other Person, or (v) compromise, settle, renew, or extend the time for payment, discharge the performance of, decline to enforce, or release all or any obligations of any guarantor, endorser or other Person who is now or may hereafter be liable with respect to any of the Obligations.</w:t>
      </w:r>
    </w:p>
    <w:p>
      <w:pPr>
        <w:spacing w:after="0" w:line="173" w:lineRule="exact"/>
        <w:rPr>
          <w:sz w:val="20"/>
          <w:szCs w:val="20"/>
          <w:color w:val="auto"/>
        </w:rPr>
      </w:pPr>
    </w:p>
    <w:p>
      <w:pPr>
        <w:jc w:val="both"/>
        <w:ind w:firstLine="1195"/>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14.8 Subordination. </w:t>
      </w:r>
      <w:r>
        <w:rPr>
          <w:rFonts w:ascii="Times New Roman" w:cs="Times New Roman" w:eastAsia="Times New Roman" w:hAnsi="Times New Roman"/>
          <w:sz w:val="17"/>
          <w:szCs w:val="17"/>
          <w:color w:val="auto"/>
        </w:rPr>
        <w:t>All indebtedness of a Borrower now or hereafter arising held by another Borrower is subordinated to the Obligations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holding the indebtedness shall take all actions reasonably requested by Bank to effect, to enforce and to give notice of such subordination.</w:t>
      </w:r>
    </w:p>
    <w:p>
      <w:pPr>
        <w:spacing w:after="0" w:line="155"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BY SIGNING THIS DOCUMENT EACH PARTY REPRESENTS AND AGREES THAT: (A) THIS WRITTEN AGREEMENT REPRESENTS THE FINAL AGREEMENT BETWEEN ALL PARTIES, (B) THERE ARE NO UNWRITTEN ORAL AGREEMENTS AMONG THE PARTIES, AND (C) THIS WRITTEN AGREEMENT MAY NOT BE CONTRADICTED BY EVIDENCE OF ANY PRIOR, CONTEMPORANEOUS, OR SUBSEQUENT ORAL AGREEMENTS OR UNDERSTANDINGS OF ANY OF THE PARTIES.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Balance of Page Intentionally Left Blank</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318" w:right="339" w:bottom="1440" w:gutter="0" w:footer="0" w:header="0"/>
        </w:sectPr>
      </w:pPr>
    </w:p>
    <w:bookmarkStart w:id="657" w:name="page658"/>
    <w:bookmarkEnd w:id="657"/>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as of the date first above written.</w:t>
      </w:r>
    </w:p>
    <w:p>
      <w:pPr>
        <w:spacing w:after="0" w:line="2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THREDUP INC., a Delaware corporation</w:t>
      </w:r>
    </w:p>
    <w:p>
      <w:pPr>
        <w:spacing w:after="0" w:line="57" w:lineRule="exact"/>
        <w:rPr>
          <w:sz w:val="20"/>
          <w:szCs w:val="20"/>
          <w:color w:val="auto"/>
        </w:rPr>
      </w:pPr>
    </w:p>
    <w:tbl>
      <w:tblPr>
        <w:tblLayout w:type="fixed"/>
        <w:tblInd w:w="522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 Sean Sobers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Sean Sobers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CFO</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bl>
    <w:p>
      <w:pPr>
        <w:spacing w:after="0" w:line="2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THREDUP CF LLC, a Delaware limited liability company</w:t>
      </w:r>
    </w:p>
    <w:p>
      <w:pPr>
        <w:spacing w:after="0" w:line="57" w:lineRule="exact"/>
        <w:rPr>
          <w:sz w:val="20"/>
          <w:szCs w:val="20"/>
          <w:color w:val="auto"/>
        </w:rPr>
      </w:pPr>
    </w:p>
    <w:tbl>
      <w:tblPr>
        <w:tblLayout w:type="fixed"/>
        <w:tblInd w:w="522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Sean Sobers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Sean Sobers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CFO</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bl>
    <w:p>
      <w:pPr>
        <w:spacing w:after="0" w:line="2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THREDUP INTERMEDIARY HOLDINGS LLC, a Virginia limited liability</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37" w:lineRule="exact"/>
        <w:rPr>
          <w:sz w:val="20"/>
          <w:szCs w:val="20"/>
          <w:color w:val="auto"/>
        </w:rPr>
      </w:pPr>
    </w:p>
    <w:tbl>
      <w:tblPr>
        <w:tblLayout w:type="fixed"/>
        <w:tblInd w:w="522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Sean Sobers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Sean Sobers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CFO</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bl>
    <w:p>
      <w:pPr>
        <w:spacing w:after="0" w:line="2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KNITWIT GC LLC, a Virginia limited liability company</w:t>
      </w:r>
    </w:p>
    <w:p>
      <w:pPr>
        <w:spacing w:after="0" w:line="57" w:lineRule="exact"/>
        <w:rPr>
          <w:sz w:val="20"/>
          <w:szCs w:val="20"/>
          <w:color w:val="auto"/>
        </w:rPr>
      </w:pPr>
    </w:p>
    <w:tbl>
      <w:tblPr>
        <w:tblLayout w:type="fixed"/>
        <w:tblInd w:w="522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Sean Sobers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Sean Sobers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CFO</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bl>
    <w:p>
      <w:pPr>
        <w:spacing w:after="0" w:line="2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WESTERN ALLIANCE BANK, an Arizona corporation</w:t>
      </w:r>
    </w:p>
    <w:p>
      <w:pPr>
        <w:spacing w:after="0" w:line="57" w:lineRule="exact"/>
        <w:rPr>
          <w:sz w:val="20"/>
          <w:szCs w:val="20"/>
          <w:color w:val="auto"/>
        </w:rPr>
      </w:pPr>
    </w:p>
    <w:tbl>
      <w:tblPr>
        <w:tblLayout w:type="fixed"/>
        <w:tblInd w:w="522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Riesa L. Nunes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Riesa L. Nunes</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5"/>
        </w:trPr>
        <w:tc>
          <w:tcPr>
            <w:tcW w:w="92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Signature Page to Amended and Restated Loan and Security Agreement</w:t>
      </w:r>
      <w:r>
        <w:rPr>
          <w:rFonts w:ascii="Times New Roman" w:cs="Times New Roman" w:eastAsia="Times New Roman" w:hAnsi="Times New Roman"/>
          <w:sz w:val="17"/>
          <w:szCs w:val="17"/>
          <w:b w:val="1"/>
          <w:bCs w:val="1"/>
          <w:color w:val="auto"/>
        </w:rPr>
        <w:t>]</w:t>
      </w:r>
    </w:p>
    <w:p>
      <w:pPr>
        <w:sectPr>
          <w:pgSz w:w="11900" w:h="16838" w:orient="portrait"/>
          <w:cols w:equalWidth="0" w:num="1">
            <w:col w:w="11240"/>
          </w:cols>
          <w:pgMar w:left="320" w:top="1318" w:right="339" w:bottom="1440" w:gutter="0" w:footer="0" w:header="0"/>
        </w:sectPr>
      </w:pPr>
    </w:p>
    <w:bookmarkStart w:id="658" w:name="page659"/>
    <w:bookmarkEnd w:id="658"/>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DEBTOR:</w:t>
      </w:r>
      <w:r>
        <w:rPr>
          <w:sz w:val="20"/>
          <w:szCs w:val="20"/>
          <w:color w:val="auto"/>
        </w:rPr>
        <w:tab/>
      </w:r>
      <w:r>
        <w:rPr>
          <w:rFonts w:ascii="Times New Roman" w:cs="Times New Roman" w:eastAsia="Times New Roman" w:hAnsi="Times New Roman"/>
          <w:sz w:val="16"/>
          <w:szCs w:val="16"/>
          <w:b w:val="1"/>
          <w:bCs w:val="1"/>
          <w:color w:val="auto"/>
        </w:rPr>
        <w:t>THREDUP INC., a Delaware corporation</w:t>
      </w:r>
    </w:p>
    <w:p>
      <w:pPr>
        <w:spacing w:after="0" w:line="20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SECURED PARTY:</w:t>
      </w:r>
      <w:r>
        <w:rPr>
          <w:sz w:val="20"/>
          <w:szCs w:val="20"/>
          <w:color w:val="auto"/>
        </w:rPr>
        <w:tab/>
      </w:r>
      <w:r>
        <w:rPr>
          <w:rFonts w:ascii="Times New Roman" w:cs="Times New Roman" w:eastAsia="Times New Roman" w:hAnsi="Times New Roman"/>
          <w:sz w:val="16"/>
          <w:szCs w:val="16"/>
          <w:b w:val="1"/>
          <w:bCs w:val="1"/>
          <w:color w:val="auto"/>
        </w:rPr>
        <w:t>WESTERN ALLIANCE BANK, an Arizona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COLLATERAL DESCRIPTION ATTACHMENT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AMENDED AND RESTATED LOAN AND SECURITY AGREEMENT</w:t>
      </w:r>
    </w:p>
    <w:p>
      <w:pPr>
        <w:spacing w:after="0" w:line="385"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All personal property of Borrower (herein referred to as “Borrower” or “Debtor”) whether presently existing or hereafter created or acquired, and wherever located, including, but not limited to:</w:t>
      </w:r>
    </w:p>
    <w:p>
      <w:pPr>
        <w:spacing w:after="0" w:line="159" w:lineRule="exact"/>
        <w:rPr>
          <w:sz w:val="20"/>
          <w:szCs w:val="20"/>
          <w:color w:val="auto"/>
        </w:rPr>
      </w:pPr>
    </w:p>
    <w:p>
      <w:pPr>
        <w:jc w:val="both"/>
        <w:ind w:firstLine="597"/>
        <w:spacing w:after="0" w:line="250" w:lineRule="auto"/>
        <w:tabs>
          <w:tab w:leader="none" w:pos="1189" w:val="left"/>
        </w:tabs>
        <w:numPr>
          <w:ilvl w:val="0"/>
          <w:numId w:val="6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76" w:lineRule="exact"/>
        <w:rPr>
          <w:rFonts w:ascii="Times New Roman" w:cs="Times New Roman" w:eastAsia="Times New Roman" w:hAnsi="Times New Roman"/>
          <w:sz w:val="17"/>
          <w:szCs w:val="17"/>
          <w:b w:val="1"/>
          <w:bCs w:val="1"/>
          <w:color w:val="auto"/>
        </w:rPr>
      </w:pPr>
    </w:p>
    <w:p>
      <w:pPr>
        <w:jc w:val="both"/>
        <w:ind w:firstLine="597"/>
        <w:spacing w:after="0" w:line="256" w:lineRule="auto"/>
        <w:tabs>
          <w:tab w:leader="none" w:pos="1186" w:val="left"/>
        </w:tabs>
        <w:numPr>
          <w:ilvl w:val="0"/>
          <w:numId w:val="6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ectPr>
          <w:pgSz w:w="11900" w:h="16838" w:orient="portrait"/>
          <w:cols w:equalWidth="0" w:num="1">
            <w:col w:w="11240"/>
          </w:cols>
          <w:pgMar w:left="320" w:top="1314" w:right="339" w:bottom="1440" w:gutter="0" w:footer="0" w:header="0"/>
        </w:sectPr>
      </w:pPr>
    </w:p>
    <w:bookmarkStart w:id="659" w:name="page660"/>
    <w:bookmarkEnd w:id="659"/>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DEBTOR:</w:t>
      </w:r>
      <w:r>
        <w:rPr>
          <w:sz w:val="20"/>
          <w:szCs w:val="20"/>
          <w:color w:val="auto"/>
        </w:rPr>
        <w:tab/>
      </w:r>
      <w:r>
        <w:rPr>
          <w:rFonts w:ascii="Times New Roman" w:cs="Times New Roman" w:eastAsia="Times New Roman" w:hAnsi="Times New Roman"/>
          <w:sz w:val="16"/>
          <w:szCs w:val="16"/>
          <w:b w:val="1"/>
          <w:bCs w:val="1"/>
          <w:color w:val="auto"/>
        </w:rPr>
        <w:t>THREDUP CF LLC, a Delaware limited liability company</w:t>
      </w:r>
    </w:p>
    <w:p>
      <w:pPr>
        <w:spacing w:after="0" w:line="20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SECURED PARTY:</w:t>
      </w:r>
      <w:r>
        <w:rPr>
          <w:sz w:val="20"/>
          <w:szCs w:val="20"/>
          <w:color w:val="auto"/>
        </w:rPr>
        <w:tab/>
      </w:r>
      <w:r>
        <w:rPr>
          <w:rFonts w:ascii="Times New Roman" w:cs="Times New Roman" w:eastAsia="Times New Roman" w:hAnsi="Times New Roman"/>
          <w:sz w:val="16"/>
          <w:szCs w:val="16"/>
          <w:b w:val="1"/>
          <w:bCs w:val="1"/>
          <w:color w:val="auto"/>
        </w:rPr>
        <w:t>WESTERN ALLIANCE BANK, an Arizona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COLLATERAL DESCRIPTION ATTACHMENT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AMENDED AND RESTATED LOAN AND SECURITY AGREEMENT</w:t>
      </w:r>
    </w:p>
    <w:p>
      <w:pPr>
        <w:spacing w:after="0" w:line="385"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All personal property of Borrower (herein referred to as “Borrower” or “Debtor”) whether presently existing or hereafter created or acquired, and wherever located, including, but not limited to:</w:t>
      </w:r>
    </w:p>
    <w:p>
      <w:pPr>
        <w:spacing w:after="0" w:line="159" w:lineRule="exact"/>
        <w:rPr>
          <w:sz w:val="20"/>
          <w:szCs w:val="20"/>
          <w:color w:val="auto"/>
        </w:rPr>
      </w:pPr>
    </w:p>
    <w:p>
      <w:pPr>
        <w:jc w:val="both"/>
        <w:ind w:firstLine="597"/>
        <w:spacing w:after="0" w:line="250" w:lineRule="auto"/>
        <w:tabs>
          <w:tab w:leader="none" w:pos="1189" w:val="left"/>
        </w:tabs>
        <w:numPr>
          <w:ilvl w:val="0"/>
          <w:numId w:val="6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76" w:lineRule="exact"/>
        <w:rPr>
          <w:rFonts w:ascii="Times New Roman" w:cs="Times New Roman" w:eastAsia="Times New Roman" w:hAnsi="Times New Roman"/>
          <w:sz w:val="17"/>
          <w:szCs w:val="17"/>
          <w:b w:val="1"/>
          <w:bCs w:val="1"/>
          <w:color w:val="auto"/>
        </w:rPr>
      </w:pPr>
    </w:p>
    <w:p>
      <w:pPr>
        <w:jc w:val="both"/>
        <w:ind w:firstLine="597"/>
        <w:spacing w:after="0" w:line="256" w:lineRule="auto"/>
        <w:tabs>
          <w:tab w:leader="none" w:pos="1186" w:val="left"/>
        </w:tabs>
        <w:numPr>
          <w:ilvl w:val="0"/>
          <w:numId w:val="6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ectPr>
          <w:pgSz w:w="11900" w:h="16838" w:orient="portrait"/>
          <w:cols w:equalWidth="0" w:num="1">
            <w:col w:w="11240"/>
          </w:cols>
          <w:pgMar w:left="320" w:top="1314" w:right="339" w:bottom="1440" w:gutter="0" w:footer="0" w:header="0"/>
        </w:sectPr>
      </w:pPr>
    </w:p>
    <w:bookmarkStart w:id="660" w:name="page661"/>
    <w:bookmarkEnd w:id="660"/>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3" w:lineRule="exact"/>
        <w:rPr>
          <w:sz w:val="20"/>
          <w:szCs w:val="20"/>
          <w:color w:val="auto"/>
        </w:rPr>
      </w:pPr>
    </w:p>
    <w:p>
      <w:pPr>
        <w:spacing w:after="0"/>
        <w:tabs>
          <w:tab w:leader="none" w:pos="900" w:val="left"/>
          <w:tab w:leader="none" w:pos="5940" w:val="left"/>
        </w:tabs>
        <w:rPr>
          <w:sz w:val="20"/>
          <w:szCs w:val="20"/>
          <w:color w:val="auto"/>
        </w:rPr>
      </w:pPr>
      <w:r>
        <w:rPr>
          <w:rFonts w:ascii="Times New Roman" w:cs="Times New Roman" w:eastAsia="Times New Roman" w:hAnsi="Times New Roman"/>
          <w:sz w:val="17"/>
          <w:szCs w:val="17"/>
          <w:b w:val="1"/>
          <w:bCs w:val="1"/>
          <w:color w:val="auto"/>
        </w:rPr>
        <w:t>DEBTOR:</w:t>
        <w:tab/>
        <w:t>THREDUP INTERMEDIARY HOLDINGS LLC, a Virginia limited</w:t>
      </w:r>
      <w:r>
        <w:rPr>
          <w:sz w:val="20"/>
          <w:szCs w:val="20"/>
          <w:color w:val="auto"/>
        </w:rPr>
        <w:tab/>
      </w:r>
      <w:r>
        <w:rPr>
          <w:rFonts w:ascii="Times New Roman" w:cs="Times New Roman" w:eastAsia="Times New Roman" w:hAnsi="Times New Roman"/>
          <w:sz w:val="16"/>
          <w:szCs w:val="16"/>
          <w:b w:val="1"/>
          <w:bCs w:val="1"/>
          <w:color w:val="auto"/>
        </w:rPr>
        <w:t>liability company</w:t>
      </w:r>
    </w:p>
    <w:p>
      <w:pPr>
        <w:spacing w:after="0" w:line="20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SECURED PARTY:</w:t>
      </w:r>
      <w:r>
        <w:rPr>
          <w:sz w:val="20"/>
          <w:szCs w:val="20"/>
          <w:color w:val="auto"/>
        </w:rPr>
        <w:tab/>
      </w:r>
      <w:r>
        <w:rPr>
          <w:rFonts w:ascii="Times New Roman" w:cs="Times New Roman" w:eastAsia="Times New Roman" w:hAnsi="Times New Roman"/>
          <w:sz w:val="16"/>
          <w:szCs w:val="16"/>
          <w:b w:val="1"/>
          <w:bCs w:val="1"/>
          <w:color w:val="auto"/>
        </w:rPr>
        <w:t>WESTERN ALLIANCE BANK, an Arizona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COLLATERAL DESCRIPTION ATTACHMENT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AMENDED AND RESTATED LOAN AND SECURITY AGREEMENT</w:t>
      </w:r>
    </w:p>
    <w:p>
      <w:pPr>
        <w:spacing w:after="0" w:line="385"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All personal property of Borrower (herein referred to as “Borrower” or “Debtor”) whether presently existing or hereafter created or acquired, and wherever located, including, but not limited to:</w:t>
      </w:r>
    </w:p>
    <w:p>
      <w:pPr>
        <w:spacing w:after="0" w:line="159" w:lineRule="exact"/>
        <w:rPr>
          <w:sz w:val="20"/>
          <w:szCs w:val="20"/>
          <w:color w:val="auto"/>
        </w:rPr>
      </w:pPr>
    </w:p>
    <w:p>
      <w:pPr>
        <w:jc w:val="both"/>
        <w:ind w:firstLine="597"/>
        <w:spacing w:after="0" w:line="250" w:lineRule="auto"/>
        <w:tabs>
          <w:tab w:leader="none" w:pos="1189" w:val="left"/>
        </w:tabs>
        <w:numPr>
          <w:ilvl w:val="0"/>
          <w:numId w:val="6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76" w:lineRule="exact"/>
        <w:rPr>
          <w:rFonts w:ascii="Times New Roman" w:cs="Times New Roman" w:eastAsia="Times New Roman" w:hAnsi="Times New Roman"/>
          <w:sz w:val="17"/>
          <w:szCs w:val="17"/>
          <w:b w:val="1"/>
          <w:bCs w:val="1"/>
          <w:color w:val="auto"/>
        </w:rPr>
      </w:pPr>
    </w:p>
    <w:p>
      <w:pPr>
        <w:jc w:val="both"/>
        <w:ind w:firstLine="597"/>
        <w:spacing w:after="0" w:line="256" w:lineRule="auto"/>
        <w:tabs>
          <w:tab w:leader="none" w:pos="1186" w:val="left"/>
        </w:tabs>
        <w:numPr>
          <w:ilvl w:val="0"/>
          <w:numId w:val="6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ectPr>
          <w:pgSz w:w="11900" w:h="16838" w:orient="portrait"/>
          <w:cols w:equalWidth="0" w:num="1">
            <w:col w:w="11240"/>
          </w:cols>
          <w:pgMar w:left="320" w:top="1314" w:right="339" w:bottom="1440" w:gutter="0" w:footer="0" w:header="0"/>
        </w:sectPr>
      </w:pPr>
    </w:p>
    <w:bookmarkStart w:id="661" w:name="page662"/>
    <w:bookmarkEnd w:id="661"/>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DEBTOR:</w:t>
      </w:r>
      <w:r>
        <w:rPr>
          <w:sz w:val="20"/>
          <w:szCs w:val="20"/>
          <w:color w:val="auto"/>
        </w:rPr>
        <w:tab/>
      </w:r>
      <w:r>
        <w:rPr>
          <w:rFonts w:ascii="Times New Roman" w:cs="Times New Roman" w:eastAsia="Times New Roman" w:hAnsi="Times New Roman"/>
          <w:sz w:val="16"/>
          <w:szCs w:val="16"/>
          <w:b w:val="1"/>
          <w:bCs w:val="1"/>
          <w:color w:val="auto"/>
        </w:rPr>
        <w:t>KNITWIT GC LLC, a Virginia limited liability company</w:t>
      </w:r>
    </w:p>
    <w:p>
      <w:pPr>
        <w:spacing w:after="0" w:line="20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SECURED PARTY:</w:t>
      </w:r>
      <w:r>
        <w:rPr>
          <w:sz w:val="20"/>
          <w:szCs w:val="20"/>
          <w:color w:val="auto"/>
        </w:rPr>
        <w:tab/>
      </w:r>
      <w:r>
        <w:rPr>
          <w:rFonts w:ascii="Times New Roman" w:cs="Times New Roman" w:eastAsia="Times New Roman" w:hAnsi="Times New Roman"/>
          <w:sz w:val="16"/>
          <w:szCs w:val="16"/>
          <w:b w:val="1"/>
          <w:bCs w:val="1"/>
          <w:color w:val="auto"/>
        </w:rPr>
        <w:t>WESTERN ALLIANCE BANK, an Arizona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COLLATERAL DESCRIPTION ATTACHMENT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AMENDED AND RESTATED LOAN AND SECURITY AGREEMENT</w:t>
      </w:r>
    </w:p>
    <w:p>
      <w:pPr>
        <w:spacing w:after="0" w:line="385"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All personal property of Borrower (herein referred to as “Borrower” or “Debtor”) whether presently existing or hereafter created or acquired, and wherever located, including, but not limited to:</w:t>
      </w:r>
    </w:p>
    <w:p>
      <w:pPr>
        <w:spacing w:after="0" w:line="159" w:lineRule="exact"/>
        <w:rPr>
          <w:sz w:val="20"/>
          <w:szCs w:val="20"/>
          <w:color w:val="auto"/>
        </w:rPr>
      </w:pPr>
    </w:p>
    <w:p>
      <w:pPr>
        <w:jc w:val="both"/>
        <w:ind w:firstLine="597"/>
        <w:spacing w:after="0" w:line="250" w:lineRule="auto"/>
        <w:tabs>
          <w:tab w:leader="none" w:pos="1189" w:val="left"/>
        </w:tabs>
        <w:numPr>
          <w:ilvl w:val="0"/>
          <w:numId w:val="6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76" w:lineRule="exact"/>
        <w:rPr>
          <w:rFonts w:ascii="Times New Roman" w:cs="Times New Roman" w:eastAsia="Times New Roman" w:hAnsi="Times New Roman"/>
          <w:sz w:val="17"/>
          <w:szCs w:val="17"/>
          <w:b w:val="1"/>
          <w:bCs w:val="1"/>
          <w:color w:val="auto"/>
        </w:rPr>
      </w:pPr>
    </w:p>
    <w:p>
      <w:pPr>
        <w:jc w:val="both"/>
        <w:ind w:firstLine="597"/>
        <w:spacing w:after="0" w:line="256" w:lineRule="auto"/>
        <w:tabs>
          <w:tab w:leader="none" w:pos="1186" w:val="left"/>
        </w:tabs>
        <w:numPr>
          <w:ilvl w:val="0"/>
          <w:numId w:val="6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ectPr>
          <w:pgSz w:w="11900" w:h="16838" w:orient="portrait"/>
          <w:cols w:equalWidth="0" w:num="1">
            <w:col w:w="11240"/>
          </w:cols>
          <w:pgMar w:left="320" w:top="1314" w:right="339" w:bottom="1440" w:gutter="0" w:footer="0" w:header="0"/>
        </w:sectPr>
      </w:pPr>
    </w:p>
    <w:bookmarkStart w:id="662" w:name="page663"/>
    <w:bookmarkEnd w:id="662"/>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Subsidiaries of ThredUp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ThredUp Intermediary Holdings LLC (Virginia)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Knitwit GC LLC (Virginia)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ThredUp CF LLC (Delaware)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thredUP Circular Fashion Fund Inc. (Delaware)</w:t>
      </w:r>
    </w:p>
    <w:p>
      <w:pPr>
        <w:sectPr>
          <w:pgSz w:w="11900" w:h="16838" w:orient="portrait"/>
          <w:cols w:equalWidth="0" w:num="1">
            <w:col w:w="11240"/>
          </w:cols>
          <w:pgMar w:left="320" w:top="119" w:right="339" w:bottom="1440" w:gutter="0" w:footer="0" w:header="0"/>
        </w:sectPr>
      </w:pPr>
    </w:p>
    <w:bookmarkStart w:id="663" w:name="page664"/>
    <w:bookmarkEnd w:id="663"/>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ThredUp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use of our report included herein and to the reference to our firm under the heading “Experts” in the prospectus.</w:t>
      </w:r>
    </w:p>
    <w:p>
      <w:pPr>
        <w:spacing w:after="0" w:line="203"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7"/>
          <w:szCs w:val="17"/>
          <w:color w:val="auto"/>
        </w:rPr>
        <w:t xml:space="preserve">Our report refers to a change in the Company’s method of accounting for leases due to the adoption of Financial Accounting Standards Board Accounting Standards Codification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effective January 1, 2020.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2021</w:t>
      </w:r>
    </w:p>
    <w:p>
      <w:pPr>
        <w:sectPr>
          <w:pgSz w:w="11900" w:h="16838" w:orient="portrait"/>
          <w:cols w:equalWidth="0" w:num="1">
            <w:col w:w="11240"/>
          </w:cols>
          <w:pgMar w:left="320" w:top="119" w:right="339" w:bottom="1440" w:gutter="0" w:footer="0" w:header="0"/>
        </w:sectPr>
      </w:pPr>
    </w:p>
    <w:bookmarkStart w:id="664" w:name="page665"/>
    <w:bookmarkEnd w:id="664"/>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GlobalData PLC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ThredUp Inc.</w:t>
      </w:r>
    </w:p>
    <w:p>
      <w:pPr>
        <w:spacing w:after="0" w:line="20" w:lineRule="exact"/>
        <w:rPr>
          <w:sz w:val="20"/>
          <w:szCs w:val="20"/>
          <w:color w:val="auto"/>
        </w:rPr>
      </w:pPr>
    </w:p>
    <w:p>
      <w:pPr>
        <w:ind w:right="9900"/>
        <w:spacing w:after="0" w:line="246" w:lineRule="auto"/>
        <w:tabs>
          <w:tab w:leader="none" w:pos="291" w:val="left"/>
        </w:tabs>
        <w:numPr>
          <w:ilvl w:val="0"/>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Broadway Suite 200 Oakland, CA 94607</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September 28,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We hereby consent to the references to our name, and to the use of information, data and statements from our surveys prepared by us and provided to ThredUp Inc. (the “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including our consumer surveys of women ages 18 and over in the United States, dated January 2019, January 2020 and April 2020; our fashion retailer survey of 50 United States fashion (apparel, accessories, footwear) retailers about their circular fashion goals, dated January 2020; and our market sizing survey, dated April 2020, and extracts of any other information, data and statements prepared by us and provided to the Company in each of (i) the registration statement on Form S-</w:t>
      </w:r>
    </w:p>
    <w:p>
      <w:pPr>
        <w:ind w:right="140"/>
        <w:spacing w:after="0" w:line="259" w:lineRule="auto"/>
        <w:rPr>
          <w:sz w:val="20"/>
          <w:szCs w:val="20"/>
          <w:color w:val="auto"/>
        </w:rPr>
      </w:pPr>
      <w:r>
        <w:rPr>
          <w:rFonts w:ascii="Times New Roman" w:cs="Times New Roman" w:eastAsia="Times New Roman" w:hAnsi="Times New Roman"/>
          <w:sz w:val="16"/>
          <w:szCs w:val="16"/>
          <w:color w:val="auto"/>
        </w:rPr>
        <w:t>1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in relation to the initial public offering of the Company filed with the United States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under the Securities Act of 1933, as amended, (ii) any amendments to the Registration Statement, (iii) any written correspondence by the Company with the SEC and</w:t>
      </w:r>
    </w:p>
    <w:p>
      <w:pPr>
        <w:spacing w:after="0" w:line="1" w:lineRule="exact"/>
        <w:rPr>
          <w:sz w:val="20"/>
          <w:szCs w:val="20"/>
          <w:color w:val="auto"/>
        </w:rPr>
      </w:pPr>
    </w:p>
    <w:p>
      <w:pPr>
        <w:jc w:val="both"/>
        <w:ind w:right="100"/>
        <w:spacing w:after="0" w:line="246" w:lineRule="auto"/>
        <w:tabs>
          <w:tab w:leader="none" w:pos="281" w:val="left"/>
        </w:tabs>
        <w:numPr>
          <w:ilvl w:val="0"/>
          <w:numId w:val="6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institutional and retail road shows and other activities in connection with any securities offerings and other marketing and fundraising activities by the Company. In granting such consent, we represent that, to our knowledge, the statements made in such research report are accurate statements of GlobalData plc’s research results and independent estimates and opinion as of the date delivered to the Company, and fairly present the matters referred to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hereby consent to the filing of this letter as an exhibit to the Registration Statement and any amendments thereto.</w:t>
      </w:r>
    </w:p>
    <w:p>
      <w:pPr>
        <w:spacing w:after="0" w:line="252" w:lineRule="exact"/>
        <w:rPr>
          <w:sz w:val="20"/>
          <w:szCs w:val="20"/>
          <w:color w:val="auto"/>
        </w:rPr>
      </w:pPr>
    </w:p>
    <w:tbl>
      <w:tblPr>
        <w:tblLayout w:type="fixed"/>
        <w:tblInd w:w="568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Sincerely,</w:t>
            </w:r>
          </w:p>
        </w:tc>
      </w:tr>
      <w:tr>
        <w:trPr>
          <w:trHeight w:val="498"/>
        </w:trPr>
        <w:tc>
          <w:tcPr>
            <w:tcW w:w="76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GLOBALDATA PLC</w:t>
            </w:r>
          </w:p>
        </w:tc>
      </w:tr>
      <w:tr>
        <w:trPr>
          <w:trHeight w:val="498"/>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/s/ Neil Saunders</w:t>
            </w:r>
          </w:p>
        </w:tc>
      </w:tr>
      <w:tr>
        <w:trPr>
          <w:trHeight w:val="25"/>
        </w:trPr>
        <w:tc>
          <w:tcPr>
            <w:tcW w:w="76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Neil Saunders</w:t>
            </w:r>
          </w:p>
        </w:tc>
      </w:tr>
      <w:tr>
        <w:trPr>
          <w:trHeight w:val="249"/>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Managing Director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B2564F"/>
    <w:multiLevelType w:val="hybridMultilevel"/>
    <w:lvl w:ilvl="0">
      <w:lvlJc w:val="left"/>
      <w:lvlText w:val="(%1)"/>
      <w:numFmt w:val="decimal"/>
      <w:start w:val="1"/>
    </w:lvl>
  </w:abstractNum>
  <w:abstractNum w:abstractNumId="1">
    <w:nsid w:val="75509D76"/>
    <w:multiLevelType w:val="hybridMultilevel"/>
    <w:lvl w:ilvl="0">
      <w:lvlJc w:val="left"/>
      <w:lvlText w:val="•"/>
      <w:numFmt w:val="bullet"/>
      <w:start w:val="1"/>
    </w:lvl>
  </w:abstractNum>
  <w:abstractNum w:abstractNumId="2">
    <w:nsid w:val="1AF7F0EA"/>
    <w:multiLevelType w:val="hybridMultilevel"/>
    <w:lvl w:ilvl="0">
      <w:lvlJc w:val="left"/>
      <w:lvlText w:val="1"/>
      <w:numFmt w:val="bullet"/>
      <w:start w:val="1"/>
    </w:lvl>
  </w:abstractNum>
  <w:abstractNum w:abstractNumId="3">
    <w:nsid w:val="4DA32C7E"/>
    <w:multiLevelType w:val="hybridMultilevel"/>
    <w:lvl w:ilvl="0">
      <w:lvlJc w:val="left"/>
      <w:lvlText w:val="2"/>
      <w:numFmt w:val="bullet"/>
      <w:start w:val="1"/>
    </w:lvl>
  </w:abstractNum>
  <w:abstractNum w:abstractNumId="4">
    <w:nsid w:val="6EC68664"/>
    <w:multiLevelType w:val="hybridMultilevel"/>
    <w:lvl w:ilvl="0">
      <w:lvlJc w:val="left"/>
      <w:lvlText w:val="•"/>
      <w:numFmt w:val="bullet"/>
      <w:start w:val="1"/>
    </w:lvl>
  </w:abstractNum>
  <w:abstractNum w:abstractNumId="5">
    <w:nsid w:val="E0D31FF"/>
    <w:multiLevelType w:val="hybridMultilevel"/>
    <w:lvl w:ilvl="0">
      <w:lvlJc w:val="left"/>
      <w:lvlText w:val="•"/>
      <w:numFmt w:val="bullet"/>
      <w:start w:val="1"/>
    </w:lvl>
  </w:abstractNum>
  <w:abstractNum w:abstractNumId="6">
    <w:nsid w:val="2FD0AD81"/>
    <w:multiLevelType w:val="hybridMultilevel"/>
    <w:lvl w:ilvl="0">
      <w:lvlJc w:val="left"/>
      <w:lvlText w:val="•"/>
      <w:numFmt w:val="bullet"/>
      <w:start w:val="1"/>
    </w:lvl>
  </w:abstractNum>
  <w:abstractNum w:abstractNumId="7">
    <w:nsid w:val="1978EBEB"/>
    <w:multiLevelType w:val="hybridMultilevel"/>
    <w:lvl w:ilvl="0">
      <w:lvlJc w:val="left"/>
      <w:lvlText w:val="•"/>
      <w:numFmt w:val="bullet"/>
      <w:start w:val="1"/>
    </w:lvl>
  </w:abstractNum>
  <w:abstractNum w:abstractNumId="8">
    <w:nsid w:val="52C12C61"/>
    <w:multiLevelType w:val="hybridMultilevel"/>
    <w:lvl w:ilvl="0">
      <w:lvlJc w:val="left"/>
      <w:lvlText w:val="•"/>
      <w:numFmt w:val="bullet"/>
      <w:start w:val="1"/>
    </w:lvl>
  </w:abstractNum>
  <w:abstractNum w:abstractNumId="9">
    <w:nsid w:val="4BDD53FD"/>
    <w:multiLevelType w:val="hybridMultilevel"/>
    <w:lvl w:ilvl="0">
      <w:lvlJc w:val="left"/>
      <w:lvlText w:val="•"/>
      <w:numFmt w:val="bullet"/>
      <w:start w:val="1"/>
    </w:lvl>
  </w:abstractNum>
  <w:abstractNum w:abstractNumId="10">
    <w:nsid w:val="569951FE"/>
    <w:multiLevelType w:val="hybridMultilevel"/>
    <w:lvl w:ilvl="0">
      <w:lvlJc w:val="left"/>
      <w:lvlText w:val="•"/>
      <w:numFmt w:val="bullet"/>
      <w:start w:val="1"/>
    </w:lvl>
  </w:abstractNum>
  <w:abstractNum w:abstractNumId="11">
    <w:nsid w:val="4C54E2C3"/>
    <w:multiLevelType w:val="hybridMultilevel"/>
    <w:lvl w:ilvl="0">
      <w:lvlJc w:val="left"/>
      <w:lvlText w:val="•"/>
      <w:numFmt w:val="bullet"/>
      <w:start w:val="1"/>
    </w:lvl>
  </w:abstractNum>
  <w:abstractNum w:abstractNumId="12">
    <w:nsid w:val="788BD9B"/>
    <w:multiLevelType w:val="hybridMultilevel"/>
    <w:lvl w:ilvl="0">
      <w:lvlJc w:val="left"/>
      <w:lvlText w:val="•"/>
      <w:numFmt w:val="bullet"/>
      <w:start w:val="1"/>
    </w:lvl>
  </w:abstractNum>
  <w:abstractNum w:abstractNumId="13">
    <w:nsid w:val="47CAA567"/>
    <w:multiLevelType w:val="hybridMultilevel"/>
    <w:lvl w:ilvl="0">
      <w:lvlJc w:val="left"/>
      <w:lvlText w:val="•"/>
      <w:numFmt w:val="bullet"/>
      <w:start w:val="1"/>
    </w:lvl>
  </w:abstractNum>
  <w:abstractNum w:abstractNumId="14">
    <w:nsid w:val="48249DBF"/>
    <w:multiLevelType w:val="hybridMultilevel"/>
    <w:lvl w:ilvl="0">
      <w:lvlJc w:val="left"/>
      <w:lvlText w:val="•"/>
      <w:numFmt w:val="bullet"/>
      <w:start w:val="1"/>
    </w:lvl>
  </w:abstractNum>
  <w:abstractNum w:abstractNumId="15">
    <w:nsid w:val="1F0E5D0D"/>
    <w:multiLevelType w:val="hybridMultilevel"/>
    <w:lvl w:ilvl="0">
      <w:lvlJc w:val="left"/>
      <w:lvlText w:val="•"/>
      <w:numFmt w:val="bullet"/>
      <w:start w:val="1"/>
    </w:lvl>
  </w:abstractNum>
  <w:abstractNum w:abstractNumId="16">
    <w:nsid w:val="26BAAE9"/>
    <w:multiLevelType w:val="hybridMultilevel"/>
    <w:lvl w:ilvl="0">
      <w:lvlJc w:val="left"/>
      <w:lvlText w:val="•"/>
      <w:numFmt w:val="bullet"/>
      <w:start w:val="1"/>
    </w:lvl>
  </w:abstractNum>
  <w:abstractNum w:abstractNumId="17">
    <w:nsid w:val="2C02FE8C"/>
    <w:multiLevelType w:val="hybridMultilevel"/>
    <w:lvl w:ilvl="0">
      <w:lvlJc w:val="left"/>
      <w:lvlText w:val="•"/>
      <w:numFmt w:val="bullet"/>
      <w:start w:val="1"/>
    </w:lvl>
  </w:abstractNum>
  <w:abstractNum w:abstractNumId="18">
    <w:nsid w:val="129517E"/>
    <w:multiLevelType w:val="hybridMultilevel"/>
    <w:lvl w:ilvl="0">
      <w:lvlJc w:val="left"/>
      <w:lvlText w:val="•"/>
      <w:numFmt w:val="bullet"/>
      <w:start w:val="1"/>
    </w:lvl>
  </w:abstractNum>
  <w:abstractNum w:abstractNumId="19">
    <w:nsid w:val="763B8C4E"/>
    <w:multiLevelType w:val="hybridMultilevel"/>
    <w:lvl w:ilvl="0">
      <w:lvlJc w:val="left"/>
      <w:lvlText w:val="•"/>
      <w:numFmt w:val="bullet"/>
      <w:start w:val="1"/>
    </w:lvl>
    <w:lvl w:ilvl="1">
      <w:lvlJc w:val="left"/>
      <w:lvlText w:val="•"/>
      <w:numFmt w:val="bullet"/>
      <w:start w:val="1"/>
    </w:lvl>
  </w:abstractNum>
  <w:abstractNum w:abstractNumId="20">
    <w:nsid w:val="4CFB8D32"/>
    <w:multiLevelType w:val="hybridMultilevel"/>
    <w:lvl w:ilvl="0">
      <w:lvlJc w:val="left"/>
      <w:lvlText w:val="•"/>
      <w:numFmt w:val="bullet"/>
      <w:start w:val="1"/>
    </w:lvl>
  </w:abstractNum>
  <w:abstractNum w:abstractNumId="21">
    <w:nsid w:val="62A5D5BD"/>
    <w:multiLevelType w:val="hybridMultilevel"/>
    <w:lvl w:ilvl="0">
      <w:lvlJc w:val="left"/>
      <w:lvlText w:val="•"/>
      <w:numFmt w:val="bullet"/>
      <w:start w:val="1"/>
    </w:lvl>
  </w:abstractNum>
  <w:abstractNum w:abstractNumId="22">
    <w:nsid w:val="718FABF9"/>
    <w:multiLevelType w:val="hybridMultilevel"/>
    <w:lvl w:ilvl="0">
      <w:lvlJc w:val="left"/>
      <w:lvlText w:val="•"/>
      <w:numFmt w:val="bullet"/>
      <w:start w:val="1"/>
    </w:lvl>
  </w:abstractNum>
  <w:abstractNum w:abstractNumId="23">
    <w:nsid w:val="7775797C"/>
    <w:multiLevelType w:val="hybridMultilevel"/>
    <w:lvl w:ilvl="0">
      <w:lvlJc w:val="left"/>
      <w:lvlText w:val="$"/>
      <w:numFmt w:val="bullet"/>
      <w:start w:val="1"/>
    </w:lvl>
  </w:abstractNum>
  <w:abstractNum w:abstractNumId="24">
    <w:nsid w:val="1626FB8C"/>
    <w:multiLevelType w:val="hybridMultilevel"/>
    <w:lvl w:ilvl="0">
      <w:lvlJc w:val="left"/>
      <w:lvlText w:val="•"/>
      <w:numFmt w:val="bullet"/>
      <w:start w:val="1"/>
    </w:lvl>
  </w:abstractNum>
  <w:abstractNum w:abstractNumId="25">
    <w:nsid w:val="3957756A"/>
    <w:multiLevelType w:val="hybridMultilevel"/>
    <w:lvl w:ilvl="0">
      <w:lvlJc w:val="left"/>
      <w:lvlText w:val="•"/>
      <w:numFmt w:val="bullet"/>
      <w:start w:val="1"/>
    </w:lvl>
  </w:abstractNum>
  <w:abstractNum w:abstractNumId="26">
    <w:nsid w:val="3E6DA1C7"/>
    <w:multiLevelType w:val="hybridMultilevel"/>
    <w:lvl w:ilvl="0">
      <w:lvlJc w:val="left"/>
      <w:lvlText w:val="•"/>
      <w:numFmt w:val="bullet"/>
      <w:start w:val="1"/>
    </w:lvl>
  </w:abstractNum>
  <w:abstractNum w:abstractNumId="27">
    <w:nsid w:val="65CA235B"/>
    <w:multiLevelType w:val="hybridMultilevel"/>
    <w:lvl w:ilvl="0">
      <w:lvlJc w:val="left"/>
      <w:lvlText w:val="(%1)"/>
      <w:numFmt w:val="decimal"/>
      <w:start w:val="2"/>
    </w:lvl>
  </w:abstractNum>
  <w:abstractNum w:abstractNumId="28">
    <w:nsid w:val="51CB0DA4"/>
    <w:multiLevelType w:val="hybridMultilevel"/>
    <w:lvl w:ilvl="0">
      <w:lvlJc w:val="left"/>
      <w:lvlText w:val="(%1)"/>
      <w:numFmt w:val="decimal"/>
      <w:start w:val="1"/>
    </w:lvl>
  </w:abstractNum>
  <w:abstractNum w:abstractNumId="29">
    <w:nsid w:val="7B9B743C"/>
    <w:multiLevelType w:val="hybridMultilevel"/>
    <w:lvl w:ilvl="0">
      <w:lvlJc w:val="left"/>
      <w:lvlText w:val="$"/>
      <w:numFmt w:val="bullet"/>
      <w:start w:val="1"/>
    </w:lvl>
  </w:abstractNum>
  <w:abstractNum w:abstractNumId="30">
    <w:nsid w:val="13E21002"/>
    <w:multiLevelType w:val="hybridMultilevel"/>
    <w:lvl w:ilvl="0">
      <w:lvlJc w:val="left"/>
      <w:lvlText w:val="(%1)"/>
      <w:numFmt w:val="decimal"/>
      <w:start w:val="1"/>
    </w:lvl>
  </w:abstractNum>
  <w:abstractNum w:abstractNumId="31">
    <w:nsid w:val="257D63F4"/>
    <w:multiLevelType w:val="hybridMultilevel"/>
    <w:lvl w:ilvl="0">
      <w:lvlJc w:val="left"/>
      <w:lvlText w:val="(%1)"/>
      <w:numFmt w:val="decimal"/>
      <w:start w:val="1"/>
    </w:lvl>
  </w:abstractNum>
  <w:abstractNum w:abstractNumId="32">
    <w:nsid w:val="70EC11B2"/>
    <w:multiLevelType w:val="hybridMultilevel"/>
    <w:lvl w:ilvl="0">
      <w:lvlJc w:val="left"/>
      <w:lvlText w:val="•"/>
      <w:numFmt w:val="bullet"/>
      <w:start w:val="1"/>
    </w:lvl>
  </w:abstractNum>
  <w:abstractNum w:abstractNumId="33">
    <w:nsid w:val="2EDA00ED"/>
    <w:multiLevelType w:val="hybridMultilevel"/>
    <w:lvl w:ilvl="0">
      <w:lvlJc w:val="left"/>
      <w:lvlText w:val="•"/>
      <w:numFmt w:val="bullet"/>
      <w:start w:val="1"/>
    </w:lvl>
  </w:abstractNum>
  <w:abstractNum w:abstractNumId="34">
    <w:nsid w:val="73209072"/>
    <w:multiLevelType w:val="hybridMultilevel"/>
    <w:lvl w:ilvl="0">
      <w:lvlJc w:val="left"/>
      <w:lvlText w:val="•"/>
      <w:numFmt w:val="bullet"/>
      <w:start w:val="1"/>
    </w:lvl>
  </w:abstractNum>
  <w:abstractNum w:abstractNumId="35">
    <w:nsid w:val="5FB29816"/>
    <w:multiLevelType w:val="hybridMultilevel"/>
    <w:lvl w:ilvl="0">
      <w:lvlJc w:val="left"/>
      <w:lvlText w:val="•"/>
      <w:numFmt w:val="bullet"/>
      <w:start w:val="1"/>
    </w:lvl>
  </w:abstractNum>
  <w:abstractNum w:abstractNumId="36">
    <w:nsid w:val="3CE732EC"/>
    <w:multiLevelType w:val="hybridMultilevel"/>
    <w:lvl w:ilvl="0">
      <w:lvlJc w:val="left"/>
      <w:lvlText w:val="•"/>
      <w:numFmt w:val="bullet"/>
      <w:start w:val="1"/>
    </w:lvl>
  </w:abstractNum>
  <w:abstractNum w:abstractNumId="37">
    <w:nsid w:val="22F13DF3"/>
    <w:multiLevelType w:val="hybridMultilevel"/>
    <w:lvl w:ilvl="0">
      <w:lvlJc w:val="left"/>
      <w:lvlText w:val="•"/>
      <w:numFmt w:val="bullet"/>
      <w:start w:val="1"/>
    </w:lvl>
  </w:abstractNum>
  <w:abstractNum w:abstractNumId="38">
    <w:nsid w:val="792B8401"/>
    <w:multiLevelType w:val="hybridMultilevel"/>
    <w:lvl w:ilvl="0">
      <w:lvlJc w:val="left"/>
      <w:lvlText w:val="•"/>
      <w:numFmt w:val="bullet"/>
      <w:start w:val="1"/>
    </w:lvl>
  </w:abstractNum>
  <w:abstractNum w:abstractNumId="39">
    <w:nsid w:val="FA85F4D"/>
    <w:multiLevelType w:val="hybridMultilevel"/>
    <w:lvl w:ilvl="0">
      <w:lvlJc w:val="left"/>
      <w:lvlText w:val="•"/>
      <w:numFmt w:val="bullet"/>
      <w:start w:val="1"/>
    </w:lvl>
  </w:abstractNum>
  <w:abstractNum w:abstractNumId="40">
    <w:nsid w:val="6ECE91F0"/>
    <w:multiLevelType w:val="hybridMultilevel"/>
    <w:lvl w:ilvl="0">
      <w:lvlJc w:val="left"/>
      <w:lvlText w:val="•"/>
      <w:numFmt w:val="bullet"/>
      <w:start w:val="1"/>
    </w:lvl>
  </w:abstractNum>
  <w:abstractNum w:abstractNumId="41">
    <w:nsid w:val="4FC4D600"/>
    <w:multiLevelType w:val="hybridMultilevel"/>
    <w:lvl w:ilvl="0">
      <w:lvlJc w:val="left"/>
      <w:lvlText w:val="•"/>
      <w:numFmt w:val="bullet"/>
      <w:start w:val="1"/>
    </w:lvl>
  </w:abstractNum>
  <w:abstractNum w:abstractNumId="42">
    <w:nsid w:val="5BFD4210"/>
    <w:multiLevelType w:val="hybridMultilevel"/>
    <w:lvl w:ilvl="0">
      <w:lvlJc w:val="left"/>
      <w:lvlText w:val="•"/>
      <w:numFmt w:val="bullet"/>
      <w:start w:val="1"/>
    </w:lvl>
  </w:abstractNum>
  <w:abstractNum w:abstractNumId="43">
    <w:nsid w:val="76574F8B"/>
    <w:multiLevelType w:val="hybridMultilevel"/>
    <w:lvl w:ilvl="0">
      <w:lvlJc w:val="left"/>
      <w:lvlText w:val="•"/>
      <w:numFmt w:val="bullet"/>
      <w:start w:val="1"/>
    </w:lvl>
  </w:abstractNum>
  <w:abstractNum w:abstractNumId="44">
    <w:nsid w:val="178F7B67"/>
    <w:multiLevelType w:val="hybridMultilevel"/>
    <w:lvl w:ilvl="0">
      <w:lvlJc w:val="left"/>
      <w:lvlText w:val="•"/>
      <w:numFmt w:val="bullet"/>
      <w:start w:val="1"/>
    </w:lvl>
  </w:abstractNum>
  <w:abstractNum w:abstractNumId="45">
    <w:nsid w:val="2421DFCF"/>
    <w:multiLevelType w:val="hybridMultilevel"/>
    <w:lvl w:ilvl="0">
      <w:lvlJc w:val="left"/>
      <w:lvlText w:val="•"/>
      <w:numFmt w:val="bullet"/>
      <w:start w:val="1"/>
    </w:lvl>
  </w:abstractNum>
  <w:abstractNum w:abstractNumId="46">
    <w:nsid w:val="1565AC99"/>
    <w:multiLevelType w:val="hybridMultilevel"/>
    <w:lvl w:ilvl="0">
      <w:lvlJc w:val="left"/>
      <w:lvlText w:val="•"/>
      <w:numFmt w:val="bullet"/>
      <w:start w:val="1"/>
    </w:lvl>
  </w:abstractNum>
  <w:abstractNum w:abstractNumId="47">
    <w:nsid w:val="19FB2650"/>
    <w:multiLevelType w:val="hybridMultilevel"/>
    <w:lvl w:ilvl="0">
      <w:lvlJc w:val="left"/>
      <w:lvlText w:val="•"/>
      <w:numFmt w:val="bullet"/>
      <w:start w:val="1"/>
    </w:lvl>
  </w:abstractNum>
  <w:abstractNum w:abstractNumId="48">
    <w:nsid w:val="5024DE5B"/>
    <w:multiLevelType w:val="hybridMultilevel"/>
    <w:lvl w:ilvl="0">
      <w:lvlJc w:val="left"/>
      <w:lvlText w:val="•"/>
      <w:numFmt w:val="bullet"/>
      <w:start w:val="1"/>
    </w:lvl>
  </w:abstractNum>
  <w:abstractNum w:abstractNumId="49">
    <w:nsid w:val="168EFE17"/>
    <w:multiLevelType w:val="hybridMultilevel"/>
    <w:lvl w:ilvl="0">
      <w:lvlJc w:val="left"/>
      <w:lvlText w:val="•"/>
      <w:numFmt w:val="bullet"/>
      <w:start w:val="1"/>
    </w:lvl>
  </w:abstractNum>
  <w:abstractNum w:abstractNumId="50">
    <w:nsid w:val="1036B29F"/>
    <w:multiLevelType w:val="hybridMultilevel"/>
    <w:lvl w:ilvl="0">
      <w:lvlJc w:val="left"/>
      <w:lvlText w:val="$"/>
      <w:numFmt w:val="bullet"/>
      <w:start w:val="1"/>
    </w:lvl>
  </w:abstractNum>
  <w:abstractNum w:abstractNumId="51">
    <w:nsid w:val="1D206B8E"/>
    <w:multiLevelType w:val="hybridMultilevel"/>
    <w:lvl w:ilvl="0">
      <w:lvlJc w:val="left"/>
      <w:lvlText w:val="•"/>
      <w:numFmt w:val="bullet"/>
      <w:start w:val="1"/>
    </w:lvl>
  </w:abstractNum>
  <w:abstractNum w:abstractNumId="52">
    <w:nsid w:val="7934D3D4"/>
    <w:multiLevelType w:val="hybridMultilevel"/>
    <w:lvl w:ilvl="0">
      <w:lvlJc w:val="left"/>
      <w:lvlText w:val="•"/>
      <w:numFmt w:val="bullet"/>
      <w:start w:val="1"/>
    </w:lvl>
  </w:abstractNum>
  <w:abstractNum w:abstractNumId="53">
    <w:nsid w:val="1C65E98"/>
    <w:multiLevelType w:val="hybridMultilevel"/>
    <w:lvl w:ilvl="0">
      <w:lvlJc w:val="left"/>
      <w:lvlText w:val="$"/>
      <w:numFmt w:val="bullet"/>
      <w:start w:val="1"/>
    </w:lvl>
  </w:abstractNum>
  <w:abstractNum w:abstractNumId="54">
    <w:nsid w:val="1495E50A"/>
    <w:multiLevelType w:val="hybridMultilevel"/>
    <w:lvl w:ilvl="0">
      <w:lvlJc w:val="left"/>
      <w:lvlText w:val="$"/>
      <w:numFmt w:val="bullet"/>
      <w:start w:val="1"/>
    </w:lvl>
  </w:abstractNum>
  <w:abstractNum w:abstractNumId="55">
    <w:nsid w:val="F5BCF61"/>
    <w:multiLevelType w:val="hybridMultilevel"/>
    <w:lvl w:ilvl="0">
      <w:lvlJc w:val="left"/>
      <w:lvlText w:val="•"/>
      <w:numFmt w:val="bullet"/>
      <w:start w:val="1"/>
    </w:lvl>
  </w:abstractNum>
  <w:abstractNum w:abstractNumId="56">
    <w:nsid w:val="3B1DD403"/>
    <w:multiLevelType w:val="hybridMultilevel"/>
    <w:lvl w:ilvl="0">
      <w:lvlJc w:val="left"/>
      <w:lvlText w:val="•"/>
      <w:numFmt w:val="bullet"/>
      <w:start w:val="1"/>
    </w:lvl>
  </w:abstractNum>
  <w:abstractNum w:abstractNumId="57">
    <w:nsid w:val="530386D1"/>
    <w:multiLevelType w:val="hybridMultilevel"/>
    <w:lvl w:ilvl="0">
      <w:lvlJc w:val="left"/>
      <w:lvlText w:val="•"/>
      <w:numFmt w:val="bullet"/>
      <w:start w:val="1"/>
    </w:lvl>
  </w:abstractNum>
  <w:abstractNum w:abstractNumId="58">
    <w:nsid w:val="7525F2BC"/>
    <w:multiLevelType w:val="hybridMultilevel"/>
    <w:lvl w:ilvl="0">
      <w:lvlJc w:val="left"/>
      <w:lvlText w:val="•"/>
      <w:numFmt w:val="bullet"/>
      <w:start w:val="1"/>
    </w:lvl>
  </w:abstractNum>
  <w:abstractNum w:abstractNumId="59">
    <w:nsid w:val="CE8E1A7"/>
    <w:multiLevelType w:val="hybridMultilevel"/>
    <w:lvl w:ilvl="0">
      <w:lvlJc w:val="left"/>
      <w:lvlText w:val="•"/>
      <w:numFmt w:val="bullet"/>
      <w:start w:val="1"/>
    </w:lvl>
  </w:abstractNum>
  <w:abstractNum w:abstractNumId="60">
    <w:nsid w:val="4E9EFB0D"/>
    <w:multiLevelType w:val="hybridMultilevel"/>
    <w:lvl w:ilvl="0">
      <w:lvlJc w:val="left"/>
      <w:lvlText w:val="•"/>
      <w:numFmt w:val="bullet"/>
      <w:start w:val="1"/>
    </w:lvl>
  </w:abstractNum>
  <w:abstractNum w:abstractNumId="61">
    <w:nsid w:val="90802BE"/>
    <w:multiLevelType w:val="hybridMultilevel"/>
    <w:lvl w:ilvl="0">
      <w:lvlJc w:val="left"/>
      <w:lvlText w:val="•"/>
      <w:numFmt w:val="bullet"/>
      <w:start w:val="1"/>
    </w:lvl>
  </w:abstractNum>
  <w:abstractNum w:abstractNumId="62">
    <w:nsid w:val="3266459B"/>
    <w:multiLevelType w:val="hybridMultilevel"/>
    <w:lvl w:ilvl="0">
      <w:lvlJc w:val="left"/>
      <w:lvlText w:val="•"/>
      <w:numFmt w:val="bullet"/>
      <w:start w:val="1"/>
    </w:lvl>
  </w:abstractNum>
  <w:abstractNum w:abstractNumId="63">
    <w:nsid w:val="3F8B0CBF"/>
    <w:multiLevelType w:val="hybridMultilevel"/>
    <w:lvl w:ilvl="0">
      <w:lvlJc w:val="left"/>
      <w:lvlText w:val="(%1)"/>
      <w:numFmt w:val="decimal"/>
      <w:start w:val="1"/>
    </w:lvl>
  </w:abstractNum>
  <w:abstractNum w:abstractNumId="64">
    <w:nsid w:val="37E203AB"/>
    <w:multiLevelType w:val="hybridMultilevel"/>
    <w:lvl w:ilvl="0">
      <w:lvlJc w:val="left"/>
      <w:lvlText w:val="•"/>
      <w:numFmt w:val="bullet"/>
      <w:start w:val="1"/>
    </w:lvl>
  </w:abstractNum>
  <w:abstractNum w:abstractNumId="65">
    <w:nsid w:val="2586D60E"/>
    <w:multiLevelType w:val="hybridMultilevel"/>
    <w:lvl w:ilvl="0">
      <w:lvlJc w:val="left"/>
      <w:lvlText w:val="•"/>
      <w:numFmt w:val="bullet"/>
      <w:start w:val="1"/>
    </w:lvl>
  </w:abstractNum>
  <w:abstractNum w:abstractNumId="66">
    <w:nsid w:val="1F3DA4D5"/>
    <w:multiLevelType w:val="hybridMultilevel"/>
    <w:lvl w:ilvl="0">
      <w:lvlJc w:val="left"/>
      <w:lvlText w:val="(%1)"/>
      <w:numFmt w:val="decimal"/>
      <w:start w:val="1"/>
    </w:lvl>
  </w:abstractNum>
  <w:abstractNum w:abstractNumId="67">
    <w:nsid w:val="74C93698"/>
    <w:multiLevelType w:val="hybridMultilevel"/>
    <w:lvl w:ilvl="0">
      <w:lvlJc w:val="left"/>
      <w:lvlText w:val="(%1)"/>
      <w:numFmt w:val="decimal"/>
      <w:start w:val="1"/>
    </w:lvl>
  </w:abstractNum>
  <w:abstractNum w:abstractNumId="68">
    <w:nsid w:val="48781401"/>
    <w:multiLevelType w:val="hybridMultilevel"/>
    <w:lvl w:ilvl="0">
      <w:lvlJc w:val="left"/>
      <w:lvlText w:val="(%1)"/>
      <w:numFmt w:val="decimal"/>
      <w:start w:val="1"/>
    </w:lvl>
  </w:abstractNum>
  <w:abstractNum w:abstractNumId="69">
    <w:nsid w:val="186928D6"/>
    <w:multiLevelType w:val="hybridMultilevel"/>
    <w:lvl w:ilvl="0">
      <w:lvlJc w:val="left"/>
      <w:lvlText w:val="(%1)"/>
      <w:numFmt w:val="decimal"/>
      <w:start w:val="1"/>
    </w:lvl>
  </w:abstractNum>
  <w:abstractNum w:abstractNumId="70">
    <w:nsid w:val="47195E5"/>
    <w:multiLevelType w:val="hybridMultilevel"/>
    <w:lvl w:ilvl="0">
      <w:lvlJc w:val="left"/>
      <w:lvlText w:val="(%1)"/>
      <w:numFmt w:val="decimal"/>
      <w:start w:val="1"/>
    </w:lvl>
  </w:abstractNum>
  <w:abstractNum w:abstractNumId="71">
    <w:nsid w:val="3746A5F2"/>
    <w:multiLevelType w:val="hybridMultilevel"/>
    <w:lvl w:ilvl="0">
      <w:lvlJc w:val="left"/>
      <w:lvlText w:val="•"/>
      <w:numFmt w:val="bullet"/>
      <w:start w:val="1"/>
    </w:lvl>
  </w:abstractNum>
  <w:abstractNum w:abstractNumId="72">
    <w:nsid w:val="682DFED6"/>
    <w:multiLevelType w:val="hybridMultilevel"/>
    <w:lvl w:ilvl="0">
      <w:lvlJc w:val="left"/>
      <w:lvlText w:val="•"/>
      <w:numFmt w:val="bullet"/>
      <w:start w:val="1"/>
    </w:lvl>
  </w:abstractNum>
  <w:abstractNum w:abstractNumId="73">
    <w:nsid w:val="606ED7F6"/>
    <w:multiLevelType w:val="hybridMultilevel"/>
    <w:lvl w:ilvl="0">
      <w:lvlJc w:val="left"/>
      <w:lvlText w:val="•"/>
      <w:numFmt w:val="bullet"/>
      <w:start w:val="1"/>
    </w:lvl>
  </w:abstractNum>
  <w:abstractNum w:abstractNumId="74">
    <w:nsid w:val="2D9DF57D"/>
    <w:multiLevelType w:val="hybridMultilevel"/>
    <w:lvl w:ilvl="0">
      <w:lvlJc w:val="left"/>
      <w:lvlText w:val="•"/>
      <w:numFmt w:val="bullet"/>
      <w:start w:val="1"/>
    </w:lvl>
  </w:abstractNum>
  <w:abstractNum w:abstractNumId="75">
    <w:nsid w:val="7FBD7A3E"/>
    <w:multiLevelType w:val="hybridMultilevel"/>
    <w:lvl w:ilvl="0">
      <w:lvlJc w:val="left"/>
      <w:lvlText w:val="•"/>
      <w:numFmt w:val="bullet"/>
      <w:start w:val="1"/>
    </w:lvl>
  </w:abstractNum>
  <w:abstractNum w:abstractNumId="76">
    <w:nsid w:val="490B7C5"/>
    <w:multiLevelType w:val="hybridMultilevel"/>
    <w:lvl w:ilvl="0">
      <w:lvlJc w:val="left"/>
      <w:lvlText w:val="•"/>
      <w:numFmt w:val="bullet"/>
      <w:start w:val="1"/>
    </w:lvl>
  </w:abstractNum>
  <w:abstractNum w:abstractNumId="77">
    <w:nsid w:val="4303A216"/>
    <w:multiLevelType w:val="hybridMultilevel"/>
    <w:lvl w:ilvl="0">
      <w:lvlJc w:val="left"/>
      <w:lvlText w:val="•"/>
      <w:numFmt w:val="bullet"/>
      <w:start w:val="1"/>
    </w:lvl>
  </w:abstractNum>
  <w:abstractNum w:abstractNumId="78">
    <w:nsid w:val="19B8A08E"/>
    <w:multiLevelType w:val="hybridMultilevel"/>
    <w:lvl w:ilvl="0">
      <w:lvlJc w:val="left"/>
      <w:lvlText w:val="•"/>
      <w:numFmt w:val="bullet"/>
      <w:start w:val="1"/>
    </w:lvl>
  </w:abstractNum>
  <w:abstractNum w:abstractNumId="79">
    <w:nsid w:val="54B59621"/>
    <w:multiLevelType w:val="hybridMultilevel"/>
    <w:lvl w:ilvl="0">
      <w:lvlJc w:val="left"/>
      <w:lvlText w:val="•"/>
      <w:numFmt w:val="bullet"/>
      <w:start w:val="1"/>
    </w:lvl>
  </w:abstractNum>
  <w:abstractNum w:abstractNumId="80">
    <w:nsid w:val="5992A02E"/>
    <w:multiLevelType w:val="hybridMultilevel"/>
    <w:lvl w:ilvl="0">
      <w:lvlJc w:val="left"/>
      <w:lvlText w:val="•"/>
      <w:numFmt w:val="bullet"/>
      <w:start w:val="1"/>
    </w:lvl>
  </w:abstractNum>
  <w:abstractNum w:abstractNumId="81">
    <w:nsid w:val="29EF532D"/>
    <w:multiLevelType w:val="hybridMultilevel"/>
    <w:lvl w:ilvl="0">
      <w:lvlJc w:val="left"/>
      <w:lvlText w:val="•"/>
      <w:numFmt w:val="bullet"/>
      <w:start w:val="1"/>
    </w:lvl>
  </w:abstractNum>
  <w:abstractNum w:abstractNumId="82">
    <w:nsid w:val="71D601AF"/>
    <w:multiLevelType w:val="hybridMultilevel"/>
    <w:lvl w:ilvl="0">
      <w:lvlJc w:val="left"/>
      <w:lvlText w:val="•"/>
      <w:numFmt w:val="bullet"/>
      <w:start w:val="1"/>
    </w:lvl>
  </w:abstractNum>
  <w:abstractNum w:abstractNumId="83">
    <w:nsid w:val="52C77402"/>
    <w:multiLevelType w:val="hybridMultilevel"/>
    <w:lvl w:ilvl="0">
      <w:lvlJc w:val="left"/>
      <w:lvlText w:val="•"/>
      <w:numFmt w:val="bullet"/>
      <w:start w:val="1"/>
    </w:lvl>
  </w:abstractNum>
  <w:abstractNum w:abstractNumId="84">
    <w:nsid w:val="2BB5B1C6"/>
    <w:multiLevelType w:val="hybridMultilevel"/>
    <w:lvl w:ilvl="0">
      <w:lvlJc w:val="left"/>
      <w:lvlText w:val="•"/>
      <w:numFmt w:val="bullet"/>
      <w:start w:val="1"/>
    </w:lvl>
  </w:abstractNum>
  <w:abstractNum w:abstractNumId="85">
    <w:nsid w:val="66BE6B9"/>
    <w:multiLevelType w:val="hybridMultilevel"/>
    <w:lvl w:ilvl="0">
      <w:lvlJc w:val="left"/>
      <w:lvlText w:val="•"/>
      <w:numFmt w:val="bullet"/>
      <w:start w:val="1"/>
    </w:lvl>
  </w:abstractNum>
  <w:abstractNum w:abstractNumId="86">
    <w:nsid w:val="62234363"/>
    <w:multiLevelType w:val="hybridMultilevel"/>
    <w:lvl w:ilvl="0">
      <w:lvlJc w:val="left"/>
      <w:lvlText w:val="•"/>
      <w:numFmt w:val="bullet"/>
      <w:start w:val="1"/>
    </w:lvl>
  </w:abstractNum>
  <w:abstractNum w:abstractNumId="87">
    <w:nsid w:val="66D385C9"/>
    <w:multiLevelType w:val="hybridMultilevel"/>
    <w:lvl w:ilvl="0">
      <w:lvlJc w:val="left"/>
      <w:lvlText w:val="•"/>
      <w:numFmt w:val="bullet"/>
      <w:start w:val="1"/>
    </w:lvl>
    <w:lvl w:ilvl="1">
      <w:lvlJc w:val="left"/>
      <w:lvlText w:val="•"/>
      <w:numFmt w:val="bullet"/>
      <w:start w:val="1"/>
    </w:lvl>
  </w:abstractNum>
  <w:abstractNum w:abstractNumId="88">
    <w:nsid w:val="596F6D8A"/>
    <w:multiLevelType w:val="hybridMultilevel"/>
    <w:lvl w:ilvl="0">
      <w:lvlJc w:val="left"/>
      <w:lvlText w:val="•"/>
      <w:numFmt w:val="bullet"/>
      <w:start w:val="1"/>
    </w:lvl>
  </w:abstractNum>
  <w:abstractNum w:abstractNumId="89">
    <w:nsid w:val="5749361F"/>
    <w:multiLevelType w:val="hybridMultilevel"/>
    <w:lvl w:ilvl="0">
      <w:lvlJc w:val="left"/>
      <w:lvlText w:val="(%1)"/>
      <w:numFmt w:val="decimal"/>
      <w:start w:val="1"/>
    </w:lvl>
  </w:abstractNum>
  <w:abstractNum w:abstractNumId="90">
    <w:nsid w:val="73BC6770"/>
    <w:multiLevelType w:val="hybridMultilevel"/>
    <w:lvl w:ilvl="0">
      <w:lvlJc w:val="left"/>
      <w:lvlText w:val="•"/>
      <w:numFmt w:val="bullet"/>
      <w:start w:val="1"/>
    </w:lvl>
  </w:abstractNum>
  <w:abstractNum w:abstractNumId="91">
    <w:nsid w:val="280E6897"/>
    <w:multiLevelType w:val="hybridMultilevel"/>
    <w:lvl w:ilvl="0">
      <w:lvlJc w:val="left"/>
      <w:lvlText w:val="•"/>
      <w:numFmt w:val="bullet"/>
      <w:start w:val="1"/>
    </w:lvl>
  </w:abstractNum>
  <w:abstractNum w:abstractNumId="92">
    <w:nsid w:val="605138DE"/>
    <w:multiLevelType w:val="hybridMultilevel"/>
    <w:lvl w:ilvl="0">
      <w:lvlJc w:val="left"/>
      <w:lvlText w:val="•"/>
      <w:numFmt w:val="bullet"/>
      <w:start w:val="1"/>
    </w:lvl>
  </w:abstractNum>
  <w:abstractNum w:abstractNumId="93">
    <w:nsid w:val="2622AD0C"/>
    <w:multiLevelType w:val="hybridMultilevel"/>
    <w:lvl w:ilvl="0">
      <w:lvlJc w:val="left"/>
      <w:lvlText w:val="•"/>
      <w:numFmt w:val="bullet"/>
      <w:start w:val="1"/>
    </w:lvl>
  </w:abstractNum>
  <w:abstractNum w:abstractNumId="94">
    <w:nsid w:val="67997556"/>
    <w:multiLevelType w:val="hybridMultilevel"/>
    <w:lvl w:ilvl="0">
      <w:lvlJc w:val="left"/>
      <w:lvlText w:val="•"/>
      <w:numFmt w:val="bullet"/>
      <w:start w:val="1"/>
    </w:lvl>
  </w:abstractNum>
  <w:abstractNum w:abstractNumId="95">
    <w:nsid w:val="18333C89"/>
    <w:multiLevelType w:val="hybridMultilevel"/>
    <w:lvl w:ilvl="0">
      <w:lvlJc w:val="left"/>
      <w:lvlText w:val="(*)"/>
      <w:numFmt w:val="bullet"/>
      <w:start w:val="1"/>
    </w:lvl>
  </w:abstractNum>
  <w:abstractNum w:abstractNumId="96">
    <w:nsid w:val="4BA9831A"/>
    <w:multiLevelType w:val="hybridMultilevel"/>
    <w:lvl w:ilvl="0">
      <w:lvlJc w:val="left"/>
      <w:lvlText w:val="•"/>
      <w:numFmt w:val="bullet"/>
      <w:start w:val="1"/>
    </w:lvl>
  </w:abstractNum>
  <w:abstractNum w:abstractNumId="97">
    <w:nsid w:val="6D71A2B"/>
    <w:multiLevelType w:val="hybridMultilevel"/>
    <w:lvl w:ilvl="0">
      <w:lvlJc w:val="left"/>
      <w:lvlText w:val="•"/>
      <w:numFmt w:val="bullet"/>
      <w:start w:val="1"/>
    </w:lvl>
  </w:abstractNum>
  <w:abstractNum w:abstractNumId="98">
    <w:nsid w:val="CFC7321"/>
    <w:multiLevelType w:val="hybridMultilevel"/>
    <w:lvl w:ilvl="0">
      <w:lvlJc w:val="left"/>
      <w:lvlText w:val="•"/>
      <w:numFmt w:val="bullet"/>
      <w:start w:val="1"/>
    </w:lvl>
  </w:abstractNum>
  <w:abstractNum w:abstractNumId="99">
    <w:nsid w:val="1421971B"/>
    <w:multiLevelType w:val="hybridMultilevel"/>
    <w:lvl w:ilvl="0">
      <w:lvlJc w:val="left"/>
      <w:lvlText w:val="•"/>
      <w:numFmt w:val="bullet"/>
      <w:start w:val="1"/>
    </w:lvl>
  </w:abstractNum>
  <w:abstractNum w:abstractNumId="100">
    <w:nsid w:val="1F404301"/>
    <w:multiLevelType w:val="hybridMultilevel"/>
    <w:lvl w:ilvl="0">
      <w:lvlJc w:val="left"/>
      <w:lvlText w:val="(%1)"/>
      <w:numFmt w:val="decimal"/>
      <w:start w:val="1"/>
    </w:lvl>
  </w:abstractNum>
  <w:abstractNum w:abstractNumId="101">
    <w:nsid w:val="116E0907"/>
    <w:multiLevelType w:val="hybridMultilevel"/>
    <w:lvl w:ilvl="0">
      <w:lvlJc w:val="left"/>
      <w:lvlText w:val="•"/>
      <w:numFmt w:val="bullet"/>
      <w:start w:val="1"/>
    </w:lvl>
  </w:abstractNum>
  <w:abstractNum w:abstractNumId="102">
    <w:nsid w:val="4B683D0D"/>
    <w:multiLevelType w:val="hybridMultilevel"/>
    <w:lvl w:ilvl="0">
      <w:lvlJc w:val="left"/>
      <w:lvlText w:val="(%1)"/>
      <w:numFmt w:val="decimal"/>
      <w:start w:val="1"/>
    </w:lvl>
  </w:abstractNum>
  <w:abstractNum w:abstractNumId="103">
    <w:nsid w:val="76E41D8"/>
    <w:multiLevelType w:val="hybridMultilevel"/>
    <w:lvl w:ilvl="0">
      <w:lvlJc w:val="left"/>
      <w:lvlText w:val="(%1)"/>
      <w:numFmt w:val="decimal"/>
      <w:start w:val="2"/>
    </w:lvl>
  </w:abstractNum>
  <w:abstractNum w:abstractNumId="104">
    <w:nsid w:val="71DCE0FD"/>
    <w:multiLevelType w:val="hybridMultilevel"/>
    <w:lvl w:ilvl="0">
      <w:lvlJc w:val="left"/>
      <w:lvlText w:val="(%1)"/>
      <w:numFmt w:val="decimal"/>
      <w:start w:val="1"/>
    </w:lvl>
  </w:abstractNum>
  <w:abstractNum w:abstractNumId="105">
    <w:nsid w:val="7906328B"/>
    <w:multiLevelType w:val="hybridMultilevel"/>
    <w:lvl w:ilvl="0">
      <w:lvlJc w:val="left"/>
      <w:lvlText w:val="(%1)"/>
      <w:numFmt w:val="decimal"/>
      <w:start w:val="5"/>
    </w:lvl>
  </w:abstractNum>
  <w:abstractNum w:abstractNumId="106">
    <w:nsid w:val="72BBC16"/>
    <w:multiLevelType w:val="hybridMultilevel"/>
    <w:lvl w:ilvl="0">
      <w:lvlJc w:val="left"/>
      <w:lvlText w:val="•"/>
      <w:numFmt w:val="bullet"/>
      <w:start w:val="1"/>
    </w:lvl>
  </w:abstractNum>
  <w:abstractNum w:abstractNumId="107">
    <w:nsid w:val="766D98C2"/>
    <w:multiLevelType w:val="hybridMultilevel"/>
    <w:lvl w:ilvl="0">
      <w:lvlJc w:val="left"/>
      <w:lvlText w:val="(%1)"/>
      <w:numFmt w:val="decimal"/>
      <w:start w:val="1"/>
    </w:lvl>
  </w:abstractNum>
  <w:abstractNum w:abstractNumId="108">
    <w:nsid w:val="3C09D4A1"/>
    <w:multiLevelType w:val="hybridMultilevel"/>
    <w:lvl w:ilvl="0">
      <w:lvlJc w:val="left"/>
      <w:lvlText w:val="(%1)"/>
      <w:numFmt w:val="decimal"/>
      <w:start w:val="1"/>
    </w:lvl>
  </w:abstractNum>
  <w:abstractNum w:abstractNumId="109">
    <w:nsid w:val="20E45CA4"/>
    <w:multiLevelType w:val="hybridMultilevel"/>
    <w:lvl w:ilvl="0">
      <w:lvlJc w:val="left"/>
      <w:lvlText w:val="(%1)"/>
      <w:numFmt w:val="decimal"/>
      <w:start w:val="1"/>
    </w:lvl>
  </w:abstractNum>
  <w:abstractNum w:abstractNumId="110">
    <w:nsid w:val="4B232EE3"/>
    <w:multiLevelType w:val="hybridMultilevel"/>
    <w:lvl w:ilvl="0">
      <w:lvlJc w:val="left"/>
      <w:lvlText w:val="(%1)"/>
      <w:numFmt w:val="decimal"/>
      <w:start w:val="1"/>
    </w:lvl>
  </w:abstractNum>
  <w:abstractNum w:abstractNumId="111">
    <w:nsid w:val="159C74CF"/>
    <w:multiLevelType w:val="hybridMultilevel"/>
    <w:lvl w:ilvl="0">
      <w:lvlJc w:val="left"/>
      <w:lvlText w:val="•"/>
      <w:numFmt w:val="bullet"/>
      <w:start w:val="1"/>
    </w:lvl>
  </w:abstractNum>
  <w:abstractNum w:abstractNumId="112">
    <w:nsid w:val="4AD3AFD2"/>
    <w:multiLevelType w:val="hybridMultilevel"/>
    <w:lvl w:ilvl="0">
      <w:lvlJc w:val="left"/>
      <w:lvlText w:val="•"/>
      <w:numFmt w:val="bullet"/>
      <w:start w:val="1"/>
    </w:lvl>
  </w:abstractNum>
  <w:abstractNum w:abstractNumId="113">
    <w:nsid w:val="3CF93092"/>
    <w:multiLevelType w:val="hybridMultilevel"/>
    <w:lvl w:ilvl="0">
      <w:lvlJc w:val="left"/>
      <w:lvlText w:val="*"/>
      <w:numFmt w:val="bullet"/>
      <w:start w:val="1"/>
    </w:lvl>
  </w:abstractNum>
  <w:abstractNum w:abstractNumId="114">
    <w:nsid w:val="6863E8D2"/>
    <w:multiLevelType w:val="hybridMultilevel"/>
    <w:lvl w:ilvl="0">
      <w:lvlJc w:val="left"/>
      <w:lvlText w:val="(%1)"/>
      <w:numFmt w:val="decimal"/>
      <w:start w:val="1"/>
    </w:lvl>
  </w:abstractNum>
  <w:abstractNum w:abstractNumId="115">
    <w:nsid w:val="76896198"/>
    <w:multiLevelType w:val="hybridMultilevel"/>
    <w:lvl w:ilvl="0">
      <w:lvlJc w:val="left"/>
      <w:lvlText w:val="(%1)"/>
      <w:numFmt w:val="decimal"/>
      <w:start w:val="5"/>
    </w:lvl>
  </w:abstractNum>
  <w:abstractNum w:abstractNumId="116">
    <w:nsid w:val="4365174B"/>
    <w:multiLevelType w:val="hybridMultilevel"/>
    <w:lvl w:ilvl="0">
      <w:lvlJc w:val="left"/>
      <w:lvlText w:val="(%1)"/>
      <w:numFmt w:val="decimal"/>
      <w:start w:val="8"/>
    </w:lvl>
  </w:abstractNum>
  <w:abstractNum w:abstractNumId="117">
    <w:nsid w:val="4A872C35"/>
    <w:multiLevelType w:val="hybridMultilevel"/>
    <w:lvl w:ilvl="0">
      <w:lvlJc w:val="left"/>
      <w:lvlText w:val="•"/>
      <w:numFmt w:val="bullet"/>
      <w:start w:val="1"/>
    </w:lvl>
  </w:abstractNum>
  <w:abstractNum w:abstractNumId="118">
    <w:nsid w:val="5D5CE761"/>
    <w:multiLevelType w:val="hybridMultilevel"/>
    <w:lvl w:ilvl="0">
      <w:lvlJc w:val="left"/>
      <w:lvlText w:val="•"/>
      <w:numFmt w:val="bullet"/>
      <w:start w:val="1"/>
    </w:lvl>
  </w:abstractNum>
  <w:abstractNum w:abstractNumId="119">
    <w:nsid w:val="1CD484D5"/>
    <w:multiLevelType w:val="hybridMultilevel"/>
    <w:lvl w:ilvl="0">
      <w:lvlJc w:val="left"/>
      <w:lvlText w:val="•"/>
      <w:numFmt w:val="bullet"/>
      <w:start w:val="1"/>
    </w:lvl>
  </w:abstractNum>
  <w:abstractNum w:abstractNumId="120">
    <w:nsid w:val="21D06255"/>
    <w:multiLevelType w:val="hybridMultilevel"/>
    <w:lvl w:ilvl="0">
      <w:lvlJc w:val="left"/>
      <w:lvlText w:val="•"/>
      <w:numFmt w:val="bullet"/>
      <w:start w:val="1"/>
    </w:lvl>
  </w:abstractNum>
  <w:abstractNum w:abstractNumId="121">
    <w:nsid w:val="51194ED1"/>
    <w:multiLevelType w:val="hybridMultilevel"/>
    <w:lvl w:ilvl="0">
      <w:lvlJc w:val="left"/>
      <w:lvlText w:val="•"/>
      <w:numFmt w:val="bullet"/>
      <w:start w:val="1"/>
    </w:lvl>
  </w:abstractNum>
  <w:abstractNum w:abstractNumId="122">
    <w:nsid w:val="44E2ED6C"/>
    <w:multiLevelType w:val="hybridMultilevel"/>
    <w:lvl w:ilvl="0">
      <w:lvlJc w:val="left"/>
      <w:lvlText w:val="•"/>
      <w:numFmt w:val="bullet"/>
      <w:start w:val="1"/>
    </w:lvl>
  </w:abstractNum>
  <w:abstractNum w:abstractNumId="123">
    <w:nsid w:val="2219B33"/>
    <w:multiLevelType w:val="hybridMultilevel"/>
    <w:lvl w:ilvl="0">
      <w:lvlJc w:val="left"/>
      <w:lvlText w:val="•"/>
      <w:numFmt w:val="bullet"/>
      <w:start w:val="1"/>
    </w:lvl>
  </w:abstractNum>
  <w:abstractNum w:abstractNumId="124">
    <w:nsid w:val="773BFBDD"/>
    <w:multiLevelType w:val="hybridMultilevel"/>
    <w:lvl w:ilvl="0">
      <w:lvlJc w:val="left"/>
      <w:lvlText w:val="•"/>
      <w:numFmt w:val="bullet"/>
      <w:start w:val="1"/>
    </w:lvl>
  </w:abstractNum>
  <w:abstractNum w:abstractNumId="125">
    <w:nsid w:val="2C7C62C2"/>
    <w:multiLevelType w:val="hybridMultilevel"/>
    <w:lvl w:ilvl="0">
      <w:lvlJc w:val="left"/>
      <w:lvlText w:val="•"/>
      <w:numFmt w:val="bullet"/>
      <w:start w:val="1"/>
    </w:lvl>
  </w:abstractNum>
  <w:abstractNum w:abstractNumId="126">
    <w:nsid w:val="1A54D7BC"/>
    <w:multiLevelType w:val="hybridMultilevel"/>
    <w:lvl w:ilvl="0">
      <w:lvlJc w:val="left"/>
      <w:lvlText w:val="•"/>
      <w:numFmt w:val="bullet"/>
      <w:start w:val="1"/>
    </w:lvl>
  </w:abstractNum>
  <w:abstractNum w:abstractNumId="127">
    <w:nsid w:val="42E57EF7"/>
    <w:multiLevelType w:val="hybridMultilevel"/>
    <w:lvl w:ilvl="0">
      <w:lvlJc w:val="left"/>
      <w:lvlText w:val="•"/>
      <w:numFmt w:val="bullet"/>
      <w:start w:val="1"/>
    </w:lvl>
  </w:abstractNum>
  <w:abstractNum w:abstractNumId="128">
    <w:nsid w:val="33537CED"/>
    <w:multiLevelType w:val="hybridMultilevel"/>
    <w:lvl w:ilvl="0">
      <w:lvlJc w:val="left"/>
      <w:lvlText w:val="•"/>
      <w:numFmt w:val="bullet"/>
      <w:start w:val="1"/>
    </w:lvl>
  </w:abstractNum>
  <w:abstractNum w:abstractNumId="129">
    <w:nsid w:val="27514ADE"/>
    <w:multiLevelType w:val="hybridMultilevel"/>
    <w:lvl w:ilvl="0">
      <w:lvlJc w:val="left"/>
      <w:lvlText w:val="(%1)"/>
      <w:numFmt w:val="lowerLetter"/>
      <w:start w:val="1"/>
    </w:lvl>
  </w:abstractNum>
  <w:abstractNum w:abstractNumId="130">
    <w:nsid w:val="57071613"/>
    <w:multiLevelType w:val="hybridMultilevel"/>
    <w:lvl w:ilvl="0">
      <w:lvlJc w:val="left"/>
      <w:lvlText w:val="(%1)"/>
      <w:numFmt w:val="lowerLetter"/>
      <w:start w:val="1"/>
    </w:lvl>
  </w:abstractNum>
  <w:abstractNum w:abstractNumId="131">
    <w:nsid w:val="5293BFEF"/>
    <w:multiLevelType w:val="hybridMultilevel"/>
    <w:lvl w:ilvl="0">
      <w:lvlJc w:val="left"/>
      <w:lvlText w:val="%1."/>
      <w:numFmt w:val="decimal"/>
      <w:start w:val="1"/>
    </w:lvl>
  </w:abstractNum>
  <w:abstractNum w:abstractNumId="132">
    <w:nsid w:val="38BF53E5"/>
    <w:multiLevelType w:val="hybridMultilevel"/>
    <w:lvl w:ilvl="0">
      <w:lvlJc w:val="left"/>
      <w:lvlText w:val="%1."/>
      <w:numFmt w:val="decimal"/>
      <w:start w:val="2"/>
    </w:lvl>
  </w:abstractNum>
  <w:abstractNum w:abstractNumId="133">
    <w:nsid w:val="226F5320"/>
    <w:multiLevelType w:val="hybridMultilevel"/>
    <w:lvl w:ilvl="0">
      <w:lvlJc w:val="left"/>
      <w:lvlText w:val="%1."/>
      <w:numFmt w:val="decimal"/>
      <w:start w:val="3"/>
    </w:lvl>
  </w:abstractNum>
  <w:abstractNum w:abstractNumId="134">
    <w:nsid w:val="5A0201C7"/>
    <w:multiLevelType w:val="hybridMultilevel"/>
    <w:lvl w:ilvl="0">
      <w:lvlJc w:val="left"/>
      <w:lvlText w:val="%1."/>
      <w:numFmt w:val="decimal"/>
      <w:start w:val="4"/>
    </w:lvl>
  </w:abstractNum>
  <w:abstractNum w:abstractNumId="135">
    <w:nsid w:val="2A9C34E2"/>
    <w:multiLevelType w:val="hybridMultilevel"/>
    <w:lvl w:ilvl="0">
      <w:lvlJc w:val="left"/>
      <w:lvlText w:val="%1."/>
      <w:numFmt w:val="decimal"/>
      <w:start w:val="6"/>
    </w:lvl>
  </w:abstractNum>
  <w:abstractNum w:abstractNumId="136">
    <w:nsid w:val="1B7585AB"/>
    <w:multiLevelType w:val="hybridMultilevel"/>
    <w:lvl w:ilvl="0">
      <w:lvlJc w:val="left"/>
      <w:lvlText w:val="(%1)"/>
      <w:numFmt w:val="decimal"/>
      <w:start w:val="1"/>
    </w:lvl>
  </w:abstractNum>
  <w:abstractNum w:abstractNumId="137">
    <w:nsid w:val="612DBDDD"/>
    <w:multiLevelType w:val="hybridMultilevel"/>
    <w:lvl w:ilvl="0">
      <w:lvlJc w:val="left"/>
      <w:lvlText w:val="(%1)"/>
      <w:numFmt w:val="decimal"/>
      <w:start w:val="2"/>
    </w:lvl>
  </w:abstractNum>
  <w:abstractNum w:abstractNumId="138">
    <w:nsid w:val="2109CDA4"/>
    <w:multiLevelType w:val="hybridMultilevel"/>
    <w:lvl w:ilvl="0">
      <w:lvlJc w:val="left"/>
      <w:lvlText w:val="%1."/>
      <w:numFmt w:val="decimal"/>
      <w:start w:val="7"/>
    </w:lvl>
  </w:abstractNum>
  <w:abstractNum w:abstractNumId="139">
    <w:nsid w:val="577F5A4D"/>
    <w:multiLevelType w:val="hybridMultilevel"/>
    <w:lvl w:ilvl="0">
      <w:lvlJc w:val="left"/>
      <w:lvlText w:val="%1."/>
      <w:numFmt w:val="decimal"/>
      <w:start w:val="8"/>
    </w:lvl>
  </w:abstractNum>
  <w:abstractNum w:abstractNumId="140">
    <w:nsid w:val="2121A81"/>
    <w:multiLevelType w:val="hybridMultilevel"/>
    <w:lvl w:ilvl="0">
      <w:lvlJc w:val="left"/>
      <w:lvlText w:val="%1."/>
      <w:numFmt w:val="decimal"/>
      <w:start w:val="9"/>
    </w:lvl>
  </w:abstractNum>
  <w:abstractNum w:abstractNumId="141">
    <w:nsid w:val="6C2CFC88"/>
    <w:multiLevelType w:val="hybridMultilevel"/>
    <w:lvl w:ilvl="0">
      <w:lvlJc w:val="left"/>
      <w:lvlText w:val="%1."/>
      <w:numFmt w:val="decimal"/>
      <w:start w:val="10"/>
    </w:lvl>
  </w:abstractNum>
  <w:abstractNum w:abstractNumId="142">
    <w:nsid w:val="6D1BCF1C"/>
    <w:multiLevelType w:val="hybridMultilevel"/>
    <w:lvl w:ilvl="0">
      <w:lvlJc w:val="left"/>
      <w:lvlText w:val="(%1)"/>
      <w:numFmt w:val="lowerRoman"/>
      <w:start w:val="1"/>
    </w:lvl>
  </w:abstractNum>
  <w:abstractNum w:abstractNumId="143">
    <w:nsid w:val="4CE5CA53"/>
    <w:multiLevelType w:val="hybridMultilevel"/>
    <w:lvl w:ilvl="0">
      <w:lvlJc w:val="left"/>
      <w:lvlText w:val="(%1)"/>
      <w:numFmt w:val="decimal"/>
      <w:start w:val="1"/>
    </w:lvl>
  </w:abstractNum>
  <w:abstractNum w:abstractNumId="144">
    <w:nsid w:val="29262D1A"/>
    <w:multiLevelType w:val="hybridMultilevel"/>
    <w:lvl w:ilvl="0">
      <w:lvlJc w:val="left"/>
      <w:lvlText w:val="%1."/>
      <w:numFmt w:val="decimal"/>
      <w:start w:val="11"/>
    </w:lvl>
  </w:abstractNum>
  <w:abstractNum w:abstractNumId="145">
    <w:nsid w:val="557FB7EE"/>
    <w:multiLevelType w:val="hybridMultilevel"/>
    <w:lvl w:ilvl="0">
      <w:lvlJc w:val="left"/>
      <w:lvlText w:val="%1."/>
      <w:numFmt w:val="decimal"/>
      <w:start w:val="12"/>
    </w:lvl>
  </w:abstractNum>
  <w:abstractNum w:abstractNumId="146">
    <w:nsid w:val="436F2BEB"/>
    <w:multiLevelType w:val="hybridMultilevel"/>
    <w:lvl w:ilvl="0">
      <w:lvlJc w:val="left"/>
      <w:lvlText w:val="%1."/>
      <w:numFmt w:val="decimal"/>
      <w:start w:val="13"/>
    </w:lvl>
  </w:abstractNum>
  <w:abstractNum w:abstractNumId="147">
    <w:nsid w:val="6C8B4466"/>
    <w:multiLevelType w:val="hybridMultilevel"/>
    <w:lvl w:ilvl="0">
      <w:lvlJc w:val="left"/>
      <w:lvlText w:val="%1."/>
      <w:numFmt w:val="decimal"/>
      <w:start w:val="14"/>
    </w:lvl>
  </w:abstractNum>
  <w:abstractNum w:abstractNumId="148">
    <w:nsid w:val="2006E424"/>
    <w:multiLevelType w:val="hybridMultilevel"/>
    <w:lvl w:ilvl="0">
      <w:lvlJc w:val="left"/>
      <w:lvlText w:val="%1."/>
      <w:numFmt w:val="decimal"/>
      <w:start w:val="15"/>
    </w:lvl>
  </w:abstractNum>
  <w:abstractNum w:abstractNumId="149">
    <w:nsid w:val="20CC134C"/>
    <w:multiLevelType w:val="hybridMultilevel"/>
    <w:lvl w:ilvl="0">
      <w:lvlJc w:val="left"/>
      <w:lvlText w:val="*"/>
      <w:numFmt w:val="bullet"/>
      <w:start w:val="1"/>
    </w:lvl>
  </w:abstractNum>
  <w:abstractNum w:abstractNumId="150">
    <w:nsid w:val="95FC93B"/>
    <w:multiLevelType w:val="hybridMultilevel"/>
    <w:lvl w:ilvl="0">
      <w:lvlJc w:val="left"/>
      <w:lvlText w:val="$"/>
      <w:numFmt w:val="bullet"/>
      <w:start w:val="1"/>
    </w:lvl>
  </w:abstractNum>
  <w:abstractNum w:abstractNumId="151">
    <w:nsid w:val="41D74679"/>
    <w:multiLevelType w:val="hybridMultilevel"/>
    <w:lvl w:ilvl="0">
      <w:lvlJc w:val="left"/>
      <w:lvlText w:val="•"/>
      <w:numFmt w:val="bullet"/>
      <w:start w:val="1"/>
    </w:lvl>
  </w:abstractNum>
  <w:abstractNum w:abstractNumId="152">
    <w:nsid w:val="71E5621E"/>
    <w:multiLevelType w:val="hybridMultilevel"/>
    <w:lvl w:ilvl="0">
      <w:lvlJc w:val="left"/>
      <w:lvlText w:val="*"/>
      <w:numFmt w:val="bullet"/>
      <w:start w:val="1"/>
    </w:lvl>
    <w:lvl w:ilvl="1">
      <w:lvlJc w:val="left"/>
      <w:lvlText w:val="(%2)"/>
      <w:numFmt w:val="lowerLetter"/>
      <w:start w:val="2"/>
    </w:lvl>
  </w:abstractNum>
  <w:abstractNum w:abstractNumId="153">
    <w:nsid w:val="4E42B6A8"/>
    <w:multiLevelType w:val="hybridMultilevel"/>
    <w:lvl w:ilvl="0">
      <w:lvlJc w:val="left"/>
      <w:lvlText w:val="(%1)"/>
      <w:numFmt w:val="decimal"/>
      <w:start w:val="1"/>
    </w:lvl>
  </w:abstractNum>
  <w:abstractNum w:abstractNumId="154">
    <w:nsid w:val="43F8E1AC"/>
    <w:multiLevelType w:val="hybridMultilevel"/>
    <w:lvl w:ilvl="0">
      <w:lvlJc w:val="left"/>
      <w:lvlText w:val="%1."/>
      <w:numFmt w:val="decimal"/>
      <w:start w:val="1"/>
    </w:lvl>
    <w:lvl w:ilvl="1">
      <w:lvlJc w:val="left"/>
      <w:lvlText w:val="(%2)"/>
      <w:numFmt w:val="lowerRoman"/>
      <w:start w:val="1"/>
    </w:lvl>
  </w:abstractNum>
  <w:abstractNum w:abstractNumId="155">
    <w:nsid w:val="69215DFB"/>
    <w:multiLevelType w:val="hybridMultilevel"/>
    <w:lvl w:ilvl="0">
      <w:lvlJc w:val="left"/>
      <w:lvlText w:val="(%1)"/>
      <w:numFmt w:val="lowerRoman"/>
      <w:start w:val="3"/>
    </w:lvl>
  </w:abstractNum>
  <w:abstractNum w:abstractNumId="156">
    <w:nsid w:val="7ABF196A"/>
    <w:multiLevelType w:val="hybridMultilevel"/>
    <w:lvl w:ilvl="0">
      <w:lvlJc w:val="left"/>
      <w:lvlText w:val="(%1)"/>
      <w:numFmt w:val="lowerRoman"/>
      <w:start w:val="1"/>
    </w:lvl>
    <w:lvl w:ilvl="1">
      <w:lvlJc w:val="left"/>
      <w:lvlText w:val="(%2)"/>
      <w:numFmt w:val="lowerRoman"/>
      <w:start w:val="6"/>
    </w:lvl>
  </w:abstractNum>
  <w:abstractNum w:abstractNumId="157">
    <w:nsid w:val="5E4DB968"/>
    <w:multiLevelType w:val="hybridMultilevel"/>
    <w:lvl w:ilvl="0">
      <w:lvlJc w:val="left"/>
      <w:lvlText w:val="%1"/>
      <w:numFmt w:val="upperLetter"/>
      <w:start w:val="1"/>
    </w:lvl>
    <w:lvl w:ilvl="1">
      <w:lvlJc w:val="left"/>
      <w:lvlText w:val="(%2)"/>
      <w:numFmt w:val="lowerRoman"/>
      <w:start w:val="9"/>
    </w:lvl>
  </w:abstractNum>
  <w:abstractNum w:abstractNumId="158">
    <w:nsid w:val="2C06DCF3"/>
    <w:multiLevelType w:val="hybridMultilevel"/>
    <w:lvl w:ilvl="0">
      <w:lvlJc w:val="left"/>
      <w:lvlText w:val="(%1)"/>
      <w:numFmt w:val="upperLetter"/>
      <w:start w:val="1"/>
    </w:lvl>
    <w:lvl w:ilvl="1">
      <w:lvlJc w:val="left"/>
      <w:lvlText w:val="(%2)"/>
      <w:numFmt w:val="lowerRoman"/>
      <w:start w:val="11"/>
    </w:lvl>
  </w:abstractNum>
  <w:abstractNum w:abstractNumId="159">
    <w:nsid w:val="2E129658"/>
    <w:multiLevelType w:val="hybridMultilevel"/>
    <w:lvl w:ilvl="0">
      <w:lvlJc w:val="left"/>
      <w:lvlText w:val="(%1)"/>
      <w:numFmt w:val="lowerRoman"/>
      <w:start w:val="13"/>
    </w:lvl>
  </w:abstractNum>
  <w:abstractNum w:abstractNumId="160">
    <w:nsid w:val="59F0446"/>
    <w:multiLevelType w:val="hybridMultilevel"/>
    <w:lvl w:ilvl="0">
      <w:lvlJc w:val="left"/>
      <w:lvlText w:val="(%1)"/>
      <w:numFmt w:val="lowerRoman"/>
      <w:start w:val="18"/>
    </w:lvl>
  </w:abstractNum>
  <w:abstractNum w:abstractNumId="161">
    <w:nsid w:val="30DF306"/>
    <w:multiLevelType w:val="hybridMultilevel"/>
    <w:lvl w:ilvl="0">
      <w:lvlJc w:val="left"/>
      <w:lvlText w:val="(%1)"/>
      <w:numFmt w:val="lowerRoman"/>
      <w:start w:val="22"/>
    </w:lvl>
  </w:abstractNum>
  <w:abstractNum w:abstractNumId="162">
    <w:nsid w:val="A65647"/>
    <w:multiLevelType w:val="hybridMultilevel"/>
    <w:lvl w:ilvl="0">
      <w:lvlJc w:val="left"/>
      <w:lvlText w:val="(%1)"/>
      <w:numFmt w:val="lowerRoman"/>
      <w:start w:val="25"/>
    </w:lvl>
  </w:abstractNum>
  <w:abstractNum w:abstractNumId="163">
    <w:nsid w:val="3E5E582B"/>
    <w:multiLevelType w:val="hybridMultilevel"/>
    <w:lvl w:ilvl="0">
      <w:lvlJc w:val="left"/>
      <w:lvlText w:val="(%1)"/>
      <w:numFmt w:val="upperLetter"/>
      <w:start w:val="2"/>
    </w:lvl>
    <w:lvl w:ilvl="1">
      <w:lvlJc w:val="left"/>
      <w:lvlText w:val="(%2)"/>
      <w:numFmt w:val="lowerRoman"/>
      <w:start w:val="27"/>
    </w:lvl>
  </w:abstractNum>
  <w:abstractNum w:abstractNumId="164">
    <w:nsid w:val="257D4626"/>
    <w:multiLevelType w:val="hybridMultilevel"/>
    <w:lvl w:ilvl="0">
      <w:lvlJc w:val="left"/>
      <w:lvlText w:val="(%1)"/>
      <w:numFmt w:val="lowerRoman"/>
      <w:start w:val="28"/>
    </w:lvl>
  </w:abstractNum>
  <w:abstractNum w:abstractNumId="165">
    <w:nsid w:val="5AA8580E"/>
    <w:multiLevelType w:val="hybridMultilevel"/>
    <w:lvl w:ilvl="0">
      <w:lvlJc w:val="left"/>
      <w:lvlText w:val="(%1)"/>
      <w:numFmt w:val="lowerRoman"/>
      <w:start w:val="32"/>
    </w:lvl>
  </w:abstractNum>
  <w:abstractNum w:abstractNumId="166">
    <w:nsid w:val="68FA8D0D"/>
    <w:multiLevelType w:val="hybridMultilevel"/>
    <w:lvl w:ilvl="0">
      <w:lvlJc w:val="left"/>
      <w:lvlText w:val="%1"/>
      <w:numFmt w:val="upperLetter"/>
      <w:start w:val="1"/>
    </w:lvl>
    <w:lvl w:ilvl="1">
      <w:lvlJc w:val="left"/>
      <w:lvlText w:val="(%2)"/>
      <w:numFmt w:val="lowerRoman"/>
      <w:start w:val="35"/>
    </w:lvl>
  </w:abstractNum>
  <w:abstractNum w:abstractNumId="167">
    <w:nsid w:val="40F2CBD2"/>
    <w:multiLevelType w:val="hybridMultilevel"/>
    <w:lvl w:ilvl="0">
      <w:lvlJc w:val="left"/>
      <w:lvlText w:val="(%1)"/>
      <w:numFmt w:val="upperLetter"/>
      <w:start w:val="5"/>
    </w:lvl>
    <w:lvl w:ilvl="1">
      <w:lvlJc w:val="left"/>
      <w:lvlText w:val="%2"/>
      <w:numFmt w:val="lowerRoman"/>
      <w:start w:val="1"/>
    </w:lvl>
  </w:abstractNum>
  <w:abstractNum w:abstractNumId="168">
    <w:nsid w:val="3BD615EB"/>
    <w:multiLevelType w:val="hybridMultilevel"/>
    <w:lvl w:ilvl="0">
      <w:lvlJc w:val="left"/>
      <w:lvlText w:val="(%1)"/>
      <w:numFmt w:val="lowerRoman"/>
      <w:start w:val="37"/>
    </w:lvl>
  </w:abstractNum>
  <w:abstractNum w:abstractNumId="169">
    <w:nsid w:val="A045AB2"/>
    <w:multiLevelType w:val="hybridMultilevel"/>
    <w:lvl w:ilvl="0">
      <w:lvlJc w:val="left"/>
      <w:lvlText w:val="%1."/>
      <w:numFmt w:val="decimal"/>
      <w:start w:val="2"/>
    </w:lvl>
  </w:abstractNum>
  <w:abstractNum w:abstractNumId="170">
    <w:nsid w:val="1872261F"/>
    <w:multiLevelType w:val="hybridMultilevel"/>
    <w:lvl w:ilvl="0">
      <w:lvlJc w:val="left"/>
      <w:lvlText w:val="%1."/>
      <w:numFmt w:val="decimal"/>
      <w:start w:val="3"/>
    </w:lvl>
  </w:abstractNum>
  <w:abstractNum w:abstractNumId="171">
    <w:nsid w:val="3DE8306C"/>
    <w:multiLevelType w:val="hybridMultilevel"/>
    <w:lvl w:ilvl="0">
      <w:lvlJc w:val="left"/>
      <w:lvlText w:val="%1."/>
      <w:numFmt w:val="decimal"/>
      <w:start w:val="4"/>
    </w:lvl>
    <w:lvl w:ilvl="1">
      <w:lvlJc w:val="left"/>
      <w:lvlText w:val="(%2)"/>
      <w:numFmt w:val="lowerLetter"/>
      <w:start w:val="2"/>
    </w:lvl>
  </w:abstractNum>
  <w:abstractNum w:abstractNumId="172">
    <w:nsid w:val="7631573A"/>
    <w:multiLevelType w:val="hybridMultilevel"/>
    <w:lvl w:ilvl="0">
      <w:lvlJc w:val="left"/>
      <w:lvlText w:val="%1"/>
      <w:numFmt w:val="decimal"/>
      <w:start w:val="1"/>
    </w:lvl>
    <w:lvl w:ilvl="1">
      <w:lvlJc w:val="left"/>
      <w:lvlText w:val="(%2)"/>
      <w:numFmt w:val="lowerLetter"/>
      <w:start w:val="1"/>
    </w:lvl>
  </w:abstractNum>
  <w:abstractNum w:abstractNumId="173">
    <w:nsid w:val="58DF53B"/>
    <w:multiLevelType w:val="hybridMultilevel"/>
    <w:lvl w:ilvl="0">
      <w:lvlJc w:val="left"/>
      <w:lvlText w:val="(%1)"/>
      <w:numFmt w:val="lowerLetter"/>
      <w:start w:val="2"/>
    </w:lvl>
  </w:abstractNum>
  <w:abstractNum w:abstractNumId="174">
    <w:nsid w:val="ACDFAC0"/>
    <w:multiLevelType w:val="hybridMultilevel"/>
    <w:lvl w:ilvl="0">
      <w:lvlJc w:val="left"/>
      <w:lvlText w:val="(%1)"/>
      <w:numFmt w:val="lowerRoman"/>
      <w:start w:val="2"/>
    </w:lvl>
  </w:abstractNum>
  <w:abstractNum w:abstractNumId="175">
    <w:nsid w:val="1F578454"/>
    <w:multiLevelType w:val="hybridMultilevel"/>
    <w:lvl w:ilvl="0">
      <w:lvlJc w:val="left"/>
      <w:lvlText w:val="(%1)"/>
      <w:numFmt w:val="lowerLetter"/>
      <w:start w:val="6"/>
    </w:lvl>
  </w:abstractNum>
  <w:abstractNum w:abstractNumId="176">
    <w:nsid w:val="5B0DAD2A"/>
    <w:multiLevelType w:val="hybridMultilevel"/>
    <w:lvl w:ilvl="0">
      <w:lvlJc w:val="left"/>
      <w:lvlText w:val="%1"/>
      <w:numFmt w:val="decimal"/>
      <w:start w:val="1"/>
    </w:lvl>
    <w:lvl w:ilvl="1">
      <w:lvlJc w:val="left"/>
      <w:lvlText w:val="(%2)"/>
      <w:numFmt w:val="lowerLetter"/>
      <w:start w:val="13"/>
    </w:lvl>
  </w:abstractNum>
  <w:abstractNum w:abstractNumId="177">
    <w:nsid w:val="4E3D26AB"/>
    <w:multiLevelType w:val="hybridMultilevel"/>
    <w:lvl w:ilvl="0">
      <w:lvlJc w:val="left"/>
      <w:lvlText w:val="%1."/>
      <w:numFmt w:val="decimal"/>
      <w:start w:val="6"/>
    </w:lvl>
    <w:lvl w:ilvl="1">
      <w:lvlJc w:val="left"/>
      <w:lvlText w:val="(%2)"/>
      <w:numFmt w:val="lowerLetter"/>
      <w:start w:val="2"/>
    </w:lvl>
  </w:abstractNum>
  <w:abstractNum w:abstractNumId="178">
    <w:nsid w:val="BE2C8BA"/>
    <w:multiLevelType w:val="hybridMultilevel"/>
    <w:lvl w:ilvl="0">
      <w:lvlJc w:val="left"/>
      <w:lvlText w:val="%1."/>
      <w:numFmt w:val="decimal"/>
      <w:start w:val="8"/>
    </w:lvl>
    <w:lvl w:ilvl="1">
      <w:lvlJc w:val="left"/>
      <w:lvlText w:val="(%2)"/>
      <w:numFmt w:val="lowerLetter"/>
      <w:start w:val="1"/>
    </w:lvl>
  </w:abstractNum>
  <w:abstractNum w:abstractNumId="179">
    <w:nsid w:val="7B14914E"/>
    <w:multiLevelType w:val="hybridMultilevel"/>
    <w:lvl w:ilvl="0">
      <w:lvlJc w:val="left"/>
      <w:lvlText w:val="(%1)"/>
      <w:numFmt w:val="lowerLetter"/>
      <w:start w:val="2"/>
    </w:lvl>
  </w:abstractNum>
  <w:abstractNum w:abstractNumId="180">
    <w:nsid w:val="6F0939F8"/>
    <w:multiLevelType w:val="hybridMultilevel"/>
    <w:lvl w:ilvl="0">
      <w:lvlJc w:val="left"/>
      <w:lvlText w:val="%1"/>
      <w:numFmt w:val="decimal"/>
      <w:start w:val="1"/>
    </w:lvl>
    <w:lvl w:ilvl="1">
      <w:lvlJc w:val="left"/>
      <w:lvlText w:val="(%2)"/>
      <w:numFmt w:val="lowerLetter"/>
      <w:start w:val="6"/>
    </w:lvl>
  </w:abstractNum>
  <w:abstractNum w:abstractNumId="181">
    <w:nsid w:val="154291F6"/>
    <w:multiLevelType w:val="hybridMultilevel"/>
    <w:lvl w:ilvl="0">
      <w:lvlJc w:val="left"/>
      <w:lvlText w:val="%1."/>
      <w:numFmt w:val="decimal"/>
      <w:start w:val="9"/>
    </w:lvl>
    <w:lvl w:ilvl="1">
      <w:lvlJc w:val="left"/>
      <w:lvlText w:val="%2"/>
      <w:numFmt w:val="lowerLetter"/>
      <w:start w:val="1"/>
    </w:lvl>
  </w:abstractNum>
  <w:abstractNum w:abstractNumId="182">
    <w:nsid w:val="3CEBD7C7"/>
    <w:multiLevelType w:val="hybridMultilevel"/>
    <w:lvl w:ilvl="0">
      <w:lvlJc w:val="left"/>
      <w:lvlText w:val="(%1)"/>
      <w:numFmt w:val="lowerLetter"/>
      <w:start w:val="2"/>
    </w:lvl>
  </w:abstractNum>
  <w:abstractNum w:abstractNumId="183">
    <w:nsid w:val="60EE9C16"/>
    <w:multiLevelType w:val="hybridMultilevel"/>
    <w:lvl w:ilvl="0">
      <w:lvlJc w:val="left"/>
      <w:lvlText w:val="(%1)"/>
      <w:numFmt w:val="lowerLetter"/>
      <w:start w:val="4"/>
    </w:lvl>
  </w:abstractNum>
  <w:abstractNum w:abstractNumId="184">
    <w:nsid w:val="6385489E"/>
    <w:multiLevelType w:val="hybridMultilevel"/>
    <w:lvl w:ilvl="0">
      <w:lvlJc w:val="left"/>
      <w:lvlText w:val="(%1)"/>
      <w:numFmt w:val="lowerLetter"/>
      <w:start w:val="5"/>
    </w:lvl>
  </w:abstractNum>
  <w:abstractNum w:abstractNumId="185">
    <w:nsid w:val="E4B973"/>
    <w:multiLevelType w:val="hybridMultilevel"/>
    <w:lvl w:ilvl="0">
      <w:lvlJc w:val="left"/>
      <w:lvlText w:val="%1"/>
      <w:numFmt w:val="lowerLetter"/>
      <w:start w:val="1"/>
    </w:lvl>
    <w:lvl w:ilvl="1">
      <w:lvlJc w:val="left"/>
      <w:lvlText w:val="(%2)"/>
      <w:numFmt w:val="lowerLetter"/>
      <w:start w:val="9"/>
    </w:lvl>
  </w:abstractNum>
  <w:abstractNum w:abstractNumId="186">
    <w:nsid w:val="4A0FFA11"/>
    <w:multiLevelType w:val="hybridMultilevel"/>
    <w:lvl w:ilvl="0">
      <w:lvlJc w:val="left"/>
      <w:lvlText w:val="(%1)"/>
      <w:numFmt w:val="lowerLetter"/>
      <w:start w:val="25"/>
    </w:lvl>
    <w:lvl w:ilvl="1">
      <w:lvlJc w:val="left"/>
      <w:lvlText w:val="(%2)"/>
      <w:numFmt w:val="lowerLetter"/>
      <w:start w:val="35"/>
    </w:lvl>
  </w:abstractNum>
  <w:abstractNum w:abstractNumId="187">
    <w:nsid w:val="5E446208"/>
    <w:multiLevelType w:val="hybridMultilevel"/>
    <w:lvl w:ilvl="0">
      <w:lvlJc w:val="left"/>
      <w:lvlText w:val="(%1)"/>
      <w:numFmt w:val="lowerRoman"/>
      <w:start w:val="3"/>
    </w:lvl>
  </w:abstractNum>
  <w:abstractNum w:abstractNumId="188">
    <w:nsid w:val="5F3272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9">
    <w:nsid w:val="7616D704"/>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190">
    <w:nsid w:val="C56F86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91">
    <w:nsid w:val="64D17722"/>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92">
    <w:nsid w:val="7924CA0A"/>
    <w:multiLevelType w:val="hybridMultilevel"/>
    <w:lvl w:ilvl="0">
      <w:lvlJc w:val="left"/>
      <w:lvlText w:val="(%1)"/>
      <w:numFmt w:val="lowerLetter"/>
      <w:start w:val="22"/>
    </w:lvl>
    <w:lvl w:ilvl="1">
      <w:lvlJc w:val="left"/>
      <w:lvlText w:val="%2."/>
      <w:numFmt w:val="decimal"/>
      <w:start w:val="13"/>
    </w:lvl>
    <w:lvl w:ilvl="2">
      <w:lvlJc w:val="left"/>
      <w:lvlText w:val="%3"/>
      <w:numFmt w:val="lowerLetter"/>
      <w:start w:val="1"/>
    </w:lvl>
  </w:abstractNum>
  <w:abstractNum w:abstractNumId="193">
    <w:nsid w:val="CFD4EA7"/>
    <w:multiLevelType w:val="hybridMultilevel"/>
    <w:lvl w:ilvl="0">
      <w:lvlJc w:val="left"/>
      <w:lvlText w:val="%1"/>
      <w:numFmt w:val="lowerRoman"/>
      <w:start w:val="1"/>
    </w:lvl>
    <w:lvl w:ilvl="1">
      <w:lvlJc w:val="left"/>
      <w:lvlText w:val="%2"/>
      <w:numFmt w:val="decimal"/>
      <w:start w:val="1"/>
    </w:lvl>
    <w:lvl w:ilvl="2">
      <w:lvlJc w:val="left"/>
      <w:lvlText w:val="%3."/>
      <w:numFmt w:val="decimal"/>
      <w:start w:val="14"/>
    </w:lvl>
  </w:abstractNum>
  <w:abstractNum w:abstractNumId="194">
    <w:nsid w:val="232FCF4D"/>
    <w:multiLevelType w:val="hybridMultilevel"/>
    <w:lvl w:ilvl="0">
      <w:lvlJc w:val="left"/>
      <w:lvlText w:val="%1"/>
      <w:numFmt w:val="lowerRoman"/>
      <w:start w:val="1"/>
    </w:lvl>
    <w:lvl w:ilvl="1">
      <w:lvlJc w:val="left"/>
      <w:lvlText w:val="%2."/>
      <w:numFmt w:val="decimal"/>
      <w:start w:val="16"/>
    </w:lvl>
    <w:lvl w:ilvl="2">
      <w:lvlJc w:val="left"/>
      <w:lvlText w:val="%3"/>
      <w:numFmt w:val="decimal"/>
      <w:start w:val="1"/>
    </w:lvl>
  </w:abstractNum>
  <w:abstractNum w:abstractNumId="195">
    <w:nsid w:val="1EA21031"/>
    <w:multiLevelType w:val="hybridMultilevel"/>
    <w:lvl w:ilvl="0">
      <w:lvlJc w:val="left"/>
      <w:lvlText w:val="(%1)"/>
      <w:numFmt w:val="lowerRoman"/>
      <w:start w:val="3"/>
    </w:lvl>
    <w:lvl w:ilvl="1">
      <w:lvlJc w:val="left"/>
      <w:lvlText w:val="%2."/>
      <w:numFmt w:val="decimal"/>
      <w:start w:val="17"/>
    </w:lvl>
    <w:lvl w:ilvl="2">
      <w:lvlJc w:val="left"/>
      <w:lvlText w:val="%3"/>
      <w:numFmt w:val="decimal"/>
      <w:start w:val="1"/>
    </w:lvl>
  </w:abstractNum>
  <w:abstractNum w:abstractNumId="196">
    <w:nsid w:val="67A5A6B5"/>
    <w:multiLevelType w:val="hybridMultilevel"/>
    <w:lvl w:ilvl="0">
      <w:lvlJc w:val="left"/>
      <w:lvlText w:val="%1."/>
      <w:numFmt w:val="decimal"/>
      <w:start w:val="18"/>
    </w:lvl>
    <w:lvl w:ilvl="1">
      <w:lvlJc w:val="left"/>
      <w:lvlText w:val="(%2)"/>
      <w:numFmt w:val="lowerLetter"/>
      <w:start w:val="1"/>
    </w:lvl>
  </w:abstractNum>
  <w:abstractNum w:abstractNumId="197">
    <w:nsid w:val="C2A5C5B"/>
    <w:multiLevelType w:val="hybridMultilevel"/>
    <w:lvl w:ilvl="0">
      <w:lvlJc w:val="left"/>
      <w:lvlText w:val="(%1)"/>
      <w:numFmt w:val="lowerRoman"/>
      <w:start w:val="1"/>
    </w:lvl>
  </w:abstractNum>
  <w:abstractNum w:abstractNumId="198">
    <w:nsid w:val="5F94DC03"/>
    <w:multiLevelType w:val="hybridMultilevel"/>
    <w:lvl w:ilvl="0">
      <w:lvlJc w:val="left"/>
      <w:lvlText w:val="(%1)"/>
      <w:numFmt w:val="lowerLetter"/>
      <w:start w:val="1"/>
    </w:lvl>
  </w:abstractNum>
  <w:abstractNum w:abstractNumId="199">
    <w:nsid w:val="237BBCA0"/>
    <w:multiLevelType w:val="hybridMultilevel"/>
    <w:lvl w:ilvl="0">
      <w:lvlJc w:val="left"/>
      <w:lvlText w:val="%1"/>
      <w:numFmt w:val="lowerRoman"/>
      <w:start w:val="1"/>
    </w:lvl>
  </w:abstractNum>
  <w:abstractNum w:abstractNumId="200">
    <w:nsid w:val="162EB70D"/>
    <w:multiLevelType w:val="hybridMultilevel"/>
    <w:lvl w:ilvl="0">
      <w:lvlJc w:val="left"/>
      <w:lvlText w:val="%1"/>
      <w:numFmt w:val="lowerRoman"/>
      <w:start w:val="2"/>
    </w:lvl>
  </w:abstractNum>
  <w:abstractNum w:abstractNumId="201">
    <w:nsid w:val="78070222"/>
    <w:multiLevelType w:val="hybridMultilevel"/>
    <w:lvl w:ilvl="0">
      <w:lvlJc w:val="left"/>
      <w:lvlText w:val="v"/>
      <w:numFmt w:val="bullet"/>
      <w:start w:val="1"/>
    </w:lvl>
  </w:abstractNum>
  <w:abstractNum w:abstractNumId="202">
    <w:nsid w:val="6163ED0D"/>
    <w:multiLevelType w:val="hybridMultilevel"/>
    <w:lvl w:ilvl="0">
      <w:lvlJc w:val="left"/>
      <w:lvlText w:val="%1"/>
      <w:numFmt w:val="lowerRoman"/>
      <w:start w:val="6"/>
    </w:lvl>
  </w:abstractNum>
  <w:abstractNum w:abstractNumId="203">
    <w:nsid w:val="C600E47"/>
    <w:multiLevelType w:val="hybridMultilevel"/>
    <w:lvl w:ilvl="0">
      <w:lvlJc w:val="left"/>
      <w:lvlText w:val="x"/>
      <w:numFmt w:val="bullet"/>
      <w:start w:val="1"/>
    </w:lvl>
  </w:abstractNum>
  <w:abstractNum w:abstractNumId="204">
    <w:nsid w:val="7D94F75D"/>
    <w:multiLevelType w:val="hybridMultilevel"/>
    <w:lvl w:ilvl="0">
      <w:lvlJc w:val="left"/>
      <w:lvlText w:val="%1"/>
      <w:numFmt w:val="lowerRoman"/>
      <w:start w:val="11"/>
    </w:lvl>
    <w:lvl w:ilvl="1">
      <w:lvlJc w:val="left"/>
      <w:lvlText w:val="(%2)"/>
      <w:numFmt w:val="lowerLetter"/>
      <w:start w:val="2"/>
    </w:lvl>
  </w:abstractNum>
  <w:abstractNum w:abstractNumId="205">
    <w:nsid w:val="6C31E7CD"/>
    <w:multiLevelType w:val="hybridMultilevel"/>
    <w:lvl w:ilvl="0">
      <w:lvlJc w:val="left"/>
      <w:lvlText w:val="(%1)"/>
      <w:numFmt w:val="lowerLetter"/>
      <w:start w:val="3"/>
    </w:lvl>
  </w:abstractNum>
  <w:abstractNum w:abstractNumId="206">
    <w:nsid w:val="2BB7929B"/>
    <w:multiLevelType w:val="hybridMultilevel"/>
    <w:lvl w:ilvl="0">
      <w:lvlJc w:val="left"/>
      <w:lvlText w:val="%1."/>
      <w:numFmt w:val="decimal"/>
      <w:start w:val="1"/>
    </w:lvl>
  </w:abstractNum>
  <w:abstractNum w:abstractNumId="207">
    <w:nsid w:val="58A2A487"/>
    <w:multiLevelType w:val="hybridMultilevel"/>
    <w:lvl w:ilvl="0">
      <w:lvlJc w:val="left"/>
      <w:lvlText w:val="%1."/>
      <w:numFmt w:val="upperLetter"/>
      <w:start w:val="1"/>
    </w:lvl>
    <w:lvl w:ilvl="1">
      <w:lvlJc w:val="left"/>
      <w:lvlText w:val="%2."/>
      <w:numFmt w:val="decimal"/>
      <w:start w:val="1"/>
    </w:lvl>
  </w:abstractNum>
  <w:abstractNum w:abstractNumId="208">
    <w:nsid w:val="3A6F0E78"/>
    <w:multiLevelType w:val="hybridMultilevel"/>
    <w:lvl w:ilvl="0">
      <w:lvlJc w:val="left"/>
      <w:lvlText w:val="%1."/>
      <w:numFmt w:val="decimal"/>
      <w:start w:val="1"/>
    </w:lvl>
  </w:abstractNum>
  <w:abstractNum w:abstractNumId="209">
    <w:nsid w:val="379A5B56"/>
    <w:multiLevelType w:val="hybridMultilevel"/>
    <w:lvl w:ilvl="0">
      <w:lvlJc w:val="left"/>
      <w:lvlText w:val="(%1)"/>
      <w:numFmt w:val="lowerLetter"/>
      <w:start w:val="1"/>
    </w:lvl>
  </w:abstractNum>
  <w:abstractNum w:abstractNumId="210">
    <w:nsid w:val="53B735D5"/>
    <w:multiLevelType w:val="hybridMultilevel"/>
    <w:lvl w:ilvl="0">
      <w:lvlJc w:val="left"/>
      <w:lvlText w:val="%1."/>
      <w:numFmt w:val="decimal"/>
      <w:start w:val="3"/>
    </w:lvl>
  </w:abstractNum>
  <w:abstractNum w:abstractNumId="211">
    <w:nsid w:val="29784870"/>
    <w:multiLevelType w:val="hybridMultilevel"/>
    <w:lvl w:ilvl="0">
      <w:lvlJc w:val="left"/>
      <w:lvlText w:val="(%1)"/>
      <w:numFmt w:val="lowerLetter"/>
      <w:start w:val="1"/>
    </w:lvl>
    <w:lvl w:ilvl="1">
      <w:lvlJc w:val="left"/>
      <w:lvlText w:val="(%2)"/>
      <w:numFmt w:val="lowerRoman"/>
      <w:start w:val="1"/>
    </w:lvl>
  </w:abstractNum>
  <w:abstractNum w:abstractNumId="212">
    <w:nsid w:val="4CDCED4C"/>
    <w:multiLevelType w:val="hybridMultilevel"/>
    <w:lvl w:ilvl="0">
      <w:lvlJc w:val="left"/>
      <w:lvlText w:val="(%1)"/>
      <w:numFmt w:val="lowerLetter"/>
      <w:start w:val="2"/>
    </w:lvl>
  </w:abstractNum>
  <w:abstractNum w:abstractNumId="213">
    <w:nsid w:val="10A30D9C"/>
    <w:multiLevelType w:val="hybridMultilevel"/>
    <w:lvl w:ilvl="0">
      <w:lvlJc w:val="left"/>
      <w:lvlText w:val="(%1)"/>
      <w:numFmt w:val="lowerLetter"/>
      <w:start w:val="1"/>
    </w:lvl>
  </w:abstractNum>
  <w:abstractNum w:abstractNumId="214">
    <w:nsid w:val="A66E486"/>
    <w:multiLevelType w:val="hybridMultilevel"/>
    <w:lvl w:ilvl="0">
      <w:lvlJc w:val="left"/>
      <w:lvlText w:val="%1."/>
      <w:numFmt w:val="decimal"/>
      <w:start w:val="4"/>
    </w:lvl>
  </w:abstractNum>
  <w:abstractNum w:abstractNumId="215">
    <w:nsid w:val="306235EA"/>
    <w:multiLevelType w:val="hybridMultilevel"/>
    <w:lvl w:ilvl="0">
      <w:lvlJc w:val="left"/>
      <w:lvlText w:val="(%1)"/>
      <w:numFmt w:val="lowerLetter"/>
      <w:start w:val="1"/>
    </w:lvl>
  </w:abstractNum>
  <w:abstractNum w:abstractNumId="216">
    <w:nsid w:val="1187C70F"/>
    <w:multiLevelType w:val="hybridMultilevel"/>
    <w:lvl w:ilvl="0">
      <w:lvlJc w:val="left"/>
      <w:lvlText w:val="(%1)"/>
      <w:numFmt w:val="lowerLetter"/>
      <w:start w:val="35"/>
    </w:lvl>
    <w:lvl w:ilvl="1">
      <w:lvlJc w:val="left"/>
      <w:lvlText w:val="(%2)"/>
      <w:numFmt w:val="lowerLetter"/>
      <w:start w:val="5"/>
    </w:lvl>
  </w:abstractNum>
  <w:abstractNum w:abstractNumId="217">
    <w:nsid w:val="5476DE98"/>
    <w:multiLevelType w:val="hybridMultilevel"/>
    <w:lvl w:ilvl="0">
      <w:lvlJc w:val="left"/>
      <w:lvlText w:val="%1."/>
      <w:numFmt w:val="decimal"/>
      <w:start w:val="5"/>
    </w:lvl>
  </w:abstractNum>
  <w:abstractNum w:abstractNumId="218">
    <w:nsid w:val="EA697F2"/>
    <w:multiLevelType w:val="hybridMultilevel"/>
    <w:lvl w:ilvl="0">
      <w:lvlJc w:val="left"/>
      <w:lvlText w:val="(%1)"/>
      <w:numFmt w:val="lowerRoman"/>
      <w:start w:val="2"/>
    </w:lvl>
  </w:abstractNum>
  <w:abstractNum w:abstractNumId="219">
    <w:nsid w:val="70BA39EB"/>
    <w:multiLevelType w:val="hybridMultilevel"/>
    <w:lvl w:ilvl="0">
      <w:lvlJc w:val="left"/>
      <w:lvlText w:val="(%1)"/>
      <w:numFmt w:val="lowerLetter"/>
      <w:start w:val="1"/>
    </w:lvl>
  </w:abstractNum>
  <w:abstractNum w:abstractNumId="220">
    <w:nsid w:val="4A8DB59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4"/>
    </w:lvl>
  </w:abstractNum>
  <w:abstractNum w:abstractNumId="221">
    <w:nsid w:val="1AFD9053"/>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222">
    <w:nsid w:val="558BB10D"/>
    <w:multiLevelType w:val="hybridMultilevel"/>
    <w:lvl w:ilvl="0">
      <w:lvlJc w:val="left"/>
      <w:lvlText w:val="(%1)"/>
      <w:numFmt w:val="lowerLetter"/>
      <w:start w:val="1"/>
    </w:lvl>
  </w:abstractNum>
  <w:abstractNum w:abstractNumId="223">
    <w:nsid w:val="43B27FA7"/>
    <w:multiLevelType w:val="hybridMultilevel"/>
    <w:lvl w:ilvl="0">
      <w:lvlJc w:val="left"/>
      <w:lvlText w:val="(%1)"/>
      <w:numFmt w:val="lowerLetter"/>
      <w:start w:val="2"/>
    </w:lvl>
  </w:abstractNum>
  <w:abstractNum w:abstractNumId="224">
    <w:nsid w:val="27FADEFA"/>
    <w:multiLevelType w:val="hybridMultilevel"/>
    <w:lvl w:ilvl="0">
      <w:lvlJc w:val="left"/>
      <w:lvlText w:val="(%1)"/>
      <w:numFmt w:val="lowerLetter"/>
      <w:start w:val="4"/>
    </w:lvl>
  </w:abstractNum>
  <w:abstractNum w:abstractNumId="225">
    <w:nsid w:val="78BB805A"/>
    <w:multiLevelType w:val="hybridMultilevel"/>
    <w:lvl w:ilvl="0">
      <w:lvlJc w:val="left"/>
      <w:lvlText w:val="(%1)"/>
      <w:numFmt w:val="lowerLetter"/>
      <w:start w:val="1"/>
    </w:lvl>
  </w:abstractNum>
  <w:abstractNum w:abstractNumId="226">
    <w:nsid w:val="62548FD8"/>
    <w:multiLevelType w:val="hybridMultilevel"/>
    <w:lvl w:ilvl="0">
      <w:lvlJc w:val="left"/>
      <w:lvlText w:val="(%1)"/>
      <w:numFmt w:val="lowerLetter"/>
      <w:start w:val="2"/>
    </w:lvl>
  </w:abstractNum>
  <w:abstractNum w:abstractNumId="227">
    <w:nsid w:val="FA085B0"/>
    <w:multiLevelType w:val="hybridMultilevel"/>
    <w:lvl w:ilvl="0">
      <w:lvlJc w:val="left"/>
      <w:lvlText w:val="%1"/>
      <w:numFmt w:val="lowerRoman"/>
      <w:start w:val="1"/>
    </w:lvl>
    <w:lvl w:ilvl="1">
      <w:lvlJc w:val="left"/>
      <w:lvlText w:val="(%2)"/>
      <w:numFmt w:val="lowerLetter"/>
      <w:start w:val="1"/>
    </w:lvl>
  </w:abstractNum>
  <w:abstractNum w:abstractNumId="228">
    <w:nsid w:val="4E5DCB5"/>
    <w:multiLevelType w:val="hybridMultilevel"/>
    <w:lvl w:ilvl="0">
      <w:lvlJc w:val="left"/>
      <w:lvlText w:val="(%1)"/>
      <w:numFmt w:val="lowerRoman"/>
      <w:start w:val="1"/>
    </w:lvl>
    <w:lvl w:ilvl="1">
      <w:lvlJc w:val="left"/>
      <w:lvlText w:val="(%2)"/>
      <w:numFmt w:val="lowerLetter"/>
      <w:start w:val="2"/>
    </w:lvl>
  </w:abstractNum>
  <w:abstractNum w:abstractNumId="229">
    <w:nsid w:val="41E96BDB"/>
    <w:multiLevelType w:val="hybridMultilevel"/>
    <w:lvl w:ilvl="0">
      <w:lvlJc w:val="left"/>
      <w:lvlText w:val="(%1)"/>
      <w:numFmt w:val="lowerRoman"/>
      <w:start w:val="1"/>
    </w:lvl>
  </w:abstractNum>
  <w:abstractNum w:abstractNumId="230">
    <w:nsid w:val="331C4250"/>
    <w:multiLevelType w:val="hybridMultilevel"/>
    <w:lvl w:ilvl="0">
      <w:lvlJc w:val="left"/>
      <w:lvlText w:val="(%1)"/>
      <w:numFmt w:val="lowerRoman"/>
      <w:start w:val="2"/>
    </w:lvl>
  </w:abstractNum>
  <w:abstractNum w:abstractNumId="231">
    <w:nsid w:val="1B1493C2"/>
    <w:multiLevelType w:val="hybridMultilevel"/>
    <w:lvl w:ilvl="0">
      <w:lvlJc w:val="left"/>
      <w:lvlText w:val="(%1)"/>
      <w:numFmt w:val="decimal"/>
      <w:start w:val="1"/>
    </w:lvl>
  </w:abstractNum>
  <w:abstractNum w:abstractNumId="232">
    <w:nsid w:val="39F06DFD"/>
    <w:multiLevelType w:val="hybridMultilevel"/>
    <w:lvl w:ilvl="0">
      <w:lvlJc w:val="left"/>
      <w:lvlText w:val="(%1)"/>
      <w:numFmt w:val="lowerLetter"/>
      <w:start w:val="1"/>
    </w:lvl>
  </w:abstractNum>
  <w:abstractNum w:abstractNumId="233">
    <w:nsid w:val="14802F5D"/>
    <w:multiLevelType w:val="hybridMultilevel"/>
    <w:lvl w:ilvl="0">
      <w:lvlJc w:val="left"/>
      <w:lvlText w:val="%1."/>
      <w:numFmt w:val="decimal"/>
      <w:start w:val="6"/>
    </w:lvl>
  </w:abstractNum>
  <w:abstractNum w:abstractNumId="234">
    <w:nsid w:val="2774A209"/>
    <w:multiLevelType w:val="hybridMultilevel"/>
    <w:lvl w:ilvl="0">
      <w:lvlJc w:val="left"/>
      <w:lvlText w:val="%1."/>
      <w:numFmt w:val="decimal"/>
      <w:start w:val="8"/>
    </w:lvl>
  </w:abstractNum>
  <w:abstractNum w:abstractNumId="235">
    <w:nsid w:val="3785655A"/>
    <w:multiLevelType w:val="hybridMultilevel"/>
    <w:lvl w:ilvl="0">
      <w:lvlJc w:val="left"/>
      <w:lvlText w:val="%1."/>
      <w:numFmt w:val="decimal"/>
      <w:start w:val="1"/>
    </w:lvl>
  </w:abstractNum>
  <w:abstractNum w:abstractNumId="236">
    <w:nsid w:val="B2172A"/>
    <w:multiLevelType w:val="hybridMultilevel"/>
    <w:lvl w:ilvl="0">
      <w:lvlJc w:val="left"/>
      <w:lvlText w:val="%1"/>
      <w:numFmt w:val="lowerLetter"/>
      <w:start w:val="1"/>
    </w:lvl>
    <w:lvl w:ilvl="1">
      <w:lvlJc w:val="left"/>
      <w:lvlText w:val="%2."/>
      <w:numFmt w:val="decimal"/>
      <w:start w:val="3"/>
    </w:lvl>
  </w:abstractNum>
  <w:abstractNum w:abstractNumId="237">
    <w:nsid w:val="532C34A5"/>
    <w:multiLevelType w:val="hybridMultilevel"/>
    <w:lvl w:ilvl="0">
      <w:lvlJc w:val="left"/>
      <w:lvlText w:val="(%1)"/>
      <w:numFmt w:val="lowerLetter"/>
      <w:start w:val="1"/>
    </w:lvl>
    <w:lvl w:ilvl="1">
      <w:lvlJc w:val="left"/>
      <w:lvlText w:val="%2"/>
      <w:numFmt w:val="decimal"/>
      <w:start w:val="1"/>
    </w:lvl>
  </w:abstractNum>
  <w:abstractNum w:abstractNumId="238">
    <w:nsid w:val="102809E2"/>
    <w:multiLevelType w:val="hybridMultilevel"/>
    <w:lvl w:ilvl="0">
      <w:lvlJc w:val="left"/>
      <w:lvlText w:val="%1."/>
      <w:numFmt w:val="decimal"/>
      <w:start w:val="9"/>
    </w:lvl>
  </w:abstractNum>
  <w:abstractNum w:abstractNumId="239">
    <w:nsid w:val="3B2125A3"/>
    <w:multiLevelType w:val="hybridMultilevel"/>
    <w:lvl w:ilvl="0">
      <w:lvlJc w:val="left"/>
      <w:lvlText w:val="%1."/>
      <w:numFmt w:val="decimal"/>
      <w:start w:val="1"/>
    </w:lvl>
  </w:abstractNum>
  <w:abstractNum w:abstractNumId="240">
    <w:nsid w:val="AC68FFB"/>
    <w:multiLevelType w:val="hybridMultilevel"/>
    <w:lvl w:ilvl="0">
      <w:lvlJc w:val="left"/>
      <w:lvlText w:val="%1."/>
      <w:numFmt w:val="decimal"/>
      <w:start w:val="3"/>
    </w:lvl>
    <w:lvl w:ilvl="1">
      <w:lvlJc w:val="left"/>
      <w:lvlText w:val="*"/>
      <w:numFmt w:val="bullet"/>
      <w:start w:val="1"/>
    </w:lvl>
  </w:abstractNum>
  <w:abstractNum w:abstractNumId="241">
    <w:nsid w:val="63DF3FB7"/>
    <w:multiLevelType w:val="hybridMultilevel"/>
    <w:lvl w:ilvl="0">
      <w:lvlJc w:val="left"/>
      <w:lvlText w:val="%1."/>
      <w:numFmt w:val="decimal"/>
      <w:start w:val="1"/>
    </w:lvl>
  </w:abstractNum>
  <w:abstractNum w:abstractNumId="242">
    <w:nsid w:val="64996E13"/>
    <w:multiLevelType w:val="hybridMultilevel"/>
    <w:lvl w:ilvl="0">
      <w:lvlJc w:val="left"/>
      <w:lvlText w:val="%1."/>
      <w:numFmt w:val="decimal"/>
      <w:start w:val="3"/>
    </w:lvl>
  </w:abstractNum>
  <w:abstractNum w:abstractNumId="243">
    <w:nsid w:val="57A37D47"/>
    <w:multiLevelType w:val="hybridMultilevel"/>
    <w:lvl w:ilvl="0">
      <w:lvlJc w:val="left"/>
      <w:lvlText w:val="%1."/>
      <w:numFmt w:val="decimal"/>
      <w:start w:val="4"/>
    </w:lvl>
  </w:abstractNum>
  <w:abstractNum w:abstractNumId="244">
    <w:nsid w:val="74824D54"/>
    <w:multiLevelType w:val="hybridMultilevel"/>
    <w:lvl w:ilvl="0">
      <w:lvlJc w:val="left"/>
      <w:lvlText w:val="%1."/>
      <w:numFmt w:val="decimal"/>
      <w:start w:val="5"/>
    </w:lvl>
    <w:lvl w:ilvl="1">
      <w:lvlJc w:val="left"/>
      <w:lvlText w:val="*"/>
      <w:numFmt w:val="bullet"/>
      <w:start w:val="1"/>
    </w:lvl>
  </w:abstractNum>
  <w:abstractNum w:abstractNumId="245">
    <w:nsid w:val="6F00529A"/>
    <w:multiLevelType w:val="hybridMultilevel"/>
    <w:lvl w:ilvl="0">
      <w:lvlJc w:val="left"/>
      <w:lvlText w:val="%1."/>
      <w:numFmt w:val="decimal"/>
      <w:start w:val="1"/>
    </w:lvl>
  </w:abstractNum>
  <w:abstractNum w:abstractNumId="246">
    <w:nsid w:val="805B331"/>
    <w:multiLevelType w:val="hybridMultilevel"/>
    <w:lvl w:ilvl="0">
      <w:lvlJc w:val="left"/>
      <w:lvlText w:val="%1."/>
      <w:numFmt w:val="decimal"/>
      <w:start w:val="3"/>
    </w:lvl>
  </w:abstractNum>
  <w:abstractNum w:abstractNumId="247">
    <w:nsid w:val="60A1463"/>
    <w:multiLevelType w:val="hybridMultilevel"/>
    <w:lvl w:ilvl="0">
      <w:lvlJc w:val="left"/>
      <w:lvlText w:val="%1."/>
      <w:numFmt w:val="decimal"/>
      <w:start w:val="4"/>
    </w:lvl>
  </w:abstractNum>
  <w:abstractNum w:abstractNumId="248">
    <w:nsid w:val="43773132"/>
    <w:multiLevelType w:val="hybridMultilevel"/>
    <w:lvl w:ilvl="0">
      <w:lvlJc w:val="left"/>
      <w:lvlText w:val="%1."/>
      <w:numFmt w:val="decimal"/>
      <w:start w:val="5"/>
    </w:lvl>
    <w:lvl w:ilvl="1">
      <w:lvlJc w:val="left"/>
      <w:lvlText w:val="*"/>
      <w:numFmt w:val="bullet"/>
      <w:start w:val="1"/>
    </w:lvl>
  </w:abstractNum>
  <w:abstractNum w:abstractNumId="249">
    <w:nsid w:val="16AC4B23"/>
    <w:multiLevelType w:val="hybridMultilevel"/>
    <w:lvl w:ilvl="0">
      <w:lvlJc w:val="left"/>
      <w:lvlText w:val="%1."/>
      <w:numFmt w:val="upperLetter"/>
      <w:start w:val="1"/>
    </w:lvl>
  </w:abstractNum>
  <w:abstractNum w:abstractNumId="250">
    <w:nsid w:val="76C44E4E"/>
    <w:multiLevelType w:val="hybridMultilevel"/>
    <w:lvl w:ilvl="0">
      <w:lvlJc w:val="left"/>
      <w:lvlText w:val="%1."/>
      <w:numFmt w:val="upperLetter"/>
      <w:start w:val="1"/>
    </w:lvl>
  </w:abstractNum>
  <w:abstractNum w:abstractNumId="251">
    <w:nsid w:val="E04E6CE"/>
    <w:multiLevelType w:val="hybridMultilevel"/>
    <w:lvl w:ilvl="0">
      <w:lvlJc w:val="left"/>
      <w:lvlText w:val="%1"/>
      <w:numFmt w:val="decimal"/>
      <w:start w:val="1"/>
    </w:lvl>
    <w:lvl w:ilvl="1">
      <w:lvlJc w:val="left"/>
      <w:lvlText w:val="%2."/>
      <w:numFmt w:val="upperLetter"/>
      <w:start w:val="4"/>
    </w:lvl>
    <w:lvl w:ilvl="2">
      <w:lvlJc w:val="left"/>
      <w:lvlText w:val="%3"/>
      <w:numFmt w:val="lowerLetter"/>
      <w:start w:val="1"/>
    </w:lvl>
  </w:abstractNum>
  <w:abstractNum w:abstractNumId="252">
    <w:nsid w:val="31A9DB76"/>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253">
    <w:nsid w:val="4C4FFF5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54">
    <w:nsid w:val="51B7667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255">
    <w:nsid w:val="59A4BA7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56">
    <w:nsid w:val="450B7FB6"/>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57">
    <w:nsid w:val="340BF64D"/>
    <w:multiLevelType w:val="hybridMultilevel"/>
    <w:lvl w:ilvl="0">
      <w:lvlJc w:val="left"/>
      <w:lvlText w:val="%1"/>
      <w:numFmt w:val="upperLetter"/>
      <w:start w:val="1"/>
    </w:lvl>
    <w:lvl w:ilvl="1">
      <w:lvlJc w:val="left"/>
      <w:lvlText w:val="(%2)"/>
      <w:numFmt w:val="lowerLetter"/>
      <w:start w:val="5"/>
    </w:lvl>
  </w:abstractNum>
  <w:abstractNum w:abstractNumId="258">
    <w:nsid w:val="69454021"/>
    <w:multiLevelType w:val="hybridMultilevel"/>
    <w:lvl w:ilvl="0">
      <w:lvlJc w:val="left"/>
      <w:lvlText w:val="%1."/>
      <w:numFmt w:val="upperLetter"/>
      <w:start w:val="5"/>
    </w:lvl>
    <w:lvl w:ilvl="1">
      <w:lvlJc w:val="left"/>
      <w:lvlText w:val="%2"/>
      <w:numFmt w:val="lowerLetter"/>
      <w:start w:val="1"/>
    </w:lvl>
  </w:abstractNum>
  <w:abstractNum w:abstractNumId="259">
    <w:nsid w:val="49F15C6B"/>
    <w:multiLevelType w:val="hybridMultilevel"/>
    <w:lvl w:ilvl="0">
      <w:lvlJc w:val="left"/>
      <w:lvlText w:val="%1."/>
      <w:numFmt w:val="upperLetter"/>
      <w:start w:val="1"/>
    </w:lvl>
  </w:abstractNum>
  <w:abstractNum w:abstractNumId="260">
    <w:nsid w:val="75F56228"/>
    <w:multiLevelType w:val="hybridMultilevel"/>
    <w:lvl w:ilvl="0">
      <w:lvlJc w:val="left"/>
      <w:lvlText w:val="%1."/>
      <w:numFmt w:val="upperLetter"/>
      <w:start w:val="4"/>
    </w:lvl>
  </w:abstractNum>
  <w:abstractNum w:abstractNumId="261">
    <w:nsid w:val="1C618271"/>
    <w:multiLevelType w:val="hybridMultilevel"/>
    <w:lvl w:ilvl="0">
      <w:lvlJc w:val="left"/>
      <w:lvlText w:val="%1."/>
      <w:numFmt w:val="upperLetter"/>
      <w:start w:val="1"/>
    </w:lvl>
  </w:abstractNum>
  <w:abstractNum w:abstractNumId="262">
    <w:nsid w:val="6505F02E"/>
    <w:multiLevelType w:val="hybridMultilevel"/>
    <w:lvl w:ilvl="0">
      <w:lvlJc w:val="left"/>
      <w:lvlText w:val="%1."/>
      <w:numFmt w:val="upperLetter"/>
      <w:start w:val="3"/>
    </w:lvl>
  </w:abstractNum>
  <w:abstractNum w:abstractNumId="263">
    <w:nsid w:val="2FE5D025"/>
    <w:multiLevelType w:val="hybridMultilevel"/>
    <w:lvl w:ilvl="0">
      <w:lvlJc w:val="left"/>
      <w:lvlText w:val="%1."/>
      <w:numFmt w:val="decimal"/>
      <w:start w:val="1"/>
    </w:lvl>
  </w:abstractNum>
  <w:abstractNum w:abstractNumId="264">
    <w:nsid w:val="30E1B1CF"/>
    <w:multiLevelType w:val="hybridMultilevel"/>
    <w:lvl w:ilvl="0">
      <w:lvlJc w:val="left"/>
      <w:lvlText w:val="(%1)"/>
      <w:numFmt w:val="lowerRoman"/>
      <w:start w:val="1"/>
    </w:lvl>
  </w:abstractNum>
  <w:abstractNum w:abstractNumId="265">
    <w:nsid w:val="C7A9237"/>
    <w:multiLevelType w:val="hybridMultilevel"/>
    <w:lvl w:ilvl="0">
      <w:lvlJc w:val="left"/>
      <w:lvlText w:val="%1."/>
      <w:numFmt w:val="decimal"/>
      <w:start w:val="4"/>
    </w:lvl>
  </w:abstractNum>
  <w:abstractNum w:abstractNumId="266">
    <w:nsid w:val="676B3580"/>
    <w:multiLevelType w:val="hybridMultilevel"/>
    <w:lvl w:ilvl="0">
      <w:lvlJc w:val="left"/>
      <w:lvlText w:val="(%1)"/>
      <w:numFmt w:val="decimal"/>
      <w:start w:val="1"/>
    </w:lvl>
  </w:abstractNum>
  <w:abstractNum w:abstractNumId="267">
    <w:nsid w:val="3193C8F9"/>
    <w:multiLevelType w:val="hybridMultilevel"/>
    <w:lvl w:ilvl="0">
      <w:lvlJc w:val="left"/>
      <w:lvlText w:val="%1."/>
      <w:numFmt w:val="decimal"/>
      <w:start w:val="5"/>
    </w:lvl>
  </w:abstractNum>
  <w:abstractNum w:abstractNumId="268">
    <w:nsid w:val="5FA6C6DC"/>
    <w:multiLevelType w:val="hybridMultilevel"/>
    <w:lvl w:ilvl="0">
      <w:lvlJc w:val="left"/>
      <w:lvlText w:val="%1."/>
      <w:numFmt w:val="decimal"/>
      <w:start w:val="6"/>
    </w:lvl>
  </w:abstractNum>
  <w:abstractNum w:abstractNumId="269">
    <w:nsid w:val="77933F62"/>
    <w:multiLevelType w:val="hybridMultilevel"/>
    <w:lvl w:ilvl="0">
      <w:lvlJc w:val="left"/>
      <w:lvlText w:val="%1."/>
      <w:numFmt w:val="decimal"/>
      <w:start w:val="7"/>
    </w:lvl>
  </w:abstractNum>
  <w:abstractNum w:abstractNumId="270">
    <w:nsid w:val="6CB4EE9C"/>
    <w:multiLevelType w:val="hybridMultilevel"/>
    <w:lvl w:ilvl="0">
      <w:lvlJc w:val="left"/>
      <w:lvlText w:val="(%1)"/>
      <w:numFmt w:val="lowerLetter"/>
      <w:start w:val="1"/>
    </w:lvl>
  </w:abstractNum>
  <w:abstractNum w:abstractNumId="271">
    <w:nsid w:val="6A6D56D7"/>
    <w:multiLevelType w:val="hybridMultilevel"/>
    <w:lvl w:ilvl="0">
      <w:lvlJc w:val="left"/>
      <w:lvlText w:val="%1."/>
      <w:numFmt w:val="decimal"/>
      <w:start w:val="10"/>
    </w:lvl>
  </w:abstractNum>
  <w:abstractNum w:abstractNumId="272">
    <w:nsid w:val="5B727F19"/>
    <w:multiLevelType w:val="hybridMultilevel"/>
    <w:lvl w:ilvl="0">
      <w:lvlJc w:val="left"/>
      <w:lvlText w:val="(%1)"/>
      <w:numFmt w:val="lowerLetter"/>
      <w:start w:val="1"/>
    </w:lvl>
  </w:abstractNum>
  <w:abstractNum w:abstractNumId="273">
    <w:nsid w:val="514E5CB0"/>
    <w:multiLevelType w:val="hybridMultilevel"/>
    <w:lvl w:ilvl="0">
      <w:lvlJc w:val="left"/>
      <w:lvlText w:val="(%1)"/>
      <w:numFmt w:val="lowerRoman"/>
      <w:start w:val="1"/>
    </w:lvl>
  </w:abstractNum>
  <w:abstractNum w:abstractNumId="274">
    <w:nsid w:val="4210D41E"/>
    <w:multiLevelType w:val="hybridMultilevel"/>
    <w:lvl w:ilvl="0">
      <w:lvlJc w:val="left"/>
      <w:lvlText w:val="(%1)"/>
      <w:numFmt w:val="decimal"/>
      <w:start w:val="1"/>
    </w:lvl>
  </w:abstractNum>
  <w:abstractNum w:abstractNumId="275">
    <w:nsid w:val="4FF4CC6D"/>
    <w:multiLevelType w:val="hybridMultilevel"/>
    <w:lvl w:ilvl="0">
      <w:lvlJc w:val="left"/>
      <w:lvlText w:val="(%1)"/>
      <w:numFmt w:val="lowerLetter"/>
      <w:start w:val="1"/>
    </w:lvl>
  </w:abstractNum>
  <w:abstractNum w:abstractNumId="276">
    <w:nsid w:val="404EAF4A"/>
    <w:multiLevelType w:val="hybridMultilevel"/>
    <w:lvl w:ilvl="0">
      <w:lvlJc w:val="left"/>
      <w:lvlText w:val="(%1)"/>
      <w:numFmt w:val="lowerRoman"/>
      <w:start w:val="2"/>
    </w:lvl>
  </w:abstractNum>
  <w:abstractNum w:abstractNumId="277">
    <w:nsid w:val="4A16874F"/>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78">
    <w:nsid w:val="55FEE0D1"/>
    <w:multiLevelType w:val="hybridMultilevel"/>
    <w:lvl w:ilvl="0">
      <w:lvlJc w:val="left"/>
      <w:lvlText w:val="%1"/>
      <w:numFmt w:val="lowerLetter"/>
      <w:start w:val="1"/>
    </w:lvl>
    <w:lvl w:ilvl="1">
      <w:lvlJc w:val="left"/>
      <w:lvlText w:val="(%2)"/>
      <w:numFmt w:val="decimal"/>
      <w:start w:val="2"/>
    </w:lvl>
  </w:abstractNum>
  <w:abstractNum w:abstractNumId="279">
    <w:nsid w:val="3C5E07C"/>
    <w:multiLevelType w:val="hybridMultilevel"/>
    <w:lvl w:ilvl="0">
      <w:lvlJc w:val="left"/>
      <w:lvlText w:val="(%1)"/>
      <w:numFmt w:val="lowerLetter"/>
      <w:start w:val="2"/>
    </w:lvl>
    <w:lvl w:ilvl="1">
      <w:lvlJc w:val="left"/>
      <w:lvlText w:val="%2"/>
      <w:numFmt w:val="decimal"/>
      <w:start w:val="1"/>
    </w:lvl>
  </w:abstractNum>
  <w:abstractNum w:abstractNumId="280">
    <w:nsid w:val="60C2D273"/>
    <w:multiLevelType w:val="hybridMultilevel"/>
    <w:lvl w:ilvl="0">
      <w:lvlJc w:val="left"/>
      <w:lvlText w:val="(%1)"/>
      <w:numFmt w:val="lowerLetter"/>
      <w:start w:val="61"/>
    </w:lvl>
    <w:lvl w:ilvl="1">
      <w:lvlJc w:val="left"/>
      <w:lvlText w:val="(%2)"/>
      <w:numFmt w:val="lowerLetter"/>
      <w:start w:val="1"/>
    </w:lvl>
  </w:abstractNum>
  <w:abstractNum w:abstractNumId="281">
    <w:nsid w:val="4CC32F1F"/>
    <w:multiLevelType w:val="hybridMultilevel"/>
    <w:lvl w:ilvl="0">
      <w:lvlJc w:val="left"/>
      <w:lvlText w:val="(%1)"/>
      <w:numFmt w:val="lowerRoman"/>
      <w:start w:val="4"/>
    </w:lvl>
  </w:abstractNum>
  <w:abstractNum w:abstractNumId="282">
    <w:nsid w:val="11CAC74A"/>
    <w:multiLevelType w:val="hybridMultilevel"/>
    <w:lvl w:ilvl="0">
      <w:lvlJc w:val="left"/>
      <w:lvlText w:val="(%1)"/>
      <w:numFmt w:val="lowerRoman"/>
      <w:start w:val="1"/>
    </w:lvl>
  </w:abstractNum>
  <w:abstractNum w:abstractNumId="283">
    <w:nsid w:val="126CADE9"/>
    <w:multiLevelType w:val="hybridMultilevel"/>
    <w:lvl w:ilvl="0">
      <w:lvlJc w:val="left"/>
      <w:lvlText w:val="(%1)"/>
      <w:numFmt w:val="lowerRoman"/>
      <w:start w:val="1"/>
    </w:lvl>
  </w:abstractNum>
  <w:abstractNum w:abstractNumId="284">
    <w:nsid w:val="19132E7B"/>
    <w:multiLevelType w:val="hybridMultilevel"/>
    <w:lvl w:ilvl="0">
      <w:lvlJc w:val="left"/>
      <w:lvlText w:val="(%1)"/>
      <w:numFmt w:val="lowerRoman"/>
      <w:start w:val="7"/>
    </w:lvl>
  </w:abstractNum>
  <w:abstractNum w:abstractNumId="285">
    <w:nsid w:val="63822DC0"/>
    <w:multiLevelType w:val="hybridMultilevel"/>
    <w:lvl w:ilvl="0">
      <w:lvlJc w:val="left"/>
      <w:lvlText w:val="(%1)"/>
      <w:numFmt w:val="lowerRoman"/>
      <w:start w:val="1"/>
    </w:lvl>
  </w:abstractNum>
  <w:abstractNum w:abstractNumId="286">
    <w:nsid w:val="6C11685A"/>
    <w:multiLevelType w:val="hybridMultilevel"/>
    <w:lvl w:ilvl="0">
      <w:lvlJc w:val="left"/>
      <w:lvlText w:val="(%1)"/>
      <w:numFmt w:val="lowerRoman"/>
      <w:start w:val="4"/>
    </w:lvl>
  </w:abstractNum>
  <w:abstractNum w:abstractNumId="287">
    <w:nsid w:val="5E1EAE31"/>
    <w:multiLevelType w:val="hybridMultilevel"/>
    <w:lvl w:ilvl="0">
      <w:lvlJc w:val="left"/>
      <w:lvlText w:val="(%1)"/>
      <w:numFmt w:val="lowerRoman"/>
      <w:start w:val="1"/>
    </w:lvl>
  </w:abstractNum>
  <w:abstractNum w:abstractNumId="288">
    <w:nsid w:val="178E240D"/>
    <w:multiLevelType w:val="hybridMultilevel"/>
    <w:lvl w:ilvl="0">
      <w:lvlJc w:val="left"/>
      <w:lvlText w:val="(%1)"/>
      <w:numFmt w:val="lowerRoman"/>
      <w:start w:val="1"/>
    </w:lvl>
  </w:abstractNum>
  <w:abstractNum w:abstractNumId="289">
    <w:nsid w:val="5556A87B"/>
    <w:multiLevelType w:val="hybridMultilevel"/>
    <w:lvl w:ilvl="0">
      <w:lvlJc w:val="left"/>
      <w:lvlText w:val="(%1)"/>
      <w:numFmt w:val="lowerRoman"/>
      <w:start w:val="1"/>
    </w:lvl>
  </w:abstractNum>
  <w:abstractNum w:abstractNumId="290">
    <w:nsid w:val="28100A9C"/>
    <w:multiLevelType w:val="hybridMultilevel"/>
    <w:lvl w:ilvl="0">
      <w:lvlJc w:val="left"/>
      <w:lvlText w:val="(%1)"/>
      <w:numFmt w:val="lowerRoman"/>
      <w:start w:val="1"/>
    </w:lvl>
  </w:abstractNum>
  <w:abstractNum w:abstractNumId="291">
    <w:nsid w:val="D838636"/>
    <w:multiLevelType w:val="hybridMultilevel"/>
    <w:lvl w:ilvl="0">
      <w:lvlJc w:val="left"/>
      <w:lvlText w:val="(%1)"/>
      <w:numFmt w:val="lowerRoman"/>
      <w:start w:val="1"/>
    </w:lvl>
  </w:abstractNum>
  <w:abstractNum w:abstractNumId="292">
    <w:nsid w:val="71B82AED"/>
    <w:multiLevelType w:val="hybridMultilevel"/>
    <w:lvl w:ilvl="0">
      <w:lvlJc w:val="left"/>
      <w:lvlText w:val="(%1)"/>
      <w:numFmt w:val="lowerRoman"/>
      <w:start w:val="2"/>
    </w:lvl>
  </w:abstractNum>
  <w:abstractNum w:abstractNumId="293">
    <w:nsid w:val="D15FACA"/>
    <w:multiLevelType w:val="hybridMultilevel"/>
    <w:lvl w:ilvl="0">
      <w:lvlJc w:val="left"/>
      <w:lvlText w:val="(%1)"/>
      <w:numFmt w:val="lowerRoman"/>
      <w:start w:val="3"/>
    </w:lvl>
  </w:abstractNum>
  <w:abstractNum w:abstractNumId="294">
    <w:nsid w:val="3D69565B"/>
    <w:multiLevelType w:val="hybridMultilevel"/>
    <w:lvl w:ilvl="0">
      <w:lvlJc w:val="left"/>
      <w:lvlText w:val="(%1)"/>
      <w:numFmt w:val="lowerRoman"/>
      <w:start w:val="1"/>
    </w:lvl>
  </w:abstractNum>
  <w:abstractNum w:abstractNumId="295">
    <w:nsid w:val="2299DCBC"/>
    <w:multiLevelType w:val="hybridMultilevel"/>
    <w:lvl w:ilvl="0">
      <w:lvlJc w:val="left"/>
      <w:lvlText w:val="(%1)"/>
      <w:numFmt w:val="lowerRoman"/>
      <w:start w:val="5"/>
    </w:lvl>
  </w:abstractNum>
  <w:abstractNum w:abstractNumId="296">
    <w:nsid w:val="19908D02"/>
    <w:multiLevelType w:val="hybridMultilevel"/>
    <w:lvl w:ilvl="0">
      <w:lvlJc w:val="left"/>
      <w:lvlText w:val="%1."/>
      <w:numFmt w:val="decimal"/>
      <w:start w:val="1"/>
    </w:lvl>
    <w:lvl w:ilvl="1">
      <w:lvlJc w:val="left"/>
      <w:lvlText w:val="(%2)"/>
      <w:numFmt w:val="lowerLetter"/>
      <w:start w:val="1"/>
    </w:lvl>
  </w:abstractNum>
  <w:abstractNum w:abstractNumId="297">
    <w:nsid w:val="24D48BDB"/>
    <w:multiLevelType w:val="hybridMultilevel"/>
    <w:lvl w:ilvl="0">
      <w:lvlJc w:val="left"/>
      <w:lvlText w:val="(%1)"/>
      <w:numFmt w:val="lowerLetter"/>
      <w:start w:val="2"/>
    </w:lvl>
  </w:abstractNum>
  <w:abstractNum w:abstractNumId="298">
    <w:nsid w:val="542DA5B5"/>
    <w:multiLevelType w:val="hybridMultilevel"/>
    <w:lvl w:ilvl="0">
      <w:lvlJc w:val="left"/>
      <w:lvlText w:val="(%1)"/>
      <w:numFmt w:val="lowerLetter"/>
      <w:start w:val="9"/>
    </w:lvl>
  </w:abstractNum>
  <w:abstractNum w:abstractNumId="299">
    <w:nsid w:val="793753DE"/>
    <w:multiLevelType w:val="hybridMultilevel"/>
    <w:lvl w:ilvl="0">
      <w:lvlJc w:val="left"/>
      <w:lvlText w:val="(%1)"/>
      <w:numFmt w:val="lowerLetter"/>
      <w:start w:val="16"/>
    </w:lvl>
  </w:abstractNum>
  <w:abstractNum w:abstractNumId="300">
    <w:nsid w:val="1C67CB3D"/>
    <w:multiLevelType w:val="hybridMultilevel"/>
    <w:lvl w:ilvl="0">
      <w:lvlJc w:val="left"/>
      <w:lvlText w:val="(%1)"/>
      <w:numFmt w:val="lowerLetter"/>
      <w:start w:val="26"/>
    </w:lvl>
  </w:abstractNum>
  <w:abstractNum w:abstractNumId="301">
    <w:nsid w:val="40E29452"/>
    <w:multiLevelType w:val="hybridMultilevel"/>
    <w:lvl w:ilvl="0">
      <w:lvlJc w:val="left"/>
      <w:lvlText w:val="(%1)"/>
      <w:numFmt w:val="lowerLetter"/>
      <w:start w:val="27"/>
    </w:lvl>
  </w:abstractNum>
  <w:abstractNum w:abstractNumId="302">
    <w:nsid w:val="63A4AAB6"/>
    <w:multiLevelType w:val="hybridMultilevel"/>
    <w:lvl w:ilvl="0">
      <w:lvlJc w:val="left"/>
      <w:lvlText w:val="%1"/>
      <w:numFmt w:val="decimal"/>
      <w:start w:val="1"/>
    </w:lvl>
    <w:lvl w:ilvl="1">
      <w:lvlJc w:val="left"/>
      <w:lvlText w:val="(%2)"/>
      <w:numFmt w:val="lowerLetter"/>
      <w:start w:val="40"/>
    </w:lvl>
  </w:abstractNum>
  <w:abstractNum w:abstractNumId="303">
    <w:nsid w:val="77DA4A57"/>
    <w:multiLevelType w:val="hybridMultilevel"/>
    <w:lvl w:ilvl="0">
      <w:lvlJc w:val="left"/>
      <w:lvlText w:val="%1."/>
      <w:numFmt w:val="decimal"/>
      <w:start w:val="2"/>
    </w:lvl>
    <w:lvl w:ilvl="1">
      <w:lvlJc w:val="left"/>
      <w:lvlText w:val="(%2)"/>
      <w:numFmt w:val="lowerLetter"/>
      <w:start w:val="1"/>
    </w:lvl>
  </w:abstractNum>
  <w:abstractNum w:abstractNumId="304">
    <w:nsid w:val="1230F102"/>
    <w:multiLevelType w:val="hybridMultilevel"/>
    <w:lvl w:ilvl="0">
      <w:lvlJc w:val="left"/>
      <w:lvlText w:val="(%1)"/>
      <w:numFmt w:val="lowerRoman"/>
      <w:start w:val="1"/>
    </w:lvl>
    <w:lvl w:ilvl="1">
      <w:lvlJc w:val="left"/>
      <w:lvlText w:val="(%2)"/>
      <w:numFmt w:val="lowerLetter"/>
      <w:start w:val="4"/>
    </w:lvl>
  </w:abstractNum>
  <w:abstractNum w:abstractNumId="305">
    <w:nsid w:val="25B57ED4"/>
    <w:multiLevelType w:val="hybridMultilevel"/>
    <w:lvl w:ilvl="0">
      <w:lvlJc w:val="left"/>
      <w:lvlText w:val="(%1)"/>
      <w:numFmt w:val="lowerLetter"/>
      <w:start w:val="1"/>
    </w:lvl>
  </w:abstractNum>
  <w:abstractNum w:abstractNumId="306">
    <w:nsid w:val="47CF16C4"/>
    <w:multiLevelType w:val="hybridMultilevel"/>
    <w:lvl w:ilvl="0">
      <w:lvlJc w:val="left"/>
      <w:lvlText w:val="(%1)"/>
      <w:numFmt w:val="lowerLetter"/>
      <w:start w:val="1"/>
    </w:lvl>
  </w:abstractNum>
  <w:abstractNum w:abstractNumId="307">
    <w:nsid w:val="527FA04C"/>
    <w:multiLevelType w:val="hybridMultilevel"/>
    <w:lvl w:ilvl="0">
      <w:lvlJc w:val="left"/>
      <w:lvlText w:val="(%1)"/>
      <w:numFmt w:val="lowerLetter"/>
      <w:start w:val="4"/>
    </w:lvl>
  </w:abstractNum>
  <w:abstractNum w:abstractNumId="308">
    <w:nsid w:val="6FCC0624"/>
    <w:multiLevelType w:val="hybridMultilevel"/>
    <w:lvl w:ilvl="0">
      <w:lvlJc w:val="left"/>
      <w:lvlText w:val="(%1)"/>
      <w:numFmt w:val="lowerLetter"/>
      <w:start w:val="1"/>
    </w:lvl>
  </w:abstractNum>
  <w:abstractNum w:abstractNumId="309">
    <w:nsid w:val="1DCDF795"/>
    <w:multiLevelType w:val="hybridMultilevel"/>
    <w:lvl w:ilvl="0">
      <w:lvlJc w:val="left"/>
      <w:lvlText w:val="%1"/>
      <w:numFmt w:val="lowerLetter"/>
      <w:start w:val="1"/>
    </w:lvl>
    <w:lvl w:ilvl="1">
      <w:lvlJc w:val="left"/>
      <w:lvlText w:val="(%2)"/>
      <w:numFmt w:val="lowerLetter"/>
      <w:start w:val="3"/>
    </w:lvl>
  </w:abstractNum>
  <w:abstractNum w:abstractNumId="310">
    <w:nsid w:val="564580C8"/>
    <w:multiLevelType w:val="hybridMultilevel"/>
    <w:lvl w:ilvl="0">
      <w:lvlJc w:val="left"/>
      <w:lvlText w:val="(%1)"/>
      <w:numFmt w:val="lowerLetter"/>
      <w:start w:val="9"/>
    </w:lvl>
    <w:lvl w:ilvl="1">
      <w:lvlJc w:val="left"/>
      <w:lvlText w:val="%2"/>
      <w:numFmt w:val="lowerLetter"/>
      <w:start w:val="1"/>
    </w:lvl>
  </w:abstractNum>
  <w:abstractNum w:abstractNumId="311">
    <w:nsid w:val="508ED897"/>
    <w:multiLevelType w:val="hybridMultilevel"/>
    <w:lvl w:ilvl="0">
      <w:lvlJc w:val="left"/>
      <w:lvlText w:val="(%1)"/>
      <w:numFmt w:val="lowerLetter"/>
      <w:start w:val="5"/>
    </w:lvl>
  </w:abstractNum>
  <w:abstractNum w:abstractNumId="312">
    <w:nsid w:val="6A9126B5"/>
    <w:multiLevelType w:val="hybridMultilevel"/>
    <w:lvl w:ilvl="0">
      <w:lvlJc w:val="left"/>
      <w:lvlText w:val="%1"/>
      <w:numFmt w:val="decimal"/>
      <w:start w:val="1"/>
    </w:lvl>
    <w:lvl w:ilvl="1">
      <w:lvlJc w:val="left"/>
      <w:lvlText w:val="(%2)"/>
      <w:numFmt w:val="lowerLetter"/>
      <w:start w:val="1"/>
    </w:lvl>
  </w:abstractNum>
  <w:abstractNum w:abstractNumId="313">
    <w:nsid w:val="68104812"/>
    <w:multiLevelType w:val="hybridMultilevel"/>
    <w:lvl w:ilvl="0">
      <w:lvlJc w:val="left"/>
      <w:lvlText w:val="(%1)"/>
      <w:numFmt w:val="decimal"/>
      <w:start w:val="90"/>
    </w:lvl>
    <w:lvl w:ilvl="1">
      <w:lvlJc w:val="left"/>
      <w:lvlText w:val="%2"/>
      <w:numFmt w:val="lowerLetter"/>
      <w:start w:val="1"/>
    </w:lvl>
  </w:abstractNum>
  <w:abstractNum w:abstractNumId="314">
    <w:nsid w:val="62FB8680"/>
    <w:multiLevelType w:val="hybridMultilevel"/>
    <w:lvl w:ilvl="0">
      <w:lvlJc w:val="left"/>
      <w:lvlText w:val="(%1)"/>
      <w:numFmt w:val="lowerLetter"/>
      <w:start w:val="1"/>
    </w:lvl>
  </w:abstractNum>
  <w:abstractNum w:abstractNumId="315">
    <w:nsid w:val="3A45530"/>
    <w:multiLevelType w:val="hybridMultilevel"/>
    <w:lvl w:ilvl="0">
      <w:lvlJc w:val="left"/>
      <w:lvlText w:val="%1."/>
      <w:numFmt w:val="decimal"/>
      <w:start w:val="3"/>
    </w:lvl>
  </w:abstractNum>
  <w:abstractNum w:abstractNumId="316">
    <w:nsid w:val="4B9275D2"/>
    <w:multiLevelType w:val="hybridMultilevel"/>
    <w:lvl w:ilvl="0">
      <w:lvlJc w:val="left"/>
      <w:lvlText w:val="(%1)"/>
      <w:numFmt w:val="lowerLetter"/>
      <w:start w:val="1"/>
    </w:lvl>
  </w:abstractNum>
  <w:abstractNum w:abstractNumId="317">
    <w:nsid w:val="4F0CEEDB"/>
    <w:multiLevelType w:val="hybridMultilevel"/>
    <w:lvl w:ilvl="0">
      <w:lvlJc w:val="left"/>
      <w:lvlText w:val="(%1)"/>
      <w:numFmt w:val="lowerLetter"/>
      <w:start w:val="5"/>
    </w:lvl>
  </w:abstractNum>
  <w:abstractNum w:abstractNumId="318">
    <w:nsid w:val="61C30361"/>
    <w:multiLevelType w:val="hybridMultilevel"/>
    <w:lvl w:ilvl="0">
      <w:lvlJc w:val="left"/>
      <w:lvlText w:val="(%1)"/>
      <w:numFmt w:val="lowerLetter"/>
      <w:start w:val="1"/>
    </w:lvl>
  </w:abstractNum>
  <w:abstractNum w:abstractNumId="319">
    <w:nsid w:val="632099E0"/>
    <w:multiLevelType w:val="hybridMultilevel"/>
    <w:lvl w:ilvl="0">
      <w:lvlJc w:val="left"/>
      <w:lvlText w:val="%1."/>
      <w:numFmt w:val="decimal"/>
      <w:start w:val="4"/>
    </w:lvl>
    <w:lvl w:ilvl="1">
      <w:lvlJc w:val="left"/>
      <w:lvlText w:val="(%2)"/>
      <w:numFmt w:val="lowerLetter"/>
      <w:start w:val="1"/>
    </w:lvl>
  </w:abstractNum>
  <w:abstractNum w:abstractNumId="320">
    <w:nsid w:val="24639756"/>
    <w:multiLevelType w:val="hybridMultilevel"/>
    <w:lvl w:ilvl="0">
      <w:lvlJc w:val="left"/>
      <w:lvlText w:val="(%1)"/>
      <w:numFmt w:val="lowerLetter"/>
      <w:start w:val="1"/>
    </w:lvl>
  </w:abstractNum>
  <w:abstractNum w:abstractNumId="321">
    <w:nsid w:val="9D30DFD"/>
    <w:multiLevelType w:val="hybridMultilevel"/>
    <w:lvl w:ilvl="0">
      <w:lvlJc w:val="left"/>
      <w:lvlText w:val="(%1)"/>
      <w:numFmt w:val="lowerLetter"/>
      <w:start w:val="5"/>
    </w:lvl>
  </w:abstractNum>
  <w:abstractNum w:abstractNumId="322">
    <w:nsid w:val="70A42016"/>
    <w:multiLevelType w:val="hybridMultilevel"/>
    <w:lvl w:ilvl="0">
      <w:lvlJc w:val="left"/>
      <w:lvlText w:val="(%1)"/>
      <w:numFmt w:val="lowerLetter"/>
      <w:start w:val="1"/>
    </w:lvl>
  </w:abstractNum>
  <w:abstractNum w:abstractNumId="323">
    <w:nsid w:val="161BC243"/>
    <w:multiLevelType w:val="hybridMultilevel"/>
    <w:lvl w:ilvl="0">
      <w:lvlJc w:val="left"/>
      <w:lvlText w:val="(%1)"/>
      <w:numFmt w:val="lowerLetter"/>
      <w:start w:val="3"/>
    </w:lvl>
    <w:lvl w:ilvl="1">
      <w:lvlJc w:val="left"/>
      <w:lvlText w:val="(%2)"/>
      <w:numFmt w:val="lowerRoman"/>
      <w:start w:val="1"/>
    </w:lvl>
  </w:abstractNum>
  <w:abstractNum w:abstractNumId="324">
    <w:nsid w:val="16E908C8"/>
    <w:multiLevelType w:val="hybridMultilevel"/>
    <w:lvl w:ilvl="0">
      <w:lvlJc w:val="left"/>
      <w:lvlText w:val="(%1)"/>
      <w:numFmt w:val="lowerLetter"/>
      <w:start w:val="1"/>
    </w:lvl>
  </w:abstractNum>
  <w:abstractNum w:abstractNumId="325">
    <w:nsid w:val="2E0D7671"/>
    <w:multiLevelType w:val="hybridMultilevel"/>
    <w:lvl w:ilvl="0">
      <w:lvlJc w:val="left"/>
      <w:lvlText w:val="%1."/>
      <w:numFmt w:val="decimal"/>
      <w:start w:val="5"/>
    </w:lvl>
  </w:abstractNum>
  <w:abstractNum w:abstractNumId="326">
    <w:nsid w:val="38B59EFF"/>
    <w:multiLevelType w:val="hybridMultilevel"/>
    <w:lvl w:ilvl="0">
      <w:lvlJc w:val="left"/>
      <w:lvlText w:val="(%1)"/>
      <w:numFmt w:val="lowerLetter"/>
      <w:start w:val="1"/>
    </w:lvl>
  </w:abstractNum>
  <w:abstractNum w:abstractNumId="327">
    <w:nsid w:val="307995CA"/>
    <w:multiLevelType w:val="hybridMultilevel"/>
    <w:lvl w:ilvl="0">
      <w:lvlJc w:val="left"/>
      <w:lvlText w:val="(%1)"/>
      <w:numFmt w:val="lowerLetter"/>
      <w:start w:val="3"/>
    </w:lvl>
  </w:abstractNum>
  <w:abstractNum w:abstractNumId="328">
    <w:nsid w:val="52E2024D"/>
    <w:multiLevelType w:val="hybridMultilevel"/>
    <w:lvl w:ilvl="0">
      <w:lvlJc w:val="left"/>
      <w:lvlText w:val="%1."/>
      <w:numFmt w:val="decimal"/>
      <w:start w:val="6"/>
    </w:lvl>
    <w:lvl w:ilvl="1">
      <w:lvlJc w:val="left"/>
      <w:lvlText w:val="(%2)"/>
      <w:numFmt w:val="lowerLetter"/>
      <w:start w:val="1"/>
    </w:lvl>
  </w:abstractNum>
  <w:abstractNum w:abstractNumId="329">
    <w:nsid w:val="CE344B5"/>
    <w:multiLevelType w:val="hybridMultilevel"/>
    <w:lvl w:ilvl="0">
      <w:lvlJc w:val="left"/>
      <w:lvlText w:val="(%1)"/>
      <w:numFmt w:val="lowerLetter"/>
      <w:start w:val="3"/>
    </w:lvl>
  </w:abstractNum>
  <w:abstractNum w:abstractNumId="330">
    <w:nsid w:val="29B0E9A8"/>
    <w:multiLevelType w:val="hybridMultilevel"/>
    <w:lvl w:ilvl="0">
      <w:lvlJc w:val="left"/>
      <w:lvlText w:val="(%1)"/>
      <w:numFmt w:val="lowerRoman"/>
      <w:start w:val="1"/>
    </w:lvl>
  </w:abstractNum>
  <w:abstractNum w:abstractNumId="331">
    <w:nsid w:val="6F49CD8A"/>
    <w:multiLevelType w:val="hybridMultilevel"/>
    <w:lvl w:ilvl="0">
      <w:lvlJc w:val="left"/>
      <w:lvlText w:val="(%1)"/>
      <w:numFmt w:val="lowerLetter"/>
      <w:start w:val="1"/>
    </w:lvl>
  </w:abstractNum>
  <w:abstractNum w:abstractNumId="332">
    <w:nsid w:val="4DC5D907"/>
    <w:multiLevelType w:val="hybridMultilevel"/>
    <w:lvl w:ilvl="0">
      <w:lvlJc w:val="left"/>
      <w:lvlText w:val="%1."/>
      <w:numFmt w:val="decimal"/>
      <w:start w:val="7"/>
    </w:lvl>
  </w:abstractNum>
  <w:abstractNum w:abstractNumId="333">
    <w:nsid w:val="D55945E"/>
    <w:multiLevelType w:val="hybridMultilevel"/>
    <w:lvl w:ilvl="0">
      <w:lvlJc w:val="left"/>
      <w:lvlText w:val="(%1)"/>
      <w:numFmt w:val="decimal"/>
      <w:start w:val="12"/>
    </w:lvl>
  </w:abstractNum>
  <w:abstractNum w:abstractNumId="334">
    <w:nsid w:val="672417E1"/>
    <w:multiLevelType w:val="hybridMultilevel"/>
    <w:lvl w:ilvl="0">
      <w:lvlJc w:val="left"/>
      <w:lvlText w:val="(%1)"/>
      <w:numFmt w:val="decimal"/>
      <w:start w:val="3"/>
    </w:lvl>
  </w:abstractNum>
  <w:abstractNum w:abstractNumId="335">
    <w:nsid w:val="5FF6CA09"/>
    <w:multiLevelType w:val="hybridMultilevel"/>
    <w:lvl w:ilvl="0">
      <w:lvlJc w:val="left"/>
      <w:lvlText w:val="(%1)"/>
      <w:numFmt w:val="lowerLetter"/>
      <w:start w:val="1"/>
    </w:lvl>
  </w:abstractNum>
  <w:abstractNum w:abstractNumId="336">
    <w:nsid w:val="330B1333"/>
    <w:multiLevelType w:val="hybridMultilevel"/>
    <w:lvl w:ilvl="0">
      <w:lvlJc w:val="left"/>
      <w:lvlText w:val="(%1)"/>
      <w:numFmt w:val="lowerLetter"/>
      <w:start w:val="2"/>
    </w:lvl>
  </w:abstractNum>
  <w:abstractNum w:abstractNumId="337">
    <w:nsid w:val="2EF32EA6"/>
    <w:multiLevelType w:val="hybridMultilevel"/>
    <w:lvl w:ilvl="0">
      <w:lvlJc w:val="left"/>
      <w:lvlText w:val="8"/>
      <w:numFmt w:val="bullet"/>
      <w:start w:val="1"/>
    </w:lvl>
  </w:abstractNum>
  <w:abstractNum w:abstractNumId="338">
    <w:nsid w:val="32766A55"/>
    <w:multiLevelType w:val="hybridMultilevel"/>
    <w:lvl w:ilvl="0">
      <w:lvlJc w:val="left"/>
      <w:lvlText w:val="(%1)"/>
      <w:numFmt w:val="lowerLetter"/>
      <w:start w:val="1"/>
    </w:lvl>
  </w:abstractNum>
  <w:abstractNum w:abstractNumId="339">
    <w:nsid w:val="22D71957"/>
    <w:multiLevelType w:val="hybridMultilevel"/>
    <w:lvl w:ilvl="0">
      <w:lvlJc w:val="left"/>
      <w:lvlText w:val="%1"/>
      <w:numFmt w:val="lowerRoman"/>
      <w:start w:val="1"/>
    </w:lvl>
    <w:lvl w:ilvl="1">
      <w:lvlJc w:val="left"/>
      <w:lvlText w:val="(%2)"/>
      <w:numFmt w:val="lowerLetter"/>
      <w:start w:val="1"/>
    </w:lvl>
  </w:abstractNum>
  <w:abstractNum w:abstractNumId="340">
    <w:nsid w:val="4CC1263B"/>
    <w:multiLevelType w:val="hybridMultilevel"/>
    <w:lvl w:ilvl="0">
      <w:lvlJc w:val="left"/>
      <w:lvlText w:val="(%1)"/>
      <w:numFmt w:val="lowerRoman"/>
      <w:start w:val="4"/>
    </w:lvl>
    <w:lvl w:ilvl="1">
      <w:lvlJc w:val="left"/>
      <w:lvlText w:val="(%2)"/>
      <w:numFmt w:val="lowerLetter"/>
      <w:start w:val="2"/>
    </w:lvl>
  </w:abstractNum>
  <w:abstractNum w:abstractNumId="341">
    <w:nsid w:val="8BBEB1D"/>
    <w:multiLevelType w:val="hybridMultilevel"/>
    <w:lvl w:ilvl="0">
      <w:lvlJc w:val="left"/>
      <w:lvlText w:val="(%1)"/>
      <w:numFmt w:val="lowerLetter"/>
      <w:start w:val="5"/>
    </w:lvl>
  </w:abstractNum>
  <w:abstractNum w:abstractNumId="342">
    <w:nsid w:val="7365F1EE"/>
    <w:multiLevelType w:val="hybridMultilevel"/>
    <w:lvl w:ilvl="0">
      <w:lvlJc w:val="left"/>
      <w:lvlText w:val="%1."/>
      <w:numFmt w:val="decimal"/>
      <w:start w:val="9"/>
    </w:lvl>
    <w:lvl w:ilvl="1">
      <w:lvlJc w:val="left"/>
      <w:lvlText w:val="(%2)"/>
      <w:numFmt w:val="lowerLetter"/>
      <w:start w:val="1"/>
    </w:lvl>
  </w:abstractNum>
  <w:abstractNum w:abstractNumId="343">
    <w:nsid w:val="37524CF0"/>
    <w:multiLevelType w:val="hybridMultilevel"/>
    <w:lvl w:ilvl="0">
      <w:lvlJc w:val="left"/>
      <w:lvlText w:val="(%1)"/>
      <w:numFmt w:val="lowerLetter"/>
      <w:start w:val="4"/>
    </w:lvl>
  </w:abstractNum>
  <w:abstractNum w:abstractNumId="344">
    <w:nsid w:val="70CC332F"/>
    <w:multiLevelType w:val="hybridMultilevel"/>
    <w:lvl w:ilvl="0">
      <w:lvlJc w:val="left"/>
      <w:lvlText w:val="(%1)"/>
      <w:numFmt w:val="decimal"/>
      <w:start w:val="10"/>
    </w:lvl>
  </w:abstractNum>
  <w:abstractNum w:abstractNumId="345">
    <w:nsid w:val="5661786E"/>
    <w:multiLevelType w:val="hybridMultilevel"/>
    <w:lvl w:ilvl="0">
      <w:lvlJc w:val="left"/>
      <w:lvlText w:val="%1"/>
      <w:numFmt w:val="upperLetter"/>
      <w:start w:val="1"/>
    </w:lvl>
    <w:lvl w:ilvl="1">
      <w:lvlJc w:val="left"/>
      <w:lvlText w:val="(%2)"/>
      <w:numFmt w:val="lowerLetter"/>
      <w:start w:val="1"/>
    </w:lvl>
  </w:abstractNum>
  <w:abstractNum w:abstractNumId="346">
    <w:nsid w:val="3AF6A220"/>
    <w:multiLevelType w:val="hybridMultilevel"/>
    <w:lvl w:ilvl="0">
      <w:lvlJc w:val="left"/>
      <w:lvlText w:val="(%1)"/>
      <w:numFmt w:val="upperLetter"/>
      <w:start w:val="1"/>
    </w:lvl>
    <w:lvl w:ilvl="1">
      <w:lvlJc w:val="left"/>
      <w:lvlText w:val="(%2)"/>
      <w:numFmt w:val="lowerLetter"/>
      <w:start w:val="3"/>
    </w:lvl>
  </w:abstractNum>
  <w:abstractNum w:abstractNumId="347">
    <w:nsid w:val="3C5EA902"/>
    <w:multiLevelType w:val="hybridMultilevel"/>
    <w:lvl w:ilvl="0">
      <w:lvlJc w:val="left"/>
      <w:lvlText w:val="(%1)"/>
      <w:numFmt w:val="lowerLetter"/>
      <w:start w:val="5"/>
    </w:lvl>
  </w:abstractNum>
  <w:abstractNum w:abstractNumId="348">
    <w:nsid w:val="256E6749"/>
    <w:multiLevelType w:val="hybridMultilevel"/>
    <w:lvl w:ilvl="0">
      <w:lvlJc w:val="left"/>
      <w:lvlText w:val="(%1)"/>
      <w:numFmt w:val="lowerLetter"/>
      <w:start w:val="7"/>
    </w:lvl>
  </w:abstractNum>
  <w:abstractNum w:abstractNumId="349">
    <w:nsid w:val="1CB9A581"/>
    <w:multiLevelType w:val="hybridMultilevel"/>
    <w:lvl w:ilvl="0">
      <w:lvlJc w:val="left"/>
      <w:lvlText w:val="(%1)"/>
      <w:numFmt w:val="lowerLetter"/>
      <w:start w:val="8"/>
    </w:lvl>
  </w:abstractNum>
  <w:abstractNum w:abstractNumId="350">
    <w:nsid w:val="1F7F42E2"/>
    <w:multiLevelType w:val="hybridMultilevel"/>
    <w:lvl w:ilvl="0">
      <w:lvlJc w:val="left"/>
      <w:lvlText w:val="(%1)"/>
      <w:numFmt w:val="lowerRoman"/>
      <w:start w:val="1"/>
    </w:lvl>
  </w:abstractNum>
  <w:abstractNum w:abstractNumId="351">
    <w:nsid w:val="49D1FEA0"/>
    <w:multiLevelType w:val="hybridMultilevel"/>
    <w:lvl w:ilvl="0">
      <w:lvlJc w:val="left"/>
      <w:lvlText w:val="(%1)"/>
      <w:numFmt w:val="lowerLetter"/>
      <w:start w:val="10"/>
    </w:lvl>
  </w:abstractNum>
  <w:abstractNum w:abstractNumId="352">
    <w:nsid w:val="268CB37F"/>
    <w:multiLevelType w:val="hybridMultilevel"/>
    <w:lvl w:ilvl="0">
      <w:lvlJc w:val="left"/>
      <w:lvlText w:val="(%1)"/>
      <w:numFmt w:val="lowerLetter"/>
      <w:start w:val="1"/>
    </w:lvl>
  </w:abstractNum>
  <w:abstractNum w:abstractNumId="353">
    <w:nsid w:val="102362F8"/>
    <w:multiLevelType w:val="hybridMultilevel"/>
    <w:lvl w:ilvl="0">
      <w:lvlJc w:val="left"/>
      <w:lvlText w:val="%1"/>
      <w:numFmt w:val="lowerLetter"/>
      <w:start w:val="1"/>
    </w:lvl>
    <w:lvl w:ilvl="1">
      <w:lvlJc w:val="left"/>
      <w:lvlText w:val="(%2)"/>
      <w:numFmt w:val="lowerLetter"/>
      <w:start w:val="4"/>
    </w:lvl>
  </w:abstractNum>
  <w:abstractNum w:abstractNumId="354">
    <w:nsid w:val="5FEDC0E3"/>
    <w:multiLevelType w:val="hybridMultilevel"/>
    <w:lvl w:ilvl="0">
      <w:lvlJc w:val="left"/>
      <w:lvlText w:val="(%1)"/>
      <w:numFmt w:val="lowerLetter"/>
      <w:start w:val="9"/>
    </w:lvl>
    <w:lvl w:ilvl="1">
      <w:lvlJc w:val="left"/>
      <w:lvlText w:val="%2"/>
      <w:numFmt w:val="lowerLetter"/>
      <w:start w:val="1"/>
    </w:lvl>
  </w:abstractNum>
  <w:abstractNum w:abstractNumId="355">
    <w:nsid w:val="3D75BC47"/>
    <w:multiLevelType w:val="hybridMultilevel"/>
    <w:lvl w:ilvl="0">
      <w:lvlJc w:val="left"/>
      <w:lvlText w:val="(%1)"/>
      <w:numFmt w:val="lowerLetter"/>
      <w:start w:val="1"/>
    </w:lvl>
  </w:abstractNum>
  <w:abstractNum w:abstractNumId="356">
    <w:nsid w:val="3E30D969"/>
    <w:multiLevelType w:val="hybridMultilevel"/>
    <w:lvl w:ilvl="0">
      <w:lvlJc w:val="left"/>
      <w:lvlText w:val="(%1)"/>
      <w:numFmt w:val="lowerLetter"/>
      <w:start w:val="1"/>
    </w:lvl>
    <w:lvl w:ilvl="1">
      <w:lvlJc w:val="left"/>
      <w:lvlText w:val="(%2)"/>
      <w:numFmt w:val="decimal"/>
      <w:start w:val="1"/>
    </w:lvl>
  </w:abstractNum>
  <w:abstractNum w:abstractNumId="357">
    <w:nsid w:val="18A35FE3"/>
    <w:multiLevelType w:val="hybridMultilevel"/>
    <w:lvl w:ilvl="0">
      <w:lvlJc w:val="left"/>
      <w:lvlText w:val="(%1)"/>
      <w:numFmt w:val="decimal"/>
      <w:start w:val="3"/>
    </w:lvl>
  </w:abstractNum>
  <w:abstractNum w:abstractNumId="358">
    <w:nsid w:val="6DEF5211"/>
    <w:multiLevelType w:val="hybridMultilevel"/>
    <w:lvl w:ilvl="0">
      <w:lvlJc w:val="left"/>
      <w:lvlText w:val="(%1)"/>
      <w:numFmt w:val="lowerLetter"/>
      <w:start w:val="1"/>
    </w:lvl>
  </w:abstractNum>
  <w:abstractNum w:abstractNumId="359">
    <w:nsid w:val="1112DBB6"/>
    <w:multiLevelType w:val="hybridMultilevel"/>
    <w:lvl w:ilvl="0">
      <w:lvlJc w:val="left"/>
      <w:lvlText w:val="%1."/>
      <w:numFmt w:val="decimal"/>
      <w:start w:val="1"/>
    </w:lvl>
  </w:abstractNum>
  <w:abstractNum w:abstractNumId="360">
    <w:nsid w:val="2586A498"/>
    <w:multiLevelType w:val="hybridMultilevel"/>
    <w:lvl w:ilvl="0">
      <w:lvlJc w:val="left"/>
      <w:lvlText w:val="["/>
      <w:numFmt w:val="bullet"/>
      <w:start w:val="1"/>
    </w:lvl>
  </w:abstractNum>
  <w:abstractNum w:abstractNumId="361">
    <w:nsid w:val="17A03BB9"/>
    <w:multiLevelType w:val="hybridMultilevel"/>
    <w:lvl w:ilvl="0">
      <w:lvlJc w:val="left"/>
      <w:lvlText w:val="%1."/>
      <w:numFmt w:val="decimal"/>
      <w:start w:val="2"/>
    </w:lvl>
  </w:abstractNum>
  <w:abstractNum w:abstractNumId="362">
    <w:nsid w:val="5CA941"/>
    <w:multiLevelType w:val="hybridMultilevel"/>
    <w:lvl w:ilvl="0">
      <w:lvlJc w:val="left"/>
      <w:lvlText w:val="(%1)"/>
      <w:numFmt w:val="lowerLetter"/>
      <w:start w:val="1"/>
    </w:lvl>
  </w:abstractNum>
  <w:abstractNum w:abstractNumId="363">
    <w:nsid w:val="734C7D9F"/>
    <w:multiLevelType w:val="hybridMultilevel"/>
    <w:lvl w:ilvl="0">
      <w:lvlJc w:val="left"/>
      <w:lvlText w:val="(%1)"/>
      <w:numFmt w:val="lowerLetter"/>
      <w:start w:val="5"/>
    </w:lvl>
  </w:abstractNum>
  <w:abstractNum w:abstractNumId="364">
    <w:nsid w:val="24F5D018"/>
    <w:multiLevelType w:val="hybridMultilevel"/>
    <w:lvl w:ilvl="0">
      <w:lvlJc w:val="left"/>
      <w:lvlText w:val="(%1)"/>
      <w:numFmt w:val="lowerLetter"/>
      <w:start w:val="2"/>
    </w:lvl>
  </w:abstractNum>
  <w:abstractNum w:abstractNumId="365">
    <w:nsid w:val="6780C122"/>
    <w:multiLevelType w:val="hybridMultilevel"/>
    <w:lvl w:ilvl="0">
      <w:lvlJc w:val="left"/>
      <w:lvlText w:val="(%1)"/>
      <w:numFmt w:val="lowerLetter"/>
      <w:start w:val="2"/>
    </w:lvl>
  </w:abstractNum>
  <w:abstractNum w:abstractNumId="366">
    <w:nsid w:val="534347A8"/>
    <w:multiLevelType w:val="hybridMultilevel"/>
    <w:lvl w:ilvl="0">
      <w:lvlJc w:val="left"/>
      <w:lvlText w:val="%1."/>
      <w:numFmt w:val="decimal"/>
      <w:start w:val="1"/>
    </w:lvl>
  </w:abstractNum>
  <w:abstractNum w:abstractNumId="367">
    <w:nsid w:val="5800E34B"/>
    <w:multiLevelType w:val="hybridMultilevel"/>
    <w:lvl w:ilvl="0">
      <w:lvlJc w:val="left"/>
      <w:lvlText w:val="%1."/>
      <w:numFmt w:val="decimal"/>
      <w:start w:val="1"/>
    </w:lvl>
  </w:abstractNum>
  <w:abstractNum w:abstractNumId="368">
    <w:nsid w:val="1673EFC8"/>
    <w:multiLevelType w:val="hybridMultilevel"/>
    <w:lvl w:ilvl="0">
      <w:lvlJc w:val="left"/>
      <w:lvlText w:val="%1."/>
      <w:numFmt w:val="decimal"/>
      <w:start w:val="3"/>
    </w:lvl>
  </w:abstractNum>
  <w:abstractNum w:abstractNumId="369">
    <w:nsid w:val="5B9B1FD"/>
    <w:multiLevelType w:val="hybridMultilevel"/>
    <w:lvl w:ilvl="0">
      <w:lvlJc w:val="left"/>
      <w:lvlText w:val="%1."/>
      <w:numFmt w:val="decimal"/>
      <w:start w:val="1"/>
    </w:lvl>
  </w:abstractNum>
  <w:abstractNum w:abstractNumId="370">
    <w:nsid w:val="7AD7FCA2"/>
    <w:multiLevelType w:val="hybridMultilevel"/>
    <w:lvl w:ilvl="0">
      <w:lvlJc w:val="left"/>
      <w:lvlText w:val="(%1)"/>
      <w:numFmt w:val="lowerLetter"/>
      <w:start w:val="1"/>
    </w:lvl>
  </w:abstractNum>
  <w:abstractNum w:abstractNumId="371">
    <w:nsid w:val="63351604"/>
    <w:multiLevelType w:val="hybridMultilevel"/>
    <w:lvl w:ilvl="0">
      <w:lvlJc w:val="left"/>
      <w:lvlText w:val="(%1)"/>
      <w:numFmt w:val="lowerLetter"/>
      <w:start w:val="5"/>
    </w:lvl>
  </w:abstractNum>
  <w:abstractNum w:abstractNumId="372">
    <w:nsid w:val="E759D1A"/>
    <w:multiLevelType w:val="hybridMultilevel"/>
    <w:lvl w:ilvl="0">
      <w:lvlJc w:val="left"/>
      <w:lvlText w:val="(%1)"/>
      <w:numFmt w:val="lowerLetter"/>
      <w:start w:val="2"/>
    </w:lvl>
  </w:abstractNum>
  <w:abstractNum w:abstractNumId="373">
    <w:nsid w:val="6E3DEE90"/>
    <w:multiLevelType w:val="hybridMultilevel"/>
    <w:lvl w:ilvl="0">
      <w:lvlJc w:val="left"/>
      <w:lvlText w:val="(%1)"/>
      <w:numFmt w:val="lowerLetter"/>
      <w:start w:val="2"/>
    </w:lvl>
  </w:abstractNum>
  <w:abstractNum w:abstractNumId="374">
    <w:nsid w:val="1A8762F4"/>
    <w:multiLevelType w:val="hybridMultilevel"/>
    <w:lvl w:ilvl="0">
      <w:lvlJc w:val="left"/>
      <w:lvlText w:val="%1."/>
      <w:numFmt w:val="decimal"/>
      <w:start w:val="1"/>
    </w:lvl>
  </w:abstractNum>
  <w:abstractNum w:abstractNumId="375">
    <w:nsid w:val="7F41D049"/>
    <w:multiLevelType w:val="hybridMultilevel"/>
    <w:lvl w:ilvl="0">
      <w:lvlJc w:val="left"/>
      <w:lvlText w:val="%1."/>
      <w:numFmt w:val="decimal"/>
      <w:start w:val="1"/>
    </w:lvl>
  </w:abstractNum>
  <w:abstractNum w:abstractNumId="376">
    <w:nsid w:val="449F66FE"/>
    <w:multiLevelType w:val="hybridMultilevel"/>
    <w:lvl w:ilvl="0">
      <w:lvlJc w:val="left"/>
      <w:lvlText w:val="%1."/>
      <w:numFmt w:val="decimal"/>
      <w:start w:val="3"/>
    </w:lvl>
  </w:abstractNum>
  <w:abstractNum w:abstractNumId="377">
    <w:nsid w:val="557E0515"/>
    <w:multiLevelType w:val="hybridMultilevel"/>
    <w:lvl w:ilvl="0">
      <w:lvlJc w:val="left"/>
      <w:lvlText w:val="%1"/>
      <w:numFmt w:val="lowerRoman"/>
      <w:start w:val="1"/>
    </w:lvl>
    <w:lvl w:ilvl="1">
      <w:lvlJc w:val="left"/>
      <w:lvlText w:val="(%2)"/>
      <w:numFmt w:val="lowerLetter"/>
      <w:start w:val="1"/>
    </w:lvl>
  </w:abstractNum>
  <w:abstractNum w:abstractNumId="378">
    <w:nsid w:val="3BA0794B"/>
    <w:multiLevelType w:val="hybridMultilevel"/>
    <w:lvl w:ilvl="0">
      <w:lvlJc w:val="left"/>
      <w:lvlText w:val="(%1)"/>
      <w:numFmt w:val="lowerRoman"/>
      <w:start w:val="1"/>
    </w:lvl>
    <w:lvl w:ilvl="1">
      <w:lvlJc w:val="left"/>
      <w:lvlText w:val="%2"/>
      <w:numFmt w:val="lowerLetter"/>
      <w:start w:val="1"/>
    </w:lvl>
  </w:abstractNum>
  <w:abstractNum w:abstractNumId="379">
    <w:nsid w:val="6A0DCE48"/>
    <w:multiLevelType w:val="hybridMultilevel"/>
    <w:lvl w:ilvl="0">
      <w:lvlJc w:val="left"/>
      <w:lvlText w:val="(%1)"/>
      <w:numFmt w:val="lowerRoman"/>
      <w:start w:val="4"/>
    </w:lvl>
  </w:abstractNum>
  <w:abstractNum w:abstractNumId="380">
    <w:nsid w:val="7237AA96"/>
    <w:multiLevelType w:val="hybridMultilevel"/>
    <w:lvl w:ilvl="0">
      <w:lvlJc w:val="left"/>
      <w:lvlText w:val="%1"/>
      <w:numFmt w:val="lowerRoman"/>
      <w:start w:val="1"/>
    </w:lvl>
    <w:lvl w:ilvl="1">
      <w:lvlJc w:val="left"/>
      <w:lvlText w:val="(%2)"/>
      <w:numFmt w:val="lowerLetter"/>
      <w:start w:val="3"/>
    </w:lvl>
  </w:abstractNum>
  <w:abstractNum w:abstractNumId="381">
    <w:nsid w:val="5B1FBC2D"/>
    <w:multiLevelType w:val="hybridMultilevel"/>
    <w:lvl w:ilvl="0">
      <w:lvlJc w:val="left"/>
      <w:lvlText w:val="(%1)"/>
      <w:numFmt w:val="lowerRoman"/>
      <w:start w:val="1"/>
    </w:lvl>
    <w:lvl w:ilvl="1">
      <w:lvlJc w:val="left"/>
      <w:lvlText w:val="%2"/>
      <w:numFmt w:val="lowerLetter"/>
      <w:start w:val="1"/>
    </w:lvl>
  </w:abstractNum>
  <w:abstractNum w:abstractNumId="382">
    <w:nsid w:val="33DFCCE8"/>
    <w:multiLevelType w:val="hybridMultilevel"/>
    <w:lvl w:ilvl="0">
      <w:lvlJc w:val="left"/>
      <w:lvlText w:val="(%1)"/>
      <w:numFmt w:val="lowerRoman"/>
      <w:start w:val="4"/>
    </w:lvl>
    <w:lvl w:ilvl="1">
      <w:lvlJc w:val="left"/>
      <w:lvlText w:val="(%2)"/>
      <w:numFmt w:val="lowerLetter"/>
      <w:start w:val="4"/>
    </w:lvl>
  </w:abstractNum>
  <w:abstractNum w:abstractNumId="383">
    <w:nsid w:val="18C45E15"/>
    <w:multiLevelType w:val="hybridMultilevel"/>
    <w:lvl w:ilvl="0">
      <w:lvlJc w:val="left"/>
      <w:lvlText w:val="(%1)"/>
      <w:numFmt w:val="lowerLetter"/>
      <w:start w:val="9"/>
    </w:lvl>
  </w:abstractNum>
  <w:abstractNum w:abstractNumId="384">
    <w:nsid w:val="6B431F25"/>
    <w:multiLevelType w:val="hybridMultilevel"/>
    <w:lvl w:ilvl="0">
      <w:lvlJc w:val="left"/>
      <w:lvlText w:val="(%1)"/>
      <w:numFmt w:val="lowerLetter"/>
      <w:start w:val="1"/>
    </w:lvl>
  </w:abstractNum>
  <w:abstractNum w:abstractNumId="385">
    <w:nsid w:val="13CD8DCB"/>
    <w:multiLevelType w:val="hybridMultilevel"/>
    <w:lvl w:ilvl="0">
      <w:lvlJc w:val="left"/>
      <w:lvlText w:val="(%1)"/>
      <w:numFmt w:val="lowerLetter"/>
      <w:start w:val="2"/>
    </w:lvl>
  </w:abstractNum>
  <w:abstractNum w:abstractNumId="386">
    <w:nsid w:val="563A1A5C"/>
    <w:multiLevelType w:val="hybridMultilevel"/>
    <w:lvl w:ilvl="0">
      <w:lvlJc w:val="left"/>
      <w:lvlText w:val="(%1)"/>
      <w:numFmt w:val="lowerLetter"/>
      <w:start w:val="1"/>
    </w:lvl>
  </w:abstractNum>
  <w:abstractNum w:abstractNumId="387">
    <w:nsid w:val="2973F88F"/>
    <w:multiLevelType w:val="hybridMultilevel"/>
    <w:lvl w:ilvl="0">
      <w:lvlJc w:val="left"/>
      <w:lvlText w:val="(%1)"/>
      <w:numFmt w:val="lowerLetter"/>
      <w:start w:val="1"/>
    </w:lvl>
  </w:abstractNum>
  <w:abstractNum w:abstractNumId="388">
    <w:nsid w:val="2C70EDAE"/>
    <w:multiLevelType w:val="hybridMultilevel"/>
    <w:lvl w:ilvl="0">
      <w:lvlJc w:val="left"/>
      <w:lvlText w:val="(%1)"/>
      <w:numFmt w:val="decimal"/>
      <w:start w:val="20"/>
    </w:lvl>
    <w:lvl w:ilvl="1">
      <w:lvlJc w:val="left"/>
      <w:lvlText w:val="(%2)"/>
      <w:numFmt w:val="lowerLetter"/>
      <w:start w:val="3"/>
    </w:lvl>
  </w:abstractNum>
  <w:abstractNum w:abstractNumId="389">
    <w:nsid w:val="44296C6D"/>
    <w:multiLevelType w:val="hybridMultilevel"/>
    <w:lvl w:ilvl="0">
      <w:lvlJc w:val="left"/>
      <w:lvlText w:val="(%1)"/>
      <w:numFmt w:val="lowerLetter"/>
      <w:start w:val="1"/>
    </w:lvl>
  </w:abstractNum>
  <w:abstractNum w:abstractNumId="390">
    <w:nsid w:val="3A86D445"/>
    <w:multiLevelType w:val="hybridMultilevel"/>
    <w:lvl w:ilvl="0">
      <w:lvlJc w:val="left"/>
      <w:lvlText w:val="(%1)"/>
      <w:numFmt w:val="lowerLetter"/>
      <w:start w:val="1"/>
    </w:lvl>
  </w:abstractNum>
  <w:abstractNum w:abstractNumId="391">
    <w:nsid w:val="51F79246"/>
    <w:multiLevelType w:val="hybridMultilevel"/>
    <w:lvl w:ilvl="0">
      <w:lvlJc w:val="left"/>
      <w:lvlText w:val="(%1)"/>
      <w:numFmt w:val="lowerLetter"/>
      <w:start w:val="3"/>
    </w:lvl>
  </w:abstractNum>
  <w:abstractNum w:abstractNumId="392">
    <w:nsid w:val="5BC9A827"/>
    <w:multiLevelType w:val="hybridMultilevel"/>
    <w:lvl w:ilvl="0">
      <w:lvlJc w:val="left"/>
      <w:lvlText w:val="(%1)"/>
      <w:numFmt w:val="lowerLetter"/>
      <w:start w:val="1"/>
    </w:lvl>
  </w:abstractNum>
  <w:abstractNum w:abstractNumId="393">
    <w:nsid w:val="3AE37D86"/>
    <w:multiLevelType w:val="hybridMultilevel"/>
    <w:lvl w:ilvl="0">
      <w:lvlJc w:val="left"/>
      <w:lvlText w:val="(%1)"/>
      <w:numFmt w:val="lowerLetter"/>
      <w:start w:val="2"/>
    </w:lvl>
  </w:abstractNum>
  <w:abstractNum w:abstractNumId="394">
    <w:nsid w:val="45440FE5"/>
    <w:multiLevelType w:val="hybridMultilevel"/>
    <w:lvl w:ilvl="0">
      <w:lvlJc w:val="left"/>
      <w:lvlText w:val="(%1)"/>
      <w:numFmt w:val="lowerLetter"/>
      <w:start w:val="4"/>
    </w:lvl>
  </w:abstractNum>
  <w:abstractNum w:abstractNumId="395">
    <w:nsid w:val="BF783F"/>
    <w:multiLevelType w:val="hybridMultilevel"/>
    <w:lvl w:ilvl="0">
      <w:lvlJc w:val="left"/>
      <w:lvlText w:val="(%1)"/>
      <w:numFmt w:val="lowerLetter"/>
      <w:start w:val="1"/>
    </w:lvl>
  </w:abstractNum>
  <w:abstractNum w:abstractNumId="396">
    <w:nsid w:val="22643EA9"/>
    <w:multiLevelType w:val="hybridMultilevel"/>
    <w:lvl w:ilvl="0">
      <w:lvlJc w:val="left"/>
      <w:lvlText w:val="(%1)"/>
      <w:numFmt w:val="lowerLetter"/>
      <w:start w:val="2"/>
    </w:lvl>
  </w:abstractNum>
  <w:abstractNum w:abstractNumId="397">
    <w:nsid w:val="1887578D"/>
    <w:multiLevelType w:val="hybridMultilevel"/>
    <w:lvl w:ilvl="0">
      <w:lvlJc w:val="left"/>
      <w:lvlText w:val="(%1)"/>
      <w:numFmt w:val="lowerLetter"/>
      <w:start w:val="1"/>
    </w:lvl>
  </w:abstractNum>
  <w:abstractNum w:abstractNumId="398">
    <w:nsid w:val="58C05B8A"/>
    <w:multiLevelType w:val="hybridMultilevel"/>
    <w:lvl w:ilvl="0">
      <w:lvlJc w:val="left"/>
      <w:lvlText w:val="(%1)"/>
      <w:numFmt w:val="lowerLetter"/>
      <w:start w:val="2"/>
    </w:lvl>
  </w:abstractNum>
  <w:abstractNum w:abstractNumId="399">
    <w:nsid w:val="38D82E71"/>
    <w:multiLevelType w:val="hybridMultilevel"/>
    <w:lvl w:ilvl="0">
      <w:lvlJc w:val="left"/>
      <w:lvlText w:val="(%1)"/>
      <w:numFmt w:val="lowerLetter"/>
      <w:start w:val="1"/>
    </w:lvl>
    <w:lvl w:ilvl="1">
      <w:lvlJc w:val="left"/>
      <w:lvlText w:val="(%2)"/>
      <w:numFmt w:val="lowerRoman"/>
      <w:start w:val="1"/>
    </w:lvl>
  </w:abstractNum>
  <w:abstractNum w:abstractNumId="400">
    <w:nsid w:val="1E41098A"/>
    <w:multiLevelType w:val="hybridMultilevel"/>
    <w:lvl w:ilvl="0">
      <w:lvlJc w:val="left"/>
      <w:lvlText w:val="(%1)"/>
      <w:numFmt w:val="lowerRoman"/>
      <w:start w:val="8"/>
    </w:lvl>
  </w:abstractNum>
  <w:abstractNum w:abstractNumId="401">
    <w:nsid w:val="5398582C"/>
    <w:multiLevelType w:val="hybridMultilevel"/>
    <w:lvl w:ilvl="0">
      <w:lvlJc w:val="left"/>
      <w:lvlText w:val="(%1)"/>
      <w:numFmt w:val="lowerLetter"/>
      <w:start w:val="3"/>
    </w:lvl>
  </w:abstractNum>
  <w:abstractNum w:abstractNumId="402">
    <w:nsid w:val="1C0D4475"/>
    <w:multiLevelType w:val="hybridMultilevel"/>
    <w:lvl w:ilvl="0">
      <w:lvlJc w:val="left"/>
      <w:lvlText w:val="%1"/>
      <w:numFmt w:val="decimal"/>
      <w:start w:val="1"/>
    </w:lvl>
    <w:lvl w:ilvl="1">
      <w:lvlJc w:val="left"/>
      <w:lvlText w:val="(%2)"/>
      <w:numFmt w:val="lowerLetter"/>
      <w:start w:val="1"/>
    </w:lvl>
  </w:abstractNum>
  <w:abstractNum w:abstractNumId="403">
    <w:nsid w:val="2CB6A6A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04">
    <w:nsid w:val="41D646BC"/>
    <w:multiLevelType w:val="hybridMultilevel"/>
    <w:lvl w:ilvl="0">
      <w:lvlJc w:val="left"/>
      <w:lvlText w:val="%1"/>
      <w:numFmt w:val="lowerRoman"/>
      <w:start w:val="1"/>
    </w:lvl>
    <w:lvl w:ilvl="1">
      <w:lvlJc w:val="left"/>
      <w:lvlText w:val="(%2)"/>
      <w:numFmt w:val="upperLetter"/>
      <w:start w:val="3"/>
    </w:lvl>
  </w:abstractNum>
  <w:abstractNum w:abstractNumId="405">
    <w:nsid w:val="3694A76A"/>
    <w:multiLevelType w:val="hybridMultilevel"/>
    <w:lvl w:ilvl="0">
      <w:lvlJc w:val="left"/>
      <w:lvlText w:val="(%1)"/>
      <w:numFmt w:val="lowerRoman"/>
      <w:start w:val="2"/>
    </w:lvl>
    <w:lvl w:ilvl="1">
      <w:lvlJc w:val="left"/>
      <w:lvlText w:val="(%2)"/>
      <w:numFmt w:val="upperLetter"/>
      <w:start w:val="1"/>
    </w:lvl>
  </w:abstractNum>
  <w:abstractNum w:abstractNumId="406">
    <w:nsid w:val="2BF876EE"/>
    <w:multiLevelType w:val="hybridMultilevel"/>
    <w:lvl w:ilvl="0">
      <w:lvlJc w:val="left"/>
      <w:lvlText w:val="(%1)"/>
      <w:numFmt w:val="lowerRoman"/>
      <w:start w:val="4"/>
    </w:lvl>
  </w:abstractNum>
  <w:abstractNum w:abstractNumId="407">
    <w:nsid w:val="675ADBA"/>
    <w:multiLevelType w:val="hybridMultilevel"/>
    <w:lvl w:ilvl="0">
      <w:lvlJc w:val="left"/>
      <w:lvlText w:val="(%1)"/>
      <w:numFmt w:val="lowerLetter"/>
      <w:start w:val="1"/>
    </w:lvl>
    <w:lvl w:ilvl="1">
      <w:lvlJc w:val="left"/>
      <w:lvlText w:val="(%2)"/>
      <w:numFmt w:val="lowerRoman"/>
      <w:start w:val="1"/>
    </w:lvl>
  </w:abstractNum>
  <w:abstractNum w:abstractNumId="408">
    <w:nsid w:val="C12AC7F"/>
    <w:multiLevelType w:val="hybridMultilevel"/>
    <w:lvl w:ilvl="0">
      <w:lvlJc w:val="left"/>
      <w:lvlText w:val="(%1)"/>
      <w:numFmt w:val="lowerRoman"/>
      <w:start w:val="4"/>
    </w:lvl>
    <w:lvl w:ilvl="1">
      <w:lvlJc w:val="left"/>
      <w:lvlText w:val="(%2)"/>
      <w:numFmt w:val="upperLetter"/>
      <w:start w:val="1"/>
    </w:lvl>
  </w:abstractNum>
  <w:abstractNum w:abstractNumId="409">
    <w:nsid w:val="6798F039"/>
    <w:multiLevelType w:val="hybridMultilevel"/>
    <w:lvl w:ilvl="0">
      <w:lvlJc w:val="left"/>
      <w:lvlText w:val="(%1)"/>
      <w:numFmt w:val="upperLetter"/>
      <w:start w:val="5"/>
    </w:lvl>
  </w:abstractNum>
  <w:abstractNum w:abstractNumId="410">
    <w:nsid w:val="70837C02"/>
    <w:multiLevelType w:val="hybridMultilevel"/>
    <w:lvl w:ilvl="0">
      <w:lvlJc w:val="left"/>
      <w:lvlText w:val="(%1)"/>
      <w:numFmt w:val="lowerLetter"/>
      <w:start w:val="2"/>
    </w:lvl>
  </w:abstractNum>
  <w:abstractNum w:abstractNumId="411">
    <w:nsid w:val="7E4A5715"/>
    <w:multiLevelType w:val="hybridMultilevel"/>
    <w:lvl w:ilvl="0">
      <w:lvlJc w:val="left"/>
      <w:lvlText w:val="(%1)"/>
      <w:numFmt w:val="upperLetter"/>
      <w:start w:val="2"/>
    </w:lvl>
    <w:lvl w:ilvl="1">
      <w:lvlJc w:val="left"/>
      <w:lvlText w:val="(%2)"/>
      <w:numFmt w:val="lowerLetter"/>
      <w:start w:val="4"/>
    </w:lvl>
  </w:abstractNum>
  <w:abstractNum w:abstractNumId="412">
    <w:nsid w:val="42B8AC67"/>
    <w:multiLevelType w:val="hybridMultilevel"/>
    <w:lvl w:ilvl="0">
      <w:lvlJc w:val="left"/>
      <w:lvlText w:val="(%1)"/>
      <w:numFmt w:val="lowerLetter"/>
      <w:start w:val="1"/>
    </w:lvl>
  </w:abstractNum>
  <w:abstractNum w:abstractNumId="413">
    <w:nsid w:val="246348EA"/>
    <w:multiLevelType w:val="hybridMultilevel"/>
    <w:lvl w:ilvl="0">
      <w:lvlJc w:val="left"/>
      <w:lvlText w:val="(%1)"/>
      <w:numFmt w:val="lowerLetter"/>
      <w:start w:val="3"/>
    </w:lvl>
  </w:abstractNum>
  <w:abstractNum w:abstractNumId="414">
    <w:nsid w:val="170EB52B"/>
    <w:multiLevelType w:val="hybridMultilevel"/>
    <w:lvl w:ilvl="0">
      <w:lvlJc w:val="left"/>
      <w:lvlText w:val="(%1)"/>
      <w:numFmt w:val="lowerLetter"/>
      <w:start w:val="1"/>
    </w:lvl>
  </w:abstractNum>
  <w:abstractNum w:abstractNumId="415">
    <w:nsid w:val="2DFBCB8C"/>
    <w:multiLevelType w:val="hybridMultilevel"/>
    <w:lvl w:ilvl="0">
      <w:lvlJc w:val="left"/>
      <w:lvlText w:val="(%1)"/>
      <w:numFmt w:val="lowerLetter"/>
      <w:start w:val="3"/>
    </w:lvl>
  </w:abstractNum>
  <w:abstractNum w:abstractNumId="416">
    <w:nsid w:val="3830D6B6"/>
    <w:multiLevelType w:val="hybridMultilevel"/>
    <w:lvl w:ilvl="0">
      <w:lvlJc w:val="left"/>
      <w:lvlText w:val="(%1)"/>
      <w:numFmt w:val="lowerLetter"/>
      <w:start w:val="1"/>
    </w:lvl>
    <w:lvl w:ilvl="1">
      <w:lvlJc w:val="left"/>
      <w:lvlText w:val="(%2)"/>
      <w:numFmt w:val="lowerRoman"/>
      <w:start w:val="1"/>
    </w:lvl>
  </w:abstractNum>
  <w:abstractNum w:abstractNumId="417">
    <w:nsid w:val="6D48CF87"/>
    <w:multiLevelType w:val="hybridMultilevel"/>
    <w:lvl w:ilvl="0">
      <w:lvlJc w:val="left"/>
      <w:lvlText w:val="%1"/>
      <w:numFmt w:val="lowerLetter"/>
      <w:start w:val="1"/>
    </w:lvl>
    <w:lvl w:ilvl="1">
      <w:lvlJc w:val="left"/>
      <w:lvlText w:val="(%2)"/>
      <w:numFmt w:val="upperLetter"/>
      <w:start w:val="1"/>
    </w:lvl>
  </w:abstractNum>
  <w:abstractNum w:abstractNumId="418">
    <w:nsid w:val="576FC41B"/>
    <w:multiLevelType w:val="hybridMultilevel"/>
    <w:lvl w:ilvl="0">
      <w:lvlJc w:val="left"/>
      <w:lvlText w:val="(%1)"/>
      <w:numFmt w:val="lowerLetter"/>
      <w:start w:val="2"/>
    </w:lvl>
    <w:lvl w:ilvl="1">
      <w:lvlJc w:val="left"/>
      <w:lvlText w:val="%2"/>
      <w:numFmt w:val="upperLetter"/>
      <w:start w:val="1"/>
    </w:lvl>
  </w:abstractNum>
  <w:abstractNum w:abstractNumId="419">
    <w:nsid w:val="64A1C464"/>
    <w:multiLevelType w:val="hybridMultilevel"/>
    <w:lvl w:ilvl="0">
      <w:lvlJc w:val="left"/>
      <w:lvlText w:val="(%1)"/>
      <w:numFmt w:val="lowerLetter"/>
      <w:start w:val="3"/>
    </w:lvl>
    <w:lvl w:ilvl="1">
      <w:lvlJc w:val="left"/>
      <w:lvlText w:val="(%2)"/>
      <w:numFmt w:val="lowerRoman"/>
      <w:start w:val="1"/>
    </w:lvl>
  </w:abstractNum>
  <w:abstractNum w:abstractNumId="420">
    <w:nsid w:val="31723BF5"/>
    <w:multiLevelType w:val="hybridMultilevel"/>
    <w:lvl w:ilvl="0">
      <w:lvlJc w:val="left"/>
      <w:lvlText w:val="(%1)"/>
      <w:numFmt w:val="lowerLetter"/>
      <w:start w:val="4"/>
    </w:lvl>
    <w:lvl w:ilvl="1">
      <w:lvlJc w:val="left"/>
      <w:lvlText w:val="(%2)"/>
      <w:numFmt w:val="lowerRoman"/>
      <w:start w:val="1"/>
    </w:lvl>
  </w:abstractNum>
  <w:abstractNum w:abstractNumId="421">
    <w:nsid w:val="11F69861"/>
    <w:multiLevelType w:val="hybridMultilevel"/>
    <w:lvl w:ilvl="0">
      <w:lvlJc w:val="left"/>
      <w:lvlText w:val="(%1)"/>
      <w:numFmt w:val="lowerLetter"/>
      <w:start w:val="6"/>
    </w:lvl>
  </w:abstractNum>
  <w:abstractNum w:abstractNumId="422">
    <w:nsid w:val="369956AB"/>
    <w:multiLevelType w:val="hybridMultilevel"/>
    <w:lvl w:ilvl="0">
      <w:lvlJc w:val="left"/>
      <w:lvlText w:val="(%1)"/>
      <w:numFmt w:val="lowerLetter"/>
      <w:start w:val="1"/>
    </w:lvl>
  </w:abstractNum>
  <w:abstractNum w:abstractNumId="423">
    <w:nsid w:val="D3BE41C"/>
    <w:multiLevelType w:val="hybridMultilevel"/>
    <w:lvl w:ilvl="0">
      <w:lvlJc w:val="left"/>
      <w:lvlText w:val="(%1)"/>
      <w:numFmt w:val="lowerLetter"/>
      <w:start w:val="2"/>
    </w:lvl>
  </w:abstractNum>
  <w:abstractNum w:abstractNumId="424">
    <w:nsid w:val="4CDA15E7"/>
    <w:multiLevelType w:val="hybridMultilevel"/>
    <w:lvl w:ilvl="0">
      <w:lvlJc w:val="left"/>
      <w:lvlText w:val="(%1)"/>
      <w:numFmt w:val="lowerLetter"/>
      <w:start w:val="1"/>
    </w:lvl>
  </w:abstractNum>
  <w:abstractNum w:abstractNumId="425">
    <w:nsid w:val="7BDD6690"/>
    <w:multiLevelType w:val="hybridMultilevel"/>
    <w:lvl w:ilvl="0">
      <w:lvlJc w:val="left"/>
      <w:lvlText w:val="(%1)"/>
      <w:numFmt w:val="lowerLetter"/>
      <w:start w:val="7"/>
    </w:lvl>
  </w:abstractNum>
  <w:abstractNum w:abstractNumId="426">
    <w:nsid w:val="DFB5C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7">
    <w:nsid w:val="6F3E5490"/>
    <w:multiLevelType w:val="hybridMultilevel"/>
    <w:lvl w:ilvl="0">
      <w:lvlJc w:val="left"/>
      <w:lvlText w:val="%1"/>
      <w:numFmt w:val="decimal"/>
      <w:start w:val="1"/>
    </w:lvl>
    <w:lvl w:ilvl="1">
      <w:lvlJc w:val="left"/>
      <w:lvlText w:val="(%2)"/>
      <w:numFmt w:val="lowerLetter"/>
      <w:start w:val="4"/>
    </w:lvl>
  </w:abstractNum>
  <w:abstractNum w:abstractNumId="428">
    <w:nsid w:val="1464BE1E"/>
    <w:multiLevelType w:val="hybridMultilevel"/>
    <w:lvl w:ilvl="0">
      <w:lvlJc w:val="left"/>
      <w:lvlText w:val="%1."/>
      <w:numFmt w:val="decimal"/>
      <w:start w:val="2"/>
    </w:lvl>
    <w:lvl w:ilvl="1">
      <w:lvlJc w:val="left"/>
      <w:lvlText w:val="(%2)"/>
      <w:numFmt w:val="lowerLetter"/>
      <w:start w:val="1"/>
    </w:lvl>
  </w:abstractNum>
  <w:abstractNum w:abstractNumId="429">
    <w:nsid w:val="66BBB7E5"/>
    <w:multiLevelType w:val="hybridMultilevel"/>
    <w:lvl w:ilvl="0">
      <w:lvlJc w:val="left"/>
      <w:lvlText w:val="%1"/>
      <w:numFmt w:val="decimal"/>
      <w:start w:val="1"/>
    </w:lvl>
    <w:lvl w:ilvl="1">
      <w:lvlJc w:val="left"/>
      <w:lvlText w:val="(%2)"/>
      <w:numFmt w:val="lowerLetter"/>
      <w:start w:val="2"/>
    </w:lvl>
  </w:abstractNum>
  <w:abstractNum w:abstractNumId="430">
    <w:nsid w:val="28168302"/>
    <w:multiLevelType w:val="hybridMultilevel"/>
    <w:lvl w:ilvl="0">
      <w:lvlJc w:val="left"/>
      <w:lvlText w:val="%1."/>
      <w:numFmt w:val="decimal"/>
      <w:start w:val="3"/>
    </w:lvl>
    <w:lvl w:ilvl="1">
      <w:lvlJc w:val="left"/>
      <w:lvlText w:val="(%2)"/>
      <w:numFmt w:val="lowerLetter"/>
      <w:start w:val="1"/>
    </w:lvl>
  </w:abstractNum>
  <w:abstractNum w:abstractNumId="431">
    <w:nsid w:val="32A5C7A8"/>
    <w:multiLevelType w:val="hybridMultilevel"/>
    <w:lvl w:ilvl="0">
      <w:lvlJc w:val="left"/>
      <w:lvlText w:val="%1"/>
      <w:numFmt w:val="decimal"/>
      <w:start w:val="1"/>
    </w:lvl>
    <w:lvl w:ilvl="1">
      <w:lvlJc w:val="left"/>
      <w:lvlText w:val="(%2)"/>
      <w:numFmt w:val="lowerLetter"/>
      <w:start w:val="5"/>
    </w:lvl>
  </w:abstractNum>
  <w:abstractNum w:abstractNumId="432">
    <w:nsid w:val="3A541011"/>
    <w:multiLevelType w:val="hybridMultilevel"/>
    <w:lvl w:ilvl="0">
      <w:lvlJc w:val="left"/>
      <w:lvlText w:val="%1."/>
      <w:numFmt w:val="decimal"/>
      <w:start w:val="7"/>
    </w:lvl>
    <w:lvl w:ilvl="1">
      <w:lvlJc w:val="left"/>
      <w:lvlText w:val="(%2)"/>
      <w:numFmt w:val="lowerLetter"/>
      <w:start w:val="1"/>
    </w:lvl>
  </w:abstractNum>
  <w:abstractNum w:abstractNumId="433">
    <w:nsid w:val="4423C777"/>
    <w:multiLevelType w:val="hybridMultilevel"/>
    <w:lvl w:ilvl="0">
      <w:lvlJc w:val="left"/>
      <w:lvlText w:val="%1"/>
      <w:numFmt w:val="decimal"/>
      <w:start w:val="1"/>
    </w:lvl>
    <w:lvl w:ilvl="1">
      <w:lvlJc w:val="left"/>
      <w:lvlText w:val="(%2)"/>
      <w:numFmt w:val="lowerLetter"/>
      <w:start w:val="3"/>
    </w:lvl>
  </w:abstractNum>
  <w:abstractNum w:abstractNumId="434">
    <w:nsid w:val="5F5C6E4D"/>
    <w:multiLevelType w:val="hybridMultilevel"/>
    <w:lvl w:ilvl="0">
      <w:lvlJc w:val="left"/>
      <w:lvlText w:val="%1."/>
      <w:numFmt w:val="decimal"/>
      <w:start w:val="8"/>
    </w:lvl>
    <w:lvl w:ilvl="1">
      <w:lvlJc w:val="left"/>
      <w:lvlText w:val="%2"/>
      <w:numFmt w:val="lowerLetter"/>
      <w:start w:val="1"/>
    </w:lvl>
  </w:abstractNum>
  <w:abstractNum w:abstractNumId="435">
    <w:nsid w:val="7C2A56CD"/>
    <w:multiLevelType w:val="hybridMultilevel"/>
    <w:lvl w:ilvl="0">
      <w:lvlJc w:val="left"/>
      <w:lvlText w:val="(%1)"/>
      <w:numFmt w:val="lowerRoman"/>
      <w:start w:val="1"/>
    </w:lvl>
  </w:abstractNum>
  <w:abstractNum w:abstractNumId="436">
    <w:nsid w:val="7AB86EE1"/>
    <w:multiLevelType w:val="hybridMultilevel"/>
    <w:lvl w:ilvl="0">
      <w:lvlJc w:val="left"/>
      <w:lvlText w:val="(%1)"/>
      <w:numFmt w:val="lowerRoman"/>
      <w:start w:val="6"/>
    </w:lvl>
  </w:abstractNum>
  <w:abstractNum w:abstractNumId="437">
    <w:nsid w:val="B54E5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8">
    <w:nsid w:val="2A00487"/>
    <w:multiLevelType w:val="hybridMultilevel"/>
    <w:lvl w:ilvl="0">
      <w:lvlJc w:val="left"/>
      <w:lvlText w:val="%1."/>
      <w:numFmt w:val="decimal"/>
      <w:start w:val="2"/>
    </w:lvl>
    <w:lvl w:ilvl="1">
      <w:lvlJc w:val="left"/>
      <w:lvlText w:val="(%2)"/>
      <w:numFmt w:val="lowerLetter"/>
      <w:start w:val="1"/>
    </w:lvl>
  </w:abstractNum>
  <w:abstractNum w:abstractNumId="439">
    <w:nsid w:val="6CB1B60"/>
    <w:multiLevelType w:val="hybridMultilevel"/>
    <w:lvl w:ilvl="0">
      <w:lvlJc w:val="left"/>
      <w:lvlText w:val="%1."/>
      <w:numFmt w:val="decimal"/>
      <w:start w:val="5"/>
    </w:lvl>
    <w:lvl w:ilvl="1">
      <w:lvlJc w:val="left"/>
      <w:lvlText w:val="(%2)"/>
      <w:numFmt w:val="lowerLetter"/>
      <w:start w:val="1"/>
    </w:lvl>
  </w:abstractNum>
  <w:abstractNum w:abstractNumId="440">
    <w:nsid w:val="72EDD574"/>
    <w:multiLevelType w:val="hybridMultilevel"/>
    <w:lvl w:ilvl="0">
      <w:lvlJc w:val="left"/>
      <w:lvlText w:val="%1"/>
      <w:numFmt w:val="decimal"/>
      <w:start w:val="1"/>
    </w:lvl>
    <w:lvl w:ilvl="1">
      <w:lvlJc w:val="left"/>
      <w:lvlText w:val="(%2)"/>
      <w:numFmt w:val="lowerLetter"/>
      <w:start w:val="8"/>
    </w:lvl>
  </w:abstractNum>
  <w:abstractNum w:abstractNumId="441">
    <w:nsid w:val="7323808A"/>
    <w:multiLevelType w:val="hybridMultilevel"/>
    <w:lvl w:ilvl="0">
      <w:lvlJc w:val="left"/>
      <w:lvlText w:val="%1."/>
      <w:numFmt w:val="decimal"/>
      <w:start w:val="7"/>
    </w:lvl>
    <w:lvl w:ilvl="1">
      <w:lvlJc w:val="left"/>
      <w:lvlText w:val="(%2)"/>
      <w:numFmt w:val="lowerLetter"/>
      <w:start w:val="1"/>
    </w:lvl>
  </w:abstractNum>
  <w:abstractNum w:abstractNumId="442">
    <w:nsid w:val="5157276"/>
    <w:multiLevelType w:val="hybridMultilevel"/>
    <w:lvl w:ilvl="0">
      <w:lvlJc w:val="left"/>
      <w:lvlText w:val="%1"/>
      <w:numFmt w:val="decimal"/>
      <w:start w:val="1"/>
    </w:lvl>
    <w:lvl w:ilvl="1">
      <w:lvlJc w:val="left"/>
      <w:lvlText w:val="(%2)"/>
      <w:numFmt w:val="lowerLetter"/>
      <w:start w:val="4"/>
    </w:lvl>
  </w:abstractNum>
  <w:abstractNum w:abstractNumId="443">
    <w:nsid w:val="35A681DB"/>
    <w:multiLevelType w:val="hybridMultilevel"/>
    <w:lvl w:ilvl="0">
      <w:lvlJc w:val="left"/>
      <w:lvlText w:val="%1."/>
      <w:numFmt w:val="decimal"/>
      <w:start w:val="8"/>
    </w:lvl>
    <w:lvl w:ilvl="1">
      <w:lvlJc w:val="left"/>
      <w:lvlText w:val="%2"/>
      <w:numFmt w:val="lowerLetter"/>
      <w:start w:val="1"/>
    </w:lvl>
  </w:abstractNum>
  <w:abstractNum w:abstractNumId="444">
    <w:nsid w:val="1786C974"/>
    <w:multiLevelType w:val="hybridMultilevel"/>
    <w:lvl w:ilvl="0">
      <w:lvlJc w:val="left"/>
      <w:lvlText w:val="(%1)"/>
      <w:numFmt w:val="lowerRoman"/>
      <w:start w:val="1"/>
    </w:lvl>
  </w:abstractNum>
  <w:abstractNum w:abstractNumId="445">
    <w:nsid w:val="1C2427A1"/>
    <w:multiLevelType w:val="hybridMultilevel"/>
    <w:lvl w:ilvl="0">
      <w:lvlJc w:val="left"/>
      <w:lvlText w:val="(%1)"/>
      <w:numFmt w:val="lowerRoman"/>
      <w:start w:val="6"/>
    </w:lvl>
  </w:abstractNum>
  <w:abstractNum w:abstractNumId="446">
    <w:nsid w:val="63A24D6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7">
    <w:nsid w:val="4FB7A02A"/>
    <w:multiLevelType w:val="hybridMultilevel"/>
    <w:lvl w:ilvl="0">
      <w:lvlJc w:val="left"/>
      <w:lvlText w:val="%1."/>
      <w:numFmt w:val="decimal"/>
      <w:start w:val="2"/>
    </w:lvl>
    <w:lvl w:ilvl="1">
      <w:lvlJc w:val="left"/>
      <w:lvlText w:val="(%2)"/>
      <w:numFmt w:val="lowerLetter"/>
      <w:start w:val="1"/>
    </w:lvl>
  </w:abstractNum>
  <w:abstractNum w:abstractNumId="448">
    <w:nsid w:val="96CF728"/>
    <w:multiLevelType w:val="hybridMultilevel"/>
    <w:lvl w:ilvl="0">
      <w:lvlJc w:val="left"/>
      <w:lvlText w:val="%1."/>
      <w:numFmt w:val="decimal"/>
      <w:start w:val="5"/>
    </w:lvl>
    <w:lvl w:ilvl="1">
      <w:lvlJc w:val="left"/>
      <w:lvlText w:val="(%2)"/>
      <w:numFmt w:val="lowerLetter"/>
      <w:start w:val="1"/>
    </w:lvl>
  </w:abstractNum>
  <w:abstractNum w:abstractNumId="449">
    <w:nsid w:val="3B121183"/>
    <w:multiLevelType w:val="hybridMultilevel"/>
    <w:lvl w:ilvl="0">
      <w:lvlJc w:val="left"/>
      <w:lvlText w:val="%1"/>
      <w:numFmt w:val="decimal"/>
      <w:start w:val="1"/>
    </w:lvl>
    <w:lvl w:ilvl="1">
      <w:lvlJc w:val="left"/>
      <w:lvlText w:val="(%2)"/>
      <w:numFmt w:val="lowerLetter"/>
      <w:start w:val="3"/>
    </w:lvl>
  </w:abstractNum>
  <w:abstractNum w:abstractNumId="450">
    <w:nsid w:val="3459648F"/>
    <w:multiLevelType w:val="hybridMultilevel"/>
    <w:lvl w:ilvl="0">
      <w:lvlJc w:val="left"/>
      <w:lvlText w:val="%1."/>
      <w:numFmt w:val="decimal"/>
      <w:start w:val="7"/>
    </w:lvl>
    <w:lvl w:ilvl="1">
      <w:lvlJc w:val="left"/>
      <w:lvlText w:val="(%2)"/>
      <w:numFmt w:val="lowerLetter"/>
      <w:start w:val="1"/>
    </w:lvl>
  </w:abstractNum>
  <w:abstractNum w:abstractNumId="451">
    <w:nsid w:val="3ADF331D"/>
    <w:multiLevelType w:val="hybridMultilevel"/>
    <w:lvl w:ilvl="0">
      <w:lvlJc w:val="left"/>
      <w:lvlText w:val="(%1)"/>
      <w:numFmt w:val="lowerLetter"/>
      <w:start w:val="10"/>
    </w:lvl>
  </w:abstractNum>
  <w:abstractNum w:abstractNumId="452">
    <w:nsid w:val="4D08A9E4"/>
    <w:multiLevelType w:val="hybridMultilevel"/>
    <w:lvl w:ilvl="0">
      <w:lvlJc w:val="left"/>
      <w:lvlText w:val="%1."/>
      <w:numFmt w:val="decimal"/>
      <w:start w:val="8"/>
    </w:lvl>
  </w:abstractNum>
  <w:abstractNum w:abstractNumId="453">
    <w:nsid w:val="6AF2BB3A"/>
    <w:multiLevelType w:val="hybridMultilevel"/>
    <w:lvl w:ilvl="0">
      <w:lvlJc w:val="left"/>
      <w:lvlText w:val="%1."/>
      <w:numFmt w:val="decimal"/>
      <w:start w:val="9"/>
    </w:lvl>
    <w:lvl w:ilvl="1">
      <w:lvlJc w:val="left"/>
      <w:lvlText w:val="(%2)"/>
      <w:numFmt w:val="lowerLetter"/>
      <w:start w:val="1"/>
    </w:lvl>
  </w:abstractNum>
  <w:abstractNum w:abstractNumId="454">
    <w:nsid w:val="481B1739"/>
    <w:multiLevelType w:val="hybridMultilevel"/>
    <w:lvl w:ilvl="0">
      <w:lvlJc w:val="left"/>
      <w:lvlText w:val="(%1)"/>
      <w:numFmt w:val="lowerLetter"/>
      <w:start w:val="5"/>
    </w:lvl>
  </w:abstractNum>
  <w:abstractNum w:abstractNumId="455">
    <w:nsid w:val="19E2BFCC"/>
    <w:multiLevelType w:val="hybridMultilevel"/>
    <w:lvl w:ilvl="0">
      <w:lvlJc w:val="left"/>
      <w:lvlText w:val="(%1)"/>
      <w:numFmt w:val="lowerLetter"/>
      <w:start w:val="10"/>
    </w:lvl>
  </w:abstractNum>
  <w:abstractNum w:abstractNumId="456">
    <w:nsid w:val="66D021CA"/>
    <w:multiLevelType w:val="hybridMultilevel"/>
    <w:lvl w:ilvl="0">
      <w:lvlJc w:val="left"/>
      <w:lvlText w:val="%1."/>
      <w:numFmt w:val="decimal"/>
      <w:start w:val="10"/>
    </w:lvl>
    <w:lvl w:ilvl="1">
      <w:lvlJc w:val="left"/>
      <w:lvlText w:val="(%2)"/>
      <w:numFmt w:val="lowerLetter"/>
      <w:start w:val="1"/>
    </w:lvl>
  </w:abstractNum>
  <w:abstractNum w:abstractNumId="457">
    <w:nsid w:val="56167394"/>
    <w:multiLevelType w:val="hybridMultilevel"/>
    <w:lvl w:ilvl="0">
      <w:lvlJc w:val="left"/>
      <w:lvlText w:val="(%1)"/>
      <w:numFmt w:val="lowerLetter"/>
      <w:start w:val="1"/>
    </w:lvl>
  </w:abstractNum>
  <w:abstractNum w:abstractNumId="458">
    <w:nsid w:val="921145C"/>
    <w:multiLevelType w:val="hybridMultilevel"/>
    <w:lvl w:ilvl="0">
      <w:lvlJc w:val="left"/>
      <w:lvlText w:val="(%1)"/>
      <w:numFmt w:val="lowerLetter"/>
      <w:start w:val="1"/>
    </w:lvl>
  </w:abstractNum>
  <w:abstractNum w:abstractNumId="459">
    <w:nsid w:val="7B34DFE8"/>
    <w:multiLevelType w:val="hybridMultilevel"/>
    <w:lvl w:ilvl="0">
      <w:lvlJc w:val="left"/>
      <w:lvlText w:val="(%1)"/>
      <w:numFmt w:val="lowerRoman"/>
      <w:start w:val="1"/>
    </w:lvl>
  </w:abstractNum>
  <w:abstractNum w:abstractNumId="460">
    <w:nsid w:val="3CD22B79"/>
    <w:multiLevelType w:val="hybridMultilevel"/>
    <w:lvl w:ilvl="0">
      <w:lvlJc w:val="left"/>
      <w:lvlText w:val="%1."/>
      <w:numFmt w:val="decimal"/>
      <w:start w:val="1"/>
    </w:lvl>
  </w:abstractNum>
  <w:abstractNum w:abstractNumId="461">
    <w:nsid w:val="3137975E"/>
    <w:multiLevelType w:val="hybridMultilevel"/>
    <w:lvl w:ilvl="0">
      <w:lvlJc w:val="left"/>
      <w:lvlText w:val="%1."/>
      <w:numFmt w:val="decimal"/>
      <w:start w:val="2"/>
    </w:lvl>
  </w:abstractNum>
  <w:abstractNum w:abstractNumId="462">
    <w:nsid w:val="2DDAA791"/>
    <w:multiLevelType w:val="hybridMultilevel"/>
    <w:lvl w:ilvl="0">
      <w:lvlJc w:val="left"/>
      <w:lvlText w:val="%1."/>
      <w:numFmt w:val="decimal"/>
      <w:start w:val="3"/>
    </w:lvl>
    <w:lvl w:ilvl="1">
      <w:lvlJc w:val="left"/>
      <w:lvlText w:val="(%2)"/>
      <w:numFmt w:val="lowerLetter"/>
      <w:start w:val="1"/>
    </w:lvl>
  </w:abstractNum>
  <w:abstractNum w:abstractNumId="463">
    <w:nsid w:val="77263B8A"/>
    <w:multiLevelType w:val="hybridMultilevel"/>
    <w:lvl w:ilvl="0">
      <w:lvlJc w:val="left"/>
      <w:lvlText w:val="(%1)"/>
      <w:numFmt w:val="lowerLetter"/>
      <w:start w:val="2"/>
    </w:lvl>
  </w:abstractNum>
  <w:abstractNum w:abstractNumId="464">
    <w:nsid w:val="755B5ED6"/>
    <w:multiLevelType w:val="hybridMultilevel"/>
    <w:lvl w:ilvl="0">
      <w:lvlJc w:val="left"/>
      <w:lvlText w:val="%1."/>
      <w:numFmt w:val="decimal"/>
      <w:start w:val="5"/>
    </w:lvl>
    <w:lvl w:ilvl="1">
      <w:lvlJc w:val="left"/>
      <w:lvlText w:val="(%2)"/>
      <w:numFmt w:val="lowerLetter"/>
      <w:start w:val="1"/>
    </w:lvl>
  </w:abstractNum>
  <w:abstractNum w:abstractNumId="465">
    <w:nsid w:val="D3715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6">
    <w:nsid w:val="73509257"/>
    <w:multiLevelType w:val="hybridMultilevel"/>
    <w:lvl w:ilvl="0">
      <w:lvlJc w:val="left"/>
      <w:lvlText w:val="%1"/>
      <w:numFmt w:val="lowerLetter"/>
      <w:start w:val="1"/>
    </w:lvl>
    <w:lvl w:ilvl="1">
      <w:lvlJc w:val="left"/>
      <w:lvlText w:val="(%2)"/>
      <w:numFmt w:val="lowerRoman"/>
      <w:start w:val="4"/>
    </w:lvl>
  </w:abstractNum>
  <w:abstractNum w:abstractNumId="467">
    <w:nsid w:val="7013CDB7"/>
    <w:multiLevelType w:val="hybridMultilevel"/>
    <w:lvl w:ilvl="0">
      <w:lvlJc w:val="left"/>
      <w:lvlText w:val="(%1)"/>
      <w:numFmt w:val="lowerLetter"/>
      <w:start w:val="5"/>
    </w:lvl>
    <w:lvl w:ilvl="1">
      <w:lvlJc w:val="left"/>
      <w:lvlText w:val="%2"/>
      <w:numFmt w:val="lowerRoman"/>
      <w:start w:val="1"/>
    </w:lvl>
  </w:abstractNum>
  <w:abstractNum w:abstractNumId="468">
    <w:nsid w:val="188BFB19"/>
    <w:multiLevelType w:val="hybridMultilevel"/>
    <w:lvl w:ilvl="0">
      <w:lvlJc w:val="left"/>
      <w:lvlText w:val="(%1)"/>
      <w:numFmt w:val="lowerLetter"/>
      <w:start w:val="12"/>
    </w:lvl>
    <w:lvl w:ilvl="1">
      <w:lvlJc w:val="left"/>
      <w:lvlText w:val="(%2)"/>
      <w:numFmt w:val="lowerRoman"/>
      <w:start w:val="1"/>
    </w:lvl>
  </w:abstractNum>
  <w:abstractNum w:abstractNumId="469">
    <w:nsid w:val="75F096DF"/>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470">
    <w:nsid w:val="76DEE91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71">
    <w:nsid w:val="B79D08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72">
    <w:nsid w:val="6914176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3">
    <w:nsid w:val="7BF45B8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74">
    <w:nsid w:val="41205269"/>
    <w:multiLevelType w:val="hybridMultilevel"/>
    <w:lvl w:ilvl="0">
      <w:lvlJc w:val="left"/>
      <w:lvlText w:val="%1."/>
      <w:numFmt w:val="decimal"/>
      <w:start w:val="7"/>
    </w:lvl>
    <w:lvl w:ilvl="1">
      <w:lvlJc w:val="left"/>
      <w:lvlText w:val="(%2)"/>
      <w:numFmt w:val="lowerLetter"/>
      <w:start w:val="1"/>
    </w:lvl>
  </w:abstractNum>
  <w:abstractNum w:abstractNumId="475">
    <w:nsid w:val="9AE0DD"/>
    <w:multiLevelType w:val="hybridMultilevel"/>
    <w:lvl w:ilvl="0">
      <w:lvlJc w:val="left"/>
      <w:lvlText w:val="%1."/>
      <w:numFmt w:val="decimal"/>
      <w:start w:val="8"/>
    </w:lvl>
    <w:lvl w:ilvl="1">
      <w:lvlJc w:val="left"/>
      <w:lvlText w:val="(%2)"/>
      <w:numFmt w:val="lowerLetter"/>
      <w:start w:val="1"/>
    </w:lvl>
  </w:abstractNum>
  <w:abstractNum w:abstractNumId="476">
    <w:nsid w:val="1818832F"/>
    <w:multiLevelType w:val="hybridMultilevel"/>
    <w:lvl w:ilvl="0">
      <w:lvlJc w:val="left"/>
      <w:lvlText w:val="%1."/>
      <w:numFmt w:val="decimal"/>
      <w:start w:val="9"/>
    </w:lvl>
    <w:lvl w:ilvl="1">
      <w:lvlJc w:val="left"/>
      <w:lvlText w:val="(%2)"/>
      <w:numFmt w:val="lowerLetter"/>
      <w:start w:val="1"/>
    </w:lvl>
  </w:abstractNum>
  <w:abstractNum w:abstractNumId="477">
    <w:nsid w:val="24C29FD1"/>
    <w:multiLevelType w:val="hybridMultilevel"/>
    <w:lvl w:ilvl="0">
      <w:lvlJc w:val="left"/>
      <w:lvlText w:val="%1"/>
      <w:numFmt w:val="decimal"/>
      <w:start w:val="1"/>
    </w:lvl>
    <w:lvl w:ilvl="1">
      <w:lvlJc w:val="left"/>
      <w:lvlText w:val="(%2)"/>
      <w:numFmt w:val="lowerLetter"/>
      <w:start w:val="4"/>
    </w:lvl>
  </w:abstractNum>
  <w:abstractNum w:abstractNumId="478">
    <w:nsid w:val="50528108"/>
    <w:multiLevelType w:val="hybridMultilevel"/>
    <w:lvl w:ilvl="0">
      <w:lvlJc w:val="left"/>
      <w:lvlText w:val="%1."/>
      <w:numFmt w:val="decimal"/>
      <w:start w:val="12"/>
    </w:lvl>
    <w:lvl w:ilvl="1">
      <w:lvlJc w:val="left"/>
      <w:lvlText w:val="(%2)"/>
      <w:numFmt w:val="lowerLetter"/>
      <w:start w:val="1"/>
    </w:lvl>
  </w:abstractNum>
  <w:abstractNum w:abstractNumId="479">
    <w:nsid w:val="21857A57"/>
    <w:multiLevelType w:val="hybridMultilevel"/>
    <w:lvl w:ilvl="0">
      <w:lvlJc w:val="left"/>
      <w:lvlText w:val="%1."/>
      <w:numFmt w:val="decimal"/>
      <w:start w:val="13"/>
    </w:lvl>
  </w:abstractNum>
  <w:abstractNum w:abstractNumId="480">
    <w:nsid w:val="5FD4B154"/>
    <w:multiLevelType w:val="hybridMultilevel"/>
    <w:lvl w:ilvl="0">
      <w:lvlJc w:val="left"/>
      <w:lvlText w:val="%1."/>
      <w:numFmt w:val="decimal"/>
      <w:start w:val="15"/>
    </w:lvl>
  </w:abstractNum>
  <w:abstractNum w:abstractNumId="481">
    <w:nsid w:val="4ABE597"/>
    <w:multiLevelType w:val="hybridMultilevel"/>
    <w:lvl w:ilvl="0">
      <w:lvlJc w:val="left"/>
      <w:lvlText w:val="%1."/>
      <w:numFmt w:val="upperLetter"/>
      <w:start w:val="9"/>
    </w:lvl>
    <w:lvl w:ilvl="1">
      <w:lvlJc w:val="left"/>
      <w:lvlText w:val="(%2)"/>
      <w:numFmt w:val="lowerLetter"/>
      <w:start w:val="1"/>
    </w:lvl>
  </w:abstractNum>
  <w:abstractNum w:abstractNumId="482">
    <w:nsid w:val="5C64AD75"/>
    <w:multiLevelType w:val="hybridMultilevel"/>
    <w:lvl w:ilvl="0">
      <w:lvlJc w:val="left"/>
      <w:lvlText w:val="%1"/>
      <w:numFmt w:val="upperLetter"/>
      <w:start w:val="1"/>
    </w:lvl>
    <w:lvl w:ilvl="1">
      <w:lvlJc w:val="left"/>
      <w:lvlText w:val="(%2)"/>
      <w:numFmt w:val="lowerLetter"/>
      <w:start w:val="4"/>
    </w:lvl>
  </w:abstractNum>
  <w:abstractNum w:abstractNumId="483">
    <w:nsid w:val="2CDD5B39"/>
    <w:multiLevelType w:val="hybridMultilevel"/>
    <w:lvl w:ilvl="0">
      <w:lvlJc w:val="left"/>
      <w:lvlText w:val="%1."/>
      <w:numFmt w:val="upperLetter"/>
      <w:start w:val="35"/>
    </w:lvl>
    <w:lvl w:ilvl="1">
      <w:lvlJc w:val="left"/>
      <w:lvlText w:val="%2"/>
      <w:numFmt w:val="lowerLetter"/>
      <w:start w:val="1"/>
    </w:lvl>
  </w:abstractNum>
  <w:abstractNum w:abstractNumId="484">
    <w:nsid w:val="6F9EA0D1"/>
    <w:multiLevelType w:val="hybridMultilevel"/>
    <w:lvl w:ilvl="0">
      <w:lvlJc w:val="left"/>
      <w:lvlText w:val="(%1)"/>
      <w:numFmt w:val="lowerLetter"/>
      <w:start w:val="1"/>
    </w:lvl>
  </w:abstractNum>
  <w:abstractNum w:abstractNumId="485">
    <w:nsid w:val="247FC4AE"/>
    <w:multiLevelType w:val="hybridMultilevel"/>
    <w:lvl w:ilvl="0">
      <w:lvlJc w:val="left"/>
      <w:lvlText w:val="%1"/>
      <w:numFmt w:val="upperLetter"/>
      <w:start w:val="1"/>
    </w:lvl>
    <w:lvl w:ilvl="1">
      <w:lvlJc w:val="left"/>
      <w:lvlText w:val="(%2)"/>
      <w:numFmt w:val="lowerLetter"/>
      <w:start w:val="2"/>
    </w:lvl>
  </w:abstractNum>
  <w:abstractNum w:abstractNumId="486">
    <w:nsid w:val="46C01B05"/>
    <w:multiLevelType w:val="hybridMultilevel"/>
    <w:lvl w:ilvl="0">
      <w:lvlJc w:val="left"/>
      <w:lvlText w:val="%1."/>
      <w:numFmt w:val="upperLetter"/>
      <w:start w:val="61"/>
    </w:lvl>
    <w:lvl w:ilvl="1">
      <w:lvlJc w:val="left"/>
      <w:lvlText w:val="%2"/>
      <w:numFmt w:val="lowerLetter"/>
      <w:start w:val="1"/>
    </w:lvl>
  </w:abstractNum>
  <w:abstractNum w:abstractNumId="487">
    <w:nsid w:val="566EC29B"/>
    <w:multiLevelType w:val="hybridMultilevel"/>
    <w:lvl w:ilvl="0">
      <w:lvlJc w:val="left"/>
      <w:lvlText w:val="•"/>
      <w:numFmt w:val="bullet"/>
      <w:start w:val="1"/>
    </w:lvl>
  </w:abstractNum>
  <w:abstractNum w:abstractNumId="488">
    <w:nsid w:val="7A963843"/>
    <w:multiLevelType w:val="hybridMultilevel"/>
    <w:lvl w:ilvl="0">
      <w:lvlJc w:val="left"/>
      <w:lvlText w:val="%1."/>
      <w:numFmt w:val="decimal"/>
      <w:start w:val="1"/>
    </w:lvl>
  </w:abstractNum>
  <w:abstractNum w:abstractNumId="489">
    <w:nsid w:val="4FE12F61"/>
    <w:multiLevelType w:val="hybridMultilevel"/>
    <w:lvl w:ilvl="0">
      <w:lvlJc w:val="left"/>
      <w:lvlText w:val="1"/>
      <w:numFmt w:val="bullet"/>
      <w:start w:val="1"/>
    </w:lvl>
  </w:abstractNum>
  <w:abstractNum w:abstractNumId="490">
    <w:nsid w:val="51A3A284"/>
    <w:multiLevelType w:val="hybridMultilevel"/>
    <w:lvl w:ilvl="0">
      <w:lvlJc w:val="left"/>
      <w:lvlText w:val="*"/>
      <w:numFmt w:val="bullet"/>
      <w:start w:val="1"/>
    </w:lvl>
  </w:abstractNum>
  <w:abstractNum w:abstractNumId="491">
    <w:nsid w:val="376863BC"/>
    <w:multiLevelType w:val="hybridMultilevel"/>
    <w:lvl w:ilvl="0">
      <w:lvlJc w:val="left"/>
      <w:lvlText w:val="%1."/>
      <w:numFmt w:val="decimal"/>
      <w:start w:val="1"/>
    </w:lvl>
  </w:abstractNum>
  <w:abstractNum w:abstractNumId="492">
    <w:nsid w:val="118C6C0"/>
    <w:multiLevelType w:val="hybridMultilevel"/>
    <w:lvl w:ilvl="0">
      <w:lvlJc w:val="left"/>
      <w:lvlText w:val="%1."/>
      <w:numFmt w:val="decimal"/>
      <w:start w:val="3"/>
    </w:lvl>
  </w:abstractNum>
  <w:abstractNum w:abstractNumId="493">
    <w:nsid w:val="7F7E4A15"/>
    <w:multiLevelType w:val="hybridMultilevel"/>
    <w:lvl w:ilvl="0">
      <w:lvlJc w:val="left"/>
      <w:lvlText w:val="%1."/>
      <w:numFmt w:val="decimal"/>
      <w:start w:val="1"/>
    </w:lvl>
  </w:abstractNum>
  <w:abstractNum w:abstractNumId="494">
    <w:nsid w:val="2E8E9F47"/>
    <w:multiLevelType w:val="hybridMultilevel"/>
    <w:lvl w:ilvl="0">
      <w:lvlJc w:val="left"/>
      <w:lvlText w:val="%1."/>
      <w:numFmt w:val="decimal"/>
      <w:start w:val="4"/>
    </w:lvl>
  </w:abstractNum>
  <w:abstractNum w:abstractNumId="495">
    <w:nsid w:val="76742596"/>
    <w:multiLevelType w:val="hybridMultilevel"/>
    <w:lvl w:ilvl="0">
      <w:lvlJc w:val="left"/>
      <w:lvlText w:val="(%1)"/>
      <w:numFmt w:val="lowerRoman"/>
      <w:start w:val="1"/>
    </w:lvl>
  </w:abstractNum>
  <w:abstractNum w:abstractNumId="496">
    <w:nsid w:val="CB55FF3"/>
    <w:multiLevelType w:val="hybridMultilevel"/>
    <w:lvl w:ilvl="0">
      <w:lvlJc w:val="left"/>
      <w:lvlText w:val="%1."/>
      <w:numFmt w:val="decimal"/>
      <w:start w:val="1"/>
    </w:lvl>
  </w:abstractNum>
  <w:abstractNum w:abstractNumId="497">
    <w:nsid w:val="21DF319E"/>
    <w:multiLevelType w:val="hybridMultilevel"/>
    <w:lvl w:ilvl="0">
      <w:lvlJc w:val="left"/>
      <w:lvlText w:val="%1."/>
      <w:numFmt w:val="decimal"/>
      <w:start w:val="2"/>
    </w:lvl>
  </w:abstractNum>
  <w:abstractNum w:abstractNumId="498">
    <w:nsid w:val="6687F34D"/>
    <w:multiLevelType w:val="hybridMultilevel"/>
    <w:lvl w:ilvl="0">
      <w:lvlJc w:val="left"/>
      <w:lvlText w:val="%1."/>
      <w:numFmt w:val="decimal"/>
      <w:start w:val="3"/>
    </w:lvl>
    <w:lvl w:ilvl="1">
      <w:lvlJc w:val="left"/>
      <w:lvlText w:val="(%2)"/>
      <w:numFmt w:val="lowerLetter"/>
      <w:start w:val="1"/>
    </w:lvl>
  </w:abstractNum>
  <w:abstractNum w:abstractNumId="499">
    <w:nsid w:val="25415B0C"/>
    <w:multiLevelType w:val="hybridMultilevel"/>
    <w:lvl w:ilvl="0">
      <w:lvlJc w:val="left"/>
      <w:lvlText w:val="%1"/>
      <w:numFmt w:val="decimal"/>
      <w:start w:val="1"/>
    </w:lvl>
    <w:lvl w:ilvl="1">
      <w:lvlJc w:val="left"/>
      <w:lvlText w:val="(%2)"/>
      <w:numFmt w:val="lowerLetter"/>
      <w:start w:val="2"/>
    </w:lvl>
  </w:abstractNum>
  <w:abstractNum w:abstractNumId="500">
    <w:nsid w:val="17CFC87D"/>
    <w:multiLevelType w:val="hybridMultilevel"/>
    <w:lvl w:ilvl="0">
      <w:lvlJc w:val="left"/>
      <w:lvlText w:val="%1."/>
      <w:numFmt w:val="decimal"/>
      <w:start w:val="4"/>
    </w:lvl>
    <w:lvl w:ilvl="1">
      <w:lvlJc w:val="left"/>
      <w:lvlText w:val="(%2)"/>
      <w:numFmt w:val="lowerLetter"/>
      <w:start w:val="1"/>
    </w:lvl>
  </w:abstractNum>
  <w:abstractNum w:abstractNumId="501">
    <w:nsid w:val="5D66DC6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2">
    <w:nsid w:val="30BB2B9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3">
    <w:nsid w:val="E3DFE6"/>
    <w:multiLevelType w:val="hybridMultilevel"/>
    <w:lvl w:ilvl="0">
      <w:lvlJc w:val="left"/>
      <w:lvlText w:val="(%1)"/>
      <w:numFmt w:val="lowerLetter"/>
      <w:start w:val="2"/>
    </w:lvl>
  </w:abstractNum>
  <w:abstractNum w:abstractNumId="504">
    <w:nsid w:val="595B37F3"/>
    <w:multiLevelType w:val="hybridMultilevel"/>
    <w:lvl w:ilvl="0">
      <w:lvlJc w:val="left"/>
      <w:lvlText w:val="%1."/>
      <w:numFmt w:val="decimal"/>
      <w:start w:val="6"/>
    </w:lvl>
    <w:lvl w:ilvl="1">
      <w:lvlJc w:val="left"/>
      <w:lvlText w:val="(%2)"/>
      <w:numFmt w:val="lowerLetter"/>
      <w:start w:val="1"/>
    </w:lvl>
  </w:abstractNum>
  <w:abstractNum w:abstractNumId="505">
    <w:nsid w:val="71DB7E02"/>
    <w:multiLevelType w:val="hybridMultilevel"/>
    <w:lvl w:ilvl="0">
      <w:lvlJc w:val="left"/>
      <w:lvlText w:val="(%1)"/>
      <w:numFmt w:val="lowerLetter"/>
      <w:start w:val="4"/>
    </w:lvl>
  </w:abstractNum>
  <w:abstractNum w:abstractNumId="506">
    <w:nsid w:val="17EC0C4"/>
    <w:multiLevelType w:val="hybridMultilevel"/>
    <w:lvl w:ilvl="0">
      <w:lvlJc w:val="left"/>
      <w:lvlText w:val="%1"/>
      <w:numFmt w:val="decimal"/>
      <w:start w:val="1"/>
    </w:lvl>
    <w:lvl w:ilvl="1">
      <w:lvlJc w:val="left"/>
      <w:lvlText w:val="(%2)"/>
      <w:numFmt w:val="lowerLetter"/>
      <w:start w:val="5"/>
    </w:lvl>
  </w:abstractNum>
  <w:abstractNum w:abstractNumId="507">
    <w:nsid w:val="7173BB22"/>
    <w:multiLevelType w:val="hybridMultilevel"/>
    <w:lvl w:ilvl="0">
      <w:lvlJc w:val="left"/>
      <w:lvlText w:val="%1."/>
      <w:numFmt w:val="decimal"/>
      <w:start w:val="7"/>
    </w:lvl>
    <w:lvl w:ilvl="1">
      <w:lvlJc w:val="left"/>
      <w:lvlText w:val="%2"/>
      <w:numFmt w:val="lowerLetter"/>
      <w:start w:val="1"/>
    </w:lvl>
  </w:abstractNum>
  <w:abstractNum w:abstractNumId="508">
    <w:nsid w:val="169E1DD3"/>
    <w:multiLevelType w:val="hybridMultilevel"/>
    <w:lvl w:ilvl="0">
      <w:lvlJc w:val="left"/>
      <w:lvlText w:val="(%1)"/>
      <w:numFmt w:val="lowerLetter"/>
      <w:start w:val="1"/>
    </w:lvl>
  </w:abstractNum>
  <w:abstractNum w:abstractNumId="509">
    <w:nsid w:val="51D141CC"/>
    <w:multiLevelType w:val="hybridMultilevel"/>
    <w:lvl w:ilvl="0">
      <w:lvlJc w:val="left"/>
      <w:lvlText w:val="(%1)"/>
      <w:numFmt w:val="lowerLetter"/>
      <w:start w:val="3"/>
    </w:lvl>
  </w:abstractNum>
  <w:abstractNum w:abstractNumId="510">
    <w:nsid w:val="12F9357A"/>
    <w:multiLevelType w:val="hybridMultilevel"/>
    <w:lvl w:ilvl="0">
      <w:lvlJc w:val="left"/>
      <w:lvlText w:val="%1."/>
      <w:numFmt w:val="decimal"/>
      <w:start w:val="8"/>
    </w:lvl>
  </w:abstractNum>
  <w:abstractNum w:abstractNumId="511">
    <w:nsid w:val="7672CF28"/>
    <w:multiLevelType w:val="hybridMultilevel"/>
    <w:lvl w:ilvl="0">
      <w:lvlJc w:val="left"/>
      <w:lvlText w:val="%1."/>
      <w:numFmt w:val="decimal"/>
      <w:start w:val="9"/>
    </w:lvl>
    <w:lvl w:ilvl="1">
      <w:lvlJc w:val="left"/>
      <w:lvlText w:val="(%2)"/>
      <w:numFmt w:val="lowerLetter"/>
      <w:start w:val="1"/>
    </w:lvl>
  </w:abstractNum>
  <w:abstractNum w:abstractNumId="512">
    <w:nsid w:val="567D2763"/>
    <w:multiLevelType w:val="hybridMultilevel"/>
    <w:lvl w:ilvl="0">
      <w:lvlJc w:val="left"/>
      <w:lvlText w:val="(%1)"/>
      <w:numFmt w:val="lowerLetter"/>
      <w:start w:val="2"/>
    </w:lvl>
  </w:abstractNum>
  <w:abstractNum w:abstractNumId="513">
    <w:nsid w:val="6F5DE2EF"/>
    <w:multiLevelType w:val="hybridMultilevel"/>
    <w:lvl w:ilvl="0">
      <w:lvlJc w:val="left"/>
      <w:lvlText w:val="%1"/>
      <w:numFmt w:val="lowerLetter"/>
      <w:start w:val="1"/>
    </w:lvl>
    <w:lvl w:ilvl="1">
      <w:lvlJc w:val="left"/>
      <w:lvlText w:val="(%2)"/>
      <w:numFmt w:val="lowerRoman"/>
      <w:start w:val="1"/>
    </w:lvl>
  </w:abstractNum>
  <w:abstractNum w:abstractNumId="514">
    <w:nsid w:val="23502A61"/>
    <w:multiLevelType w:val="hybridMultilevel"/>
    <w:lvl w:ilvl="0">
      <w:lvlJc w:val="left"/>
      <w:lvlText w:val="(%1)"/>
      <w:numFmt w:val="lowerLetter"/>
      <w:start w:val="4"/>
    </w:lvl>
    <w:lvl w:ilvl="1">
      <w:lvlJc w:val="left"/>
      <w:lvlText w:val="%2"/>
      <w:numFmt w:val="lowerRoman"/>
      <w:start w:val="1"/>
    </w:lvl>
  </w:abstractNum>
  <w:abstractNum w:abstractNumId="515">
    <w:nsid w:val="461BC834"/>
    <w:multiLevelType w:val="hybridMultilevel"/>
    <w:lvl w:ilvl="0">
      <w:lvlJc w:val="left"/>
      <w:lvlText w:val="(%1)"/>
      <w:numFmt w:val="lowerLetter"/>
      <w:start w:val="6"/>
    </w:lvl>
  </w:abstractNum>
  <w:abstractNum w:abstractNumId="516">
    <w:nsid w:val="13DDA79D"/>
    <w:multiLevelType w:val="hybridMultilevel"/>
    <w:lvl w:ilvl="0">
      <w:lvlJc w:val="left"/>
      <w:lvlText w:val="%1."/>
      <w:numFmt w:val="decimal"/>
      <w:start w:val="10"/>
    </w:lvl>
  </w:abstractNum>
  <w:abstractNum w:abstractNumId="517">
    <w:nsid w:val="6A104566"/>
    <w:multiLevelType w:val="hybridMultilevel"/>
    <w:lvl w:ilvl="0">
      <w:lvlJc w:val="left"/>
      <w:lvlText w:val="%1."/>
      <w:numFmt w:val="decimal"/>
      <w:start w:val="11"/>
    </w:lvl>
    <w:lvl w:ilvl="1">
      <w:lvlJc w:val="left"/>
      <w:lvlText w:val="(%2)"/>
      <w:numFmt w:val="lowerLetter"/>
      <w:start w:val="1"/>
    </w:lvl>
  </w:abstractNum>
  <w:abstractNum w:abstractNumId="518">
    <w:nsid w:val="1C8A8ACF"/>
    <w:multiLevelType w:val="hybridMultilevel"/>
    <w:lvl w:ilvl="0">
      <w:lvlJc w:val="left"/>
      <w:lvlText w:val="%1."/>
      <w:numFmt w:val="decimal"/>
      <w:start w:val="12"/>
    </w:lvl>
    <w:lvl w:ilvl="1">
      <w:lvlJc w:val="left"/>
      <w:lvlText w:val="(%2)"/>
      <w:numFmt w:val="lowerLetter"/>
      <w:start w:val="1"/>
    </w:lvl>
  </w:abstractNum>
  <w:abstractNum w:abstractNumId="519">
    <w:nsid w:val="E73DFE0"/>
    <w:multiLevelType w:val="hybridMultilevel"/>
    <w:lvl w:ilvl="0">
      <w:lvlJc w:val="left"/>
      <w:lvlText w:val="%1"/>
      <w:numFmt w:val="lowerLetter"/>
      <w:start w:val="1"/>
    </w:lvl>
    <w:lvl w:ilvl="1">
      <w:lvlJc w:val="left"/>
      <w:lvlText w:val="(%2)"/>
      <w:numFmt w:val="lowerLetter"/>
      <w:start w:val="35"/>
    </w:lvl>
  </w:abstractNum>
  <w:abstractNum w:abstractNumId="520">
    <w:nsid w:val="39F174C7"/>
    <w:multiLevelType w:val="hybridMultilevel"/>
    <w:lvl w:ilvl="0">
      <w:lvlJc w:val="left"/>
      <w:lvlText w:val="(%1)"/>
      <w:numFmt w:val="lowerLetter"/>
      <w:start w:val="3"/>
    </w:lvl>
    <w:lvl w:ilvl="1">
      <w:lvlJc w:val="left"/>
      <w:lvlText w:val="%2"/>
      <w:numFmt w:val="lowerLetter"/>
      <w:start w:val="1"/>
    </w:lvl>
  </w:abstractNum>
  <w:abstractNum w:abstractNumId="521">
    <w:nsid w:val="6E2E2D5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22">
    <w:nsid w:val="45DC439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23">
    <w:nsid w:val="3B0A3B87"/>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524">
    <w:nsid w:val="6DAC7768"/>
    <w:multiLevelType w:val="hybridMultilevel"/>
    <w:lvl w:ilvl="0">
      <w:lvlJc w:val="left"/>
      <w:lvlText w:val="(%1)"/>
      <w:numFmt w:val="lowerLetter"/>
      <w:start w:val="2"/>
    </w:lvl>
  </w:abstractNum>
  <w:abstractNum w:abstractNumId="525">
    <w:nsid w:val="746AE2E4"/>
    <w:multiLevelType w:val="hybridMultilevel"/>
    <w:lvl w:ilvl="0">
      <w:lvlJc w:val="left"/>
      <w:lvlText w:val="(%1)"/>
      <w:numFmt w:val="lowerLetter"/>
      <w:start w:val="3"/>
    </w:lvl>
  </w:abstractNum>
  <w:abstractNum w:abstractNumId="526">
    <w:nsid w:val="317E611D"/>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35"/>
    </w:lvl>
  </w:abstractNum>
  <w:abstractNum w:abstractNumId="527">
    <w:nsid w:val="7A61D75B"/>
    <w:multiLevelType w:val="hybridMultilevel"/>
    <w:lvl w:ilvl="0">
      <w:lvlJc w:val="left"/>
      <w:lvlText w:val="(%1)"/>
      <w:numFmt w:val="lowerLetter"/>
      <w:start w:val="3"/>
    </w:lvl>
  </w:abstractNum>
  <w:abstractNum w:abstractNumId="528">
    <w:nsid w:val="164A1482"/>
    <w:multiLevelType w:val="hybridMultilevel"/>
    <w:lvl w:ilvl="0">
      <w:lvlJc w:val="left"/>
      <w:lvlText w:val="%1"/>
      <w:numFmt w:val="decimal"/>
      <w:start w:val="1"/>
    </w:lvl>
    <w:lvl w:ilvl="1">
      <w:lvlJc w:val="left"/>
      <w:lvlText w:val="(%2)"/>
      <w:numFmt w:val="lowerLetter"/>
      <w:start w:val="6"/>
    </w:lvl>
  </w:abstractNum>
  <w:abstractNum w:abstractNumId="529">
    <w:nsid w:val="1806546B"/>
    <w:multiLevelType w:val="hybridMultilevel"/>
    <w:lvl w:ilvl="0">
      <w:lvlJc w:val="left"/>
      <w:lvlText w:val="%1."/>
      <w:numFmt w:val="decimal"/>
      <w:start w:val="15"/>
    </w:lvl>
    <w:lvl w:ilvl="1">
      <w:lvlJc w:val="left"/>
      <w:lvlText w:val="(%2)"/>
      <w:numFmt w:val="lowerLetter"/>
      <w:start w:val="1"/>
    </w:lvl>
  </w:abstractNum>
  <w:abstractNum w:abstractNumId="530">
    <w:nsid w:val="1FA33267"/>
    <w:multiLevelType w:val="hybridMultilevel"/>
    <w:lvl w:ilvl="0">
      <w:lvlJc w:val="left"/>
      <w:lvlText w:val="%1"/>
      <w:numFmt w:val="lowerLetter"/>
      <w:start w:val="1"/>
    </w:lvl>
    <w:lvl w:ilvl="1">
      <w:lvlJc w:val="left"/>
      <w:lvlText w:val="(%2)"/>
      <w:numFmt w:val="lowerLetter"/>
      <w:start w:val="2"/>
    </w:lvl>
  </w:abstractNum>
  <w:abstractNum w:abstractNumId="531">
    <w:nsid w:val="2E19DD00"/>
    <w:multiLevelType w:val="hybridMultilevel"/>
    <w:lvl w:ilvl="0">
      <w:lvlJc w:val="left"/>
      <w:lvlText w:val="(%1)"/>
      <w:numFmt w:val="lowerLetter"/>
      <w:start w:val="35"/>
    </w:lvl>
    <w:lvl w:ilvl="1">
      <w:lvlJc w:val="left"/>
      <w:lvlText w:val="(%2)"/>
      <w:numFmt w:val="lowerLetter"/>
      <w:start w:val="3"/>
    </w:lvl>
  </w:abstractNum>
  <w:abstractNum w:abstractNumId="532">
    <w:nsid w:val="756D30D0"/>
    <w:multiLevelType w:val="hybridMultilevel"/>
    <w:lvl w:ilvl="0">
      <w:lvlJc w:val="left"/>
      <w:lvlText w:val="%1."/>
      <w:numFmt w:val="decimal"/>
      <w:start w:val="16"/>
    </w:lvl>
    <w:lvl w:ilvl="1">
      <w:lvlJc w:val="left"/>
      <w:lvlText w:val="(%2)"/>
      <w:numFmt w:val="lowerLetter"/>
      <w:start w:val="1"/>
    </w:lvl>
  </w:abstractNum>
  <w:abstractNum w:abstractNumId="533">
    <w:nsid w:val="505E5E01"/>
    <w:multiLevelType w:val="hybridMultilevel"/>
    <w:lvl w:ilvl="0">
      <w:lvlJc w:val="left"/>
      <w:lvlText w:val="%1."/>
      <w:numFmt w:val="decimal"/>
      <w:start w:val="17"/>
    </w:lvl>
    <w:lvl w:ilvl="1">
      <w:lvlJc w:val="left"/>
      <w:lvlText w:val="(%2)"/>
      <w:numFmt w:val="lowerLetter"/>
      <w:start w:val="1"/>
    </w:lvl>
  </w:abstractNum>
  <w:abstractNum w:abstractNumId="534">
    <w:nsid w:val="2EFDBCE6"/>
    <w:multiLevelType w:val="hybridMultilevel"/>
    <w:lvl w:ilvl="0">
      <w:lvlJc w:val="left"/>
      <w:lvlText w:val="%1."/>
      <w:numFmt w:val="decimal"/>
      <w:start w:val="18"/>
    </w:lvl>
  </w:abstractNum>
  <w:abstractNum w:abstractNumId="535">
    <w:nsid w:val="4EC868C4"/>
    <w:multiLevelType w:val="hybridMultilevel"/>
    <w:lvl w:ilvl="0">
      <w:lvlJc w:val="left"/>
      <w:lvlText w:val="%1."/>
      <w:numFmt w:val="decimal"/>
      <w:start w:val="19"/>
    </w:lvl>
  </w:abstractNum>
  <w:abstractNum w:abstractNumId="536">
    <w:nsid w:val="4239DC03"/>
    <w:multiLevelType w:val="hybridMultilevel"/>
    <w:lvl w:ilvl="0">
      <w:lvlJc w:val="left"/>
      <w:lvlText w:val="%1."/>
      <w:numFmt w:val="decimal"/>
      <w:start w:val="20"/>
    </w:lvl>
  </w:abstractNum>
  <w:abstractNum w:abstractNumId="537">
    <w:nsid w:val="307C7DAA"/>
    <w:multiLevelType w:val="hybridMultilevel"/>
    <w:lvl w:ilvl="0">
      <w:lvlJc w:val="left"/>
      <w:lvlText w:val="%1."/>
      <w:numFmt w:val="decimal"/>
      <w:start w:val="21"/>
    </w:lvl>
  </w:abstractNum>
  <w:abstractNum w:abstractNumId="538">
    <w:nsid w:val="403C23E6"/>
    <w:multiLevelType w:val="hybridMultilevel"/>
    <w:lvl w:ilvl="0">
      <w:lvlJc w:val="left"/>
      <w:lvlText w:val="%1."/>
      <w:numFmt w:val="decimal"/>
      <w:start w:val="22"/>
    </w:lvl>
  </w:abstractNum>
  <w:abstractNum w:abstractNumId="539">
    <w:nsid w:val="58D7F9D7"/>
    <w:multiLevelType w:val="hybridMultilevel"/>
    <w:lvl w:ilvl="0">
      <w:lvlJc w:val="left"/>
      <w:lvlText w:val="%1."/>
      <w:numFmt w:val="decimal"/>
      <w:start w:val="23"/>
    </w:lvl>
  </w:abstractNum>
  <w:abstractNum w:abstractNumId="540">
    <w:nsid w:val="24DBF76"/>
    <w:multiLevelType w:val="hybridMultilevel"/>
    <w:lvl w:ilvl="0">
      <w:lvlJc w:val="left"/>
      <w:lvlText w:val="%1."/>
      <w:numFmt w:val="decimal"/>
      <w:start w:val="24"/>
    </w:lvl>
    <w:lvl w:ilvl="1">
      <w:lvlJc w:val="left"/>
      <w:lvlText w:val="(%2)"/>
      <w:numFmt w:val="lowerLetter"/>
      <w:start w:val="1"/>
    </w:lvl>
  </w:abstractNum>
  <w:abstractNum w:abstractNumId="541">
    <w:nsid w:val="53355960"/>
    <w:multiLevelType w:val="hybridMultilevel"/>
    <w:lvl w:ilvl="0">
      <w:lvlJc w:val="left"/>
      <w:lvlText w:val="%1."/>
      <w:numFmt w:val="decimal"/>
      <w:start w:val="26"/>
    </w:lvl>
    <w:lvl w:ilvl="1">
      <w:lvlJc w:val="left"/>
      <w:lvlText w:val="(%2)"/>
      <w:numFmt w:val="lowerLetter"/>
      <w:start w:val="1"/>
    </w:lvl>
  </w:abstractNum>
  <w:abstractNum w:abstractNumId="542">
    <w:nsid w:val="4F4AC8FF"/>
    <w:multiLevelType w:val="hybridMultilevel"/>
    <w:lvl w:ilvl="0">
      <w:lvlJc w:val="left"/>
      <w:lvlText w:val="(%1)"/>
      <w:numFmt w:val="lowerLetter"/>
      <w:start w:val="3"/>
    </w:lvl>
  </w:abstractNum>
  <w:abstractNum w:abstractNumId="543">
    <w:nsid w:val="58CAE6D9"/>
    <w:multiLevelType w:val="hybridMultilevel"/>
    <w:lvl w:ilvl="0">
      <w:lvlJc w:val="left"/>
      <w:lvlText w:val="%1"/>
      <w:numFmt w:val="decimal"/>
      <w:start w:val="1"/>
    </w:lvl>
    <w:lvl w:ilvl="1">
      <w:lvlJc w:val="left"/>
      <w:lvlText w:val="(%2)"/>
      <w:numFmt w:val="lowerLetter"/>
      <w:start w:val="6"/>
    </w:lvl>
  </w:abstractNum>
  <w:abstractNum w:abstractNumId="544">
    <w:nsid w:val="42933C4F"/>
    <w:multiLevelType w:val="hybridMultilevel"/>
    <w:lvl w:ilvl="0">
      <w:lvlJc w:val="left"/>
      <w:lvlText w:val="%1."/>
      <w:numFmt w:val="decimal"/>
      <w:start w:val="27"/>
    </w:lvl>
    <w:lvl w:ilvl="1">
      <w:lvlJc w:val="left"/>
      <w:lvlText w:val="(%2)"/>
      <w:numFmt w:val="lowerLetter"/>
      <w:start w:val="1"/>
    </w:lvl>
  </w:abstractNum>
  <w:abstractNum w:abstractNumId="545">
    <w:nsid w:val="729AF360"/>
    <w:multiLevelType w:val="hybridMultilevel"/>
    <w:lvl w:ilvl="0">
      <w:lvlJc w:val="left"/>
      <w:lvlText w:val="%1."/>
      <w:numFmt w:val="decimal"/>
      <w:start w:val="29"/>
    </w:lvl>
  </w:abstractNum>
  <w:abstractNum w:abstractNumId="546">
    <w:nsid w:val="1EE6AF0D"/>
    <w:multiLevelType w:val="hybridMultilevel"/>
    <w:lvl w:ilvl="0">
      <w:lvlJc w:val="left"/>
      <w:lvlText w:val="%1."/>
      <w:numFmt w:val="decimal"/>
      <w:start w:val="30"/>
    </w:lvl>
  </w:abstractNum>
  <w:abstractNum w:abstractNumId="547">
    <w:nsid w:val="5670E3ED"/>
    <w:multiLevelType w:val="hybridMultilevel"/>
    <w:lvl w:ilvl="0">
      <w:lvlJc w:val="left"/>
      <w:lvlText w:val="(%1)"/>
      <w:numFmt w:val="lowerLetter"/>
      <w:start w:val="5"/>
    </w:lvl>
  </w:abstractNum>
  <w:abstractNum w:abstractNumId="548">
    <w:nsid w:val="5CAB38C6"/>
    <w:multiLevelType w:val="hybridMultilevel"/>
    <w:lvl w:ilvl="0">
      <w:lvlJc w:val="left"/>
      <w:lvlText w:val="%1."/>
      <w:numFmt w:val="decimal"/>
      <w:start w:val="31"/>
    </w:lvl>
  </w:abstractNum>
  <w:abstractNum w:abstractNumId="549">
    <w:nsid w:val="3B7139DD"/>
    <w:multiLevelType w:val="hybridMultilevel"/>
    <w:lvl w:ilvl="0">
      <w:lvlJc w:val="left"/>
      <w:lvlText w:val="%1."/>
      <w:numFmt w:val="decimal"/>
      <w:start w:val="32"/>
    </w:lvl>
    <w:lvl w:ilvl="1">
      <w:lvlJc w:val="left"/>
      <w:lvlText w:val="(%2)"/>
      <w:numFmt w:val="lowerLetter"/>
      <w:start w:val="1"/>
    </w:lvl>
  </w:abstractNum>
  <w:abstractNum w:abstractNumId="550">
    <w:nsid w:val="64E4C3CD"/>
    <w:multiLevelType w:val="hybridMultilevel"/>
    <w:lvl w:ilvl="0">
      <w:lvlJc w:val="left"/>
      <w:lvlText w:val="%1"/>
      <w:numFmt w:val="decimal"/>
      <w:start w:val="1"/>
    </w:lvl>
    <w:lvl w:ilvl="1">
      <w:lvlJc w:val="left"/>
      <w:lvlText w:val="(%2)"/>
      <w:numFmt w:val="lowerLetter"/>
      <w:start w:val="2"/>
    </w:lvl>
  </w:abstractNum>
  <w:abstractNum w:abstractNumId="551">
    <w:nsid w:val="169CAD8D"/>
    <w:multiLevelType w:val="hybridMultilevel"/>
    <w:lvl w:ilvl="0">
      <w:lvlJc w:val="left"/>
      <w:lvlText w:val="%1."/>
      <w:numFmt w:val="decimal"/>
      <w:start w:val="33"/>
    </w:lvl>
    <w:lvl w:ilvl="1">
      <w:lvlJc w:val="left"/>
      <w:lvlText w:val="%2"/>
      <w:numFmt w:val="lowerLetter"/>
      <w:start w:val="1"/>
    </w:lvl>
  </w:abstractNum>
  <w:abstractNum w:abstractNumId="552">
    <w:nsid w:val="299F6730"/>
    <w:multiLevelType w:val="hybridMultilevel"/>
    <w:lvl w:ilvl="0">
      <w:lvlJc w:val="left"/>
      <w:lvlText w:val="(%1)"/>
      <w:numFmt w:val="decimal"/>
      <w:start w:val="4"/>
    </w:lvl>
  </w:abstractNum>
  <w:abstractNum w:abstractNumId="553">
    <w:nsid w:val="2AC1076A"/>
    <w:multiLevelType w:val="hybridMultilevel"/>
    <w:lvl w:ilvl="0">
      <w:lvlJc w:val="left"/>
      <w:lvlText w:val="%1."/>
      <w:numFmt w:val="decimal"/>
      <w:start w:val="34"/>
    </w:lvl>
    <w:lvl w:ilvl="1">
      <w:lvlJc w:val="left"/>
      <w:lvlText w:val="(%2)"/>
      <w:numFmt w:val="lowerLetter"/>
      <w:start w:val="1"/>
    </w:lvl>
  </w:abstractNum>
  <w:abstractNum w:abstractNumId="554">
    <w:nsid w:val="51A6E915"/>
    <w:multiLevelType w:val="hybridMultilevel"/>
    <w:lvl w:ilvl="0">
      <w:lvlJc w:val="left"/>
      <w:lvlText w:val="(%1)"/>
      <w:numFmt w:val="lowerLetter"/>
      <w:start w:val="4"/>
    </w:lvl>
  </w:abstractNum>
  <w:abstractNum w:abstractNumId="555">
    <w:nsid w:val="174BDE99"/>
    <w:multiLevelType w:val="hybridMultilevel"/>
    <w:lvl w:ilvl="0">
      <w:lvlJc w:val="left"/>
      <w:lvlText w:val="%1"/>
      <w:numFmt w:val="decimal"/>
      <w:start w:val="1"/>
    </w:lvl>
    <w:lvl w:ilvl="1">
      <w:lvlJc w:val="left"/>
      <w:lvlText w:val="(%2)"/>
      <w:numFmt w:val="lowerLetter"/>
      <w:start w:val="8"/>
    </w:lvl>
  </w:abstractNum>
  <w:abstractNum w:abstractNumId="556">
    <w:nsid w:val="1F2BEA4E"/>
    <w:multiLevelType w:val="hybridMultilevel"/>
    <w:lvl w:ilvl="0">
      <w:lvlJc w:val="left"/>
      <w:lvlText w:val="%1."/>
      <w:numFmt w:val="decimal"/>
      <w:start w:val="35"/>
    </w:lvl>
    <w:lvl w:ilvl="1">
      <w:lvlJc w:val="left"/>
      <w:lvlText w:val="%2"/>
      <w:numFmt w:val="lowerLetter"/>
      <w:start w:val="1"/>
    </w:lvl>
  </w:abstractNum>
  <w:abstractNum w:abstractNumId="557">
    <w:nsid w:val="3254A32"/>
    <w:multiLevelType w:val="hybridMultilevel"/>
    <w:lvl w:ilvl="0">
      <w:lvlJc w:val="left"/>
      <w:lvlText w:val="%1."/>
      <w:numFmt w:val="decimal"/>
      <w:start w:val="36"/>
    </w:lvl>
  </w:abstractNum>
  <w:abstractNum w:abstractNumId="558">
    <w:nsid w:val="11ADB5F4"/>
    <w:multiLevelType w:val="hybridMultilevel"/>
    <w:lvl w:ilvl="0">
      <w:lvlJc w:val="left"/>
      <w:lvlText w:val="%1."/>
      <w:numFmt w:val="decimal"/>
      <w:start w:val="37"/>
    </w:lvl>
  </w:abstractNum>
  <w:abstractNum w:abstractNumId="559">
    <w:nsid w:val="3575FED1"/>
    <w:multiLevelType w:val="hybridMultilevel"/>
    <w:lvl w:ilvl="0">
      <w:lvlJc w:val="left"/>
      <w:lvlText w:val="%1."/>
      <w:numFmt w:val="decimal"/>
      <w:start w:val="38"/>
    </w:lvl>
  </w:abstractNum>
  <w:abstractNum w:abstractNumId="560">
    <w:nsid w:val="1B2B9E9D"/>
    <w:multiLevelType w:val="hybridMultilevel"/>
    <w:lvl w:ilvl="0">
      <w:lvlJc w:val="left"/>
      <w:lvlText w:val="%1."/>
      <w:numFmt w:val="decimal"/>
      <w:start w:val="36"/>
    </w:lvl>
  </w:abstractNum>
  <w:abstractNum w:abstractNumId="561">
    <w:nsid w:val="3150E85C"/>
    <w:multiLevelType w:val="hybridMultilevel"/>
    <w:lvl w:ilvl="0">
      <w:lvlJc w:val="left"/>
      <w:lvlText w:val="(%1)"/>
      <w:numFmt w:val="lowerLetter"/>
      <w:start w:val="1"/>
    </w:lvl>
    <w:lvl w:ilvl="1">
      <w:lvlJc w:val="left"/>
      <w:lvlText w:val="(%2)"/>
      <w:numFmt w:val="lowerLetter"/>
      <w:start w:val="9"/>
    </w:lvl>
  </w:abstractNum>
  <w:abstractNum w:abstractNumId="562">
    <w:nsid w:val="638FDBD1"/>
    <w:multiLevelType w:val="hybridMultilevel"/>
    <w:lvl w:ilvl="0">
      <w:lvlJc w:val="left"/>
      <w:lvlText w:val="%1"/>
      <w:numFmt w:val="lowerLetter"/>
      <w:start w:val="1"/>
    </w:lvl>
    <w:lvl w:ilvl="1">
      <w:lvlJc w:val="left"/>
      <w:lvlText w:val="(%2)"/>
      <w:numFmt w:val="lowerLetter"/>
      <w:start w:val="35"/>
    </w:lvl>
  </w:abstractNum>
  <w:abstractNum w:abstractNumId="563">
    <w:nsid w:val="1098CF6E"/>
    <w:multiLevelType w:val="hybridMultilevel"/>
    <w:lvl w:ilvl="0">
      <w:lvlJc w:val="left"/>
      <w:lvlText w:val="(%1)"/>
      <w:numFmt w:val="lowerLetter"/>
      <w:start w:val="2"/>
    </w:lvl>
    <w:lvl w:ilvl="1">
      <w:lvlJc w:val="left"/>
      <w:lvlText w:val="%2"/>
      <w:numFmt w:val="lowerLetter"/>
      <w:start w:val="1"/>
    </w:lvl>
  </w:abstractNum>
  <w:abstractNum w:abstractNumId="564">
    <w:nsid w:val="1AF465D"/>
    <w:multiLevelType w:val="hybridMultilevel"/>
    <w:lvl w:ilvl="0">
      <w:lvlJc w:val="left"/>
      <w:lvlText w:val="%1"/>
      <w:numFmt w:val="decimal"/>
      <w:start w:val="1"/>
    </w:lvl>
    <w:lvl w:ilvl="1">
      <w:lvlJc w:val="left"/>
      <w:lvlText w:val="(%2)"/>
      <w:numFmt w:val="lowerLetter"/>
      <w:start w:val="5"/>
    </w:lvl>
  </w:abstractNum>
  <w:abstractNum w:abstractNumId="565">
    <w:nsid w:val="128D98B7"/>
    <w:multiLevelType w:val="hybridMultilevel"/>
    <w:lvl w:ilvl="0">
      <w:lvlJc w:val="left"/>
      <w:lvlText w:val="%1."/>
      <w:numFmt w:val="decimal"/>
      <w:start w:val="37"/>
    </w:lvl>
    <w:lvl w:ilvl="1">
      <w:lvlJc w:val="left"/>
      <w:lvlText w:val="(%2)"/>
      <w:numFmt w:val="lowerLetter"/>
      <w:start w:val="1"/>
    </w:lvl>
  </w:abstractNum>
  <w:abstractNum w:abstractNumId="566">
    <w:nsid w:val="5F613832"/>
    <w:multiLevelType w:val="hybridMultilevel"/>
    <w:lvl w:ilvl="0">
      <w:lvlJc w:val="left"/>
      <w:lvlText w:val="(%1)"/>
      <w:numFmt w:val="lowerLetter"/>
      <w:start w:val="4"/>
    </w:lvl>
  </w:abstractNum>
  <w:abstractNum w:abstractNumId="567">
    <w:nsid w:val="43E92260"/>
    <w:multiLevelType w:val="hybridMultilevel"/>
    <w:lvl w:ilvl="0">
      <w:lvlJc w:val="left"/>
      <w:lvlText w:val="%1."/>
      <w:numFmt w:val="decimal"/>
      <w:start w:val="1"/>
    </w:lvl>
  </w:abstractNum>
  <w:abstractNum w:abstractNumId="568">
    <w:nsid w:val="430A1662"/>
    <w:multiLevelType w:val="hybridMultilevel"/>
    <w:lvl w:ilvl="0">
      <w:lvlJc w:val="left"/>
      <w:lvlText w:val="(%1)"/>
      <w:numFmt w:val="lowerLetter"/>
      <w:start w:val="1"/>
    </w:lvl>
  </w:abstractNum>
  <w:abstractNum w:abstractNumId="569">
    <w:nsid w:val="1F9D5C18"/>
    <w:multiLevelType w:val="hybridMultilevel"/>
    <w:lvl w:ilvl="0">
      <w:lvlJc w:val="left"/>
      <w:lvlText w:val="(%1)"/>
      <w:numFmt w:val="lowerLetter"/>
      <w:start w:val="1"/>
    </w:lvl>
  </w:abstractNum>
  <w:abstractNum w:abstractNumId="570">
    <w:nsid w:val="1CC11C37"/>
    <w:multiLevelType w:val="hybridMultilevel"/>
    <w:lvl w:ilvl="0">
      <w:lvlJc w:val="left"/>
      <w:lvlText w:val="(%1)"/>
      <w:numFmt w:val="lowerLetter"/>
      <w:start w:val="1"/>
    </w:lvl>
  </w:abstractNum>
  <w:abstractNum w:abstractNumId="571">
    <w:nsid w:val="4557D5D8"/>
    <w:multiLevelType w:val="hybridMultilevel"/>
    <w:lvl w:ilvl="0">
      <w:lvlJc w:val="left"/>
      <w:lvlText w:val="%1."/>
      <w:numFmt w:val="decimal"/>
      <w:start w:val="2"/>
    </w:lvl>
  </w:abstractNum>
  <w:abstractNum w:abstractNumId="572">
    <w:nsid w:val="72D2B5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3">
    <w:nsid w:val="6C0BE536"/>
    <w:multiLevelType w:val="hybridMultilevel"/>
    <w:lvl w:ilvl="0">
      <w:lvlJc w:val="left"/>
      <w:lvlText w:val="%1"/>
      <w:numFmt w:val="upperLetter"/>
      <w:start w:val="1"/>
    </w:lvl>
    <w:lvl w:ilvl="1">
      <w:lvlJc w:val="left"/>
      <w:lvlText w:val="(%2)"/>
      <w:numFmt w:val="lowerRoman"/>
      <w:start w:val="2"/>
    </w:lvl>
  </w:abstractNum>
  <w:abstractNum w:abstractNumId="574">
    <w:nsid w:val="1E22BCB2"/>
    <w:multiLevelType w:val="hybridMultilevel"/>
    <w:lvl w:ilvl="0">
      <w:lvlJc w:val="left"/>
      <w:lvlText w:val="(%1)"/>
      <w:numFmt w:val="upperLetter"/>
      <w:start w:val="9"/>
    </w:lvl>
    <w:lvl w:ilvl="1">
      <w:lvlJc w:val="left"/>
      <w:lvlText w:val="%2"/>
      <w:numFmt w:val="lowerRoman"/>
      <w:start w:val="1"/>
    </w:lvl>
  </w:abstractNum>
  <w:abstractNum w:abstractNumId="575">
    <w:nsid w:val="3565F1C8"/>
    <w:multiLevelType w:val="hybridMultilevel"/>
    <w:lvl w:ilvl="0">
      <w:lvlJc w:val="left"/>
      <w:lvlText w:val="(%1)"/>
      <w:numFmt w:val="lowerLetter"/>
      <w:start w:val="1"/>
    </w:lvl>
  </w:abstractNum>
  <w:abstractNum w:abstractNumId="576">
    <w:nsid w:val="5EA6D896"/>
    <w:multiLevelType w:val="hybridMultilevel"/>
    <w:lvl w:ilvl="0">
      <w:lvlJc w:val="left"/>
      <w:lvlText w:val="(%1)"/>
      <w:numFmt w:val="lowerLetter"/>
      <w:start w:val="1"/>
    </w:lvl>
  </w:abstractNum>
  <w:abstractNum w:abstractNumId="577">
    <w:nsid w:val="3D096BBF"/>
    <w:multiLevelType w:val="hybridMultilevel"/>
    <w:lvl w:ilvl="0">
      <w:lvlJc w:val="left"/>
      <w:lvlText w:val="(%1)"/>
      <w:numFmt w:val="lowerLetter"/>
      <w:start w:val="1"/>
    </w:lvl>
  </w:abstractNum>
  <w:abstractNum w:abstractNumId="578">
    <w:nsid w:val="BD6D5B5"/>
    <w:multiLevelType w:val="hybridMultilevel"/>
    <w:lvl w:ilvl="0">
      <w:lvlJc w:val="left"/>
      <w:lvlText w:val="%1."/>
      <w:numFmt w:val="decimal"/>
      <w:start w:val="3"/>
    </w:lvl>
  </w:abstractNum>
  <w:abstractNum w:abstractNumId="579">
    <w:nsid w:val="3B52115C"/>
    <w:multiLevelType w:val="hybridMultilevel"/>
    <w:lvl w:ilvl="0">
      <w:lvlJc w:val="left"/>
      <w:lvlText w:val="(%1)"/>
      <w:numFmt w:val="lowerLetter"/>
      <w:start w:val="1"/>
    </w:lvl>
  </w:abstractNum>
  <w:abstractNum w:abstractNumId="580">
    <w:nsid w:val="787AA59C"/>
    <w:multiLevelType w:val="hybridMultilevel"/>
    <w:lvl w:ilvl="0">
      <w:lvlJc w:val="left"/>
      <w:lvlText w:val="(%1)"/>
      <w:numFmt w:val="lowerLetter"/>
      <w:start w:val="3"/>
    </w:lvl>
  </w:abstractNum>
  <w:abstractNum w:abstractNumId="581">
    <w:nsid w:val="70BB9983"/>
    <w:multiLevelType w:val="hybridMultilevel"/>
    <w:lvl w:ilvl="0">
      <w:lvlJc w:val="left"/>
      <w:lvlText w:val="%1"/>
      <w:numFmt w:val="decimal"/>
      <w:start w:val="1"/>
    </w:lvl>
    <w:lvl w:ilvl="1">
      <w:lvlJc w:val="left"/>
      <w:lvlText w:val="(%2)"/>
      <w:numFmt w:val="lowerLetter"/>
      <w:start w:val="1"/>
    </w:lvl>
  </w:abstractNum>
  <w:abstractNum w:abstractNumId="582">
    <w:nsid w:val="51EEBEEA"/>
    <w:multiLevelType w:val="hybridMultilevel"/>
    <w:lvl w:ilvl="0">
      <w:lvlJc w:val="left"/>
      <w:lvlText w:val="%1."/>
      <w:numFmt w:val="decimal"/>
      <w:start w:val="4"/>
    </w:lvl>
    <w:lvl w:ilvl="1">
      <w:lvlJc w:val="left"/>
      <w:lvlText w:val="%2"/>
      <w:numFmt w:val="lowerLetter"/>
      <w:start w:val="1"/>
    </w:lvl>
  </w:abstractNum>
  <w:abstractNum w:abstractNumId="583">
    <w:nsid w:val="221A0CCD"/>
    <w:multiLevelType w:val="hybridMultilevel"/>
    <w:lvl w:ilvl="0">
      <w:lvlJc w:val="left"/>
      <w:lvlText w:val="%1."/>
      <w:numFmt w:val="decimal"/>
      <w:start w:val="5"/>
    </w:lvl>
  </w:abstractNum>
  <w:abstractNum w:abstractNumId="584">
    <w:nsid w:val="1B7CA0ED"/>
    <w:multiLevelType w:val="hybridMultilevel"/>
    <w:lvl w:ilvl="0">
      <w:lvlJc w:val="left"/>
      <w:lvlText w:val="%1."/>
      <w:numFmt w:val="decimal"/>
      <w:start w:val="6"/>
    </w:lvl>
  </w:abstractNum>
  <w:abstractNum w:abstractNumId="585">
    <w:nsid w:val="2395A7FF"/>
    <w:multiLevelType w:val="hybridMultilevel"/>
    <w:lvl w:ilvl="0">
      <w:lvlJc w:val="left"/>
      <w:lvlText w:val="(%1)"/>
      <w:numFmt w:val="lowerLetter"/>
      <w:start w:val="1"/>
    </w:lvl>
  </w:abstractNum>
  <w:abstractNum w:abstractNumId="586">
    <w:nsid w:val="3965EB66"/>
    <w:multiLevelType w:val="hybridMultilevel"/>
    <w:lvl w:ilvl="0">
      <w:lvlJc w:val="left"/>
      <w:lvlText w:val="(%1)"/>
      <w:numFmt w:val="lowerLetter"/>
      <w:start w:val="4"/>
    </w:lvl>
  </w:abstractNum>
  <w:abstractNum w:abstractNumId="587">
    <w:nsid w:val="3AA88B3C"/>
    <w:multiLevelType w:val="hybridMultilevel"/>
    <w:lvl w:ilvl="0">
      <w:lvlJc w:val="left"/>
      <w:lvlText w:val="(%1)"/>
      <w:numFmt w:val="lowerLetter"/>
      <w:start w:val="1"/>
    </w:lvl>
  </w:abstractNum>
  <w:abstractNum w:abstractNumId="588">
    <w:nsid w:val="26BAF231"/>
    <w:multiLevelType w:val="hybridMultilevel"/>
    <w:lvl w:ilvl="0">
      <w:lvlJc w:val="left"/>
      <w:lvlText w:val="(%1)"/>
      <w:numFmt w:val="lowerLetter"/>
      <w:start w:val="1"/>
    </w:lvl>
  </w:abstractNum>
  <w:abstractNum w:abstractNumId="589">
    <w:nsid w:val="4B13A15A"/>
    <w:multiLevelType w:val="hybridMultilevel"/>
    <w:lvl w:ilvl="0">
      <w:lvlJc w:val="left"/>
      <w:lvlText w:val="(%1)"/>
      <w:numFmt w:val="lowerLetter"/>
      <w:start w:val="1"/>
    </w:lvl>
  </w:abstractNum>
  <w:abstractNum w:abstractNumId="590">
    <w:nsid w:val="701E8A0D"/>
    <w:multiLevelType w:val="hybridMultilevel"/>
    <w:lvl w:ilvl="0">
      <w:lvlJc w:val="left"/>
      <w:lvlText w:val="(%1)"/>
      <w:numFmt w:val="lowerLetter"/>
      <w:start w:val="3"/>
    </w:lvl>
  </w:abstractNum>
  <w:abstractNum w:abstractNumId="591">
    <w:nsid w:val="41E690CF"/>
    <w:multiLevelType w:val="hybridMultilevel"/>
    <w:lvl w:ilvl="0">
      <w:lvlJc w:val="left"/>
      <w:lvlText w:val="(%1)"/>
      <w:numFmt w:val="lowerLetter"/>
      <w:start w:val="1"/>
    </w:lvl>
  </w:abstractNum>
  <w:abstractNum w:abstractNumId="592">
    <w:nsid w:val="7C6489B6"/>
    <w:multiLevelType w:val="hybridMultilevel"/>
    <w:lvl w:ilvl="0">
      <w:lvlJc w:val="left"/>
      <w:lvlText w:val="%1."/>
      <w:numFmt w:val="decimal"/>
      <w:start w:val="7"/>
    </w:lvl>
  </w:abstractNum>
  <w:abstractNum w:abstractNumId="593">
    <w:nsid w:val="53AE65DE"/>
    <w:multiLevelType w:val="hybridMultilevel"/>
    <w:lvl w:ilvl="0">
      <w:lvlJc w:val="left"/>
      <w:lvlText w:val="%1."/>
      <w:numFmt w:val="decimal"/>
      <w:start w:val="8"/>
    </w:lvl>
    <w:lvl w:ilvl="1">
      <w:lvlJc w:val="left"/>
      <w:lvlText w:val="(%2)"/>
      <w:numFmt w:val="lowerLetter"/>
      <w:start w:val="1"/>
    </w:lvl>
  </w:abstractNum>
  <w:abstractNum w:abstractNumId="594">
    <w:nsid w:val="527F603D"/>
    <w:multiLevelType w:val="hybridMultilevel"/>
    <w:lvl w:ilvl="0">
      <w:lvlJc w:val="left"/>
      <w:lvlText w:val="%1."/>
      <w:numFmt w:val="decimal"/>
      <w:start w:val="9"/>
    </w:lvl>
  </w:abstractNum>
  <w:abstractNum w:abstractNumId="595">
    <w:nsid w:val="7E13D013"/>
    <w:multiLevelType w:val="hybridMultilevel"/>
    <w:lvl w:ilvl="0">
      <w:lvlJc w:val="left"/>
      <w:lvlText w:val="(%1)"/>
      <w:numFmt w:val="lowerLetter"/>
      <w:start w:val="1"/>
    </w:lvl>
  </w:abstractNum>
  <w:abstractNum w:abstractNumId="596">
    <w:nsid w:val="663BFE95"/>
    <w:multiLevelType w:val="hybridMultilevel"/>
    <w:lvl w:ilvl="0">
      <w:lvlJc w:val="left"/>
      <w:lvlText w:val="(%1)"/>
      <w:numFmt w:val="lowerLetter"/>
      <w:start w:val="5"/>
    </w:lvl>
  </w:abstractNum>
  <w:abstractNum w:abstractNumId="597">
    <w:nsid w:val="31E0986F"/>
    <w:multiLevelType w:val="hybridMultilevel"/>
    <w:lvl w:ilvl="0">
      <w:lvlJc w:val="left"/>
      <w:lvlText w:val="(%1)"/>
      <w:numFmt w:val="lowerLetter"/>
      <w:start w:val="2"/>
    </w:lvl>
  </w:abstractNum>
  <w:abstractNum w:abstractNumId="598">
    <w:nsid w:val="41FCF274"/>
    <w:multiLevelType w:val="hybridMultilevel"/>
    <w:lvl w:ilvl="0">
      <w:lvlJc w:val="left"/>
      <w:lvlText w:val="%1."/>
      <w:numFmt w:val="decimal"/>
      <w:start w:val="10"/>
    </w:lvl>
  </w:abstractNum>
  <w:abstractNum w:abstractNumId="599">
    <w:nsid w:val="294614F7"/>
    <w:multiLevelType w:val="hybridMultilevel"/>
    <w:lvl w:ilvl="0">
      <w:lvlJc w:val="left"/>
      <w:lvlText w:val="%1."/>
      <w:numFmt w:val="decimal"/>
      <w:start w:val="11"/>
    </w:lvl>
  </w:abstractNum>
  <w:abstractNum w:abstractNumId="600">
    <w:nsid w:val="517DF487"/>
    <w:multiLevelType w:val="hybridMultilevel"/>
    <w:lvl w:ilvl="0">
      <w:lvlJc w:val="left"/>
      <w:lvlText w:val="%1."/>
      <w:numFmt w:val="decimal"/>
      <w:start w:val="12"/>
    </w:lvl>
  </w:abstractNum>
  <w:abstractNum w:abstractNumId="601">
    <w:nsid w:val="5EBE0EAB"/>
    <w:multiLevelType w:val="hybridMultilevel"/>
    <w:lvl w:ilvl="0">
      <w:lvlJc w:val="left"/>
      <w:lvlText w:val="%1."/>
      <w:numFmt w:val="decimal"/>
      <w:start w:val="13"/>
    </w:lvl>
  </w:abstractNum>
  <w:abstractNum w:abstractNumId="602">
    <w:nsid w:val="6E9DEAD0"/>
    <w:multiLevelType w:val="hybridMultilevel"/>
    <w:lvl w:ilvl="0">
      <w:lvlJc w:val="left"/>
      <w:lvlText w:val="%1."/>
      <w:numFmt w:val="decimal"/>
      <w:start w:val="14"/>
    </w:lvl>
  </w:abstractNum>
  <w:abstractNum w:abstractNumId="603">
    <w:nsid w:val="4450AA00"/>
    <w:multiLevelType w:val="hybridMultilevel"/>
    <w:lvl w:ilvl="0">
      <w:lvlJc w:val="left"/>
      <w:lvlText w:val="(%1)"/>
      <w:numFmt w:val="lowerLetter"/>
      <w:start w:val="1"/>
    </w:lvl>
  </w:abstractNum>
  <w:abstractNum w:abstractNumId="604">
    <w:nsid w:val="4AC9F3E2"/>
    <w:multiLevelType w:val="hybridMultilevel"/>
    <w:lvl w:ilvl="0">
      <w:lvlJc w:val="left"/>
      <w:lvlText w:val="(%1)"/>
      <w:numFmt w:val="lowerLetter"/>
      <w:start w:val="1"/>
    </w:lvl>
  </w:abstractNum>
  <w:abstractNum w:abstractNumId="605">
    <w:nsid w:val="CC0A782"/>
    <w:multiLevelType w:val="hybridMultilevel"/>
    <w:lvl w:ilvl="0">
      <w:lvlJc w:val="left"/>
      <w:lvlText w:val="(%1)"/>
      <w:numFmt w:val="lowerLetter"/>
      <w:start w:val="1"/>
    </w:lvl>
  </w:abstractNum>
  <w:abstractNum w:abstractNumId="606">
    <w:nsid w:val="79B69BC9"/>
    <w:multiLevelType w:val="hybridMultilevel"/>
    <w:lvl w:ilvl="0">
      <w:lvlJc w:val="left"/>
      <w:lvlText w:val="(%1)"/>
      <w:numFmt w:val="lowerLetter"/>
      <w:start w:val="1"/>
    </w:lvl>
  </w:abstractNum>
  <w:abstractNum w:abstractNumId="607">
    <w:nsid w:val="2970CC78"/>
    <w:multiLevelType w:val="hybridMultilevel"/>
    <w:lvl w:ilvl="0">
      <w:lvlJc w:val="left"/>
      <w:lvlText w:val="(%1)"/>
      <w:numFmt w:val="lowerLetter"/>
      <w:start w:val="1"/>
    </w:lvl>
  </w:abstractNum>
  <w:abstractNum w:abstractNumId="608">
    <w:nsid w:val="49CA1341"/>
    <w:multiLevelType w:val="hybridMultilevel"/>
    <w:lvl w:ilvl="0">
      <w:lvlJc w:val="left"/>
      <w:lvlText w:val="%1"/>
      <w:numFmt w:val="decimal"/>
      <w:start w:val="969"/>
    </w:lvl>
  </w:abstractNum>
  <w:abstractNum w:abstractNumId="609">
    <w:nsid w:val="58D717E"/>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2021-03-03T15:39:55Z</dcterms:created>
  <dcterms:modified xsi:type="dcterms:W3CDTF">2021-03-03T15:39:55Z</dcterms:modified>
</cp:coreProperties>
</file>