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UNITED STATES</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Washington, D.C. 20549</w:t>
      </w:r>
    </w:p>
    <w:p>
      <w:pPr>
        <w:pStyle w:val="TextBody"/>
        <w:bidi w:val="0"/>
        <w:spacing w:lineRule="auto" w:line="288" w:before="120" w:after="283"/>
        <w:jc w:val="center"/>
        <w:rPr>
          <w:rFonts w:ascii="Helvetica;sans-serif" w:hAnsi="Helvetica;sans-serif"/>
          <w:b/>
          <w:color w:val="000000"/>
          <w:sz w:val="28"/>
        </w:rPr>
      </w:pPr>
      <w:r>
        <w:rPr>
          <w:rFonts w:ascii="Helvetica;sans-serif" w:hAnsi="Helvetica;sans-serif"/>
          <w:b/>
          <w:color w:val="000000"/>
          <w:sz w:val="28"/>
        </w:rPr>
        <w:t>FORM 10-Q</w:t>
      </w: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(Mark One)</w:t>
      </w:r>
    </w:p>
    <w:p>
      <w:pPr>
        <w:pStyle w:val="TextBody"/>
        <w:bidi w:val="0"/>
        <w:spacing w:lineRule="auto" w:line="288" w:before="0" w:after="0"/>
        <w:jc w:val="both"/>
        <w:rPr>
          <w:color w:val="000000"/>
        </w:rPr>
      </w:pPr>
      <w:r>
        <w:rPr>
          <w:color w:val="000000"/>
        </w:rPr>
        <w:t>☒    </w:t>
      </w:r>
      <w:r>
        <w:rPr>
          <w:rFonts w:ascii="Helvetica;sans-serif" w:hAnsi="Helvetica;sans-serif"/>
          <w:b/>
          <w:color w:val="000000"/>
          <w:sz w:val="20"/>
        </w:rPr>
        <w:t>QUARTERLY REPORT PURSUANT TO SECTION 13 OR 15(d) OF THE SECURITIES EXCHANGE ACT OF 1934</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For the quarterly period ended September 30, 2023</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or</w:t>
      </w:r>
    </w:p>
    <w:p>
      <w:pPr>
        <w:pStyle w:val="TextBody"/>
        <w:bidi w:val="0"/>
        <w:spacing w:lineRule="auto" w:line="288" w:before="120" w:after="283"/>
        <w:jc w:val="left"/>
        <w:rPr>
          <w:color w:val="000000"/>
        </w:rPr>
      </w:pPr>
      <w:r>
        <w:rPr>
          <w:color w:val="000000"/>
        </w:rPr>
        <w:t>☐    </w:t>
      </w:r>
      <w:r>
        <w:rPr>
          <w:rFonts w:ascii="Helvetica;sans-serif" w:hAnsi="Helvetica;sans-serif"/>
          <w:b/>
          <w:color w:val="000000"/>
          <w:sz w:val="20"/>
        </w:rPr>
        <w:t>TRANSITION REPORT PURSUANT TO SECTION 13 OR 15(d) OF THE SECURITIES EXCHANGE ACT OF 1934</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For the transition period from ____________________ to ____________________</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Commission File Number: 001-40249</w:t>
      </w:r>
    </w:p>
    <w:p>
      <w:pPr>
        <w:pStyle w:val="TextBody"/>
        <w:bidi w:val="0"/>
        <w:spacing w:before="120" w:after="283"/>
        <w:jc w:val="center"/>
        <w:rPr/>
      </w:pPr>
      <w:r>
        <w:rPr/>
        <w:drawing>
          <wp:inline distT="0" distB="0" distL="0" distR="0">
            <wp:extent cx="17145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00050"/>
                    </a:xfrm>
                    <a:prstGeom prst="rect">
                      <a:avLst/>
                    </a:prstGeom>
                  </pic:spPr>
                </pic:pic>
              </a:graphicData>
            </a:graphic>
          </wp:inline>
        </w:drawing>
      </w:r>
    </w:p>
    <w:p>
      <w:pPr>
        <w:pStyle w:val="TextBody"/>
        <w:bidi w:val="0"/>
        <w:spacing w:lineRule="auto" w:line="288" w:before="120" w:after="283"/>
        <w:jc w:val="center"/>
        <w:rPr>
          <w:rFonts w:ascii="Helvetica;sans-serif" w:hAnsi="Helvetica;sans-serif"/>
          <w:b/>
          <w:color w:val="000000"/>
          <w:sz w:val="32"/>
        </w:rPr>
      </w:pPr>
      <w:r>
        <w:rPr>
          <w:rFonts w:ascii="Helvetica;sans-serif" w:hAnsi="Helvetica;sans-serif"/>
          <w:b/>
          <w:color w:val="000000"/>
          <w:sz w:val="32"/>
        </w:rPr>
        <w:t>ThredUp Inc.</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(Exact name of registrant as specified in its charter)</w:t>
      </w:r>
    </w:p>
    <w:p>
      <w:pPr>
        <w:pStyle w:val="TextBody"/>
        <w:bidi w:val="0"/>
        <w:spacing w:before="0" w:after="0"/>
        <w:jc w:val="both"/>
        <w:rPr/>
      </w:pPr>
      <w:r>
        <w:rPr/>
      </w:r>
    </w:p>
    <w:tbl>
      <w:tblPr>
        <w:tblW w:w="6990" w:type="dxa"/>
        <w:jc w:val="left"/>
        <w:tblInd w:w="0" w:type="dxa"/>
        <w:tblLayout w:type="fixed"/>
        <w:tblCellMar>
          <w:top w:w="28" w:type="dxa"/>
          <w:left w:w="28" w:type="dxa"/>
          <w:bottom w:w="28" w:type="dxa"/>
          <w:right w:w="28" w:type="dxa"/>
        </w:tblCellMar>
      </w:tblPr>
      <w:tblGrid>
        <w:gridCol w:w="1566"/>
        <w:gridCol w:w="1378"/>
        <w:gridCol w:w="1391"/>
        <w:gridCol w:w="773"/>
        <w:gridCol w:w="773"/>
        <w:gridCol w:w="1109"/>
      </w:tblGrid>
      <w:tr>
        <w:trPr/>
        <w:tc>
          <w:tcPr>
            <w:tcW w:w="15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Delaware</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26-4009181</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(State or other jurisdiction of incorporation or organization)</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(I.R.S. Employer Identification No.)</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969 Broadway, Suite 200</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Oakland, California</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94607</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(Address of principal executive offices)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(Zip Code)</w:t>
            </w:r>
          </w:p>
        </w:tc>
      </w:tr>
    </w:tbl>
    <w:p>
      <w:pPr>
        <w:pStyle w:val="TextBody"/>
        <w:bidi w:val="0"/>
        <w:spacing w:before="0" w:after="0"/>
        <w:jc w:val="both"/>
        <w:rPr/>
      </w:pPr>
      <w:r>
        <w:rPr/>
      </w:r>
    </w:p>
    <w:p>
      <w:pPr>
        <w:pStyle w:val="TextBody"/>
        <w:bidi w:val="0"/>
        <w:spacing w:lineRule="auto" w:line="288" w:before="40" w:after="283"/>
        <w:jc w:val="center"/>
        <w:rPr>
          <w:rFonts w:ascii="Helvetica;sans-serif" w:hAnsi="Helvetica;sans-serif"/>
          <w:b/>
          <w:color w:val="000000"/>
          <w:sz w:val="16"/>
        </w:rPr>
      </w:pPr>
      <w:r>
        <w:rPr>
          <w:rFonts w:ascii="Helvetica;sans-serif" w:hAnsi="Helvetica;sans-serif"/>
          <w:b/>
          <w:color w:val="000000"/>
          <w:sz w:val="16"/>
        </w:rPr>
        <w:t>(415) 402-5202</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(Registrant’s telephone number, including area code)</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Securities registered pursuant to Section 12(b) of the Act:</w:t>
      </w:r>
    </w:p>
    <w:p>
      <w:pPr>
        <w:pStyle w:val="TextBody"/>
        <w:bidi w:val="0"/>
        <w:spacing w:before="0" w:after="0"/>
        <w:jc w:val="both"/>
        <w:rPr/>
      </w:pPr>
      <w:r>
        <w:rPr/>
      </w:r>
    </w:p>
    <w:tbl>
      <w:tblPr>
        <w:tblW w:w="9891" w:type="dxa"/>
        <w:jc w:val="left"/>
        <w:tblInd w:w="0" w:type="dxa"/>
        <w:tblLayout w:type="fixed"/>
        <w:tblCellMar>
          <w:top w:w="28" w:type="dxa"/>
          <w:left w:w="28" w:type="dxa"/>
          <w:bottom w:w="28" w:type="dxa"/>
          <w:right w:w="28" w:type="dxa"/>
        </w:tblCellMar>
      </w:tblPr>
      <w:tblGrid>
        <w:gridCol w:w="1447"/>
        <w:gridCol w:w="1271"/>
        <w:gridCol w:w="1286"/>
        <w:gridCol w:w="109"/>
        <w:gridCol w:w="109"/>
        <w:gridCol w:w="109"/>
        <w:gridCol w:w="524"/>
        <w:gridCol w:w="524"/>
        <w:gridCol w:w="526"/>
        <w:gridCol w:w="109"/>
        <w:gridCol w:w="109"/>
        <w:gridCol w:w="109"/>
        <w:gridCol w:w="1071"/>
        <w:gridCol w:w="1071"/>
        <w:gridCol w:w="1517"/>
      </w:tblGrid>
      <w:tr>
        <w:trPr/>
        <w:tc>
          <w:tcPr>
            <w:tcW w:w="144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Name of each exchange on which registered</w:t>
            </w:r>
          </w:p>
        </w:tc>
      </w:tr>
      <w:tr>
        <w:trPr/>
        <w:tc>
          <w:tcPr>
            <w:tcW w:w="4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TDUP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The Nasdaq Stock Market LLC</w:t>
            </w:r>
          </w:p>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Long-Term Stock Exchange</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4493"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shell company (as defined in Rule 12b-2 of the Exchange Act).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There were 77,290,731 shares of Class A common stock and 29,959,781 shares of Class B common stock outstanding as of October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TABLE OF CONTENTS</w:t>
      </w:r>
    </w:p>
    <w:tbl>
      <w:tblPr>
        <w:tblW w:w="10141" w:type="dxa"/>
        <w:jc w:val="left"/>
        <w:tblInd w:w="0" w:type="dxa"/>
        <w:tblLayout w:type="fixed"/>
        <w:tblCellMar>
          <w:top w:w="28" w:type="dxa"/>
          <w:left w:w="28" w:type="dxa"/>
          <w:bottom w:w="28" w:type="dxa"/>
          <w:right w:w="28" w:type="dxa"/>
        </w:tblCellMar>
      </w:tblPr>
      <w:tblGrid>
        <w:gridCol w:w="320"/>
        <w:gridCol w:w="282"/>
        <w:gridCol w:w="284"/>
        <w:gridCol w:w="2614"/>
        <w:gridCol w:w="2614"/>
        <w:gridCol w:w="2617"/>
        <w:gridCol w:w="412"/>
        <w:gridCol w:w="412"/>
        <w:gridCol w:w="586"/>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Page Number</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 FINANCIAL INFORMATION</w:t>
            </w:r>
          </w:p>
        </w:tc>
        <w:tc>
          <w:tcPr>
            <w:tcW w:w="14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0f69e071ca4a2db97bd9b66af590b5_13">
              <w:r>
                <w:rPr>
                  <w:rStyle w:val="InternetLink"/>
                  <w:rFonts w:ascii="Helvetica;sans-serif" w:hAnsi="Helvetica;sans-serif"/>
                  <w:b w:val="false"/>
                  <w:color w:val="0000FF"/>
                  <w:sz w:val="20"/>
                  <w:u w:val="single"/>
                </w:rPr>
                <w:t>Financial Statements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13">
              <w:r>
                <w:rPr>
                  <w:rStyle w:val="InternetLink"/>
                  <w:rFonts w:ascii="Helvetica;sans-serif" w:hAnsi="Helvetica;sans-serif"/>
                  <w:b w:val="false"/>
                  <w:strike w:val="false"/>
                  <w:dstrike w:val="false"/>
                  <w:color w:val="000000"/>
                  <w:sz w:val="20"/>
                  <w:u w:val="none"/>
                  <w:effect w:val="none"/>
                </w:rPr>
                <w:t>5</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0f69e071ca4a2db97bd9b66af590b5_19">
              <w:r>
                <w:rPr>
                  <w:rStyle w:val="InternetLink"/>
                  <w:rFonts w:ascii="Helvetica;sans-serif" w:hAnsi="Helvetica;sans-serif"/>
                  <w:b w:val="false"/>
                  <w:color w:val="0000FF"/>
                  <w:sz w:val="20"/>
                  <w:u w:val="single"/>
                </w:rPr>
                <w:t>Unaudited Condensed Consolidated Balance Sheets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19">
              <w:r>
                <w:rPr>
                  <w:rStyle w:val="InternetLink"/>
                  <w:rFonts w:ascii="Helvetica;sans-serif" w:hAnsi="Helvetica;sans-serif"/>
                  <w:b w:val="false"/>
                  <w:strike w:val="false"/>
                  <w:dstrike w:val="false"/>
                  <w:color w:val="000000"/>
                  <w:sz w:val="20"/>
                  <w:u w:val="none"/>
                  <w:effect w:val="none"/>
                </w:rPr>
                <w:t>5</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0f69e071ca4a2db97bd9b66af590b5_22">
              <w:r>
                <w:rPr>
                  <w:rStyle w:val="InternetLink"/>
                  <w:rFonts w:ascii="Helvetica;sans-serif" w:hAnsi="Helvetica;sans-serif"/>
                  <w:b w:val="false"/>
                  <w:color w:val="0000FF"/>
                  <w:sz w:val="20"/>
                  <w:u w:val="single"/>
                </w:rPr>
                <w:t>Unaudited Condensed Consolidated Statements of Operations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22">
              <w:r>
                <w:rPr>
                  <w:rStyle w:val="InternetLink"/>
                  <w:rFonts w:ascii="Helvetica;sans-serif" w:hAnsi="Helvetica;sans-serif"/>
                  <w:b w:val="false"/>
                  <w:strike w:val="false"/>
                  <w:dstrike w:val="false"/>
                  <w:color w:val="000000"/>
                  <w:sz w:val="20"/>
                  <w:u w:val="none"/>
                  <w:effect w:val="none"/>
                </w:rPr>
                <w:t>6</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0f69e071ca4a2db97bd9b66af590b5_25">
              <w:r>
                <w:rPr>
                  <w:rStyle w:val="InternetLink"/>
                  <w:rFonts w:ascii="Helvetica;sans-serif" w:hAnsi="Helvetica;sans-serif"/>
                  <w:b w:val="false"/>
                  <w:color w:val="0000FF"/>
                  <w:sz w:val="20"/>
                  <w:u w:val="single"/>
                </w:rPr>
                <w:t>Unaudited Condensed Consolidated Statements of Comprehensive Loss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25">
              <w:r>
                <w:rPr>
                  <w:rStyle w:val="InternetLink"/>
                  <w:rFonts w:ascii="Helvetica;sans-serif" w:hAnsi="Helvetica;sans-serif"/>
                  <w:b w:val="false"/>
                  <w:strike w:val="false"/>
                  <w:dstrike w:val="false"/>
                  <w:color w:val="000000"/>
                  <w:sz w:val="20"/>
                  <w:u w:val="none"/>
                  <w:effect w:val="none"/>
                </w:rPr>
                <w:t>7</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0f69e071ca4a2db97bd9b66af590b5_28">
              <w:r>
                <w:rPr>
                  <w:rStyle w:val="InternetLink"/>
                  <w:rFonts w:ascii="Helvetica;sans-serif" w:hAnsi="Helvetica;sans-serif"/>
                  <w:b w:val="false"/>
                  <w:color w:val="0000FF"/>
                  <w:sz w:val="20"/>
                  <w:u w:val="single"/>
                </w:rPr>
                <w:t>Unaudited Condensed Consolidated Statements of Stockholders’ Equity</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28">
              <w:r>
                <w:rPr>
                  <w:rStyle w:val="InternetLink"/>
                  <w:rFonts w:ascii="Helvetica;sans-serif" w:hAnsi="Helvetica;sans-serif"/>
                  <w:b w:val="false"/>
                  <w:strike w:val="false"/>
                  <w:dstrike w:val="false"/>
                  <w:color w:val="000000"/>
                  <w:sz w:val="20"/>
                  <w:u w:val="none"/>
                  <w:effect w:val="none"/>
                </w:rPr>
                <w:t>8</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0f69e071ca4a2db97bd9b66af590b5_31">
              <w:r>
                <w:rPr>
                  <w:rStyle w:val="InternetLink"/>
                  <w:rFonts w:ascii="Helvetica;sans-serif" w:hAnsi="Helvetica;sans-serif"/>
                  <w:b w:val="false"/>
                  <w:color w:val="0000FF"/>
                  <w:sz w:val="20"/>
                  <w:u w:val="single"/>
                </w:rPr>
                <w:t>Unaudited Condensed Consolidated Statements of Cash Flows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31">
              <w:r>
                <w:rPr>
                  <w:rStyle w:val="InternetLink"/>
                  <w:rFonts w:ascii="Helvetica;sans-serif" w:hAnsi="Helvetica;sans-serif"/>
                  <w:b w:val="false"/>
                  <w:strike w:val="false"/>
                  <w:dstrike w:val="false"/>
                  <w:color w:val="000000"/>
                  <w:sz w:val="20"/>
                  <w:u w:val="none"/>
                  <w:effect w:val="none"/>
                </w:rPr>
                <w:t>10</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0f69e071ca4a2db97bd9b66af590b5_34">
              <w:r>
                <w:rPr>
                  <w:rStyle w:val="InternetLink"/>
                  <w:rFonts w:ascii="Helvetica;sans-serif" w:hAnsi="Helvetica;sans-serif"/>
                  <w:b w:val="false"/>
                  <w:color w:val="0000FF"/>
                  <w:sz w:val="20"/>
                  <w:u w:val="single"/>
                </w:rPr>
                <w:t>Notes to Unaudited Condensed Consolidated Financial Statements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34">
              <w:r>
                <w:rPr>
                  <w:rStyle w:val="InternetLink"/>
                  <w:rFonts w:ascii="Helvetica;sans-serif" w:hAnsi="Helvetica;sans-serif"/>
                  <w:b w:val="false"/>
                  <w:strike w:val="false"/>
                  <w:dstrike w:val="false"/>
                  <w:color w:val="000000"/>
                  <w:sz w:val="20"/>
                  <w:u w:val="none"/>
                  <w:effect w:val="none"/>
                </w:rPr>
                <w:t>11</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2.</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0f69e071ca4a2db97bd9b66af590b5_73">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73">
              <w:r>
                <w:rPr>
                  <w:rStyle w:val="InternetLink"/>
                  <w:rFonts w:ascii="Helvetica;sans-serif" w:hAnsi="Helvetica;sans-serif"/>
                  <w:b w:val="false"/>
                  <w:strike w:val="false"/>
                  <w:dstrike w:val="false"/>
                  <w:color w:val="000000"/>
                  <w:sz w:val="20"/>
                  <w:u w:val="none"/>
                  <w:effect w:val="none"/>
                </w:rPr>
                <w:t>20</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3.</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0f69e071ca4a2db97bd9b66af590b5_94">
              <w:r>
                <w:rPr>
                  <w:rStyle w:val="InternetLink"/>
                  <w:rFonts w:ascii="Helvetica;sans-serif" w:hAnsi="Helvetica;sans-serif"/>
                  <w:b w:val="false"/>
                  <w:color w:val="0000FF"/>
                  <w:sz w:val="20"/>
                  <w:u w:val="single"/>
                </w:rPr>
                <w:t>Quantitative and Qualitative Disclosures About Market Risk</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94">
              <w:r>
                <w:rPr>
                  <w:rStyle w:val="InternetLink"/>
                  <w:rFonts w:ascii="Helvetica;sans-serif" w:hAnsi="Helvetica;sans-serif"/>
                  <w:b w:val="false"/>
                  <w:strike w:val="false"/>
                  <w:dstrike w:val="false"/>
                  <w:color w:val="000000"/>
                  <w:sz w:val="20"/>
                  <w:u w:val="none"/>
                  <w:effect w:val="none"/>
                </w:rPr>
                <w:t>28</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4.</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c0f69e071ca4a2db97bd9b66af590b5_97">
              <w:r>
                <w:rPr>
                  <w:rStyle w:val="InternetLink"/>
                  <w:rFonts w:ascii="Helvetica;sans-serif" w:hAnsi="Helvetica;sans-serif"/>
                  <w:b w:val="false"/>
                  <w:color w:val="0000FF"/>
                  <w:sz w:val="20"/>
                  <w:u w:val="single"/>
                </w:rPr>
                <w:t>Controls and Procedures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97">
              <w:r>
                <w:rPr>
                  <w:rStyle w:val="InternetLink"/>
                  <w:rFonts w:ascii="Helvetica;sans-serif" w:hAnsi="Helvetica;sans-serif"/>
                  <w:b w:val="false"/>
                  <w:strike w:val="false"/>
                  <w:dstrike w:val="false"/>
                  <w:color w:val="000000"/>
                  <w:sz w:val="20"/>
                  <w:u w:val="none"/>
                  <w:effect w:val="none"/>
                </w:rPr>
                <w:t>29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II. OTHER INFORMATION</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f69e071ca4a2db97bd9b66af590b5_103">
              <w:r>
                <w:rPr>
                  <w:rStyle w:val="InternetLink"/>
                  <w:rFonts w:ascii="Helvetica;sans-serif" w:hAnsi="Helvetica;sans-serif"/>
                  <w:b w:val="false"/>
                  <w:color w:val="0000FF"/>
                  <w:sz w:val="20"/>
                  <w:u w:val="single"/>
                </w:rPr>
                <w:t>Legal Proceedings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103">
              <w:r>
                <w:rPr>
                  <w:rStyle w:val="InternetLink"/>
                  <w:rFonts w:ascii="Helvetica;sans-serif" w:hAnsi="Helvetica;sans-serif"/>
                  <w:b w:val="false"/>
                  <w:strike w:val="false"/>
                  <w:dstrike w:val="false"/>
                  <w:color w:val="000000"/>
                  <w:sz w:val="20"/>
                  <w:u w:val="none"/>
                  <w:effect w:val="none"/>
                </w:rPr>
                <w:t>31</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1A.</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f69e071ca4a2db97bd9b66af590b5_106">
              <w:r>
                <w:rPr>
                  <w:rStyle w:val="InternetLink"/>
                  <w:rFonts w:ascii="Helvetica;sans-serif" w:hAnsi="Helvetica;sans-serif"/>
                  <w:b w:val="false"/>
                  <w:color w:val="0000FF"/>
                  <w:sz w:val="20"/>
                  <w:u w:val="single"/>
                </w:rPr>
                <w:t>Risk Factors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106">
              <w:r>
                <w:rPr>
                  <w:rStyle w:val="InternetLink"/>
                  <w:rFonts w:ascii="Helvetica;sans-serif" w:hAnsi="Helvetica;sans-serif"/>
                  <w:b w:val="false"/>
                  <w:strike w:val="false"/>
                  <w:dstrike w:val="false"/>
                  <w:color w:val="000000"/>
                  <w:sz w:val="20"/>
                  <w:u w:val="none"/>
                  <w:effect w:val="none"/>
                </w:rPr>
                <w:t>31</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f69e071ca4a2db97bd9b66af590b5_109">
              <w:r>
                <w:rPr>
                  <w:rStyle w:val="InternetLink"/>
                  <w:rFonts w:ascii="Helvetica;sans-serif" w:hAnsi="Helvetica;sans-serif"/>
                  <w:b w:val="false"/>
                  <w:color w:val="0000FF"/>
                  <w:sz w:val="20"/>
                  <w:u w:val="single"/>
                </w:rPr>
                <w:t>Unregistered Sales of Equity Securities and Use of Proceeds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109">
              <w:r>
                <w:rPr>
                  <w:rStyle w:val="InternetLink"/>
                  <w:rFonts w:ascii="Helvetica;sans-serif" w:hAnsi="Helvetica;sans-serif"/>
                  <w:b w:val="false"/>
                  <w:strike w:val="false"/>
                  <w:dstrike w:val="false"/>
                  <w:color w:val="000000"/>
                  <w:sz w:val="20"/>
                  <w:u w:val="none"/>
                  <w:effect w:val="none"/>
                </w:rPr>
                <w:t>31</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3.</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f69e071ca4a2db97bd9b66af590b5_112">
              <w:r>
                <w:rPr>
                  <w:rStyle w:val="InternetLink"/>
                  <w:rFonts w:ascii="Helvetica;sans-serif" w:hAnsi="Helvetica;sans-serif"/>
                  <w:b w:val="false"/>
                  <w:color w:val="0000FF"/>
                  <w:sz w:val="20"/>
                  <w:u w:val="single"/>
                </w:rPr>
                <w:t>Defaults Upon Senior Securities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112">
              <w:r>
                <w:rPr>
                  <w:rStyle w:val="InternetLink"/>
                  <w:rFonts w:ascii="Helvetica;sans-serif" w:hAnsi="Helvetica;sans-serif"/>
                  <w:b w:val="false"/>
                  <w:strike w:val="false"/>
                  <w:dstrike w:val="false"/>
                  <w:color w:val="000000"/>
                  <w:sz w:val="20"/>
                  <w:u w:val="none"/>
                  <w:effect w:val="none"/>
                </w:rPr>
                <w:t>32</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4.</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f69e071ca4a2db97bd9b66af590b5_115">
              <w:r>
                <w:rPr>
                  <w:rStyle w:val="InternetLink"/>
                  <w:rFonts w:ascii="Helvetica;sans-serif" w:hAnsi="Helvetica;sans-serif"/>
                  <w:b w:val="false"/>
                  <w:color w:val="0000FF"/>
                  <w:sz w:val="20"/>
                  <w:u w:val="single"/>
                </w:rPr>
                <w:t>Mine Safety Disclosures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115">
              <w:r>
                <w:rPr>
                  <w:rStyle w:val="InternetLink"/>
                  <w:rFonts w:ascii="Helvetica;sans-serif" w:hAnsi="Helvetica;sans-serif"/>
                  <w:b w:val="false"/>
                  <w:strike w:val="false"/>
                  <w:dstrike w:val="false"/>
                  <w:color w:val="000000"/>
                  <w:sz w:val="20"/>
                  <w:u w:val="none"/>
                  <w:effect w:val="none"/>
                </w:rPr>
                <w:t>32</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5.</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f69e071ca4a2db97bd9b66af590b5_118">
              <w:r>
                <w:rPr>
                  <w:rStyle w:val="InternetLink"/>
                  <w:rFonts w:ascii="Helvetica;sans-serif" w:hAnsi="Helvetica;sans-serif"/>
                  <w:b w:val="false"/>
                  <w:color w:val="0000FF"/>
                  <w:sz w:val="20"/>
                  <w:u w:val="single"/>
                </w:rPr>
                <w:t>Other Information</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118">
              <w:r>
                <w:rPr>
                  <w:rStyle w:val="InternetLink"/>
                  <w:rFonts w:ascii="Helvetica;sans-serif" w:hAnsi="Helvetica;sans-serif"/>
                  <w:b w:val="false"/>
                  <w:strike w:val="false"/>
                  <w:dstrike w:val="false"/>
                  <w:color w:val="000000"/>
                  <w:sz w:val="20"/>
                  <w:u w:val="none"/>
                  <w:effect w:val="none"/>
                </w:rPr>
                <w:t>32</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6.</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f69e071ca4a2db97bd9b66af590b5_121">
              <w:r>
                <w:rPr>
                  <w:rStyle w:val="InternetLink"/>
                  <w:rFonts w:ascii="Helvetica;sans-serif" w:hAnsi="Helvetica;sans-serif"/>
                  <w:b w:val="false"/>
                  <w:color w:val="0000FF"/>
                  <w:sz w:val="20"/>
                  <w:u w:val="single"/>
                </w:rPr>
                <w:t>Exhibits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121">
              <w:r>
                <w:rPr>
                  <w:rStyle w:val="InternetLink"/>
                  <w:rFonts w:ascii="Helvetica;sans-serif" w:hAnsi="Helvetica;sans-serif"/>
                  <w:b w:val="false"/>
                  <w:strike w:val="false"/>
                  <w:dstrike w:val="false"/>
                  <w:color w:val="000000"/>
                  <w:sz w:val="20"/>
                  <w:u w:val="none"/>
                  <w:effect w:val="none"/>
                </w:rPr>
                <w:t>32</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f69e071ca4a2db97bd9b66af590b5_124">
              <w:r>
                <w:rPr>
                  <w:rStyle w:val="InternetLink"/>
                  <w:rFonts w:ascii="Helvetica;sans-serif" w:hAnsi="Helvetica;sans-serif"/>
                  <w:b w:val="false"/>
                  <w:color w:val="0000FF"/>
                  <w:sz w:val="20"/>
                  <w:u w:val="single"/>
                </w:rPr>
                <w:t>Signatures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f69e071ca4a2db97bd9b66af590b5_124">
              <w:r>
                <w:rPr>
                  <w:rStyle w:val="InternetLink"/>
                  <w:rFonts w:ascii="Helvetica;sans-serif" w:hAnsi="Helvetica;sans-serif"/>
                  <w:b w:val="false"/>
                  <w:strike w:val="false"/>
                  <w:dstrike w:val="false"/>
                  <w:color w:val="000000"/>
                  <w:sz w:val="20"/>
                  <w:u w:val="none"/>
                  <w:effect w:val="non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SPECIAL NOTE REGARDING FORWARD-LOOKING STATEMENTS</w:t>
      </w:r>
    </w:p>
    <w:p>
      <w:pPr>
        <w:pStyle w:val="TextBody"/>
        <w:bidi w:val="0"/>
        <w:spacing w:lineRule="auto" w:line="288" w:before="12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future financial performance, including our revenue, cost of revenue and operating expenses and our ability to achieve and maintain future profitability;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the sufficiency of our cash, cash equivalents and capital resources to meet our liquidity needs;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effectively manage or sustain our growth and to effectively expand our operations;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strategies, plans, objectives and goals, including our expectations regarding future infrastructure investments as well as restructuring activities;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attract and retain buyers and sellers and the continued impact of network effects as we scale our platform;</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continue to generate revenue from new Resale-as-a-Service (“RaaS”) offerings as sources of revenue;</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trends in our key financial and operating metrics;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estimated market opportunity;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economic and industry trends, projected growth or trend analysis, including the effects of foreign currency exchange rate fluctuations, inflationary pressures, increased interest rates, changing consumer habits, climate change and general global economic uncertainty;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comply with applicable laws and regulations;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remediate our material weakness in our internal control over financial reporting;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successfully integrate and realize the benefits of our past or future strategic acquisitions or investments.</w:t>
      </w:r>
    </w:p>
    <w:p>
      <w:pPr>
        <w:pStyle w:val="TextBody"/>
        <w:bidi w:val="0"/>
        <w:spacing w:lineRule="auto" w:line="288" w:before="240" w:after="283"/>
        <w:ind w:left="0" w:right="0" w:firstLine="360"/>
        <w:jc w:val="both"/>
        <w:rPr/>
      </w:pPr>
      <w:r>
        <w:rPr>
          <w:rFonts w:ascii="Helvetica;sans-serif" w:hAnsi="Helvetica;sans-serif"/>
          <w:b w:val="false"/>
          <w:i/>
          <w:color w:val="000000"/>
          <w:sz w:val="20"/>
        </w:rPr>
        <w:t xml:space="preserve">You should not rely upon forward-looking statements as predictions of future events. The outcome of the events described in these forward-looking statements is subject to risks, uncertainties and other factors described in Part I, Item 1A, </w:t>
      </w:r>
      <w:r>
        <w:rPr>
          <w:rFonts w:ascii="Helvetica;sans-serif" w:hAnsi="Helvetica;sans-serif"/>
          <w:b w:val="false"/>
          <w:color w:val="000000"/>
          <w:sz w:val="20"/>
        </w:rPr>
        <w:t>Risk Factors</w:t>
      </w:r>
      <w:r>
        <w:rPr>
          <w:rFonts w:ascii="Helvetica;sans-serif" w:hAnsi="Helvetica;sans-serif"/>
          <w:b w:val="false"/>
          <w:i/>
          <w:color w:val="000000"/>
          <w:sz w:val="20"/>
        </w:rPr>
        <w:t>, of our Annual Report on Form 10-K for the year ended December 31, 2022, in Part II, Item 1A, Risk Factors, in our Quarterly Reports on Form 10-Q for the quarters ended March 31, 2023 and June 30, 2023 and elsewhere in this Quarterly Report on Form 10-Q,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24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Unless otherwise indicated or unless the context requires otherwise, all references in this document to “thredUP”, “the Company”, “we”, “us”, “our”, or similar references are to ThredUp Inc. and its consolidated subsidiaries.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is one of the world’s largest online resale platforms for apparel, shoes and accessories, based primarily on items processed, items sold and the capacity of our distribution centers.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BALANCE SHEETS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87"/>
        <w:gridCol w:w="2154"/>
        <w:gridCol w:w="2088"/>
        <w:gridCol w:w="109"/>
        <w:gridCol w:w="109"/>
        <w:gridCol w:w="109"/>
        <w:gridCol w:w="222"/>
        <w:gridCol w:w="902"/>
        <w:gridCol w:w="114"/>
        <w:gridCol w:w="113"/>
        <w:gridCol w:w="113"/>
        <w:gridCol w:w="113"/>
        <w:gridCol w:w="219"/>
        <w:gridCol w:w="890"/>
        <w:gridCol w:w="163"/>
      </w:tblGrid>
      <w:tr>
        <w:trPr/>
        <w:tc>
          <w:tcPr>
            <w:tcW w:w="2787"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2022</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par value amounts)</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ASSETS</w:t>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68,552 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38,029 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66,902 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4,669 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17,519 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7,076 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105,492 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134,195 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43,090 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46,153 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90,270 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92,482 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11,592 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10,499 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7,027 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265,388 </w:t>
            </w:r>
          </w:p>
        </w:tc>
        <w:tc>
          <w:tcPr>
            <w:tcW w:w="1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301,948 </w:t>
            </w:r>
          </w:p>
        </w:tc>
        <w:tc>
          <w:tcPr>
            <w:tcW w:w="1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LIABILITIES AND STOCKHOLDERS’ EQUITY</w:t>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7,800 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40,225 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50,155 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16,166 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6,413 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3,879 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84,384 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84,413 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45,257 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48,727 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25,788 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3,019 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155,840 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161,947 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Class A and B common stock, $0.0001 par value; 1,120,000 shares authorized as of September 30, 2023 and December 31, 2022; 106,837 and 101,532 shares issued and outstanding as of September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577,740 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551,852 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(3,941)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(4,234)</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(464,262)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(407,627)</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109,548 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140,001 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265,388 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301,948 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OPERATIONS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43"/>
        <w:gridCol w:w="1251"/>
        <w:gridCol w:w="1260"/>
        <w:gridCol w:w="109"/>
        <w:gridCol w:w="109"/>
        <w:gridCol w:w="109"/>
        <w:gridCol w:w="219"/>
        <w:gridCol w:w="813"/>
        <w:gridCol w:w="113"/>
        <w:gridCol w:w="109"/>
        <w:gridCol w:w="109"/>
        <w:gridCol w:w="109"/>
        <w:gridCol w:w="219"/>
        <w:gridCol w:w="813"/>
        <w:gridCol w:w="113"/>
        <w:gridCol w:w="109"/>
        <w:gridCol w:w="109"/>
        <w:gridCol w:w="109"/>
        <w:gridCol w:w="215"/>
        <w:gridCol w:w="875"/>
        <w:gridCol w:w="111"/>
        <w:gridCol w:w="109"/>
        <w:gridCol w:w="109"/>
        <w:gridCol w:w="109"/>
        <w:gridCol w:w="215"/>
        <w:gridCol w:w="874"/>
        <w:gridCol w:w="163"/>
      </w:tblGrid>
      <w:tr>
        <w:trPr/>
        <w:tc>
          <w:tcPr>
            <w:tcW w:w="164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 share amounts)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57,838 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157,732 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137,524 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82,897 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79,537 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82,049 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67,945 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240,629 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217,061 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29,354 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48,246 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40,335 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25,422 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23,449 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77,177 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69,689 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56,627 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44,496 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163,452 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147,372 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40,355 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118,473 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121,824 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54,919 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51,370 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47,276 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74,819 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68,686 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220,539 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220,470 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(18,192)</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(24,190)</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(57,087)</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(73,098)</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(1,108)</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(18,079)</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(23,669)</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(56,611)</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(72,754)</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(18,082)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(23,678)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(56,635)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(72,785)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(0.17)</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(0.24)</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(0.54)</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(0.73)</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shares used in computing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105,898 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99,409 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COMPREHENSIVE LOSS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89"/>
        <w:gridCol w:w="1281"/>
        <w:gridCol w:w="1293"/>
        <w:gridCol w:w="109"/>
        <w:gridCol w:w="109"/>
        <w:gridCol w:w="109"/>
        <w:gridCol w:w="225"/>
        <w:gridCol w:w="855"/>
        <w:gridCol w:w="116"/>
        <w:gridCol w:w="109"/>
        <w:gridCol w:w="109"/>
        <w:gridCol w:w="109"/>
        <w:gridCol w:w="225"/>
        <w:gridCol w:w="855"/>
        <w:gridCol w:w="116"/>
        <w:gridCol w:w="109"/>
        <w:gridCol w:w="109"/>
        <w:gridCol w:w="109"/>
        <w:gridCol w:w="225"/>
        <w:gridCol w:w="855"/>
        <w:gridCol w:w="116"/>
        <w:gridCol w:w="109"/>
        <w:gridCol w:w="109"/>
        <w:gridCol w:w="109"/>
        <w:gridCol w:w="224"/>
        <w:gridCol w:w="852"/>
        <w:gridCol w:w="170"/>
      </w:tblGrid>
      <w:tr>
        <w:trPr/>
        <w:tc>
          <w:tcPr>
            <w:tcW w:w="148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r>
      <w:tr>
        <w:trPr/>
        <w:tc>
          <w:tcPr>
            <w:tcW w:w="4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r>
      <w:tr>
        <w:trPr/>
        <w:tc>
          <w:tcPr>
            <w:tcW w:w="4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(18,082)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(23,678)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(56,635)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(72,785)</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(5,258)</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gain (loss)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(1,284)</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(928)</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(2,245)</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(6,542)</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(19,010)</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(25,923)</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(56,342)</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(79,327)</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STOCKHOLDERS’ EQUITY</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82"/>
        <w:gridCol w:w="384"/>
        <w:gridCol w:w="385"/>
        <w:gridCol w:w="109"/>
        <w:gridCol w:w="109"/>
        <w:gridCol w:w="109"/>
        <w:gridCol w:w="368"/>
        <w:gridCol w:w="368"/>
        <w:gridCol w:w="216"/>
        <w:gridCol w:w="109"/>
        <w:gridCol w:w="109"/>
        <w:gridCol w:w="109"/>
        <w:gridCol w:w="207"/>
        <w:gridCol w:w="428"/>
        <w:gridCol w:w="116"/>
        <w:gridCol w:w="109"/>
        <w:gridCol w:w="109"/>
        <w:gridCol w:w="109"/>
        <w:gridCol w:w="204"/>
        <w:gridCol w:w="767"/>
        <w:gridCol w:w="113"/>
        <w:gridCol w:w="109"/>
        <w:gridCol w:w="109"/>
        <w:gridCol w:w="109"/>
        <w:gridCol w:w="320"/>
        <w:gridCol w:w="934"/>
        <w:gridCol w:w="179"/>
        <w:gridCol w:w="109"/>
        <w:gridCol w:w="109"/>
        <w:gridCol w:w="109"/>
        <w:gridCol w:w="218"/>
        <w:gridCol w:w="838"/>
        <w:gridCol w:w="122"/>
        <w:gridCol w:w="109"/>
        <w:gridCol w:w="109"/>
        <w:gridCol w:w="109"/>
        <w:gridCol w:w="231"/>
        <w:gridCol w:w="872"/>
        <w:gridCol w:w="191"/>
      </w:tblGrid>
      <w:tr>
        <w:trPr/>
        <w:tc>
          <w:tcPr>
            <w:tcW w:w="7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101,532 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551,852 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(4,234)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(407,627)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140,001 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275 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9,720 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(270)</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(19,793)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(19,793)</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1,154 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102,836 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561,577 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(3,080)</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(427,420)</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131,087 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2,663 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594 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7,958 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(348)</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(18,760)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(18,760)</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105,335 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569,780 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(3,013)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(446,180)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120,598 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490 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8,190 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(720)</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(18,082)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(18,082)</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(928)</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106,837 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577,740 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(3,941)</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(464,262)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109,548 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82"/>
        <w:gridCol w:w="384"/>
        <w:gridCol w:w="385"/>
        <w:gridCol w:w="109"/>
        <w:gridCol w:w="109"/>
        <w:gridCol w:w="109"/>
        <w:gridCol w:w="368"/>
        <w:gridCol w:w="368"/>
        <w:gridCol w:w="216"/>
        <w:gridCol w:w="109"/>
        <w:gridCol w:w="109"/>
        <w:gridCol w:w="109"/>
        <w:gridCol w:w="207"/>
        <w:gridCol w:w="428"/>
        <w:gridCol w:w="116"/>
        <w:gridCol w:w="109"/>
        <w:gridCol w:w="109"/>
        <w:gridCol w:w="109"/>
        <w:gridCol w:w="204"/>
        <w:gridCol w:w="767"/>
        <w:gridCol w:w="113"/>
        <w:gridCol w:w="109"/>
        <w:gridCol w:w="109"/>
        <w:gridCol w:w="109"/>
        <w:gridCol w:w="320"/>
        <w:gridCol w:w="934"/>
        <w:gridCol w:w="179"/>
        <w:gridCol w:w="109"/>
        <w:gridCol w:w="109"/>
        <w:gridCol w:w="109"/>
        <w:gridCol w:w="218"/>
        <w:gridCol w:w="838"/>
        <w:gridCol w:w="122"/>
        <w:gridCol w:w="109"/>
        <w:gridCol w:w="109"/>
        <w:gridCol w:w="109"/>
        <w:gridCol w:w="231"/>
        <w:gridCol w:w="872"/>
        <w:gridCol w:w="191"/>
      </w:tblGrid>
      <w:tr>
        <w:trPr/>
        <w:tc>
          <w:tcPr>
            <w:tcW w:w="7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98,435 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522,161 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(315,343)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205,734 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754 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3,618 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(20,708)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(20,708)</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(1,710)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(1,710)</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98,942 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526,533 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(2,804)</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(336,051)</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187,688 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1,031 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10,353 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(28,399)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(28,399)</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(2,587)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(2,587)</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99,953 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537,760 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(5,391)</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(364,450)</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167,929 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779 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229 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7,460 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(23,678)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(23,678)</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(2,245)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(2,245)</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100,732 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545,449 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(7,636)</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(388,128)</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149,695 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56"/>
        <w:gridCol w:w="2237"/>
        <w:gridCol w:w="2255"/>
        <w:gridCol w:w="109"/>
        <w:gridCol w:w="109"/>
        <w:gridCol w:w="109"/>
        <w:gridCol w:w="228"/>
        <w:gridCol w:w="881"/>
        <w:gridCol w:w="117"/>
        <w:gridCol w:w="109"/>
        <w:gridCol w:w="109"/>
        <w:gridCol w:w="109"/>
        <w:gridCol w:w="227"/>
        <w:gridCol w:w="878"/>
        <w:gridCol w:w="172"/>
      </w:tblGrid>
      <w:tr>
        <w:trPr/>
        <w:tc>
          <w:tcPr>
            <w:tcW w:w="255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r>
      <w:tr>
        <w:trPr/>
        <w:tc>
          <w:tcPr>
            <w:tcW w:w="7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r>
      <w:tr>
        <w:trPr/>
        <w:tc>
          <w:tcPr>
            <w:tcW w:w="7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(56,635)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(72,785)</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10,217 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20,758 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Reduction in carrying amount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4,820 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1,409 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795 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(6,222)</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(1,732)</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(3,000)</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(4,331)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6,918 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(5,426)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2,396 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(14,616)</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(36,939)</w:t>
            </w:r>
          </w:p>
        </w:tc>
        <w:tc>
          <w:tcPr>
            <w:tcW w:w="1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(9,851)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(3,475)</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71,979 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35,830 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(13,775)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(39,316)</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48,353 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(6,961)</w:t>
            </w:r>
          </w:p>
        </w:tc>
        <w:tc>
          <w:tcPr>
            <w:tcW w:w="1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from debt, net of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491 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(5,333)</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from issuance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3,878 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 of withholding taxes on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(1,958)</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(2,983)</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(2,922)</w:t>
            </w:r>
          </w:p>
        </w:tc>
        <w:tc>
          <w:tcPr>
            <w:tcW w:w="1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(918)</w:t>
            </w:r>
          </w:p>
        </w:tc>
        <w:tc>
          <w:tcPr>
            <w:tcW w:w="1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30,524 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(47,740)</w:t>
            </w:r>
          </w:p>
        </w:tc>
        <w:tc>
          <w:tcPr>
            <w:tcW w:w="1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91,840 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74,575 </w:t>
            </w:r>
          </w:p>
        </w:tc>
        <w:tc>
          <w:tcPr>
            <w:tcW w:w="1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44,100 </w:t>
            </w:r>
          </w:p>
        </w:tc>
        <w:tc>
          <w:tcPr>
            <w:tcW w:w="1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1. Organization and Description of Business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Inc. (“thredUP” or the “Company”) was formed as a corporation in the State of Delaware in January 2009. thredUP operates a large resale platform that enables consumers to buy and sell primarily secondhand apparel, shoes, and accessories.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2. Significant Accounting Policies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Basis of Presentation and Use of Estimates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the United States (“U.S.”) Generally Accepted Accounting Principles (“GAAP”) for interim financial information and with the instructions to Quarterly Report on Form 10</w:t>
        <w:noBreakHyphen/>
        <w:t>Q and Article 10 of Regulation S-X. As permitted under those rules, certain footnotes or other financial information may be condensed or omitted.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preparation of consolidated financial statements in accordance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and intangibles; allowance for sales returns; breakage on loyalty points and rewards, and gift cards; valuation of inventory, stock-based compensation, right-of-use assets, goodwill and acquired intangible assets, and income taxes.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opinion of management, the accompanying unaudited condensed consolidated financial statements reflect all normal and recurring adjustments necessary to present fairly the financial position of the Company as of September 30, 2023, and the results of operations and cash flows for the interim periods presented.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and related financial information should be read in conjunction with the Company’s audited consolidated financial statements and related notes included in the Company’s Annual Report on Form 10-K for the year ended December 31, 2022 (the “2022 10-K”).</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Recently Adopted Accounting Pronouncements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In June 2016, the Financial Accounting Standards Board (“FASB”) issued Accounting Standards Update (“ASU”) No. 2016-13, </w:t>
      </w:r>
      <w:r>
        <w:rPr>
          <w:rFonts w:ascii="Helvetica;sans-serif" w:hAnsi="Helvetica;sans-serif"/>
          <w:b w:val="false"/>
          <w:i/>
          <w:color w:val="000000"/>
          <w:sz w:val="20"/>
        </w:rPr>
        <w:t>Financial Instruments — Credit Losses (Topic 326): Measurement of Credit Losses on Financial Instruments</w:t>
      </w:r>
      <w:r>
        <w:rPr>
          <w:rFonts w:ascii="Helvetica;sans-serif" w:hAnsi="Helvetica;sans-serif"/>
          <w:b w:val="false"/>
          <w:color w:val="000000"/>
          <w:sz w:val="20"/>
        </w:rPr>
        <w:t>. This ASU changes the impairment model for most financial assets, requiring the use of an expected loss model that requires entities to estimate the lifetime expected credit loss on financial assets measured at amortized cost. Such credit losses will be recorded as an allowance to offset the amortized cost of the financial asset, resulting in a net presentation of the amount expected to be collected on the financial asset. In addition, credit losses relating to available-for-sale debt securities will now be recorded through an allowance for credit losses rather than as a direct write-down to the security. This standard is effective for fiscal years beginning after December 15, 2022, including interim periods within those fiscal years. The adoption of this guidance during the first quarter of 2023 did not have a material impact on the Company’s condensed consolidated financial statements.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Revenue from Loyalty Reward Redemption and Expiration</w:t>
      </w:r>
    </w:p>
    <w:p>
      <w:pPr>
        <w:pStyle w:val="TextBody"/>
        <w:bidi w:val="0"/>
        <w:spacing w:lineRule="auto" w:line="288" w:before="120" w:after="283"/>
        <w:ind w:left="0" w:right="0" w:firstLine="720"/>
        <w:jc w:val="both"/>
        <w:rPr>
          <w:rFonts w:ascii="Helvetica;sans-serif" w:hAnsi="Helvetica;sans-serif"/>
          <w:b w:val="false"/>
          <w:color w:val="000000"/>
          <w:sz w:val="20"/>
        </w:rPr>
      </w:pPr>
      <w:r>
        <w:rPr>
          <w:rFonts w:ascii="Helvetica;sans-serif" w:hAnsi="Helvetica;sans-serif"/>
          <w:b w:val="false"/>
          <w:color w:val="000000"/>
          <w:sz w:val="20"/>
        </w:rPr>
        <w:t xml:space="preserve">The Company has a customer loyalty program, which allows end-customers to earn and accumulate points with each qualifying purchase. Earned points can be redeemed for reward coupons, such as discounts, free shipping, or waived restocking fee, which can be applied to future purchases or returns. Unredeemed points expire after one year from the date the points were earned. Reward coupons expire six months from the date the reward is claimed. Points earned on purchases are a material right, representing a separate performance obligation. </w:t>
      </w:r>
    </w:p>
    <w:p>
      <w:pPr>
        <w:pStyle w:val="TextBody"/>
        <w:bidi w:val="0"/>
        <w:spacing w:lineRule="auto" w:line="288" w:before="240" w:after="283"/>
        <w:ind w:left="0" w:right="0" w:firstLine="720"/>
        <w:jc w:val="both"/>
        <w:rPr>
          <w:rFonts w:ascii="Helvetica;sans-serif" w:hAnsi="Helvetica;sans-serif"/>
          <w:b w:val="false"/>
          <w:color w:val="000000"/>
          <w:sz w:val="20"/>
        </w:rPr>
      </w:pPr>
      <w:r>
        <w:rPr>
          <w:rFonts w:ascii="Helvetica;sans-serif" w:hAnsi="Helvetica;sans-serif"/>
          <w:b w:val="false"/>
          <w:color w:val="000000"/>
          <w:sz w:val="20"/>
        </w:rPr>
        <w:t xml:space="preserve">The allocated consideration for the points earned through qualifying purchase transactions is deferred based on the standalone selling price of the points and recorded within deferred revenue under accrued and other current liabilities within the Company’s condensed consolidated balance sheets. Revenue is recognized for these performance obligations at a point in time when rewards are redeemed by the end customer or expired.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720"/>
        <w:jc w:val="both"/>
        <w:rPr>
          <w:rFonts w:ascii="Helvetica;sans-serif" w:hAnsi="Helvetica;sans-serif"/>
          <w:b w:val="false"/>
          <w:color w:val="000000"/>
          <w:sz w:val="20"/>
        </w:rPr>
      </w:pPr>
      <w:r>
        <w:rPr>
          <w:rFonts w:ascii="Helvetica;sans-serif" w:hAnsi="Helvetica;sans-serif"/>
          <w:b w:val="false"/>
          <w:color w:val="000000"/>
          <w:sz w:val="20"/>
        </w:rPr>
        <w:t>As of September 30, 2023 and December 31, 2022, the Company had a deferred revenue liability of $3.4 million and $3.3 million, respectively, related to its customer loyalty program, which is included in accrued and other current liabilities within the Company’s condensed consolidated balance sheets. The Company recognized revenue from loyalty reward redemption of $2.1 million and $2.2 million for the three months ended September 30, 2023 and 2022, respectively, and $6.7 million and $7.4 million for the nine months ended September 30, 2023 and 2022, respectively. As our loyalty points expire in 12 months and coupon rewards expire in six months, the revenue for the remaining performance obligation is expected to be recognized within a 12-month period.</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Gift Cards and Site Credits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sells thredUP gift cards on its e-commerce website and may also convert site credits to thredUP gift cards after one year at the discretion of the Company. thredUP gift cards do not expire or lose value over periods of inactivity. The Company accounts for gift cards by recognizing a gift card liability at the time a gift card is delivered to the customer. As of September 30, 2023 and December 31, 2022, $8.9 million and $10.9 million, respectively, of gift card liability was included in accrued and other current liabilities within the Company’s condensed consolidated balance sheets. Revenue from gift cards is generally recognized when the gift cards are redeemed by the customer and amounted to $0.5 million and $0.2 million for the three months ended September 30, 2023 and 2022, respectively, and $1.7 million and $0.7 million for the nine months ended September 30, 2023 and 2022,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issues site credits for returns, which can be applied toward future charges but may not be converted into cash. Site credits may also be converted to thredUP gift cards after one year at the discretion of the Company. These credits are recognized as revenue when used. As of September 30, 2023 and December 31, 2022, $4.8 million and $7.2 million, respectively, of such customer site credits were included in accrued and other current liabilities within the Company’s condensed consolidated balance sheets. Revenue recognized from the redemption of site credits was $10.2 million and $11.9 million for the three months ended September 30, 2023 and 2022, respectively, and $30.1 million and $35.9 million for the nine months ended September 30, 2023 and 2022,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recognizes breakage revenue when it determines that the redemption of gift cards is remote. Breakage revenue was $1.9 million and $2.3 million for the three and nine months ended September 30, 2023, respectively. Breakage revenue was not material for the three and nine months ended September 30, 2022.</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Cash, Cash Equivalents and Restricted Cash</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a reconciliation of cash, cash equivalents and restricted cash reported within the Company’s condensed consolidated balance sheets that sum to the total of the same such amounts shown in the Company’s condensed consolidated statements of cash flows:</w:t>
      </w:r>
    </w:p>
    <w:tbl>
      <w:tblPr>
        <w:tblW w:w="10205" w:type="dxa"/>
        <w:jc w:val="center"/>
        <w:tblInd w:w="0" w:type="dxa"/>
        <w:tblLayout w:type="fixed"/>
        <w:tblCellMar>
          <w:top w:w="28" w:type="dxa"/>
          <w:left w:w="28" w:type="dxa"/>
          <w:bottom w:w="28" w:type="dxa"/>
          <w:right w:w="28" w:type="dxa"/>
        </w:tblCellMar>
      </w:tblPr>
      <w:tblGrid>
        <w:gridCol w:w="2582"/>
        <w:gridCol w:w="2269"/>
        <w:gridCol w:w="2277"/>
        <w:gridCol w:w="109"/>
        <w:gridCol w:w="109"/>
        <w:gridCol w:w="109"/>
        <w:gridCol w:w="239"/>
        <w:gridCol w:w="853"/>
        <w:gridCol w:w="123"/>
        <w:gridCol w:w="109"/>
        <w:gridCol w:w="109"/>
        <w:gridCol w:w="109"/>
        <w:gridCol w:w="227"/>
        <w:gridCol w:w="812"/>
        <w:gridCol w:w="169"/>
      </w:tblGrid>
      <w:tr>
        <w:trPr/>
        <w:tc>
          <w:tcPr>
            <w:tcW w:w="2582"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2022</w:t>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68,552 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38,029 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 included in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5,639 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cash equivalents, and restricted cash shown in the statement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74,575 </w:t>
            </w:r>
          </w:p>
        </w:tc>
        <w:tc>
          <w:tcPr>
            <w:tcW w:w="1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44,051 </w:t>
            </w:r>
          </w:p>
        </w:tc>
        <w:tc>
          <w:tcPr>
            <w:tcW w:w="1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720"/>
        <w:jc w:val="both"/>
        <w:rPr>
          <w:rFonts w:ascii="Helvetica;sans-serif" w:hAnsi="Helvetica;sans-serif"/>
          <w:b w:val="false"/>
          <w:i/>
          <w:color w:val="000000"/>
          <w:sz w:val="20"/>
        </w:rPr>
      </w:pPr>
      <w:r>
        <w:rPr>
          <w:rFonts w:ascii="Helvetica;sans-serif" w:hAnsi="Helvetica;sans-serif"/>
          <w:b w:val="false"/>
          <w:i/>
          <w:color w:val="000000"/>
          <w:sz w:val="20"/>
        </w:rPr>
        <w:t>Fair Value Measurements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The Company applies the provisions of FASB ASC Topic 820, </w:t>
      </w:r>
      <w:r>
        <w:rPr>
          <w:rFonts w:ascii="Helvetica;sans-serif" w:hAnsi="Helvetica;sans-serif"/>
          <w:b w:val="false"/>
          <w:i/>
          <w:color w:val="000000"/>
          <w:sz w:val="20"/>
        </w:rPr>
        <w:t>Fair Value Measurements and Disclosures</w:t>
      </w:r>
      <w:r>
        <w:rPr>
          <w:rFonts w:ascii="Helvetica;sans-serif" w:hAnsi="Helvetica;sans-serif"/>
          <w:b w:val="false"/>
          <w:color w:val="000000"/>
          <w:sz w:val="20"/>
        </w:rPr>
        <w:t>, for its financial and non-financial assets and liabilities. ASC 820 defines fair value as the price that would be received to sell an asset or paid to transfer a liability in an orderly transaction between market participants at the measurement date. ASC 820 establishes a fair value hierarchy, which prioritizes the inputs used in measuring fair value into three broad levels as follows: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Level 1 inputs are quoted prices (unadjusted) in active markets for identical assets or liabilities that the reporting entity has the ability to access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Level 2 inputs include quoted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Level 3 inputs are unobservable inputs for the asset or liability.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measures certain assets and liabilities at fair value as discussed throughout the notes to its condensed consolidated financial statements. As of September 30, 2023 and December 31, 2022, the carrying amounts of the Company’s accounts receivable, other current assets, other assets, accounts payable, seller payable and accrued and other current liabilities approximated their estimated fair values due to their relatively short maturities. Management believes the terms of its long-term variable-rate debt reflect current market conditions for an instrument with similar terms and maturity, and as such, the carrying value of the Company’s long-term debt approximated its fair value as of September 30,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3. Financial Instruments and Fair Value Measurements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provide information about the Company’s financial instruments that are measured at fair value on a recurring basis and indicate the fair value hierarchy of the valuation techniques utilized to determine such values as of September 30, 2023 and December 31, 2022:</w:t>
      </w:r>
    </w:p>
    <w:tbl>
      <w:tblPr>
        <w:tblW w:w="8907" w:type="dxa"/>
        <w:jc w:val="center"/>
        <w:tblInd w:w="0" w:type="dxa"/>
        <w:tblLayout w:type="fixed"/>
        <w:tblCellMar>
          <w:top w:w="28" w:type="dxa"/>
          <w:left w:w="28" w:type="dxa"/>
          <w:bottom w:w="28" w:type="dxa"/>
          <w:right w:w="28" w:type="dxa"/>
        </w:tblCellMar>
      </w:tblPr>
      <w:tblGrid>
        <w:gridCol w:w="1305"/>
        <w:gridCol w:w="1148"/>
        <w:gridCol w:w="1162"/>
        <w:gridCol w:w="109"/>
        <w:gridCol w:w="109"/>
        <w:gridCol w:w="109"/>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2023</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10,096 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19,333 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discount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39,778 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49,874 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10,096 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45,353 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55,449 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57" w:type="dxa"/>
        <w:jc w:val="center"/>
        <w:tblInd w:w="0" w:type="dxa"/>
        <w:tblLayout w:type="fixed"/>
        <w:tblCellMar>
          <w:top w:w="28" w:type="dxa"/>
          <w:left w:w="28" w:type="dxa"/>
          <w:bottom w:w="28" w:type="dxa"/>
          <w:right w:w="28" w:type="dxa"/>
        </w:tblCellMar>
      </w:tblPr>
      <w:tblGrid>
        <w:gridCol w:w="1034"/>
        <w:gridCol w:w="910"/>
        <w:gridCol w:w="921"/>
        <w:gridCol w:w="109"/>
        <w:gridCol w:w="109"/>
        <w:gridCol w:w="109"/>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4"/>
      </w:tblGrid>
      <w:tr>
        <w:trPr/>
        <w:tc>
          <w:tcPr>
            <w:tcW w:w="103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15,570 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66,902 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68,012 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14,460 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82,472 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summarize the cost, gross unrealized gains, gross unrealized losses and fair value of the marketable securities as of September 30, 2023 and December 31, 2022:</w:t>
      </w:r>
    </w:p>
    <w:tbl>
      <w:tblPr>
        <w:tblW w:w="8645" w:type="dxa"/>
        <w:jc w:val="left"/>
        <w:tblInd w:w="0" w:type="dxa"/>
        <w:tblLayout w:type="fixed"/>
        <w:tblCellMar>
          <w:top w:w="28" w:type="dxa"/>
          <w:left w:w="28" w:type="dxa"/>
          <w:bottom w:w="28" w:type="dxa"/>
          <w:right w:w="28" w:type="dxa"/>
        </w:tblCellMar>
      </w:tblPr>
      <w:tblGrid>
        <w:gridCol w:w="1037"/>
        <w:gridCol w:w="912"/>
        <w:gridCol w:w="916"/>
        <w:gridCol w:w="109"/>
        <w:gridCol w:w="109"/>
        <w:gridCol w:w="109"/>
        <w:gridCol w:w="432"/>
        <w:gridCol w:w="1324"/>
        <w:gridCol w:w="223"/>
        <w:gridCol w:w="109"/>
        <w:gridCol w:w="109"/>
        <w:gridCol w:w="109"/>
        <w:gridCol w:w="211"/>
        <w:gridCol w:w="406"/>
        <w:gridCol w:w="109"/>
        <w:gridCol w:w="109"/>
        <w:gridCol w:w="109"/>
        <w:gridCol w:w="109"/>
        <w:gridCol w:w="211"/>
        <w:gridCol w:w="436"/>
        <w:gridCol w:w="109"/>
        <w:gridCol w:w="109"/>
        <w:gridCol w:w="109"/>
        <w:gridCol w:w="109"/>
        <w:gridCol w:w="211"/>
        <w:gridCol w:w="64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2023</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Cost or 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Unrealized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5,592 </w:t>
            </w:r>
          </w:p>
        </w:tc>
        <w:tc>
          <w:tcPr>
            <w:tcW w:w="2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5,575 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20" w:type="dxa"/>
        <w:jc w:val="left"/>
        <w:tblInd w:w="0" w:type="dxa"/>
        <w:tblLayout w:type="fixed"/>
        <w:tblCellMar>
          <w:top w:w="28" w:type="dxa"/>
          <w:left w:w="28" w:type="dxa"/>
          <w:bottom w:w="28" w:type="dxa"/>
          <w:right w:w="28" w:type="dxa"/>
        </w:tblCellMar>
      </w:tblPr>
      <w:tblGrid>
        <w:gridCol w:w="1037"/>
        <w:gridCol w:w="912"/>
        <w:gridCol w:w="915"/>
        <w:gridCol w:w="109"/>
        <w:gridCol w:w="109"/>
        <w:gridCol w:w="109"/>
        <w:gridCol w:w="390"/>
        <w:gridCol w:w="1389"/>
        <w:gridCol w:w="201"/>
        <w:gridCol w:w="109"/>
        <w:gridCol w:w="109"/>
        <w:gridCol w:w="109"/>
        <w:gridCol w:w="211"/>
        <w:gridCol w:w="406"/>
        <w:gridCol w:w="109"/>
        <w:gridCol w:w="109"/>
        <w:gridCol w:w="109"/>
        <w:gridCol w:w="109"/>
        <w:gridCol w:w="211"/>
        <w:gridCol w:w="706"/>
        <w:gridCol w:w="109"/>
        <w:gridCol w:w="109"/>
        <w:gridCol w:w="109"/>
        <w:gridCol w:w="109"/>
        <w:gridCol w:w="211"/>
        <w:gridCol w:w="75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Cost or 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Unrealized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9"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22,679 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67,984 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(1,082)</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66,902 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2023 and December 31, 2022, the Company’s cash equivalents approximated their estimated fair value. As such, there are no unrealized gains or losses related to the Company’s cash equivalents.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Company’s marketable securities, which were all classified as available-for-sale, the Company utilizes third-party pricing services to obtain fair value. Third-party pricing methodologies incorporate bond terms and conditions, current performance data, proprietary pricing models, real-time quotes from contributing dealers, trade prices and other market data. The Company determined that the declines in the fair value of its marketable securities were not driven by credit-related factors. During the three and nine months ended September 30, 2023 and 2022, the Company did not recognize any losses on its marketable securities due to credit-related factors.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2023, the Company’s money market funds were valued using Level 1 inputs because they were valued using quoted prices in active markets. The Company’s U.S. treasury securities, commercial paper, U.S. government agency discount notes, and U.S. government agency bonds were valued using Level 2 inputs because they were valued using quoted prices for similar assets or liabilities in active markets and quoted prices for identical or similar assets or liabilities in markets that are not active.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2023, there were no transfers into or out of Level 3 during the three and nine months ended September 30, 2023. As of September 30, 2023, of the $5.6 million carrying amount of marketable securities, all had a contractual maturity date of less than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4. Property and Equipment, Net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Property and equipment, net consisted of the following:</w:t>
      </w:r>
    </w:p>
    <w:tbl>
      <w:tblPr>
        <w:tblW w:w="7484" w:type="dxa"/>
        <w:jc w:val="center"/>
        <w:tblInd w:w="0" w:type="dxa"/>
        <w:tblLayout w:type="fixed"/>
        <w:tblCellMar>
          <w:top w:w="28" w:type="dxa"/>
          <w:left w:w="28" w:type="dxa"/>
          <w:bottom w:w="28" w:type="dxa"/>
          <w:right w:w="28" w:type="dxa"/>
        </w:tblCellMar>
      </w:tblPr>
      <w:tblGrid>
        <w:gridCol w:w="1587"/>
        <w:gridCol w:w="1394"/>
        <w:gridCol w:w="1398"/>
        <w:gridCol w:w="109"/>
        <w:gridCol w:w="109"/>
        <w:gridCol w:w="109"/>
        <w:gridCol w:w="220"/>
        <w:gridCol w:w="896"/>
        <w:gridCol w:w="114"/>
        <w:gridCol w:w="109"/>
        <w:gridCol w:w="109"/>
        <w:gridCol w:w="109"/>
        <w:gridCol w:w="211"/>
        <w:gridCol w:w="856"/>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2022</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133,980 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124,412 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(31,930)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90,270 </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92,482 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Depreciation and amortization expense of property and equipment was $4.7 million and $2.9 million for the three months ended September 30, 2023 and 2022, respectively, and $11.9 million and $8.3 million for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5. Goodwill and Other Intangible Assets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Goodwill is primarily attributable to the planned growth in the combined business after the acquisition of Remix Global EAD (“Remix”). Goodwill is reviewed for impairment at least annually, absent any interim indicators of impairment. Goodwill was $11.5 million and $11.6 million as of September 30, 2023 and December 31, 2022, respectively. The decrease in goodwill during the nine months ended September 30, 2023 was due to foreign currency translation adjustments.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gross carrying amounts and accumulated amortization of the Company’s intangible assets with determinable lives as of September 30, 2023 and December 31, 2022 were as follows:</w:t>
      </w:r>
    </w:p>
    <w:tbl>
      <w:tblPr>
        <w:tblW w:w="10205" w:type="dxa"/>
        <w:jc w:val="center"/>
        <w:tblInd w:w="0" w:type="dxa"/>
        <w:tblLayout w:type="fixed"/>
        <w:tblCellMar>
          <w:top w:w="28" w:type="dxa"/>
          <w:left w:w="28" w:type="dxa"/>
          <w:bottom w:w="28" w:type="dxa"/>
          <w:right w:w="28" w:type="dxa"/>
        </w:tblCellMar>
      </w:tblPr>
      <w:tblGrid>
        <w:gridCol w:w="691"/>
        <w:gridCol w:w="608"/>
        <w:gridCol w:w="610"/>
        <w:gridCol w:w="109"/>
        <w:gridCol w:w="109"/>
        <w:gridCol w:w="109"/>
        <w:gridCol w:w="522"/>
        <w:gridCol w:w="522"/>
        <w:gridCol w:w="523"/>
        <w:gridCol w:w="109"/>
        <w:gridCol w:w="109"/>
        <w:gridCol w:w="109"/>
        <w:gridCol w:w="351"/>
        <w:gridCol w:w="1251"/>
        <w:gridCol w:w="181"/>
        <w:gridCol w:w="109"/>
        <w:gridCol w:w="109"/>
        <w:gridCol w:w="109"/>
        <w:gridCol w:w="433"/>
        <w:gridCol w:w="1331"/>
        <w:gridCol w:w="225"/>
        <w:gridCol w:w="109"/>
        <w:gridCol w:w="109"/>
        <w:gridCol w:w="109"/>
        <w:gridCol w:w="343"/>
        <w:gridCol w:w="1050"/>
        <w:gridCol w:w="256"/>
      </w:tblGrid>
      <w:tr>
        <w:trPr/>
        <w:tc>
          <w:tcPr>
            <w:tcW w:w="69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2023</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Carrying Amount</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3,579 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4,305 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3,358 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13,544 </w:t>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(5,084)</w:t>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8,460 </w:t>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9"/>
        <w:gridCol w:w="606"/>
        <w:gridCol w:w="609"/>
        <w:gridCol w:w="109"/>
        <w:gridCol w:w="109"/>
        <w:gridCol w:w="109"/>
        <w:gridCol w:w="521"/>
        <w:gridCol w:w="521"/>
        <w:gridCol w:w="522"/>
        <w:gridCol w:w="109"/>
        <w:gridCol w:w="109"/>
        <w:gridCol w:w="109"/>
        <w:gridCol w:w="350"/>
        <w:gridCol w:w="1248"/>
        <w:gridCol w:w="181"/>
        <w:gridCol w:w="109"/>
        <w:gridCol w:w="109"/>
        <w:gridCol w:w="109"/>
        <w:gridCol w:w="432"/>
        <w:gridCol w:w="1326"/>
        <w:gridCol w:w="224"/>
        <w:gridCol w:w="109"/>
        <w:gridCol w:w="109"/>
        <w:gridCol w:w="109"/>
        <w:gridCol w:w="314"/>
        <w:gridCol w:w="1119"/>
        <w:gridCol w:w="235"/>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Carrying Amount</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(742)</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4,072 </w:t>
            </w:r>
          </w:p>
        </w:tc>
        <w:tc>
          <w:tcPr>
            <w:tcW w:w="2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2,672 </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3,755 </w:t>
            </w:r>
          </w:p>
        </w:tc>
        <w:tc>
          <w:tcPr>
            <w:tcW w:w="2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13,701 </w:t>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(3,202)</w:t>
            </w:r>
          </w:p>
        </w:tc>
        <w:tc>
          <w:tcPr>
            <w:tcW w:w="2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10,499 </w:t>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changes in the gross carrying amounts were due to foreign currency translation adjustments.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Amortization expense related to developed technology, customer relationships, and trademarks is recorded within operations, product, and technology; sales, general, and administrative; and marketing expense, respectively, within the Company’s condensed consolidated statements of operations. Amortization expense of intangible assets with determinable lives was $0.7 million and $0.6 million for the three months ended September 30, 2023 and 2022, respectively, and $2.0 million and $1.9 million for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6. Balance Sheet Components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Inventories consisted of the following:</w:t>
      </w:r>
    </w:p>
    <w:tbl>
      <w:tblPr>
        <w:tblW w:w="4628" w:type="dxa"/>
        <w:jc w:val="center"/>
        <w:tblInd w:w="0" w:type="dxa"/>
        <w:tblLayout w:type="fixed"/>
        <w:tblCellMar>
          <w:top w:w="28" w:type="dxa"/>
          <w:left w:w="28" w:type="dxa"/>
          <w:bottom w:w="28" w:type="dxa"/>
          <w:right w:w="28" w:type="dxa"/>
        </w:tblCellMar>
      </w:tblPr>
      <w:tblGrid>
        <w:gridCol w:w="555"/>
        <w:gridCol w:w="487"/>
        <w:gridCol w:w="488"/>
        <w:gridCol w:w="109"/>
        <w:gridCol w:w="109"/>
        <w:gridCol w:w="109"/>
        <w:gridCol w:w="242"/>
        <w:gridCol w:w="863"/>
        <w:gridCol w:w="125"/>
        <w:gridCol w:w="109"/>
        <w:gridCol w:w="109"/>
        <w:gridCol w:w="109"/>
        <w:gridCol w:w="229"/>
        <w:gridCol w:w="818"/>
        <w:gridCol w:w="167"/>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2022</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Work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14,880 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18,173 </w:t>
            </w:r>
          </w:p>
        </w:tc>
        <w:tc>
          <w:tcPr>
            <w:tcW w:w="1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17,519 </w:t>
            </w:r>
          </w:p>
        </w:tc>
        <w:tc>
          <w:tcPr>
            <w:tcW w:w="1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Work in process inventory relates to items that are currently undergoing preparation for sale, including itemization, cleaning, and repair.</w:t>
      </w:r>
    </w:p>
    <w:p>
      <w:pPr>
        <w:pStyle w:val="TextBody"/>
        <w:bidi w:val="0"/>
        <w:spacing w:before="24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Accrued and other current liabilities consisted of the following:</w:t>
      </w:r>
    </w:p>
    <w:tbl>
      <w:tblPr>
        <w:tblW w:w="6067" w:type="dxa"/>
        <w:jc w:val="center"/>
        <w:tblInd w:w="0" w:type="dxa"/>
        <w:tblLayout w:type="fixed"/>
        <w:tblCellMar>
          <w:top w:w="28" w:type="dxa"/>
          <w:left w:w="28" w:type="dxa"/>
          <w:bottom w:w="28" w:type="dxa"/>
          <w:right w:w="28" w:type="dxa"/>
        </w:tblCellMar>
      </w:tblPr>
      <w:tblGrid>
        <w:gridCol w:w="1074"/>
        <w:gridCol w:w="944"/>
        <w:gridCol w:w="951"/>
        <w:gridCol w:w="109"/>
        <w:gridCol w:w="109"/>
        <w:gridCol w:w="109"/>
        <w:gridCol w:w="242"/>
        <w:gridCol w:w="863"/>
        <w:gridCol w:w="125"/>
        <w:gridCol w:w="109"/>
        <w:gridCol w:w="109"/>
        <w:gridCol w:w="109"/>
        <w:gridCol w:w="229"/>
        <w:gridCol w:w="818"/>
        <w:gridCol w:w="167"/>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2022</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Gift card and site credit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18,101 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7,582 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4,326 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vendor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9,116 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Allowance for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4,907 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1,130 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40,225 </w:t>
            </w:r>
          </w:p>
        </w:tc>
        <w:tc>
          <w:tcPr>
            <w:tcW w:w="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50,155 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7. Long-Term Debt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February 2019, the Company entered into a loan and security agreement (“Term Loan”) with Western Alliance Bank for an aggregate amount of up to $40.0 million.</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The Term Loan was subsequently amended several times, with the most recent amendment taking place in July 2022. As amended, the Term Loan matures on July 14, 2027 and provides for an aggregate borrowing amount of up to $70.0 million, which bears interest at the prime rate published in the Wall Street Journal plus a margin of 1.25%, with a floor of 6.00%. The Company incurred an immaterial amount of debt issuance costs in connection with the amendment. For accounting purposes, pursuant to FASB ASC Topic 470, </w:t>
      </w:r>
      <w:r>
        <w:rPr>
          <w:rFonts w:ascii="Helvetica;sans-serif" w:hAnsi="Helvetica;sans-serif"/>
          <w:b w:val="false"/>
          <w:i/>
          <w:color w:val="000000"/>
          <w:sz w:val="20"/>
        </w:rPr>
        <w:t>Debt</w:t>
      </w:r>
      <w:r>
        <w:rPr>
          <w:rFonts w:ascii="Helvetica;sans-serif" w:hAnsi="Helvetica;sans-serif"/>
          <w:b w:val="false"/>
          <w:color w:val="000000"/>
          <w:sz w:val="20"/>
        </w:rPr>
        <w:t>, this transaction was accounted for as a modification of the Term Loan. The debt issuance costs were recognized in interest expense within the Company’s condensed consolidated statement of operations during the third quarter of 2022.</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requires the Company to comply with certain financial covenants, including, among other things, liquidity requirements, minimum cash deposits with Western Alliance Bank, performance metrics, and a debt service coverage ratio.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September 30, 2023 and December 31, 2022, the Company was in compliance with its debt covenants under the Term Loan.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is payable in consecutive monthly installments. Interest is due monthly on amounts outstanding under the Term Loan. The Company is permitted to make voluntary prepayments without penalty or premium at any time.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2023 and December 31, 2022, the effective interest rate for borrowings under the Term Loan was 10.73% and 9.70%,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nine months ended September 30, 2023, the Company did not make any borrowings under the Term Loan and repaid a total of $3.0 million on amounts outstanding under the Term Loan. During the nine months ended September 30, 2022, the Company borrowed $0.7 million under the Term Loan and repaid a total of $5.3 million on amounts outstanding under the Term Loan. As of September 30, 2023 and December 31, 2022, the amounts outstanding under the Term Loan were $27.3 million and $30.3 million,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During the three months ended September 30, 2023 and 2022, the Company incurred $0.7 million and $0.6 million, respectively, of interest costs relating to the Term Loan. There was no capitalized interest during the three months ended September 30, 2023 and $0.5 million was capitalized as part of an asset for the three month ended September 30, 2022.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nine months ended September 30, 2023 and 2022, the Company incurred $2.0 million and $1.8 million, respectively, of interest costs relating to the Term Loan, of which $0.6 million and $1.0 million, respectively, were capitalized as part of an asset.</w:t>
      </w:r>
    </w:p>
    <w:p>
      <w:pPr>
        <w:pStyle w:val="TextBody"/>
        <w:bidi w:val="0"/>
        <w:spacing w:before="24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2023, the future annual principal payments of the Term Loan were as follows:</w:t>
      </w:r>
    </w:p>
    <w:tbl>
      <w:tblPr>
        <w:tblW w:w="4962" w:type="dxa"/>
        <w:jc w:val="center"/>
        <w:tblInd w:w="0" w:type="dxa"/>
        <w:tblLayout w:type="fixed"/>
        <w:tblCellMar>
          <w:top w:w="28" w:type="dxa"/>
          <w:left w:w="28" w:type="dxa"/>
          <w:bottom w:w="28" w:type="dxa"/>
          <w:right w:w="28" w:type="dxa"/>
        </w:tblCellMar>
      </w:tblPr>
      <w:tblGrid>
        <w:gridCol w:w="1243"/>
        <w:gridCol w:w="1091"/>
        <w:gridCol w:w="1101"/>
        <w:gridCol w:w="109"/>
        <w:gridCol w:w="109"/>
        <w:gridCol w:w="109"/>
        <w:gridCol w:w="227"/>
        <w:gridCol w:w="808"/>
        <w:gridCol w:w="165"/>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14,333 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27,333 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unamortized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(531)</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(3,834)</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22,968 </w:t>
            </w:r>
          </w:p>
        </w:tc>
        <w:tc>
          <w:tcPr>
            <w:tcW w:w="1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8. Common Stock and Stockholders’ Equity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Each share of Class A common stock is entitled to one vote per share. Each share of Class B common stock is entitled to ten votes per share and is convertible at any time into one share of Class A common stock.</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summarizes the Class A common stock and Class B common stock authorized, issued and outstanding as of September 30, 2023 and December 31, 2022:</w:t>
      </w:r>
    </w:p>
    <w:tbl>
      <w:tblPr>
        <w:tblW w:w="6442" w:type="dxa"/>
        <w:jc w:val="center"/>
        <w:tblInd w:w="0" w:type="dxa"/>
        <w:tblLayout w:type="fixed"/>
        <w:tblCellMar>
          <w:top w:w="28" w:type="dxa"/>
          <w:left w:w="28" w:type="dxa"/>
          <w:bottom w:w="28" w:type="dxa"/>
          <w:right w:w="28" w:type="dxa"/>
        </w:tblCellMar>
      </w:tblPr>
      <w:tblGrid>
        <w:gridCol w:w="781"/>
        <w:gridCol w:w="687"/>
        <w:gridCol w:w="692"/>
        <w:gridCol w:w="109"/>
        <w:gridCol w:w="109"/>
        <w:gridCol w:w="109"/>
        <w:gridCol w:w="510"/>
        <w:gridCol w:w="511"/>
        <w:gridCol w:w="331"/>
        <w:gridCol w:w="178"/>
        <w:gridCol w:w="178"/>
        <w:gridCol w:w="178"/>
        <w:gridCol w:w="605"/>
        <w:gridCol w:w="605"/>
        <w:gridCol w:w="85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76,866 </w:t>
            </w:r>
          </w:p>
        </w:tc>
        <w:tc>
          <w:tcPr>
            <w:tcW w:w="8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29,971 </w:t>
            </w:r>
          </w:p>
        </w:tc>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1,120,000 </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106,837 </w:t>
            </w:r>
          </w:p>
        </w:tc>
        <w:tc>
          <w:tcPr>
            <w:tcW w:w="8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24" w:type="dxa"/>
        <w:jc w:val="center"/>
        <w:tblInd w:w="0" w:type="dxa"/>
        <w:tblLayout w:type="fixed"/>
        <w:tblCellMar>
          <w:top w:w="28" w:type="dxa"/>
          <w:left w:w="28" w:type="dxa"/>
          <w:bottom w:w="28" w:type="dxa"/>
          <w:right w:w="28" w:type="dxa"/>
        </w:tblCellMar>
      </w:tblPr>
      <w:tblGrid>
        <w:gridCol w:w="781"/>
        <w:gridCol w:w="687"/>
        <w:gridCol w:w="692"/>
        <w:gridCol w:w="109"/>
        <w:gridCol w:w="109"/>
        <w:gridCol w:w="109"/>
        <w:gridCol w:w="510"/>
        <w:gridCol w:w="511"/>
        <w:gridCol w:w="331"/>
        <w:gridCol w:w="172"/>
        <w:gridCol w:w="172"/>
        <w:gridCol w:w="172"/>
        <w:gridCol w:w="605"/>
        <w:gridCol w:w="605"/>
        <w:gridCol w:w="85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5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70,723 </w:t>
            </w:r>
          </w:p>
        </w:tc>
        <w:tc>
          <w:tcPr>
            <w:tcW w:w="8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30,809 </w:t>
            </w:r>
          </w:p>
        </w:tc>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1,120,000 </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101,532 </w:t>
            </w:r>
          </w:p>
        </w:tc>
        <w:tc>
          <w:tcPr>
            <w:tcW w:w="8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9. Stock-Based Compensation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has stock-based compensation plans, which are more fully described in Note 11, Stock-Based Compensation Plans, to the Consolidated Financial Statements included in the 2022 10-K. During the nine months ended September 30, 2023, the Company granted restricted stock units subject to service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120"/>
        <w:jc w:val="both"/>
        <w:rPr>
          <w:rFonts w:ascii="Helvetica;sans-serif" w:hAnsi="Helvetica;sans-serif"/>
          <w:b w:val="false"/>
          <w:i/>
          <w:color w:val="000000"/>
          <w:sz w:val="20"/>
        </w:rPr>
      </w:pPr>
      <w:r>
        <w:rPr>
          <w:rFonts w:ascii="Helvetica;sans-serif" w:hAnsi="Helvetica;sans-serif"/>
          <w:b w:val="false"/>
          <w:i/>
          <w:color w:val="000000"/>
          <w:sz w:val="20"/>
        </w:rPr>
        <w:t>Stock-Based Compensation Expense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information about stock-based compensation expense by financial statement line item:</w:t>
      </w:r>
    </w:p>
    <w:tbl>
      <w:tblPr>
        <w:tblW w:w="10021" w:type="dxa"/>
        <w:jc w:val="center"/>
        <w:tblInd w:w="0" w:type="dxa"/>
        <w:tblLayout w:type="fixed"/>
        <w:tblCellMar>
          <w:top w:w="28" w:type="dxa"/>
          <w:left w:w="28" w:type="dxa"/>
          <w:bottom w:w="28" w:type="dxa"/>
          <w:right w:w="28" w:type="dxa"/>
        </w:tblCellMar>
      </w:tblPr>
      <w:tblGrid>
        <w:gridCol w:w="1359"/>
        <w:gridCol w:w="1192"/>
        <w:gridCol w:w="1199"/>
        <w:gridCol w:w="109"/>
        <w:gridCol w:w="109"/>
        <w:gridCol w:w="109"/>
        <w:gridCol w:w="268"/>
        <w:gridCol w:w="823"/>
        <w:gridCol w:w="138"/>
        <w:gridCol w:w="109"/>
        <w:gridCol w:w="109"/>
        <w:gridCol w:w="109"/>
        <w:gridCol w:w="268"/>
        <w:gridCol w:w="823"/>
        <w:gridCol w:w="138"/>
        <w:gridCol w:w="109"/>
        <w:gridCol w:w="109"/>
        <w:gridCol w:w="109"/>
        <w:gridCol w:w="242"/>
        <w:gridCol w:w="863"/>
        <w:gridCol w:w="125"/>
        <w:gridCol w:w="109"/>
        <w:gridCol w:w="109"/>
        <w:gridCol w:w="109"/>
        <w:gridCol w:w="241"/>
        <w:gridCol w:w="858"/>
        <w:gridCol w:w="176"/>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7,842 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2,377 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10,539 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7,888 </w:t>
            </w:r>
          </w:p>
        </w:tc>
        <w:tc>
          <w:tcPr>
            <w:tcW w:w="1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7,177 </w:t>
            </w:r>
          </w:p>
        </w:tc>
        <w:tc>
          <w:tcPr>
            <w:tcW w:w="1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24,907 </w:t>
            </w:r>
          </w:p>
        </w:tc>
        <w:tc>
          <w:tcPr>
            <w:tcW w:w="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20,758 </w:t>
            </w:r>
          </w:p>
        </w:tc>
        <w:tc>
          <w:tcPr>
            <w:tcW w:w="1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Stock-based compensation expense capitalized in internal use software was not material for the three months ended September 30, 2023 and 2022, respectively, and was $0.5 million and $0.4 million for the nine months ended September 30, 2023 and 2022, respectively.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Stock Options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activities for all stock options under the Company’s share-based compensation plans for the nine months ended September 30, 2023:</w:t>
      </w:r>
    </w:p>
    <w:tbl>
      <w:tblPr>
        <w:tblW w:w="10205" w:type="dxa"/>
        <w:jc w:val="center"/>
        <w:tblInd w:w="0" w:type="dxa"/>
        <w:tblLayout w:type="fixed"/>
        <w:tblCellMar>
          <w:top w:w="28" w:type="dxa"/>
          <w:left w:w="28" w:type="dxa"/>
          <w:bottom w:w="28" w:type="dxa"/>
          <w:right w:w="28" w:type="dxa"/>
        </w:tblCellMar>
      </w:tblPr>
      <w:tblGrid>
        <w:gridCol w:w="671"/>
        <w:gridCol w:w="589"/>
        <w:gridCol w:w="591"/>
        <w:gridCol w:w="109"/>
        <w:gridCol w:w="109"/>
        <w:gridCol w:w="109"/>
        <w:gridCol w:w="504"/>
        <w:gridCol w:w="496"/>
        <w:gridCol w:w="497"/>
        <w:gridCol w:w="109"/>
        <w:gridCol w:w="109"/>
        <w:gridCol w:w="109"/>
        <w:gridCol w:w="495"/>
        <w:gridCol w:w="1272"/>
        <w:gridCol w:w="258"/>
        <w:gridCol w:w="109"/>
        <w:gridCol w:w="109"/>
        <w:gridCol w:w="109"/>
        <w:gridCol w:w="697"/>
        <w:gridCol w:w="697"/>
        <w:gridCol w:w="699"/>
        <w:gridCol w:w="109"/>
        <w:gridCol w:w="109"/>
        <w:gridCol w:w="109"/>
        <w:gridCol w:w="269"/>
        <w:gridCol w:w="959"/>
        <w:gridCol w:w="203"/>
      </w:tblGrid>
      <w:tr>
        <w:trPr/>
        <w:tc>
          <w:tcPr>
            <w:tcW w:w="67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Aggregate Intrinsic Value (1)</w:t>
            </w:r>
          </w:p>
        </w:tc>
      </w:tr>
      <w:tr>
        <w:trPr/>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17,872 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1,442 </w:t>
            </w:r>
          </w:p>
        </w:tc>
        <w:tc>
          <w:tcPr>
            <w:tcW w:w="2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(347)</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17,020 </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36,049 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Exercisable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15,128 </w:t>
            </w:r>
          </w:p>
        </w:tc>
        <w:tc>
          <w:tcPr>
            <w:tcW w:w="49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32,498 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(1)The intrinsic value is the amount by which the current market value of the underlying stock exceeds the exercise price of the stock awards.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were no options granted during the three and nine months ended September 30, 2023 and 2022. The total intrinsic value of stock options exercised during the nine months ended September 30, 2023 was $0.6 million.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2023, the total unrecognized compensation cost related to all nonvested stock options was $1.7 million and the related weighted-average period over which it is expected to be recognized was approximately 1.06 years.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Restricted Stock Units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activities for all restricted stock units (“RSUs”) under the Company’s share-based compensation plans for the nine months ended September 30, 2023:</w:t>
      </w:r>
    </w:p>
    <w:tbl>
      <w:tblPr>
        <w:tblW w:w="10205" w:type="dxa"/>
        <w:jc w:val="center"/>
        <w:tblInd w:w="0" w:type="dxa"/>
        <w:tblLayout w:type="fixed"/>
        <w:tblCellMar>
          <w:top w:w="28" w:type="dxa"/>
          <w:left w:w="28" w:type="dxa"/>
          <w:bottom w:w="28" w:type="dxa"/>
          <w:right w:w="28" w:type="dxa"/>
        </w:tblCellMar>
      </w:tblPr>
      <w:tblGrid>
        <w:gridCol w:w="1567"/>
        <w:gridCol w:w="1375"/>
        <w:gridCol w:w="1382"/>
        <w:gridCol w:w="109"/>
        <w:gridCol w:w="109"/>
        <w:gridCol w:w="109"/>
        <w:gridCol w:w="508"/>
        <w:gridCol w:w="471"/>
        <w:gridCol w:w="473"/>
        <w:gridCol w:w="109"/>
        <w:gridCol w:w="109"/>
        <w:gridCol w:w="109"/>
        <w:gridCol w:w="877"/>
        <w:gridCol w:w="2250"/>
        <w:gridCol w:w="648"/>
      </w:tblGrid>
      <w:tr>
        <w:trPr/>
        <w:tc>
          <w:tcPr>
            <w:tcW w:w="156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Grant Date Fair Value Per Share</w:t>
            </w:r>
          </w:p>
        </w:tc>
      </w:tr>
      <w:tr>
        <w:trPr/>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top w:val="single" w:sz="4"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and nonvested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7,855 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8.01 </w:t>
            </w:r>
          </w:p>
        </w:tc>
        <w:tc>
          <w:tcPr>
            <w:tcW w:w="6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8,917 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1.86 </w:t>
            </w:r>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(4,788)</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5.14 </w:t>
            </w:r>
          </w:p>
        </w:tc>
        <w:tc>
          <w:tcPr>
            <w:tcW w:w="6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(1,075)</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4.65 </w:t>
            </w:r>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and nonvested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10,909 </w:t>
            </w:r>
          </w:p>
        </w:tc>
        <w:tc>
          <w:tcPr>
            <w:tcW w:w="4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4.57 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total vesting date fair value of RSUs that vested during the nine months ended September 30, 2023 was $24.6 million.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three months ended March 31, 2023, the Company modified the vesting schedule of substantially all RSUs outstanding as of December 31, 2022 from 4 years to 3 years and recognized compensation expense of $2.4 million related to the acceleration of the vesting schedule.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2023, the total unrecognized compensation cost related to all nonvested RSUs was $47.0 million and the related weighted-average period over which it is expected to be recognized was approximately 1.88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10. Commitments and Contingencies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Legal Contingencies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Indemnifications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11. Income Taxes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quarterly income tax provision reflects an estimate of the corresponding quarter’s state taxes in the United States. The provision for income tax expense for the three and nine months ended September 30, 2023 and 2022 was determined based upon estimates of the Company’s annual effective tax rate for the years ending December 31, 2023 and 2022, respectively. Since the Company is in a full valuation allowance position due to losses incurred since inception, the provision for taxes consists solely of certain state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12. Loss Per Share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participating securities have been excluded from the computation of diluted loss per share for the periods presented because including them would have been anti-dilutive:</w:t>
      </w:r>
    </w:p>
    <w:tbl>
      <w:tblPr>
        <w:tblW w:w="7228" w:type="dxa"/>
        <w:jc w:val="center"/>
        <w:tblInd w:w="0" w:type="dxa"/>
        <w:tblLayout w:type="fixed"/>
        <w:tblCellMar>
          <w:top w:w="28" w:type="dxa"/>
          <w:left w:w="28" w:type="dxa"/>
          <w:bottom w:w="28" w:type="dxa"/>
          <w:right w:w="28" w:type="dxa"/>
        </w:tblCellMar>
      </w:tblPr>
      <w:tblGrid>
        <w:gridCol w:w="1472"/>
        <w:gridCol w:w="1294"/>
        <w:gridCol w:w="1298"/>
        <w:gridCol w:w="109"/>
        <w:gridCol w:w="109"/>
        <w:gridCol w:w="109"/>
        <w:gridCol w:w="409"/>
        <w:gridCol w:w="409"/>
        <w:gridCol w:w="411"/>
        <w:gridCol w:w="109"/>
        <w:gridCol w:w="109"/>
        <w:gridCol w:w="109"/>
        <w:gridCol w:w="375"/>
        <w:gridCol w:w="376"/>
        <w:gridCol w:w="530"/>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17,020 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17,966 </w:t>
            </w:r>
          </w:p>
        </w:tc>
        <w:tc>
          <w:tcPr>
            <w:tcW w:w="53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10,909 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8,693 </w:t>
            </w:r>
          </w:p>
        </w:tc>
        <w:tc>
          <w:tcPr>
            <w:tcW w:w="53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Delayed share issuance related to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53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230 </w:t>
            </w:r>
          </w:p>
        </w:tc>
        <w:tc>
          <w:tcPr>
            <w:tcW w:w="53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28,026 </w:t>
            </w:r>
          </w:p>
        </w:tc>
        <w:tc>
          <w:tcPr>
            <w:tcW w:w="4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27,020 </w:t>
            </w:r>
          </w:p>
        </w:tc>
        <w:tc>
          <w:tcPr>
            <w:tcW w:w="5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Item 2.    Management’s Discussion and Analysis of Financial Condition and Results of Operations</w:t>
      </w:r>
    </w:p>
    <w:p>
      <w:pPr>
        <w:pStyle w:val="TextBody"/>
        <w:bidi w:val="0"/>
        <w:spacing w:lineRule="auto" w:line="288" w:before="120" w:after="283"/>
        <w:ind w:left="0" w:right="0" w:firstLine="360"/>
        <w:jc w:val="both"/>
        <w:rPr/>
      </w:pPr>
      <w:r>
        <w:rPr>
          <w:rFonts w:ascii="Helvetica;sans-serif" w:hAnsi="Helvetica;sans-serif"/>
          <w:b w:val="false"/>
          <w:i/>
          <w:color w:val="000000"/>
          <w:sz w:val="20"/>
        </w:rPr>
        <w:t xml:space="preserve">The following discussion and analysis of our financial condition and results of operations should be read in conjunction with other information, including our condensed consolidated financial statements and related notes included in Part I, Item 1, </w:t>
      </w:r>
      <w:r>
        <w:rPr>
          <w:rFonts w:ascii="Helvetica;sans-serif" w:hAnsi="Helvetica;sans-serif"/>
          <w:b w:val="false"/>
          <w:color w:val="000000"/>
          <w:sz w:val="20"/>
        </w:rPr>
        <w:t>Financial Statements</w:t>
      </w:r>
      <w:r>
        <w:rPr>
          <w:rFonts w:ascii="Helvetica;sans-serif" w:hAnsi="Helvetica;sans-serif"/>
          <w:b w:val="false"/>
          <w:i/>
          <w:color w:val="000000"/>
          <w:sz w:val="20"/>
        </w:rPr>
        <w:t xml:space="preserve">, of this Quarterly Report on Form 10-Q; Part I, Item 1A, </w:t>
      </w:r>
      <w:r>
        <w:rPr>
          <w:rFonts w:ascii="Helvetica;sans-serif" w:hAnsi="Helvetica;sans-serif"/>
          <w:b w:val="false"/>
          <w:color w:val="000000"/>
          <w:sz w:val="20"/>
        </w:rPr>
        <w:t>Risk Factors</w:t>
      </w:r>
      <w:r>
        <w:rPr>
          <w:rFonts w:ascii="Helvetica;sans-serif" w:hAnsi="Helvetica;sans-serif"/>
          <w:b w:val="false"/>
          <w:i/>
          <w:color w:val="000000"/>
          <w:sz w:val="20"/>
        </w:rPr>
        <w:t>, of this Quarterly Report on Form 10-Q; and our consolidated financial statements and related notes appearing in our Annual Report on Form 10-K for the year ended December 31, 2022 (the “2022 10-K”).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Overview</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operates one of the world’s largest online resale platforms for apparel, shoes and accessories. Our mission is to inspire a new generation of consumers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January 2023.</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thredUP’s proprietary operating platform is the foundation for our managed marketplace, where we have bridged online and offline technology to make the buying and selling of tens of millions of unique items easy and fun. The marketplaces we have built enable buyers in the U.S. and in Europe to browse and purchase resale items for primarily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 Aside from Clean Out Kits, thredUP also sources inventory from a variety of supply channels, such as wholesale supply in Europe.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our core marketplace, some of the world’s leading brands and retailers are taking advantage of our RaaS offering, which allows them to conveniently offer a scalable closet clean out service and/or resale shop to their customers. We believe RaaS will accelerate the growth of this emerging category and form the backbone of the modern resale experience domestically and internationally.</w:t>
      </w:r>
    </w:p>
    <w:p>
      <w:pPr>
        <w:pStyle w:val="TextBody"/>
        <w:bidi w:val="0"/>
        <w:spacing w:lineRule="auto" w:line="288" w:before="360" w:after="283"/>
        <w:ind w:left="0" w:right="0" w:firstLine="360"/>
        <w:jc w:val="both"/>
        <w:rPr>
          <w:rFonts w:ascii="Helvetica;sans-serif" w:hAnsi="Helvetica;sans-serif"/>
          <w:b/>
          <w:color w:val="000000"/>
          <w:sz w:val="20"/>
        </w:rPr>
      </w:pPr>
      <w:r>
        <w:rPr>
          <w:rFonts w:ascii="Helvetica;sans-serif" w:hAnsi="Helvetica;sans-serif"/>
          <w:b/>
          <w:color w:val="000000"/>
          <w:sz w:val="20"/>
        </w:rPr>
        <w:t>Key Factors Affecting Our Performance</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Macroeconomic Factors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Macroeconomic factors, including inflation, increased interest rates, significant capital market volatility, and global economic and geopolitical developments have direct and indirect impacts on our results of operations that are difficult to isolate and quantify. These factors contributed to increases in our operating costs during 2022 and the first three quarters of 2023 primarily due to increased transportation costs and wage rates. In addition, rising fuel, utility, and food costs, rising interest rates, and recessionary fears may impact customer demand and our ability to forecast consumer spending patterns. We expect some or all of these factors to continue to impact our operations at least throughout the rest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Overview of Third Quarter Results</w:t>
      </w:r>
    </w:p>
    <w:p>
      <w:pPr>
        <w:pStyle w:val="TextBody"/>
        <w:bidi w:val="0"/>
        <w:spacing w:lineRule="auto" w:line="288" w:before="120" w:after="283"/>
        <w:ind w:left="0" w:right="0" w:firstLine="360"/>
        <w:jc w:val="both"/>
        <w:rPr/>
      </w:pPr>
      <w:r>
        <w:rPr>
          <w:rFonts w:ascii="Helvetica;sans-serif" w:hAnsi="Helvetica;sans-serif"/>
          <w:b/>
          <w:color w:val="000000"/>
          <w:sz w:val="20"/>
        </w:rPr>
        <w:t>Revenue:</w:t>
      </w:r>
      <w:r>
        <w:rPr>
          <w:color w:val="000000"/>
        </w:rPr>
        <w:t xml:space="preserve"> </w:t>
      </w:r>
      <w:r>
        <w:rPr>
          <w:rFonts w:ascii="Helvetica;sans-serif" w:hAnsi="Helvetica;sans-serif"/>
          <w:b w:val="false"/>
          <w:color w:val="000000"/>
          <w:sz w:val="20"/>
        </w:rPr>
        <w:t>Total revenue was $82.0 million, representing an increase of 20.8% year-over-year.</w:t>
      </w:r>
    </w:p>
    <w:p>
      <w:pPr>
        <w:pStyle w:val="TextBody"/>
        <w:bidi w:val="0"/>
        <w:spacing w:lineRule="auto" w:line="288" w:before="240" w:after="283"/>
        <w:ind w:left="0" w:right="0" w:firstLine="360"/>
        <w:jc w:val="both"/>
        <w:rPr/>
      </w:pPr>
      <w:r>
        <w:rPr>
          <w:rFonts w:ascii="Helvetica;sans-serif" w:hAnsi="Helvetica;sans-serif"/>
          <w:b/>
          <w:color w:val="000000"/>
          <w:sz w:val="20"/>
        </w:rPr>
        <w:t>Gross Profit and Margin:</w:t>
      </w:r>
      <w:r>
        <w:rPr>
          <w:color w:val="000000"/>
        </w:rPr>
        <w:t xml:space="preserve"> </w:t>
      </w:r>
      <w:r>
        <w:rPr>
          <w:rFonts w:ascii="Helvetica;sans-serif" w:hAnsi="Helvetica;sans-serif"/>
          <w:b w:val="false"/>
          <w:color w:val="000000"/>
          <w:sz w:val="20"/>
        </w:rPr>
        <w:t>Gross profit totaled $56.6 million, representing an increase of 27.3% year-over-year. Gross margin was 69.0%, an increase of 350 basis points from 65.5% in the comparable quarter last year.</w:t>
      </w:r>
    </w:p>
    <w:p>
      <w:pPr>
        <w:pStyle w:val="TextBody"/>
        <w:bidi w:val="0"/>
        <w:spacing w:lineRule="auto" w:line="288" w:before="240" w:after="283"/>
        <w:ind w:left="0" w:right="0" w:firstLine="360"/>
        <w:jc w:val="both"/>
        <w:rPr/>
      </w:pPr>
      <w:r>
        <w:rPr>
          <w:rFonts w:ascii="Helvetica;sans-serif" w:hAnsi="Helvetica;sans-serif"/>
          <w:b/>
          <w:color w:val="000000"/>
          <w:sz w:val="20"/>
        </w:rPr>
        <w:t>Net Loss:</w:t>
      </w:r>
      <w:r>
        <w:rPr>
          <w:color w:val="000000"/>
        </w:rPr>
        <w:t xml:space="preserve"> </w:t>
      </w:r>
      <w:r>
        <w:rPr>
          <w:rFonts w:ascii="Helvetica;sans-serif" w:hAnsi="Helvetica;sans-serif"/>
          <w:b w:val="false"/>
          <w:color w:val="000000"/>
          <w:sz w:val="20"/>
        </w:rPr>
        <w:t>Net loss was $18.1 million, or a negative 22.0% of revenue, for the third quarter of 2023, compared to a net loss of $23.7 million, or a negative 34.8% of revenue, for the third quarter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pPr>
      <w:r>
        <w:rPr>
          <w:rFonts w:ascii="Helvetica;sans-serif" w:hAnsi="Helvetica;sans-serif"/>
          <w:b/>
          <w:color w:val="000000"/>
          <w:sz w:val="20"/>
        </w:rPr>
        <w:t>Non-GAAP Adjusted EBITDA Loss:</w:t>
      </w:r>
      <w:r>
        <w:rPr>
          <w:color w:val="000000"/>
        </w:rPr>
        <w:t xml:space="preserve"> </w:t>
      </w:r>
      <w:r>
        <w:rPr>
          <w:rFonts w:ascii="Helvetica;sans-serif" w:hAnsi="Helvetica;sans-serif"/>
          <w:b w:val="false"/>
          <w:color w:val="000000"/>
          <w:sz w:val="20"/>
        </w:rPr>
        <w:t>Non-GAAP Adjusted EBITDA loss was $3.6 million, or a negative 4.4% of revenue, for the third quarter of 2023, compared to Non-GAAP Adjusted EBITDA loss of $11.0 million, or a negative 16.2% of revenue, for the third quarter of 2022. Non-GAAP Adjusted EBITDA loss and Non-GAAP Adjusted EBITDA loss margin are non-GAAP measures which may not be comparable to similarly-titled measures used by other companies. See below for a reconciliation of Non-GAAP Adjusted EBITDA loss to net loss.</w:t>
      </w:r>
    </w:p>
    <w:p>
      <w:pPr>
        <w:pStyle w:val="TextBody"/>
        <w:bidi w:val="0"/>
        <w:spacing w:lineRule="auto" w:line="288" w:before="240" w:after="283"/>
        <w:ind w:left="0" w:right="0" w:firstLine="360"/>
        <w:jc w:val="both"/>
        <w:rPr/>
      </w:pPr>
      <w:r>
        <w:rPr>
          <w:rFonts w:ascii="Helvetica;sans-serif" w:hAnsi="Helvetica;sans-serif"/>
          <w:b/>
          <w:color w:val="000000"/>
          <w:sz w:val="20"/>
        </w:rPr>
        <w:t>Active Buyers and Orders:</w:t>
      </w:r>
      <w:r>
        <w:rPr>
          <w:color w:val="000000"/>
        </w:rPr>
        <w:t xml:space="preserve"> </w:t>
      </w:r>
      <w:r>
        <w:rPr>
          <w:rFonts w:ascii="Helvetica;sans-serif" w:hAnsi="Helvetica;sans-serif"/>
          <w:b w:val="false"/>
          <w:color w:val="000000"/>
          <w:sz w:val="20"/>
        </w:rPr>
        <w:t>Active Buyers totaled 1.8 million and Orders totaled 1.8 million in the third quarter of 2023, representing an increase of 4.1% and an increase of 11.4%, respectively, compared to the third quarter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Key Financial and Operating Metrics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tbl>
      <w:tblPr>
        <w:tblW w:w="10576" w:type="dxa"/>
        <w:jc w:val="center"/>
        <w:tblInd w:w="0" w:type="dxa"/>
        <w:tblLayout w:type="fixed"/>
        <w:tblCellMar>
          <w:top w:w="28" w:type="dxa"/>
          <w:left w:w="28" w:type="dxa"/>
          <w:bottom w:w="28" w:type="dxa"/>
          <w:right w:w="28" w:type="dxa"/>
        </w:tblCellMar>
      </w:tblPr>
      <w:tblGrid>
        <w:gridCol w:w="611"/>
        <w:gridCol w:w="234"/>
        <w:gridCol w:w="236"/>
        <w:gridCol w:w="109"/>
        <w:gridCol w:w="109"/>
        <w:gridCol w:w="109"/>
        <w:gridCol w:w="211"/>
        <w:gridCol w:w="751"/>
        <w:gridCol w:w="286"/>
        <w:gridCol w:w="109"/>
        <w:gridCol w:w="109"/>
        <w:gridCol w:w="109"/>
        <w:gridCol w:w="211"/>
        <w:gridCol w:w="751"/>
        <w:gridCol w:w="286"/>
        <w:gridCol w:w="109"/>
        <w:gridCol w:w="109"/>
        <w:gridCol w:w="109"/>
        <w:gridCol w:w="322"/>
        <w:gridCol w:w="324"/>
        <w:gridCol w:w="497"/>
        <w:gridCol w:w="109"/>
        <w:gridCol w:w="109"/>
        <w:gridCol w:w="109"/>
        <w:gridCol w:w="211"/>
        <w:gridCol w:w="856"/>
        <w:gridCol w:w="286"/>
        <w:gridCol w:w="109"/>
        <w:gridCol w:w="109"/>
        <w:gridCol w:w="109"/>
        <w:gridCol w:w="211"/>
        <w:gridCol w:w="856"/>
        <w:gridCol w:w="286"/>
        <w:gridCol w:w="109"/>
        <w:gridCol w:w="109"/>
        <w:gridCol w:w="109"/>
        <w:gridCol w:w="322"/>
        <w:gridCol w:w="324"/>
        <w:gridCol w:w="542"/>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Active Buyers (as of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82,049 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240,629 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217,061 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44,496 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27.3 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147,372 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350 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r>
              <w:rPr>
                <w:rFonts w:ascii="Helvetica;sans-serif" w:hAnsi="Helvetica;sans-serif"/>
                <w:b w:val="false"/>
                <w:color w:val="000000"/>
                <w:sz w:val="20"/>
              </w:rPr>
              <w:t>bps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(18,082)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1,280 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r>
              <w:rPr>
                <w:rFonts w:ascii="Helvetica;sans-serif" w:hAnsi="Helvetica;sans-serif"/>
                <w:b w:val="false"/>
                <w:color w:val="000000"/>
                <w:sz w:val="20"/>
              </w:rPr>
              <w:t>bps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(67.5)</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(59.4)</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 margin(1)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1,180 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(1)Non-GAAP Adjusted EBITDA loss and Non-GAAP Adjusted EBITDA loss margin are non-GAAP measures which may not be comparable to similarly-titled measures used by other companies. See below for a reconciliation of Non-GAAP Adjusted EBITDA loss to net loss.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Active Buyers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 Active Buyer is a thredUP buyer who has made at least one purchase in the last twelve months. A thredUP buyer is a customer who has created an account and purchased in our marketplaces, including through our RaaS clients, and is identified by a unique email address. A single person could have multiple thredUP accounts and count as multiple Active Buyers. The number of Active Buyers is a key driver of revenue for our marketplaces.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Orders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Orders means the total number of orders placed by buyers across our marketplaces, including through our RaaS clients, in a given period, net of cancellations.</w:t>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Non-GAAP Financial Metrics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Non-GAAP Adjusted EBITDA Loss and Non-GAAP Adjusted EBITDA Loss Margin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Non-GAAP Adjusted EBITDA loss means net loss adjusted to exclude, where applicable in a given period, interest expense, provision for income taxes, depreciation and amortization, stock-based compensation expense, acquisition-related expenses, and severance and other charges. Non-GAAP Adjusted EBITDA loss margin represents Non-GAAP Adjusted EBITDA loss divided by Total revenue. We use Non-GAAP Adjusted EBITDA loss and Non-GAAP Adjusted EBITDA loss margin, non-GAAP metrics, to evaluate and assess our operating performance and the operating leverage in our business, and for internal planning and forecasting purposes. We believe that Non-GAAP Adjusted EBITDA loss and Non-GAAP Adjusted EBITDA loss margin,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a reconciliation of net loss to Non-GAAP Adjusted EBITDA loss:</w:t>
      </w:r>
    </w:p>
    <w:tbl>
      <w:tblPr>
        <w:tblW w:w="10205" w:type="dxa"/>
        <w:jc w:val="center"/>
        <w:tblInd w:w="0" w:type="dxa"/>
        <w:tblLayout w:type="fixed"/>
        <w:tblCellMar>
          <w:top w:w="28" w:type="dxa"/>
          <w:left w:w="28" w:type="dxa"/>
          <w:bottom w:w="28" w:type="dxa"/>
          <w:right w:w="28" w:type="dxa"/>
        </w:tblCellMar>
      </w:tblPr>
      <w:tblGrid>
        <w:gridCol w:w="1304"/>
        <w:gridCol w:w="1112"/>
        <w:gridCol w:w="1124"/>
        <w:gridCol w:w="109"/>
        <w:gridCol w:w="109"/>
        <w:gridCol w:w="109"/>
        <w:gridCol w:w="211"/>
        <w:gridCol w:w="805"/>
        <w:gridCol w:w="286"/>
        <w:gridCol w:w="109"/>
        <w:gridCol w:w="109"/>
        <w:gridCol w:w="109"/>
        <w:gridCol w:w="211"/>
        <w:gridCol w:w="805"/>
        <w:gridCol w:w="286"/>
        <w:gridCol w:w="109"/>
        <w:gridCol w:w="109"/>
        <w:gridCol w:w="109"/>
        <w:gridCol w:w="211"/>
        <w:gridCol w:w="856"/>
        <w:gridCol w:w="286"/>
        <w:gridCol w:w="109"/>
        <w:gridCol w:w="109"/>
        <w:gridCol w:w="109"/>
        <w:gridCol w:w="211"/>
        <w:gridCol w:w="856"/>
        <w:gridCol w:w="333"/>
      </w:tblGrid>
      <w:tr>
        <w:trPr/>
        <w:tc>
          <w:tcPr>
            <w:tcW w:w="130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(18,082)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(23,678)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(56,635)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(72,785)</w:t>
            </w:r>
          </w:p>
        </w:tc>
        <w:tc>
          <w:tcPr>
            <w:tcW w:w="3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764 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3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10,217 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20,758 </w:t>
            </w:r>
          </w:p>
        </w:tc>
        <w:tc>
          <w:tcPr>
            <w:tcW w:w="3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Severance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3,470 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(3,588)</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(11,041)</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(15,235)</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(37,545)</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82,049 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67,945 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240,629 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217,061 </w:t>
            </w:r>
          </w:p>
        </w:tc>
        <w:tc>
          <w:tcPr>
            <w:tcW w:w="3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Comparison of the Three and Nine Months Ended September 30, 2023 and 2022</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Revenue</w:t>
      </w:r>
    </w:p>
    <w:tbl>
      <w:tblPr>
        <w:tblW w:w="12743" w:type="dxa"/>
        <w:jc w:val="center"/>
        <w:tblInd w:w="0" w:type="dxa"/>
        <w:tblLayout w:type="fixed"/>
        <w:tblCellMar>
          <w:top w:w="28" w:type="dxa"/>
          <w:left w:w="28" w:type="dxa"/>
          <w:bottom w:w="28" w:type="dxa"/>
          <w:right w:w="28" w:type="dxa"/>
        </w:tblCellMar>
      </w:tblPr>
      <w:tblGrid>
        <w:gridCol w:w="457"/>
        <w:gridCol w:w="401"/>
        <w:gridCol w:w="403"/>
        <w:gridCol w:w="109"/>
        <w:gridCol w:w="109"/>
        <w:gridCol w:w="109"/>
        <w:gridCol w:w="211"/>
        <w:gridCol w:w="751"/>
        <w:gridCol w:w="286"/>
        <w:gridCol w:w="109"/>
        <w:gridCol w:w="109"/>
        <w:gridCol w:w="109"/>
        <w:gridCol w:w="211"/>
        <w:gridCol w:w="751"/>
        <w:gridCol w:w="286"/>
        <w:gridCol w:w="109"/>
        <w:gridCol w:w="109"/>
        <w:gridCol w:w="109"/>
        <w:gridCol w:w="211"/>
        <w:gridCol w:w="751"/>
        <w:gridCol w:w="109"/>
        <w:gridCol w:w="109"/>
        <w:gridCol w:w="109"/>
        <w:gridCol w:w="109"/>
        <w:gridCol w:w="270"/>
        <w:gridCol w:w="271"/>
        <w:gridCol w:w="286"/>
        <w:gridCol w:w="109"/>
        <w:gridCol w:w="109"/>
        <w:gridCol w:w="109"/>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70"/>
        <w:gridCol w:w="271"/>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5"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57,838 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157,732 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137,524 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82,897 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79,537 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82,049 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67,945 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240,629 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217,061 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 revenue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70.5 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65.5 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63.4 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revenue as a percentage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Total revenue increased $14.1 million, or 20.8%, for the three months ended September 30, 2023 as compared to the same period in 2022. The increase in revenue for the three months ended September 30, 2023 as compared to the same period in 2022 was due to an 11.4% increase in Orders and a 4.1% increase in Active Buyers.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Total revenue increased $23.6 million, or 10.9%, for the nine months ended September 30, 2023 as compared to the same period in 2022. The increase in revenue for the nine months ended September 30, 2023 as compared to the same period in 2022 was due to a 4.1% increase in Active Buyers and a 2.8% increase in Orders.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Cost of Revenue</w:t>
      </w:r>
    </w:p>
    <w:tbl>
      <w:tblPr>
        <w:tblW w:w="12713" w:type="dxa"/>
        <w:jc w:val="center"/>
        <w:tblInd w:w="0" w:type="dxa"/>
        <w:tblLayout w:type="fixed"/>
        <w:tblCellMar>
          <w:top w:w="28" w:type="dxa"/>
          <w:left w:w="28" w:type="dxa"/>
          <w:bottom w:w="28" w:type="dxa"/>
          <w:right w:w="28" w:type="dxa"/>
        </w:tblCellMar>
      </w:tblPr>
      <w:tblGrid>
        <w:gridCol w:w="446"/>
        <w:gridCol w:w="392"/>
        <w:gridCol w:w="393"/>
        <w:gridCol w:w="109"/>
        <w:gridCol w:w="109"/>
        <w:gridCol w:w="109"/>
        <w:gridCol w:w="211"/>
        <w:gridCol w:w="751"/>
        <w:gridCol w:w="286"/>
        <w:gridCol w:w="109"/>
        <w:gridCol w:w="109"/>
        <w:gridCol w:w="109"/>
        <w:gridCol w:w="211"/>
        <w:gridCol w:w="751"/>
        <w:gridCol w:w="286"/>
        <w:gridCol w:w="109"/>
        <w:gridCol w:w="109"/>
        <w:gridCol w:w="109"/>
        <w:gridCol w:w="211"/>
        <w:gridCol w:w="751"/>
        <w:gridCol w:w="109"/>
        <w:gridCol w:w="109"/>
        <w:gridCol w:w="109"/>
        <w:gridCol w:w="109"/>
        <w:gridCol w:w="270"/>
        <w:gridCol w:w="271"/>
        <w:gridCol w:w="286"/>
        <w:gridCol w:w="109"/>
        <w:gridCol w:w="109"/>
        <w:gridCol w:w="109"/>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70"/>
        <w:gridCol w:w="271"/>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5"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consignment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48,246 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40,335 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25,422 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23,449 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77,177 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69,689 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56,627 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44,496 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163,452 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147,372 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16,080 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Gross margin was 69.0% and 65.5% for the three months ended September 30, 2023 and 2022, respectively, or an increase of 350 basis points, and 67.9% for the nine months ended September 30, 2023 and 2022.</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Consignment revenue is recognized net of seller payouts and cost of items sold, whereas for product revenue, seller payouts and cost of items sold are included as a component of cost of revenue. As such, product revenue has a lower gross margin than consignment revenue.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increase in gross margin for the three months ended September 30, 2023 as compared to the same period in 2022 was primarily due to the mix shift between consignment and product revenue as our RaaS partners transition to the consignment model. Consignment revenue increased by 39.2% while product revenue decreased by 8.3%. The increase in gross margin was primarily due to a 340 basis point decrease in shipping, labor and packaging costs as a percentage of revenue.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Gross margin for the nine months ended September 30, 2023 was flat as compared to the same period in 2022, which was due to a 210 basis point increase in payouts, offset by a similar decrease in shipping, labor and packaging costs.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Cost of Consignment Revenue</w:t>
      </w:r>
    </w:p>
    <w:tbl>
      <w:tblPr>
        <w:tblW w:w="11948" w:type="dxa"/>
        <w:jc w:val="center"/>
        <w:tblInd w:w="0" w:type="dxa"/>
        <w:tblLayout w:type="fixed"/>
        <w:tblCellMar>
          <w:top w:w="28" w:type="dxa"/>
          <w:left w:w="28" w:type="dxa"/>
          <w:bottom w:w="28" w:type="dxa"/>
          <w:right w:w="28" w:type="dxa"/>
        </w:tblCellMar>
      </w:tblPr>
      <w:tblGrid>
        <w:gridCol w:w="476"/>
        <w:gridCol w:w="392"/>
        <w:gridCol w:w="393"/>
        <w:gridCol w:w="109"/>
        <w:gridCol w:w="109"/>
        <w:gridCol w:w="109"/>
        <w:gridCol w:w="211"/>
        <w:gridCol w:w="751"/>
        <w:gridCol w:w="286"/>
        <w:gridCol w:w="109"/>
        <w:gridCol w:w="109"/>
        <w:gridCol w:w="109"/>
        <w:gridCol w:w="211"/>
        <w:gridCol w:w="646"/>
        <w:gridCol w:w="286"/>
        <w:gridCol w:w="109"/>
        <w:gridCol w:w="109"/>
        <w:gridCol w:w="109"/>
        <w:gridCol w:w="211"/>
        <w:gridCol w:w="646"/>
        <w:gridCol w:w="109"/>
        <w:gridCol w:w="109"/>
        <w:gridCol w:w="109"/>
        <w:gridCol w:w="109"/>
        <w:gridCol w:w="270"/>
        <w:gridCol w:w="271"/>
        <w:gridCol w:w="286"/>
        <w:gridCol w:w="109"/>
        <w:gridCol w:w="109"/>
        <w:gridCol w:w="109"/>
        <w:gridCol w:w="211"/>
        <w:gridCol w:w="751"/>
        <w:gridCol w:w="286"/>
        <w:gridCol w:w="109"/>
        <w:gridCol w:w="109"/>
        <w:gridCol w:w="109"/>
        <w:gridCol w:w="211"/>
        <w:gridCol w:w="751"/>
        <w:gridCol w:w="286"/>
        <w:gridCol w:w="109"/>
        <w:gridCol w:w="109"/>
        <w:gridCol w:w="109"/>
        <w:gridCol w:w="211"/>
        <w:gridCol w:w="481"/>
        <w:gridCol w:w="109"/>
        <w:gridCol w:w="109"/>
        <w:gridCol w:w="109"/>
        <w:gridCol w:w="109"/>
        <w:gridCol w:w="218"/>
        <w:gridCol w:w="218"/>
        <w:gridCol w:w="154"/>
      </w:tblGrid>
      <w:tr>
        <w:trPr/>
        <w:tc>
          <w:tcPr>
            <w:tcW w:w="4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0"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consignment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Consignment gross margin was 82.5% and 78.1% for the three months ended September 30, 2023 and 2022, respectively, or an increase of 440 basis points, and 81.7% and 78.7% for the nine months ended September 30, 2023 and 2022, respectively, or an increase of 300 basis points.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increase in consignment gross margin for the three months ended September 30, 2023 as compared to the same period in 2022 was primarily due to a 410 basis point decrease in outbound shipping, labor and packaging costs.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increase in consignment gross margin for the nine months ended September 30, 2023 as compared to the same period in 2022 was primarily due to a 290 basis point decrease in outbound shipping, labor and packaging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Cost of Product Revenue    </w:t>
      </w:r>
    </w:p>
    <w:tbl>
      <w:tblPr>
        <w:tblW w:w="11603"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211"/>
        <w:gridCol w:w="751"/>
        <w:gridCol w:w="286"/>
        <w:gridCol w:w="109"/>
        <w:gridCol w:w="109"/>
        <w:gridCol w:w="109"/>
        <w:gridCol w:w="211"/>
        <w:gridCol w:w="751"/>
        <w:gridCol w:w="286"/>
        <w:gridCol w:w="109"/>
        <w:gridCol w:w="109"/>
        <w:gridCol w:w="109"/>
        <w:gridCol w:w="211"/>
        <w:gridCol w:w="481"/>
        <w:gridCol w:w="109"/>
        <w:gridCol w:w="109"/>
        <w:gridCol w:w="109"/>
        <w:gridCol w:w="109"/>
        <w:gridCol w:w="218"/>
        <w:gridCol w:w="218"/>
        <w:gridCol w:w="286"/>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1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5"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48,246 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40,335 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Product gross margin was 36.8% and 45.6% for the three months ended September 30, 2023 and 2022, respectively, or a decrease of 880 basis points, and 41.8% and 49.3% for the nine months ended September 30, 2023 and 2022, respectively, or a decrease of 750 basis points.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decrease in product gross margin for the three months ended September 30, 2023 as compared to the same period in 2022 was primarily due to the growth of our European operations as a percentage of product revenue, which has lower gross margin, partially offset by a 340 basis point decrease in labor, shipping and packaging costs.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decrease in product gross margin for the nine months ended September 30, 2023 as compared to the same period in 2022 was due to the growth of our European operations as a percentage of product revenue, which has lower gross margin, partially offset by a 100 basis point decrease in labor, shipping and packaging costs.</w:t>
      </w:r>
    </w:p>
    <w:p>
      <w:pPr>
        <w:pStyle w:val="TextBody"/>
        <w:bidi w:val="0"/>
        <w:spacing w:lineRule="auto" w:line="288" w:before="36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Operations, Product, and Technology</w:t>
      </w:r>
    </w:p>
    <w:tbl>
      <w:tblPr>
        <w:tblW w:w="12188" w:type="dxa"/>
        <w:jc w:val="center"/>
        <w:tblInd w:w="0" w:type="dxa"/>
        <w:tblLayout w:type="fixed"/>
        <w:tblCellMar>
          <w:top w:w="28" w:type="dxa"/>
          <w:left w:w="28" w:type="dxa"/>
          <w:bottom w:w="28" w:type="dxa"/>
          <w:right w:w="28" w:type="dxa"/>
        </w:tblCellMar>
      </w:tblPr>
      <w:tblGrid>
        <w:gridCol w:w="408"/>
        <w:gridCol w:w="358"/>
        <w:gridCol w:w="360"/>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18"/>
        <w:gridCol w:w="218"/>
        <w:gridCol w:w="286"/>
        <w:gridCol w:w="109"/>
        <w:gridCol w:w="109"/>
        <w:gridCol w:w="109"/>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218"/>
        <w:gridCol w:w="218"/>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5"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40,355 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118,473 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121,824 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product, and technology expenses increased $1.7 million, or 4.3%, for the three months ended September 30, 2023 as compared to the same period in 2022. The increase was primarily due to a $1.7 million increase in facilities, technology, and other allocated costs and a $0.4 million increase in personnel-related costs, offset by a $0.3 million decrease in inbound shipping costs and a $0.2 million decrease in professional services.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product, and technology expenses decreased $3.4 million, or 2.8% for the nine months ended September 30, 2023 as compared to the same period in 2022. The decrease was due to a $4.7 million decrease in personnel-related costs, a $1.0 million decrease in inbound shipping, and a $0.9 million decrease in professional services, offset by a $3.2 million increase in facilities, technology, and other allocated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Marketing</w:t>
      </w:r>
    </w:p>
    <w:tbl>
      <w:tblPr>
        <w:tblW w:w="12038" w:type="dxa"/>
        <w:jc w:val="center"/>
        <w:tblInd w:w="0" w:type="dxa"/>
        <w:tblLayout w:type="fixed"/>
        <w:tblCellMar>
          <w:top w:w="28" w:type="dxa"/>
          <w:left w:w="28" w:type="dxa"/>
          <w:bottom w:w="28" w:type="dxa"/>
          <w:right w:w="28" w:type="dxa"/>
        </w:tblCellMar>
      </w:tblPr>
      <w:tblGrid>
        <w:gridCol w:w="390"/>
        <w:gridCol w:w="344"/>
        <w:gridCol w:w="347"/>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286"/>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18"/>
        <w:gridCol w:w="218"/>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0"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54,919 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Marketing expenses increased $4.7 million, or 31.5%, for the three months ended September 30, 2023 as compared to the same period in 2022. The increase was due to a $4.6 million increase in social advertising and other lead generation costs and a $0.8 million increase in personnel-related costs, partially offset by a $0.6 million decrease in professional services and other costs.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Marketing expenses increased $3.5 million, or 6.9%, for the nine months ended September 30, 2023 as compared to the same period in 2022. The increase was due to a $2.9 million increase in social advertising and other lead generation costs and a $1.8 million increase in personnel-related costs, of which $1.0 million was related to stock-based compensation expense, partially offset by a $1.1 million decrease in professional services and other costs.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Sales, General and Administrative</w:t>
      </w:r>
    </w:p>
    <w:tbl>
      <w:tblPr>
        <w:tblW w:w="11858" w:type="dxa"/>
        <w:jc w:val="center"/>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751"/>
        <w:gridCol w:w="286"/>
        <w:gridCol w:w="109"/>
        <w:gridCol w:w="109"/>
        <w:gridCol w:w="109"/>
        <w:gridCol w:w="211"/>
        <w:gridCol w:w="751"/>
        <w:gridCol w:w="286"/>
        <w:gridCol w:w="109"/>
        <w:gridCol w:w="109"/>
        <w:gridCol w:w="109"/>
        <w:gridCol w:w="211"/>
        <w:gridCol w:w="481"/>
        <w:gridCol w:w="109"/>
        <w:gridCol w:w="109"/>
        <w:gridCol w:w="109"/>
        <w:gridCol w:w="109"/>
        <w:gridCol w:w="218"/>
        <w:gridCol w:w="218"/>
        <w:gridCol w:w="286"/>
        <w:gridCol w:w="109"/>
        <w:gridCol w:w="109"/>
        <w:gridCol w:w="109"/>
        <w:gridCol w:w="211"/>
        <w:gridCol w:w="751"/>
        <w:gridCol w:w="286"/>
        <w:gridCol w:w="109"/>
        <w:gridCol w:w="109"/>
        <w:gridCol w:w="109"/>
        <w:gridCol w:w="211"/>
        <w:gridCol w:w="751"/>
        <w:gridCol w:w="286"/>
        <w:gridCol w:w="109"/>
        <w:gridCol w:w="109"/>
        <w:gridCol w:w="109"/>
        <w:gridCol w:w="211"/>
        <w:gridCol w:w="481"/>
        <w:gridCol w:w="109"/>
        <w:gridCol w:w="109"/>
        <w:gridCol w:w="109"/>
        <w:gridCol w:w="109"/>
        <w:gridCol w:w="218"/>
        <w:gridCol w:w="218"/>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5"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47,276 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general and administrative decreased $0.2 million, or 1.1%, for the three months ended September 30, 2023 as compared to the same period in 2022. The decrease was due to a $0.3 million decrease in personnel-related costs, partially offset by a $0.1 million increase in facilities, technology, and other costs.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general, and administrative expenses remained flat for the nine months ended September 30, 2023 as compared to the same period in 2022, which was due to a $2.3 million decrease in professional services, partially offset by a $1.6 million increase in personnel-related costs and a $0.6 million increase in facilities, technology, and other costs.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Expense</w:t>
      </w:r>
    </w:p>
    <w:tbl>
      <w:tblPr>
        <w:tblW w:w="10832"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253"/>
        <w:gridCol w:w="577"/>
        <w:gridCol w:w="131"/>
        <w:gridCol w:w="109"/>
        <w:gridCol w:w="109"/>
        <w:gridCol w:w="109"/>
        <w:gridCol w:w="253"/>
        <w:gridCol w:w="577"/>
        <w:gridCol w:w="131"/>
        <w:gridCol w:w="109"/>
        <w:gridCol w:w="109"/>
        <w:gridCol w:w="109"/>
        <w:gridCol w:w="211"/>
        <w:gridCol w:w="481"/>
        <w:gridCol w:w="109"/>
        <w:gridCol w:w="109"/>
        <w:gridCol w:w="109"/>
        <w:gridCol w:w="109"/>
        <w:gridCol w:w="323"/>
        <w:gridCol w:w="323"/>
        <w:gridCol w:w="286"/>
        <w:gridCol w:w="109"/>
        <w:gridCol w:w="109"/>
        <w:gridCol w:w="109"/>
        <w:gridCol w:w="211"/>
        <w:gridCol w:w="646"/>
        <w:gridCol w:w="109"/>
        <w:gridCol w:w="109"/>
        <w:gridCol w:w="109"/>
        <w:gridCol w:w="109"/>
        <w:gridCol w:w="253"/>
        <w:gridCol w:w="577"/>
        <w:gridCol w:w="131"/>
        <w:gridCol w:w="109"/>
        <w:gridCol w:w="109"/>
        <w:gridCol w:w="109"/>
        <w:gridCol w:w="211"/>
        <w:gridCol w:w="481"/>
        <w:gridCol w:w="109"/>
        <w:gridCol w:w="109"/>
        <w:gridCol w:w="109"/>
        <w:gridCol w:w="109"/>
        <w:gridCol w:w="323"/>
        <w:gridCol w:w="323"/>
        <w:gridCol w:w="331"/>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9"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610.7 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Interest expense increased $0.6 million for the three months ended September 30, 2023 as compared to the same period in 2022. The increase during the three months ended September 30, 2023 was primarily due to $0.5 million of capitalized interest expense during the three months ended September 30, 2022 in conjunction with the build-out of our distribution centers. There was no such capitalized interest during the three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Interest expense increased $0.8 million for the nine months ended September 30, 2023 as compared to the same period in 2022. This increase was primarily due to a $0.6 million increase in interest costs and a $0.3 million decrease in capitalized interest expense in conjunction with the build-out of our distribution centers, offset by a $0.1 million decrease in amortization of debt issuance costs.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Other Income, Net</w:t>
      </w:r>
    </w:p>
    <w:tbl>
      <w:tblPr>
        <w:tblW w:w="10582"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53"/>
        <w:gridCol w:w="577"/>
        <w:gridCol w:w="131"/>
        <w:gridCol w:w="109"/>
        <w:gridCol w:w="109"/>
        <w:gridCol w:w="109"/>
        <w:gridCol w:w="253"/>
        <w:gridCol w:w="577"/>
        <w:gridCol w:w="131"/>
        <w:gridCol w:w="109"/>
        <w:gridCol w:w="109"/>
        <w:gridCol w:w="109"/>
        <w:gridCol w:w="211"/>
        <w:gridCol w:w="481"/>
        <w:gridCol w:w="109"/>
        <w:gridCol w:w="109"/>
        <w:gridCol w:w="109"/>
        <w:gridCol w:w="109"/>
        <w:gridCol w:w="270"/>
        <w:gridCol w:w="271"/>
        <w:gridCol w:w="286"/>
        <w:gridCol w:w="109"/>
        <w:gridCol w:w="109"/>
        <w:gridCol w:w="109"/>
        <w:gridCol w:w="211"/>
        <w:gridCol w:w="646"/>
        <w:gridCol w:w="109"/>
        <w:gridCol w:w="109"/>
        <w:gridCol w:w="109"/>
        <w:gridCol w:w="109"/>
        <w:gridCol w:w="211"/>
        <w:gridCol w:w="646"/>
        <w:gridCol w:w="109"/>
        <w:gridCol w:w="109"/>
        <w:gridCol w:w="109"/>
        <w:gridCol w:w="109"/>
        <w:gridCol w:w="211"/>
        <w:gridCol w:w="481"/>
        <w:gridCol w:w="109"/>
        <w:gridCol w:w="109"/>
        <w:gridCol w:w="109"/>
        <w:gridCol w:w="109"/>
        <w:gridCol w:w="270"/>
        <w:gridCol w:w="271"/>
        <w:gridCol w:w="33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Other income, net increased $0.2 million for the three months ended September 30, 2023 as compared to the same period in 2022. The increase was primarily due to an increase in interest income on our marketable securities due to a higher interest rate environment.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Other income, net increased $0.9 million for the nine months ended September 30, 2023 as compared to the same period in 2022. The increase was primarily due to an increase in interest income on our marketable securities due to a higher interest rate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Liquidity and Capital Resources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We have historically generated negative cash flows from operations and have primarily financed our operations through private and public sales of equity securities and debt. As of September 30, 2023, we had cash, cash equivalents and short-term marketable securities of $74.1 million. Additionally, we have a term loan facility (“Term Loan”) under which $38.0 million remained available to be drawn as of September 30, 2023 and we were in full compliance with our debt covenants under the Term Loan as of that date. See Note 7, </w:t>
      </w:r>
      <w:r>
        <w:rPr>
          <w:rFonts w:ascii="Helvetica;sans-serif" w:hAnsi="Helvetica;sans-serif"/>
          <w:b w:val="false"/>
          <w:i/>
          <w:color w:val="000000"/>
          <w:sz w:val="20"/>
        </w:rPr>
        <w:t>Long-Term Debt</w:t>
      </w:r>
      <w:r>
        <w:rPr>
          <w:rFonts w:ascii="Helvetica;sans-serif" w:hAnsi="Helvetica;sans-serif"/>
          <w:b w:val="false"/>
          <w:color w:val="000000"/>
          <w:sz w:val="20"/>
        </w:rPr>
        <w:t xml:space="preserve">, to the Condensed Consolidated Financial Statements included in Part I, Item 1, </w:t>
      </w:r>
      <w:r>
        <w:rPr>
          <w:rFonts w:ascii="Helvetica;sans-serif" w:hAnsi="Helvetica;sans-serif"/>
          <w:b w:val="false"/>
          <w:i/>
          <w:color w:val="000000"/>
          <w:sz w:val="20"/>
        </w:rPr>
        <w:t>Financial Statements</w:t>
      </w:r>
      <w:r>
        <w:rPr>
          <w:rFonts w:ascii="Helvetica;sans-serif" w:hAnsi="Helvetica;sans-serif"/>
          <w:b w:val="false"/>
          <w:color w:val="000000"/>
          <w:sz w:val="20"/>
        </w:rPr>
        <w:t>, of this Quarterly Report on Form 10-Q for a further discussion on our Term Loan.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expect operating losses and negative cash flows from operations to continue in 2023 as we continue to invest in growing our business and our infrastructure. Our primary use of cash includes operating costs such as distribution network spend, product and technology expenses, marketing expenses, personnel expenses and other expenditures necessary to support our operations and our growth. Additionally, our primary capital expenditures are related to the set-up, expansion and/or automation of our distribution network. Based upon our current operating plans, we believe that our existing cash, cash equivalents and short-term marketable securities will be sufficient for at least the next 12 months to meet our short- and long-term capital requirements, and we do not anticipate expanding our distribution network to include additional locations in the near term. Our cash flow forecast is a forward-looking statement that involves risks and uncertainties, and actual results could vary materially.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clients, the continuing growth of our marketplaces and overall economic conditions. However, we expect that our capital expenditures will be limited in the remainder of 2023 as we have completed the first phase of our new distribution center in Texas. We may seek additional equity or debt financing. See the section titled “Risk Factors—Risks Relating to Our Indebtedness and Liquidity—We may require additional capital to support business growth, and this capital might not be available or may be available only by diluting existing stockholders” within the 2022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Cash Flows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cash flows for the periods indicated:</w:t>
      </w:r>
    </w:p>
    <w:tbl>
      <w:tblPr>
        <w:tblW w:w="10177" w:type="dxa"/>
        <w:jc w:val="center"/>
        <w:tblInd w:w="0" w:type="dxa"/>
        <w:tblLayout w:type="fixed"/>
        <w:tblCellMar>
          <w:top w:w="28" w:type="dxa"/>
          <w:left w:w="28" w:type="dxa"/>
          <w:bottom w:w="28" w:type="dxa"/>
          <w:right w:w="28" w:type="dxa"/>
        </w:tblCellMar>
      </w:tblPr>
      <w:tblGrid>
        <w:gridCol w:w="2543"/>
        <w:gridCol w:w="2231"/>
        <w:gridCol w:w="2246"/>
        <w:gridCol w:w="109"/>
        <w:gridCol w:w="109"/>
        <w:gridCol w:w="109"/>
        <w:gridCol w:w="229"/>
        <w:gridCol w:w="882"/>
        <w:gridCol w:w="118"/>
        <w:gridCol w:w="109"/>
        <w:gridCol w:w="109"/>
        <w:gridCol w:w="109"/>
        <w:gridCol w:w="228"/>
        <w:gridCol w:w="879"/>
        <w:gridCol w:w="167"/>
      </w:tblGrid>
      <w:tr>
        <w:trPr/>
        <w:tc>
          <w:tcPr>
            <w:tcW w:w="2543"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2022</w:t>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(14,616)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(36,939)</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48,353 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(6,961)</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(2,922)</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(918)</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30,524 </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(47,740)</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Operating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operating activities was $14.6 million during the nine months ended September 30, 2023, compared to net cash used of $36.9 million during the nine months ended September 30, 2022. Operating cash flows during the nine months ended September 30, 2023 reflect our net loss of $56.6 million, non-cash adjustments of $43.6 million primarily for depreciation, amortization, stock-based compensation, and the reduction of the carrying amount of right of use assets, and a net cash outflow of $1.6 million due to changes in our operating assets and liabilities. The $1.6 million outflow from changes in operating assets and liabilities was primarily due to a $12.0 million decrease due to lower operating lease liabilities and accrued liabilities, and higher accounts receivable and inventory, partially offset by a $10.5 million increase due to higher seller payables and accounts payable and lower other current and non-current assets.</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Investing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provided by investing activities for the nine months ended September 30, 2023 increased $55.3 million as compared to the same period in 2022. The increase in cash inflows was primarily due to an increase in cash inflows of $29.8 million from net maturities of marketable securities and a $25.5 million decrease in purchases of property and equipment in the current period.</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Financing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financing activities for the nine months ended September 30, 2023 increased $0.1 million as compared to the same period in 2022 which was primarily due to a decrease of $2.3 million in repayments of debt, offset by a net decrease of $1.9 million in cash outflows related to stock-based award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Critical Accounting Policies and Estimates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from those estimates.</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There have been no material changes to our critical accounting policies since the 2022 10-K. For a description of critical accounting policies that affect our significant judgments and estimates used in the preparation of our condensed consolidated financial statements, see Part II, Item 7, </w:t>
      </w:r>
      <w:r>
        <w:rPr>
          <w:rFonts w:ascii="Helvetica;sans-serif" w:hAnsi="Helvetica;sans-serif"/>
          <w:b w:val="false"/>
          <w:i/>
          <w:color w:val="000000"/>
          <w:sz w:val="20"/>
        </w:rPr>
        <w:t>Management’s Discussion and Analysis of Financial Condition and Results of Operations</w:t>
      </w:r>
      <w:r>
        <w:rPr>
          <w:rFonts w:ascii="Helvetica;sans-serif" w:hAnsi="Helvetica;sans-serif"/>
          <w:b w:val="false"/>
          <w:color w:val="000000"/>
          <w:sz w:val="20"/>
        </w:rPr>
        <w:t>, of the 2022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JOBS Act Accounting Election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condensed consolidated financial statements may not be comparable to companies that comply with new or revised accounting pronouncements as of public company effective dates.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New Accounting Pronouncements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See discussion under Note 2, </w:t>
      </w:r>
      <w:r>
        <w:rPr>
          <w:rFonts w:ascii="Helvetica;sans-serif" w:hAnsi="Helvetica;sans-serif"/>
          <w:b w:val="false"/>
          <w:i/>
          <w:color w:val="000000"/>
          <w:sz w:val="20"/>
        </w:rPr>
        <w:t>Significant Accounting Policies</w:t>
      </w:r>
      <w:r>
        <w:rPr>
          <w:rFonts w:ascii="Helvetica;sans-serif" w:hAnsi="Helvetica;sans-serif"/>
          <w:b w:val="false"/>
          <w:color w:val="000000"/>
          <w:sz w:val="20"/>
        </w:rPr>
        <w:t xml:space="preserve">, to the Condensed Consolidated Financial Statements included in Part I, Item 1, </w:t>
      </w:r>
      <w:r>
        <w:rPr>
          <w:rFonts w:ascii="Helvetica;sans-serif" w:hAnsi="Helvetica;sans-serif"/>
          <w:b w:val="false"/>
          <w:i/>
          <w:color w:val="000000"/>
          <w:sz w:val="20"/>
        </w:rPr>
        <w:t>Financial Statements</w:t>
      </w:r>
      <w:r>
        <w:rPr>
          <w:rFonts w:ascii="Helvetica;sans-serif" w:hAnsi="Helvetica;sans-serif"/>
          <w:b w:val="false"/>
          <w:color w:val="000000"/>
          <w:sz w:val="20"/>
        </w:rPr>
        <w:t>, of this Quarterly Report on Form 10-Q for information on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3.    Quantitative and Qualitative Disclosures About Market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exposed to market risks in the ordinary course of our business. These risks primarily include: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Rate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2023, we had cash and cash equivalents of $68.6 million and marketable securities of $5.6 million, consisting primarily of money market funds, commercial paper, corporate debt securities, U.S. treasury securities and U.S. government agency bonds and discount notes,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The Term Loan bears variable interest rates tied to the prime rate, with a floor of 6.00%, and therefore carries interest rate risk. If interest rates were to increase or decrease by 1% for the year and our borrowing amounts on the Term Loan remained constant, our annual interest expense would not materially increase or decrease. See the risk factor discussion captioned </w:t>
      </w:r>
      <w:r>
        <w:rPr>
          <w:rFonts w:ascii="Helvetica;sans-serif" w:hAnsi="Helvetica;sans-serif"/>
          <w:b w:val="false"/>
          <w:i/>
          <w:color w:val="000000"/>
          <w:sz w:val="20"/>
        </w:rPr>
        <w:t>"Risks Relating to Our Indebtedness and Liquidity—Recent events affecting the financial services industry could have an adverse impact on our business, results of operations and financial conditions"</w:t>
      </w:r>
      <w:r>
        <w:rPr>
          <w:color w:val="000000"/>
        </w:rPr>
        <w:t xml:space="preserve"> </w:t>
      </w:r>
      <w:r>
        <w:rPr>
          <w:rFonts w:ascii="Helvetica;sans-serif" w:hAnsi="Helvetica;sans-serif"/>
          <w:b w:val="false"/>
          <w:color w:val="000000"/>
          <w:sz w:val="20"/>
        </w:rPr>
        <w:t>under Part II, Item 1A of this Quarterly Report on Form 10-Q for more discussion on adverse developments affecting the financial services industry that may have an adverse impact on our business, results of operations and financial conditions.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Inflation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2023, inflation remains at elevated levels in the U.S. and overseas where we conduct our business, resulting in rising interest rates and fuel, labor and processing, freight and other costs that have affected our gross margin and operating expenses. We believe these increases have negatively impacted our business, and although difficult to quantify, inflation is potentially having an adverse effect on our customers’ ability to purchase in our marketplaces, resulting in slowing revenue and Order growth. If we are unable to increase our prices to sufficiently offset the rising costs of doing business, our profitability and financial position could be adversely impacted.</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Foreign Currency Exchange Rate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transact business in Europe through Remix in multiple currencies. As a result, our operating results, cash flows and net investment in Remix are subject to fluctuations due to changes in foreign currency exchange rates. As of September 30, 2023, our most significant currency exposure was the Bulgarian lev. We manage our foreign currency exchange rate risks through natural hedges including foreign currency revenue and costs matching, as well as foreign currency assets offsetting liabilities. We have not entered into any hedging arrangements with respect to foreign currency risk, but we may do so in the future if our exposure to foreign currency becomes more significant.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Assets and liabilities of our foreign operations are translated into dollars at period-end rates, while income and expenses are translated using the average exchange rate during the period in which the transactions occurred. The related translation adjustments were reflected as an unfavorable foreign currency translation adjustment of $0.8 million during the nine months ended September 30, 2023, which was recognized in accumulated other comprehensive loss within our condensed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hypothetical 10% change in foreign currency exchange rates would not have had a material impact on our financial condition or results of operations during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4.    Controls and Procedures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Evaluation of Disclosure Controls and Procedures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(the “Exchange Act”), as of the end of the period covered by this report.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 Further, no evaluation of control can provide absolute assurance that misstatements due to error or fraud will not occur or that all control issues and instances of fraud, if any, within the Company have been detected.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Because of the material weakness in our internal control over financial reporting discussed below, our Chief Executive Officer and Chief Financial Officer concluded that, as of September 30, 2023, our disclosure controls and procedures were not effective. In light of this fact, our management, including our Chief Executive Officer and Chief Financial Officer, has put in place processes and controls and other post-closing procedures and has concluded that, notwithstanding the material weakness in our internal control over financial reporting, the unaudited interim condensed consolidated financial statements for the periods covered by and included in this Quarterly Report on Form 10-Q fairly present, in all material respects, our financial position, results of operations and cash flows for the periods presented in conformity with GAAP.</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Previously Reported Material Weaknesses in Internal Control Over Financial Reporting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previously described in the 2022 10-K, in connection with the audits of our consolidated financial statements in certain prior years, we and our independent registered public accounting firms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material weakness related to the following control deficiency: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We did not design and maintain adequate controls over the preparation and review of certain account reconciliations and journal entries. Specifically, we did not design and maintain controls and we did not maintain a sufficient complement of accounting personnel to ensure account reconciliations were prepared and reviewed at the appropriate level of precision on a consistent and timely basis.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deficiency described above, if not remediated, could result in a misstatement of one or more account balances or disclosures in our annual or interim consolidated financial statements that would not be prevented or detected, and, accordingly, we determined that this control deficiency constitutes a material weakness.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Remediation Plans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 address our material weakness, we have added accounting and finance personnel and implemented new financial accounting processes, controls, and systems. We are continuing to take steps to remediate the material weakness described above through hiring additional qualified accounting and finance resources and further evolving our accounting close processes. We will not be able to fully remediate this control deficiency until these steps have been completed and the controls have been operating effectively for a sufficient period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Changes in Internal Control over Financial Reporting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taking actions to remediate the material weakness relating to our internal control over financial reporting, as described above. Except as described above, there was not any change in our internal control over financial reporting (as such term is defined in Rules 13a-15(f) and 15d-15(f) under the Exchange Act) during our most recent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Item 1.    Legal Proceedings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not a party to any material pending legal proceedings. From time to time, we may be subject to legal proceedings and claims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1A.    Risk Factors</w:t>
      </w:r>
    </w:p>
    <w:p>
      <w:pPr>
        <w:pStyle w:val="TextBody"/>
        <w:bidi w:val="0"/>
        <w:spacing w:lineRule="auto" w:line="268" w:before="0" w:after="0"/>
        <w:ind w:left="0" w:right="0" w:firstLine="720"/>
        <w:jc w:val="left"/>
        <w:rPr/>
      </w:pPr>
      <w:r>
        <w:rPr>
          <w:rFonts w:ascii="Helvetica;sans-serif" w:hAnsi="Helvetica;sans-serif"/>
          <w:b w:val="false"/>
          <w:color w:val="000000"/>
          <w:sz w:val="20"/>
        </w:rPr>
        <w:t xml:space="preserve">The Company is supplementing the risk factors previously disclosed in the section titled “Risk Factors” in Part I, Item 1A of our Annual Report on Form 10-K for the fiscal year ended December 31, 2022 filed with the SEC on March 7, 2023 (our “Fiscal 2022 10-K”) and Part II, Item 1A, </w:t>
      </w:r>
      <w:r>
        <w:rPr>
          <w:rFonts w:ascii="Helvetica;sans-serif" w:hAnsi="Helvetica;sans-serif"/>
          <w:b w:val="false"/>
          <w:i/>
          <w:color w:val="000000"/>
          <w:sz w:val="20"/>
        </w:rPr>
        <w:t>Risk Factors</w:t>
      </w:r>
      <w:r>
        <w:rPr>
          <w:rFonts w:ascii="Helvetica;sans-serif" w:hAnsi="Helvetica;sans-serif"/>
          <w:b w:val="false"/>
          <w:color w:val="000000"/>
          <w:sz w:val="20"/>
        </w:rPr>
        <w:t>, of our Quarterly Reports on Form 10-Q for the quarter ended March 31, 2023 (“Q1 2023 10-Q”) and the quarter ended June 30, 2023 (“Q2 2023 10-Q”) to include the following risk factors, which should be read in conjunction with the other risk factors presented in our Fiscal 2022 10-K, our Q1 2023 10-Q and our Q2 2023 10-Q.</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Helvetica;sans-serif" w:hAnsi="Helvetica;sans-serif"/>
          <w:b/>
          <w:i/>
          <w:color w:val="000000"/>
          <w:sz w:val="20"/>
        </w:rPr>
      </w:pPr>
      <w:r>
        <w:rPr>
          <w:rFonts w:ascii="Helvetica;sans-serif" w:hAnsi="Helvetica;sans-serif"/>
          <w:b/>
          <w:i/>
          <w:color w:val="000000"/>
          <w:sz w:val="20"/>
        </w:rPr>
        <w:t>Our business is affected by seasonality and we may be adversely affected by weather conditions, including any potential effects from climate change.</w:t>
      </w:r>
    </w:p>
    <w:p>
      <w:pPr>
        <w:pStyle w:val="TextBody"/>
        <w:bidi w:val="0"/>
        <w:spacing w:before="0" w:after="0"/>
        <w:jc w:val="left"/>
        <w:rPr/>
      </w:pPr>
      <w:r>
        <w:rPr/>
      </w:r>
    </w:p>
    <w:p>
      <w:pPr>
        <w:pStyle w:val="TextBody"/>
        <w:bidi w:val="0"/>
        <w:spacing w:lineRule="auto" w:line="288" w:before="0" w:after="0"/>
        <w:ind w:left="0" w:right="0" w:firstLine="720"/>
        <w:jc w:val="left"/>
        <w:rPr>
          <w:rFonts w:ascii="Helvetica;sans-serif" w:hAnsi="Helvetica;sans-serif"/>
          <w:b w:val="false"/>
          <w:color w:val="000000"/>
          <w:sz w:val="20"/>
        </w:rPr>
      </w:pPr>
      <w:r>
        <w:rPr>
          <w:rFonts w:ascii="Helvetica;sans-serif" w:hAnsi="Helvetica;sans-serif"/>
          <w:b w:val="false"/>
          <w:color w:val="000000"/>
          <w:sz w:val="20"/>
        </w:rPr>
        <w:t>Seasonality in our core marketplace does not follow that of traditional retailers, such as typical concentration of revenue in the holiday quarter, and we see relatively stable demand from our buyers throughout the year. However, our business has in the past, and may in the future be adversely affected by unseasonable weather conditions, including those resulting from climate change in both our U.S. and EU markets. For example, we have observed that periods of unseasonably warm weather in the fall and winter may lead to reduced consumer spending on winter apparel that tends to have a higher average selling price, which negatively impacts our business. The effects of unseasonably warm weather are particularly pronounced on our Remix platform, which unlike our core marketplace, tends to see an increased concentration of revenue in winter months due to increased sales of winter apparel. As the effects of climate change increase, we expect the frequency and impact of weather and climate related events and conditions to increase as well. Any and all of these risks may materially and adversely affect our financial condition, results of operations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Helvetica;sans-serif" w:hAnsi="Helvetica;sans-serif"/>
          <w:b/>
          <w:i/>
          <w:color w:val="000000"/>
          <w:sz w:val="20"/>
        </w:rPr>
      </w:pPr>
      <w:r>
        <w:rPr>
          <w:rFonts w:ascii="Helvetica;sans-serif" w:hAnsi="Helvetica;sans-serif"/>
          <w:b/>
          <w:i/>
          <w:color w:val="000000"/>
          <w:sz w:val="20"/>
        </w:rPr>
        <w:t>We rely on consumer discretionary spending and have been and may continue to be adversely affected by economic downturns and other macroeconomic conditions or trends.</w:t>
      </w:r>
    </w:p>
    <w:p>
      <w:pPr>
        <w:pStyle w:val="TextBody"/>
        <w:bidi w:val="0"/>
        <w:spacing w:before="0" w:after="0"/>
        <w:jc w:val="left"/>
        <w:rPr/>
      </w:pPr>
      <w:r>
        <w:rPr/>
      </w:r>
    </w:p>
    <w:p>
      <w:pPr>
        <w:pStyle w:val="TextBody"/>
        <w:bidi w:val="0"/>
        <w:spacing w:lineRule="auto" w:line="288" w:before="0" w:after="0"/>
        <w:ind w:left="0" w:right="0" w:firstLine="720"/>
        <w:jc w:val="left"/>
        <w:rPr>
          <w:rFonts w:ascii="Helvetica;sans-serif" w:hAnsi="Helvetica;sans-serif"/>
          <w:b w:val="false"/>
          <w:color w:val="000000"/>
          <w:sz w:val="20"/>
        </w:rPr>
      </w:pPr>
      <w:r>
        <w:rPr>
          <w:rFonts w:ascii="Helvetica;sans-serif" w:hAnsi="Helvetica;sans-serif"/>
          <w:b w:val="false"/>
          <w:color w:val="000000"/>
          <w:sz w:val="20"/>
        </w:rPr>
        <w:t>Our business and results of operations are subject to global economic conditions and their impact on consumer discretionary spending, particularly in the retail market. Some of the factors that may negatively influence consumer spending on retail items include economic downturns, high levels of unemployment, high consumer debt levels, reductions in net worth, declines in asset values, home foreclosures and reductions in home values, fluctuating interest rates and credit availability, inflation, resumption of federal student loan payments, fluctuating fuel and other energy costs, fluctuating commodity prices and general uncertainty regarding the overall future political and economic environment. Economic conditions in particular regions may also be affected by natural disasters, such as earthquakes, hurricanes and wildfires; unforeseen public health crises, such as pandemics and epidemics, including the COVID-19 pandemic; political crises, such as a government shutdown, terrorist attacks, war and other incidents of political instability, such as Russia’s invasion of Ukraine and the Israel-Hamas war; or other catastrophic events, whether occurring in the United States or internationally.</w:t>
      </w:r>
    </w:p>
    <w:p>
      <w:pPr>
        <w:pStyle w:val="TextBody"/>
        <w:bidi w:val="0"/>
        <w:spacing w:before="0" w:after="0"/>
        <w:jc w:val="left"/>
        <w:rPr/>
      </w:pPr>
      <w:r>
        <w:rPr/>
      </w:r>
    </w:p>
    <w:p>
      <w:pPr>
        <w:pStyle w:val="TextBody"/>
        <w:bidi w:val="0"/>
        <w:spacing w:lineRule="auto" w:line="288" w:before="0" w:after="0"/>
        <w:ind w:left="0" w:right="0" w:firstLine="720"/>
        <w:jc w:val="left"/>
        <w:rPr>
          <w:rFonts w:ascii="Helvetica;sans-serif" w:hAnsi="Helvetica;sans-serif"/>
          <w:b w:val="false"/>
          <w:color w:val="000000"/>
          <w:sz w:val="20"/>
        </w:rPr>
      </w:pPr>
      <w:r>
        <w:rPr>
          <w:rFonts w:ascii="Helvetica;sans-serif" w:hAnsi="Helvetica;sans-serif"/>
          <w:b w:val="false"/>
          <w:color w:val="000000"/>
          <w:sz w:val="20"/>
        </w:rPr>
        <w:t>Traditionally, consumer purchases of new retail items have declined during periods of economic uncertainty, when disposable income is reduced or when there is a reduction in consumer confidence. This has also resulted in increases in inventory levels which can lead to increased price competition and depressed margins. Such economic uncertainty and decrease in the rate of retail purchases in the primary market may slow the rate at which individuals choose to supply their secondhand items to us, which could result in a decrease of items available in our marketplaces, and may also slow the rate at which individuals choose to buy secondhand items and their value on our marketplaces, including through a relative increase in purchases in the primary market compared with the resale market. The presence or absence of government stimulus funding programs has had and may continue to have an impact on consumer discretionary spending and, consequently, purchases through our marketplaces. Further, we cannot guarantee that buyers will continue to buy at current rates if the economy worsens. Adverse economic changes could reduce consumer confidence, and thereby negatively affect our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2.    Unregistered Sales of Equity Securities and Use of Proceeds</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(b)On March 30, 2021, we closed our IPO, in which we sold 13,800,000 shares of our Class A common stock at an offering price of $14.00 per share, including 1,800,000 shares pursuant to the exercise of the underwriters’ option to purchase additional shares of our Class A common stock, resulting in net proceeds to us of $175.5 million after deducting offering costs, underwriting discounts and commissions of $17.7 million. All of the shares offered, issued and sold in our IPO were registered under the Securities Act pursuant to a registration statement on Form S-1 (File No. 333-253834), which was declared effective by the SEC on March 25, 2021. There has been no material change in the planned use of proceeds from the IPO as disclosed in our final prospectus filed pursuant to Rule 424(b) on March 26, 2021.</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3.    Defaults Upon Senior Securities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4.    Mine Safety Disclosures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5.    Other Information</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(a)None.</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6.    Exhibits</w:t>
      </w:r>
    </w:p>
    <w:p>
      <w:pPr>
        <w:pStyle w:val="TextBody"/>
        <w:bidi w:val="0"/>
        <w:spacing w:lineRule="auto" w:line="288" w:before="120" w:after="283"/>
        <w:ind w:left="0" w:right="0" w:hanging="360"/>
        <w:jc w:val="left"/>
        <w:rPr>
          <w:rFonts w:ascii="Helvetica;sans-serif" w:hAnsi="Helvetica;sans-serif"/>
          <w:b w:val="false"/>
          <w:color w:val="000000"/>
          <w:sz w:val="20"/>
        </w:rPr>
      </w:pPr>
      <w:r>
        <w:rPr>
          <w:rFonts w:ascii="Helvetica;sans-serif" w:hAnsi="Helvetica;sans-serif"/>
          <w:b w:val="false"/>
          <w:color w:val="000000"/>
          <w:sz w:val="20"/>
        </w:rPr>
        <w:t>(a)Exhibit Index: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43"/>
        <w:gridCol w:w="301"/>
        <w:gridCol w:w="302"/>
        <w:gridCol w:w="109"/>
        <w:gridCol w:w="109"/>
        <w:gridCol w:w="109"/>
        <w:gridCol w:w="2099"/>
        <w:gridCol w:w="1918"/>
        <w:gridCol w:w="1937"/>
        <w:gridCol w:w="109"/>
        <w:gridCol w:w="109"/>
        <w:gridCol w:w="109"/>
        <w:gridCol w:w="175"/>
        <w:gridCol w:w="175"/>
        <w:gridCol w:w="176"/>
        <w:gridCol w:w="121"/>
        <w:gridCol w:w="121"/>
        <w:gridCol w:w="121"/>
        <w:gridCol w:w="220"/>
        <w:gridCol w:w="220"/>
        <w:gridCol w:w="221"/>
        <w:gridCol w:w="121"/>
        <w:gridCol w:w="121"/>
        <w:gridCol w:w="121"/>
        <w:gridCol w:w="214"/>
        <w:gridCol w:w="214"/>
        <w:gridCol w:w="310"/>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Incorporated by Reference</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Form</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Filing Date</w:t>
            </w:r>
          </w:p>
        </w:tc>
      </w:tr>
      <w:tr>
        <w:trPr/>
        <w:tc>
          <w:tcPr>
            <w:tcW w:w="9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Helvetica;sans-serif" w:hAnsi="Helvetica;sans-serif"/>
                  <w:b w:val="false"/>
                  <w:color w:val="0000FF"/>
                  <w:sz w:val="20"/>
                  <w:u w:val="single"/>
                </w:rPr>
                <w:t>Amended and 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Helvetica;sans-serif" w:hAnsi="Helvetica;sans-serif"/>
                  <w:b w:val="false"/>
                  <w:color w:val="0000FF"/>
                  <w:sz w:val="20"/>
                  <w:u w:val="single"/>
                </w:rPr>
                <w:t>Amended and Restated Bylaws of the Registrant, as adopted on February 16,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2/21/2023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Helvetica;sans-serif" w:hAnsi="Helvetica;sans-serif"/>
                  <w:b w:val="false"/>
                  <w:color w:val="0000FF"/>
                  <w:sz w:val="20"/>
                  <w:u w:val="single"/>
                </w:rPr>
                <w:t>Form of Class A common stock certificate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Helvetica;sans-serif" w:hAnsi="Helvetica;sans-serif"/>
                  <w:b w:val="false"/>
                  <w:color w:val="0000FF"/>
                  <w:sz w:val="20"/>
                  <w:u w:val="single"/>
                </w:rPr>
                <w:t>Tenth Amended and Restated Investors’ Rights Agreement, dated February 16, 2021, by and among the Registrant and certain of its stockholders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q32023.htm">
              <w:r>
                <w:rPr>
                  <w:rStyle w:val="InternetLink"/>
                  <w:rFonts w:ascii="Helvetica;sans-serif" w:hAnsi="Helvetica;sans-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q32023.htm">
              <w:r>
                <w:rPr>
                  <w:rStyle w:val="InternetLink"/>
                  <w:rFonts w:ascii="Helvetica;sans-serif" w:hAnsi="Helvetica;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q32023.htm">
              <w:r>
                <w:rPr>
                  <w:rStyle w:val="InternetLink"/>
                  <w:rFonts w:ascii="Helvetica;sans-serif" w:hAnsi="Helvetica;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2q32023.htm">
              <w:r>
                <w:rPr>
                  <w:rStyle w:val="InternetLink"/>
                  <w:rFonts w:ascii="Helvetica;sans-serif" w:hAnsi="Helvetica;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Cover Page Interactive Data File (formatted as inline XBRL with applicable taxonomy extension information contained in Exhibits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    Filed herewith.</w:t>
      </w:r>
    </w:p>
    <w:p>
      <w:pPr>
        <w:pStyle w:val="TextBody"/>
        <w:bidi w:val="0"/>
        <w:spacing w:lineRule="auto" w:line="288" w:before="0" w:after="0"/>
        <w:ind w:left="0" w:right="0" w:hanging="360"/>
        <w:jc w:val="both"/>
        <w:rPr>
          <w:rFonts w:ascii="Helvetica;sans-serif" w:hAnsi="Helvetica;sans-serif"/>
          <w:b w:val="false"/>
          <w:color w:val="000000"/>
          <w:sz w:val="20"/>
        </w:rPr>
      </w:pPr>
      <w:r>
        <w:rPr>
          <w:rFonts w:ascii="Helvetica;sans-serif" w:hAnsi="Helvetica;sans-serif"/>
          <w:b w:val="false"/>
          <w:color w:val="000000"/>
          <w:sz w:val="20"/>
        </w:rPr>
        <w:t>**    Furnished herewith.</w:t>
      </w:r>
    </w:p>
    <w:p>
      <w:pPr>
        <w:pStyle w:val="TextBody"/>
        <w:bidi w:val="0"/>
        <w:spacing w:lineRule="auto" w:line="288" w:before="0" w:after="0"/>
        <w:ind w:left="0" w:right="0" w:hanging="360"/>
        <w:jc w:val="both"/>
        <w:rPr>
          <w:color w:val="000000"/>
        </w:rPr>
      </w:pPr>
      <w:r>
        <w:rPr>
          <w:color w:val="000000"/>
        </w:rPr>
        <w:t>†    </w:t>
      </w:r>
      <w:r>
        <w:rPr>
          <w:rFonts w:ascii="Helvetica;sans-serif" w:hAnsi="Helvetica;sans-serif"/>
          <w:b w:val="false"/>
          <w:color w:val="000000"/>
          <w:sz w:val="20"/>
        </w:rPr>
        <w:t>Certain schedules have been omitted pursuant to Item 601(a)(5) of Regulation S-K under the Securities Act. The Company agrees to furnish supplementally any omitted schedules to the Securities and Exchange Commission upon request.</w:t>
      </w:r>
    </w:p>
    <w:p>
      <w:pPr>
        <w:pStyle w:val="TextBody"/>
        <w:bidi w:val="0"/>
        <w:spacing w:lineRule="auto" w:line="288" w:before="0" w:after="0"/>
        <w:ind w:left="0" w:right="0" w:hanging="360"/>
        <w:jc w:val="both"/>
        <w:rPr>
          <w:rFonts w:ascii="Helvetica;sans-serif" w:hAnsi="Helvetica;sans-serif"/>
          <w:b w:val="false"/>
          <w:color w:val="000000"/>
          <w:sz w:val="20"/>
        </w:rPr>
      </w:pPr>
      <w:r>
        <w:rPr>
          <w:rFonts w:ascii="Helvetica;sans-serif" w:hAnsi="Helvetica;sans-serif"/>
          <w:b w:val="false"/>
          <w:color w:val="000000"/>
          <w:sz w:val="20"/>
        </w:rPr>
        <w:t>^    Portions of this exhibit have been omitted pursuant to Item 601(b)(10)(iv) of Regulation S-K because they are both (i) not material and (ii) the type that the registrant treats as private or confidential. A copy of the omitted portions will be furnished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c0f69e071ca4a2db97bd9b66af590b5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caused this report to be signed on its behalf by the undersigned thereunto duly authorized.</w:t>
      </w:r>
    </w:p>
    <w:tbl>
      <w:tblPr>
        <w:tblW w:w="4968" w:type="dxa"/>
        <w:jc w:val="center"/>
        <w:tblInd w:w="0" w:type="dxa"/>
        <w:tblLayout w:type="fixed"/>
        <w:tblCellMar>
          <w:top w:w="28" w:type="dxa"/>
          <w:left w:w="28" w:type="dxa"/>
          <w:bottom w:w="28" w:type="dxa"/>
          <w:right w:w="28" w:type="dxa"/>
        </w:tblCellMar>
      </w:tblPr>
      <w:tblGrid>
        <w:gridCol w:w="124"/>
        <w:gridCol w:w="109"/>
        <w:gridCol w:w="109"/>
        <w:gridCol w:w="237"/>
        <w:gridCol w:w="237"/>
        <w:gridCol w:w="237"/>
        <w:gridCol w:w="1140"/>
        <w:gridCol w:w="1140"/>
        <w:gridCol w:w="16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THREDUP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November 6,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31.1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OF PERIODIC REPORT UNDER SECTION 302 OF</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James Reinhart, certify that: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1.I have reviewed this Quarterly Report on Form 10-Q of ThredUp Inc.;</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b.Any fraud, whether or not material, that involves management or other employees who have a significant role in the registrant’s internal control over financial reporting.</w:t>
      </w:r>
    </w:p>
    <w:tbl>
      <w:tblPr>
        <w:tblW w:w="334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759"/>
        <w:gridCol w:w="759"/>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November 6,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31.2</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OF PERIODIC REPORT UNDER SECTION 302 OF</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Sean Sobers, certify that: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1.I have reviewed this Quarterly Report on Form 10-Q of ThredUp Inc.;</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b.Any fraud, whether or not material, that involves management or other employees who have a significant role in the registrant’s internal control over financial reporting.</w:t>
      </w:r>
    </w:p>
    <w:tbl>
      <w:tblPr>
        <w:tblW w:w="466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1142"/>
        <w:gridCol w:w="1142"/>
        <w:gridCol w:w="1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November 6,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32.1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PURSUANT TO</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18 U.S.C. SECTION 1350</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AS ADOPTED PURSUANT TO SECTION 906</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OF 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James Reinhart, Chief Executive Officer of ThredUp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Quarterly Report on Form 10-Q of the Company for the quarter ended September 30, 2023 (the “Report”) fully complies with the requirements of Section 13(a) or 15(d) of the Securities Exchange Act of 1934; and</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information contained in the Report fairly presents, in all material respects, the financial condition and results of operations of the Company for the periods presented therein.</w:t>
      </w:r>
    </w:p>
    <w:tbl>
      <w:tblPr>
        <w:tblW w:w="334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759"/>
        <w:gridCol w:w="759"/>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November 6,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32.2</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PURSUANT TO</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18 U.S.C. SECTION 1350</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AS ADOPTED PURSUANT TO SECTION 906</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OF 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Sean Sobers, Chief Financial Officer of ThredUp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Quarterly Report on Form 10-Q of the Company for the quarter ended September 30, 2023 (the “Report”) fully complies with the requirements of Section 13(a) or 15(d) of the Securities Exchange Act of 1934; and</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information contained in the Report fairly presents, in all material respects, the financial condition and results of operations of the Company for the periods presented therein.</w:t>
      </w:r>
    </w:p>
    <w:tbl>
      <w:tblPr>
        <w:tblW w:w="466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1142"/>
        <w:gridCol w:w="1142"/>
        <w:gridCol w:w="1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November 6, 2023</w:t>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84778/000162828021003857/exhibit32-sx1.htm" TargetMode="External"/><Relationship Id="rId4" Type="http://schemas.openxmlformats.org/officeDocument/2006/relationships/hyperlink" Target="https://www.sec.gov/Archives/edgar/data/1484778/000148477823000037/thredup-arpubliccompanybyl.htm" TargetMode="External"/><Relationship Id="rId5" Type="http://schemas.openxmlformats.org/officeDocument/2006/relationships/hyperlink" Target="https://www.sec.gov/Archives/edgar/data/1484778/000162828021003857/exhibit41-sx1.htm" TargetMode="External"/><Relationship Id="rId6" Type="http://schemas.openxmlformats.org/officeDocument/2006/relationships/hyperlink" Target="https://www.sec.gov/Archives/edgar/data/1484778/000162828021003857/exhibit42-sx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14982</Words>
  <Characters>82354</Characters>
  <CharactersWithSpaces>95852</CharactersWithSpaces>
  <Paragraphs>2233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