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80"/>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7" w:lineRule="exact"/>
        <w:rPr>
          <w:sz w:val="24"/>
          <w:szCs w:val="24"/>
          <w:color w:val="auto"/>
        </w:rPr>
      </w:pPr>
    </w:p>
    <w:p>
      <w:pPr>
        <w:ind w:left="4220"/>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 w:lineRule="exact"/>
        <w:rPr>
          <w:sz w:val="24"/>
          <w:szCs w:val="24"/>
          <w:color w:val="auto"/>
        </w:rPr>
      </w:pPr>
    </w:p>
    <w:p>
      <w:pPr>
        <w:ind w:left="3700" w:right="1820" w:hanging="3694"/>
        <w:spacing w:after="0" w:line="360" w:lineRule="auto"/>
        <w:tabs>
          <w:tab w:leader="none" w:pos="3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1" w:lineRule="exact"/>
        <w:rPr>
          <w:sz w:val="24"/>
          <w:szCs w:val="24"/>
          <w:color w:val="auto"/>
        </w:rPr>
      </w:pPr>
    </w:p>
    <w:p>
      <w:pPr>
        <w:ind w:left="2260" w:right="1820" w:hanging="2254"/>
        <w:spacing w:after="0" w:line="390" w:lineRule="auto"/>
        <w:tabs>
          <w:tab w:leader="none" w:pos="3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____________________ to 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82550</wp:posOffset>
            </wp:positionV>
            <wp:extent cx="1522730" cy="378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2730" cy="378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ThredUp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820" w:type="dxa"/>
            <w:vAlign w:val="bottom"/>
            <w:gridSpan w:val="3"/>
          </w:tcPr>
          <w:p>
            <w:pPr>
              <w:jc w:val="center"/>
              <w:ind w:left="729"/>
              <w:spacing w:after="0"/>
              <w:rPr>
                <w:sz w:val="20"/>
                <w:szCs w:val="20"/>
                <w:color w:val="auto"/>
              </w:rPr>
            </w:pPr>
            <w:r>
              <w:rPr>
                <w:rFonts w:ascii="Arial" w:cs="Arial" w:eastAsia="Arial" w:hAnsi="Arial"/>
                <w:sz w:val="14"/>
                <w:szCs w:val="14"/>
                <w:b w:val="1"/>
                <w:bCs w:val="1"/>
                <w:color w:val="auto"/>
              </w:rPr>
              <w:t>Delaware</w:t>
            </w:r>
          </w:p>
        </w:tc>
        <w:tc>
          <w:tcPr>
            <w:tcW w:w="2500" w:type="dxa"/>
            <w:vAlign w:val="bottom"/>
          </w:tcPr>
          <w:p>
            <w:pPr>
              <w:spacing w:after="0"/>
              <w:rPr>
                <w:sz w:val="16"/>
                <w:szCs w:val="16"/>
                <w:color w:val="auto"/>
              </w:rPr>
            </w:pPr>
          </w:p>
        </w:tc>
        <w:tc>
          <w:tcPr>
            <w:tcW w:w="3920" w:type="dxa"/>
            <w:vAlign w:val="bottom"/>
            <w:gridSpan w:val="3"/>
          </w:tcPr>
          <w:p>
            <w:pPr>
              <w:jc w:val="right"/>
              <w:ind w:right="2349"/>
              <w:spacing w:after="0"/>
              <w:rPr>
                <w:sz w:val="20"/>
                <w:szCs w:val="20"/>
                <w:color w:val="auto"/>
              </w:rPr>
            </w:pPr>
            <w:r>
              <w:rPr>
                <w:rFonts w:ascii="Arial" w:cs="Arial" w:eastAsia="Arial" w:hAnsi="Arial"/>
                <w:sz w:val="14"/>
                <w:szCs w:val="14"/>
                <w:b w:val="1"/>
                <w:bCs w:val="1"/>
                <w:color w:val="auto"/>
              </w:rPr>
              <w:t>26-4009181</w:t>
            </w:r>
          </w:p>
        </w:tc>
        <w:tc>
          <w:tcPr>
            <w:tcW w:w="0" w:type="dxa"/>
            <w:vAlign w:val="bottom"/>
          </w:tcPr>
          <w:p>
            <w:pPr>
              <w:spacing w:after="0"/>
              <w:rPr>
                <w:sz w:val="1"/>
                <w:szCs w:val="1"/>
                <w:color w:val="auto"/>
              </w:rPr>
            </w:pPr>
          </w:p>
        </w:tc>
      </w:tr>
      <w:tr>
        <w:trPr>
          <w:trHeight w:val="191"/>
        </w:trPr>
        <w:tc>
          <w:tcPr>
            <w:tcW w:w="4820" w:type="dxa"/>
            <w:vAlign w:val="bottom"/>
            <w:gridSpan w:val="3"/>
          </w:tcPr>
          <w:p>
            <w:pPr>
              <w:jc w:val="center"/>
              <w:ind w:left="749"/>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2500" w:type="dxa"/>
            <w:vAlign w:val="bottom"/>
          </w:tcPr>
          <w:p>
            <w:pPr>
              <w:spacing w:after="0"/>
              <w:rPr>
                <w:sz w:val="16"/>
                <w:szCs w:val="16"/>
                <w:color w:val="auto"/>
              </w:rPr>
            </w:pPr>
          </w:p>
        </w:tc>
        <w:tc>
          <w:tcPr>
            <w:tcW w:w="3920" w:type="dxa"/>
            <w:vAlign w:val="bottom"/>
            <w:gridSpan w:val="3"/>
          </w:tcPr>
          <w:p>
            <w:pPr>
              <w:jc w:val="center"/>
              <w:ind w:right="1629"/>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367"/>
        </w:trPr>
        <w:tc>
          <w:tcPr>
            <w:tcW w:w="4820" w:type="dxa"/>
            <w:vAlign w:val="bottom"/>
            <w:gridSpan w:val="3"/>
          </w:tcPr>
          <w:p>
            <w:pPr>
              <w:jc w:val="center"/>
              <w:ind w:left="749"/>
              <w:spacing w:after="0"/>
              <w:rPr>
                <w:sz w:val="20"/>
                <w:szCs w:val="20"/>
                <w:color w:val="auto"/>
              </w:rPr>
            </w:pPr>
            <w:r>
              <w:rPr>
                <w:rFonts w:ascii="Arial" w:cs="Arial" w:eastAsia="Arial" w:hAnsi="Arial"/>
                <w:sz w:val="14"/>
                <w:szCs w:val="14"/>
                <w:b w:val="1"/>
                <w:bCs w:val="1"/>
                <w:color w:val="auto"/>
              </w:rPr>
              <w:t>969 Broadway, Suite 200</w:t>
            </w:r>
          </w:p>
        </w:tc>
        <w:tc>
          <w:tcPr>
            <w:tcW w:w="2500" w:type="dxa"/>
            <w:vAlign w:val="bottom"/>
          </w:tcPr>
          <w:p>
            <w:pPr>
              <w:spacing w:after="0"/>
              <w:rPr>
                <w:sz w:val="24"/>
                <w:szCs w:val="24"/>
                <w:color w:val="auto"/>
              </w:rPr>
            </w:pPr>
          </w:p>
        </w:tc>
        <w:tc>
          <w:tcPr>
            <w:tcW w:w="3920" w:type="dxa"/>
            <w:vAlign w:val="bottom"/>
            <w:gridSpan w:val="3"/>
            <w:vMerge w:val="restart"/>
          </w:tcPr>
          <w:p>
            <w:pPr>
              <w:jc w:val="right"/>
              <w:ind w:right="2549"/>
              <w:spacing w:after="0"/>
              <w:rPr>
                <w:sz w:val="20"/>
                <w:szCs w:val="20"/>
                <w:color w:val="auto"/>
              </w:rPr>
            </w:pPr>
            <w:r>
              <w:rPr>
                <w:rFonts w:ascii="Arial" w:cs="Arial" w:eastAsia="Arial" w:hAnsi="Arial"/>
                <w:sz w:val="14"/>
                <w:szCs w:val="14"/>
                <w:b w:val="1"/>
                <w:bCs w:val="1"/>
                <w:color w:val="auto"/>
              </w:rPr>
              <w:t>94607</w:t>
            </w:r>
          </w:p>
        </w:tc>
        <w:tc>
          <w:tcPr>
            <w:tcW w:w="0" w:type="dxa"/>
            <w:vAlign w:val="bottom"/>
          </w:tcPr>
          <w:p>
            <w:pPr>
              <w:spacing w:after="0"/>
              <w:rPr>
                <w:sz w:val="1"/>
                <w:szCs w:val="1"/>
                <w:color w:val="auto"/>
              </w:rPr>
            </w:pPr>
          </w:p>
        </w:tc>
      </w:tr>
      <w:tr>
        <w:trPr>
          <w:trHeight w:val="191"/>
        </w:trPr>
        <w:tc>
          <w:tcPr>
            <w:tcW w:w="4820" w:type="dxa"/>
            <w:vAlign w:val="bottom"/>
            <w:gridSpan w:val="3"/>
          </w:tcPr>
          <w:p>
            <w:pPr>
              <w:jc w:val="center"/>
              <w:ind w:left="749"/>
              <w:spacing w:after="0"/>
              <w:rPr>
                <w:sz w:val="20"/>
                <w:szCs w:val="20"/>
                <w:color w:val="auto"/>
              </w:rPr>
            </w:pPr>
            <w:r>
              <w:rPr>
                <w:rFonts w:ascii="Arial" w:cs="Arial" w:eastAsia="Arial" w:hAnsi="Arial"/>
                <w:sz w:val="14"/>
                <w:szCs w:val="14"/>
                <w:b w:val="1"/>
                <w:bCs w:val="1"/>
                <w:color w:val="auto"/>
              </w:rPr>
              <w:t>Oakland, California</w:t>
            </w:r>
          </w:p>
        </w:tc>
        <w:tc>
          <w:tcPr>
            <w:tcW w:w="2500" w:type="dxa"/>
            <w:vAlign w:val="bottom"/>
          </w:tcPr>
          <w:p>
            <w:pPr>
              <w:spacing w:after="0"/>
              <w:rPr>
                <w:sz w:val="16"/>
                <w:szCs w:val="16"/>
                <w:color w:val="auto"/>
              </w:rPr>
            </w:pPr>
          </w:p>
        </w:tc>
        <w:tc>
          <w:tcPr>
            <w:tcW w:w="3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20" w:type="dxa"/>
            <w:vAlign w:val="bottom"/>
            <w:gridSpan w:val="3"/>
          </w:tcPr>
          <w:p>
            <w:pPr>
              <w:jc w:val="center"/>
              <w:ind w:left="729"/>
              <w:spacing w:after="0"/>
              <w:rPr>
                <w:sz w:val="20"/>
                <w:szCs w:val="20"/>
                <w:color w:val="auto"/>
              </w:rPr>
            </w:pPr>
            <w:r>
              <w:rPr>
                <w:rFonts w:ascii="Arial" w:cs="Arial" w:eastAsia="Arial" w:hAnsi="Arial"/>
                <w:sz w:val="14"/>
                <w:szCs w:val="14"/>
                <w:i w:val="1"/>
                <w:iCs w:val="1"/>
                <w:color w:val="auto"/>
              </w:rPr>
              <w:t>(Address of principal executive offices)</w:t>
            </w:r>
          </w:p>
        </w:tc>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jc w:val="center"/>
              <w:ind w:right="1889"/>
              <w:spacing w:after="0"/>
              <w:rPr>
                <w:sz w:val="20"/>
                <w:szCs w:val="20"/>
                <w:color w:val="auto"/>
              </w:rPr>
            </w:pPr>
            <w:r>
              <w:rPr>
                <w:rFonts w:ascii="Arial" w:cs="Arial" w:eastAsia="Arial" w:hAnsi="Arial"/>
                <w:sz w:val="14"/>
                <w:szCs w:val="14"/>
                <w:i w:val="1"/>
                <w:iCs w:val="1"/>
                <w:color w:val="auto"/>
                <w:w w:val="99"/>
              </w:rPr>
              <w:t>(Zip Code)</w:t>
            </w:r>
          </w:p>
        </w:tc>
        <w:tc>
          <w:tcPr>
            <w:tcW w:w="0" w:type="dxa"/>
            <w:vAlign w:val="bottom"/>
          </w:tcPr>
          <w:p>
            <w:pPr>
              <w:spacing w:after="0"/>
              <w:rPr>
                <w:sz w:val="1"/>
                <w:szCs w:val="1"/>
                <w:color w:val="auto"/>
              </w:rPr>
            </w:pPr>
          </w:p>
        </w:tc>
      </w:tr>
      <w:tr>
        <w:trPr>
          <w:trHeight w:val="532"/>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jc w:val="center"/>
              <w:ind w:right="829"/>
              <w:spacing w:after="0"/>
              <w:rPr>
                <w:sz w:val="20"/>
                <w:szCs w:val="20"/>
                <w:color w:val="auto"/>
              </w:rPr>
            </w:pPr>
            <w:r>
              <w:rPr>
                <w:rFonts w:ascii="Arial" w:cs="Arial" w:eastAsia="Arial" w:hAnsi="Arial"/>
                <w:sz w:val="14"/>
                <w:szCs w:val="14"/>
                <w:b w:val="1"/>
                <w:bCs w:val="1"/>
                <w:color w:val="auto"/>
              </w:rPr>
              <w:t>(415) 402-5202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jc w:val="center"/>
              <w:ind w:left="109"/>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48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849"/>
              <w:spacing w:after="0"/>
              <w:rPr>
                <w:sz w:val="20"/>
                <w:szCs w:val="20"/>
                <w:color w:val="auto"/>
              </w:rPr>
            </w:pPr>
            <w:r>
              <w:rPr>
                <w:rFonts w:ascii="Arial" w:cs="Arial" w:eastAsia="Arial" w:hAnsi="Arial"/>
                <w:sz w:val="14"/>
                <w:szCs w:val="14"/>
                <w:b w:val="1"/>
                <w:bCs w:val="1"/>
                <w:color w:val="auto"/>
                <w:w w:val="99"/>
              </w:rPr>
              <w:t>Trading Symbol(s)</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3"/>
        </w:trPr>
        <w:tc>
          <w:tcPr>
            <w:tcW w:w="4820" w:type="dxa"/>
            <w:vAlign w:val="bottom"/>
            <w:gridSpan w:val="3"/>
          </w:tcPr>
          <w:p>
            <w:pPr>
              <w:jc w:val="center"/>
              <w:ind w:right="1089"/>
              <w:spacing w:after="0" w:line="143" w:lineRule="exact"/>
              <w:rPr>
                <w:sz w:val="20"/>
                <w:szCs w:val="20"/>
                <w:color w:val="auto"/>
              </w:rPr>
            </w:pPr>
            <w:r>
              <w:rPr>
                <w:rFonts w:ascii="Arial" w:cs="Arial" w:eastAsia="Arial" w:hAnsi="Arial"/>
                <w:sz w:val="14"/>
                <w:szCs w:val="14"/>
                <w:color w:val="auto"/>
              </w:rPr>
              <w:t>Class A Common Stock, $0.0001 par value per share</w:t>
            </w:r>
          </w:p>
        </w:tc>
        <w:tc>
          <w:tcPr>
            <w:tcW w:w="2500" w:type="dxa"/>
            <w:vAlign w:val="bottom"/>
          </w:tcPr>
          <w:p>
            <w:pPr>
              <w:jc w:val="center"/>
              <w:ind w:right="849"/>
              <w:spacing w:after="0" w:line="143" w:lineRule="exact"/>
              <w:rPr>
                <w:sz w:val="20"/>
                <w:szCs w:val="20"/>
                <w:color w:val="auto"/>
              </w:rPr>
            </w:pPr>
            <w:r>
              <w:rPr>
                <w:rFonts w:ascii="Arial" w:cs="Arial" w:eastAsia="Arial" w:hAnsi="Arial"/>
                <w:sz w:val="14"/>
                <w:szCs w:val="14"/>
                <w:color w:val="auto"/>
                <w:w w:val="99"/>
              </w:rPr>
              <w:t>TDUP</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tcPr>
          <w:p>
            <w:pPr>
              <w:jc w:val="center"/>
              <w:spacing w:after="0" w:line="143"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rPr>
              <w:t>Long-Term Stock Exchange</w:t>
            </w:r>
          </w:p>
        </w:tc>
        <w:tc>
          <w:tcPr>
            <w:tcW w:w="0" w:type="dxa"/>
            <w:vAlign w:val="bottom"/>
          </w:tcPr>
          <w:p>
            <w:pPr>
              <w:spacing w:after="0"/>
              <w:rPr>
                <w:sz w:val="1"/>
                <w:szCs w:val="1"/>
                <w:color w:val="auto"/>
              </w:rPr>
            </w:pPr>
          </w:p>
        </w:tc>
      </w:tr>
    </w:tbl>
    <w:p>
      <w:pPr>
        <w:spacing w:after="0" w:line="357"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2" w:lineRule="exact"/>
        <w:rPr>
          <w:sz w:val="24"/>
          <w:szCs w:val="24"/>
          <w:color w:val="auto"/>
        </w:rPr>
      </w:pPr>
    </w:p>
    <w:p>
      <w:pPr>
        <w:jc w:val="both"/>
        <w:ind w:right="2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44"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4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9"/>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4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040" w:type="dxa"/>
            <w:vAlign w:val="bottom"/>
          </w:tcPr>
          <w:p>
            <w:pPr>
              <w:ind w:left="304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5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line="161" w:lineRule="exact"/>
        <w:tabs>
          <w:tab w:leader="none" w:pos="7200" w:val="left"/>
          <w:tab w:leader="none" w:pos="78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There were 108,372,115 shares of Class A common stock and 20,668,731 shares of Class B common stock outstanding as of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471805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4"/>
        </w:trPr>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80" w:type="dxa"/>
            <w:vAlign w:val="bottom"/>
            <w:gridSpan w:val="9"/>
          </w:tcPr>
          <w:p>
            <w:pPr>
              <w:jc w:val="center"/>
              <w:ind w:right="2520"/>
              <w:spacing w:after="0"/>
              <w:rPr>
                <w:sz w:val="20"/>
                <w:szCs w:val="20"/>
                <w:color w:val="auto"/>
              </w:rPr>
            </w:pPr>
            <w:r>
              <w:rPr>
                <w:rFonts w:ascii="Arial" w:cs="Arial" w:eastAsia="Arial" w:hAnsi="Arial"/>
                <w:sz w:val="18"/>
                <w:szCs w:val="18"/>
                <w:b w:val="1"/>
                <w:bCs w:val="1"/>
                <w:color w:val="auto"/>
                <w:w w:val="96"/>
              </w:rPr>
              <w:t>TABLE OF CONTENTS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80" w:type="dxa"/>
            <w:vAlign w:val="bottom"/>
            <w:gridSpan w:val="9"/>
            <w:vMerge w:val="restart"/>
          </w:tcPr>
          <w:p>
            <w:pPr>
              <w:jc w:val="center"/>
              <w:ind w:right="2540"/>
              <w:spacing w:after="0"/>
              <w:rPr>
                <w:sz w:val="20"/>
                <w:szCs w:val="20"/>
                <w:color w:val="auto"/>
              </w:rPr>
            </w:pPr>
            <w:r>
              <w:rPr>
                <w:rFonts w:ascii="Arial" w:cs="Arial" w:eastAsia="Arial" w:hAnsi="Arial"/>
                <w:sz w:val="18"/>
                <w:szCs w:val="18"/>
                <w:b w:val="1"/>
                <w:bCs w:val="1"/>
                <w:color w:val="auto"/>
                <w:w w:val="97"/>
              </w:rPr>
              <w:t>PART I. FINANCIAL INFORMATION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80" w:type="dxa"/>
            <w:vAlign w:val="bottom"/>
            <w:gridSpan w:val="9"/>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14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b w:val="1"/>
                <w:bCs w:val="1"/>
                <w:color w:val="auto"/>
              </w:rPr>
              <w:t>Item 1.</w:t>
            </w:r>
          </w:p>
        </w:tc>
        <w:tc>
          <w:tcPr>
            <w:tcW w:w="898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Financial Statements</w:t>
            </w:r>
          </w:p>
        </w:tc>
        <w:tc>
          <w:tcPr>
            <w:tcW w:w="11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0"/>
        </w:trPr>
        <w:tc>
          <w:tcPr>
            <w:tcW w:w="11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20" w:type="dxa"/>
            <w:vAlign w:val="bottom"/>
            <w:tcBorders>
              <w:bottom w:val="single" w:sz="8" w:color="0000FF"/>
            </w:tcBorders>
            <w:gridSpan w:val="10"/>
          </w:tcPr>
          <w:p>
            <w:pPr>
              <w:spacing w:after="0" w:line="186" w:lineRule="exact"/>
              <w:rPr>
                <w:sz w:val="20"/>
                <w:szCs w:val="20"/>
                <w:color w:val="auto"/>
              </w:rPr>
            </w:pPr>
            <w:r>
              <w:rPr>
                <w:rFonts w:ascii="Arial" w:cs="Arial" w:eastAsia="Arial" w:hAnsi="Arial"/>
                <w:sz w:val="18"/>
                <w:szCs w:val="18"/>
                <w:color w:val="0000FF"/>
                <w:w w:val="97"/>
              </w:rPr>
              <w:t>Unaudited Condensed Consolidated Balance Sheets</w:t>
            </w:r>
          </w:p>
        </w:tc>
        <w:tc>
          <w:tcPr>
            <w:tcW w:w="4700" w:type="dxa"/>
            <w:vAlign w:val="bottom"/>
            <w:gridSpan w:val="8"/>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2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Unaudited Condensed Consolidated Statements of Operations</w:t>
            </w:r>
          </w:p>
        </w:tc>
        <w:tc>
          <w:tcPr>
            <w:tcW w:w="11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40"/>
        </w:trPr>
        <w:tc>
          <w:tcPr>
            <w:tcW w:w="1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78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40" w:type="dxa"/>
            <w:vAlign w:val="bottom"/>
            <w:tcBorders>
              <w:right w:val="single" w:sz="8" w:color="CCEE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80" w:type="dxa"/>
            <w:vAlign w:val="bottom"/>
            <w:tcBorders>
              <w:bottom w:val="single" w:sz="8" w:color="0000FF"/>
            </w:tcBorders>
            <w:gridSpan w:val="16"/>
          </w:tcPr>
          <w:p>
            <w:pPr>
              <w:spacing w:after="0" w:line="186" w:lineRule="exact"/>
              <w:rPr>
                <w:sz w:val="20"/>
                <w:szCs w:val="20"/>
                <w:color w:val="auto"/>
              </w:rPr>
            </w:pPr>
            <w:r>
              <w:rPr>
                <w:rFonts w:ascii="Arial" w:cs="Arial" w:eastAsia="Arial" w:hAnsi="Arial"/>
                <w:sz w:val="18"/>
                <w:szCs w:val="18"/>
                <w:color w:val="0000FF"/>
                <w:w w:val="97"/>
              </w:rPr>
              <w:t>Unaudited Condensed Consolidated Statements of Comprehensive Loss</w:t>
            </w:r>
          </w:p>
        </w:tc>
        <w:tc>
          <w:tcPr>
            <w:tcW w:w="3140" w:type="dxa"/>
            <w:vAlign w:val="bottom"/>
            <w:gridSpan w:val="2"/>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5"/>
        </w:trPr>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2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Unaudited Condensed Consolidated Statements of Stockholders’ Equity</w:t>
            </w:r>
          </w:p>
        </w:tc>
        <w:tc>
          <w:tcPr>
            <w:tcW w:w="11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6"/>
        </w:trPr>
        <w:tc>
          <w:tcPr>
            <w:tcW w:w="1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620" w:type="dxa"/>
            <w:vAlign w:val="bottom"/>
            <w:tcBorders>
              <w:top w:val="single" w:sz="8" w:color="0000FF"/>
            </w:tcBorders>
            <w:gridSpan w:val="15"/>
          </w:tcPr>
          <w:p>
            <w:pPr>
              <w:spacing w:after="0" w:line="186" w:lineRule="exact"/>
              <w:rPr>
                <w:sz w:val="20"/>
                <w:szCs w:val="20"/>
                <w:color w:val="auto"/>
              </w:rPr>
            </w:pPr>
            <w:r>
              <w:rPr>
                <w:rFonts w:ascii="Arial" w:cs="Arial" w:eastAsia="Arial" w:hAnsi="Arial"/>
                <w:sz w:val="18"/>
                <w:szCs w:val="18"/>
                <w:color w:val="0000FF"/>
              </w:rPr>
              <w:t>Unaudited Condensed Consolidated Statements of Cash Flows</w:t>
            </w:r>
          </w:p>
        </w:tc>
        <w:tc>
          <w:tcPr>
            <w:tcW w:w="3200" w:type="dxa"/>
            <w:vAlign w:val="bottom"/>
            <w:tcBorders>
              <w:top w:val="single" w:sz="8" w:color="CCEEFF"/>
            </w:tcBorders>
            <w:gridSpan w:val="3"/>
          </w:tcPr>
          <w:p>
            <w:pPr>
              <w:spacing w:after="0"/>
              <w:rPr>
                <w:sz w:val="16"/>
                <w:szCs w:val="16"/>
                <w:color w:val="auto"/>
              </w:rPr>
            </w:pPr>
          </w:p>
        </w:tc>
        <w:tc>
          <w:tcPr>
            <w:tcW w:w="1120" w:type="dxa"/>
            <w:vAlign w:val="bottom"/>
            <w:tcBorders>
              <w:top w:val="single" w:sz="8" w:color="CCEEFF"/>
            </w:tcBorders>
          </w:tcPr>
          <w:p>
            <w:pPr>
              <w:jc w:val="center"/>
              <w:spacing w:after="0" w:line="18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30"/>
        </w:trPr>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7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0000FF"/>
            </w:tcBorders>
            <w:gridSpan w:val="14"/>
            <w:shd w:val="clear" w:color="auto" w:fill="CCEEFF"/>
          </w:tcPr>
          <w:p>
            <w:pPr>
              <w:spacing w:after="0" w:line="195" w:lineRule="exact"/>
              <w:rPr>
                <w:sz w:val="20"/>
                <w:szCs w:val="20"/>
                <w:color w:val="auto"/>
              </w:rPr>
            </w:pPr>
            <w:r>
              <w:rPr>
                <w:rFonts w:ascii="Arial" w:cs="Arial" w:eastAsia="Arial" w:hAnsi="Arial"/>
                <w:sz w:val="18"/>
                <w:szCs w:val="18"/>
                <w:color w:val="0000FF"/>
                <w:w w:val="97"/>
              </w:rPr>
              <w:t>Notes to Unaudited Condensed Consolidated Financial Statements</w:t>
            </w:r>
          </w:p>
        </w:tc>
        <w:tc>
          <w:tcPr>
            <w:tcW w:w="3580" w:type="dxa"/>
            <w:vAlign w:val="bottom"/>
            <w:tcBorders>
              <w:bottom w:val="single" w:sz="8" w:color="CCEEFF"/>
            </w:tcBorders>
            <w:gridSpan w:val="4"/>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95"/>
        </w:trPr>
        <w:tc>
          <w:tcPr>
            <w:tcW w:w="1140" w:type="dxa"/>
            <w:vAlign w:val="bottom"/>
          </w:tcPr>
          <w:p>
            <w:pPr>
              <w:ind w:left="20"/>
              <w:spacing w:after="0" w:line="186" w:lineRule="exact"/>
              <w:rPr>
                <w:sz w:val="20"/>
                <w:szCs w:val="20"/>
                <w:color w:val="auto"/>
              </w:rPr>
            </w:pPr>
            <w:r>
              <w:rPr>
                <w:rFonts w:ascii="Arial" w:cs="Arial" w:eastAsia="Arial" w:hAnsi="Arial"/>
                <w:sz w:val="18"/>
                <w:szCs w:val="18"/>
                <w:b w:val="1"/>
                <w:bCs w:val="1"/>
                <w:color w:val="auto"/>
              </w:rPr>
              <w:t>Item 2.</w:t>
            </w:r>
          </w:p>
        </w:tc>
        <w:tc>
          <w:tcPr>
            <w:tcW w:w="8980" w:type="dxa"/>
            <w:vAlign w:val="bottom"/>
            <w:gridSpan w:val="19"/>
          </w:tcPr>
          <w:p>
            <w:pPr>
              <w:spacing w:after="0" w:line="18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20" w:type="dxa"/>
            <w:vAlign w:val="bottom"/>
          </w:tcPr>
          <w:p>
            <w:pPr>
              <w:jc w:val="center"/>
              <w:spacing w:after="0" w:line="186" w:lineRule="exact"/>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5"/>
        </w:trPr>
        <w:tc>
          <w:tcPr>
            <w:tcW w:w="11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FF"/>
              <w:bottom w:val="single" w:sz="8" w:color="0000FF"/>
            </w:tcBorders>
            <w:gridSpan w:val="12"/>
            <w:shd w:val="clear" w:color="auto" w:fill="CCEEFF"/>
          </w:tcPr>
          <w:p>
            <w:pPr>
              <w:spacing w:after="0" w:line="195" w:lineRule="exact"/>
              <w:rPr>
                <w:sz w:val="20"/>
                <w:szCs w:val="20"/>
                <w:color w:val="auto"/>
              </w:rPr>
            </w:pPr>
            <w:r>
              <w:rPr>
                <w:rFonts w:ascii="Arial" w:cs="Arial" w:eastAsia="Arial" w:hAnsi="Arial"/>
                <w:sz w:val="18"/>
                <w:szCs w:val="18"/>
                <w:color w:val="0000FF"/>
                <w:w w:val="97"/>
              </w:rPr>
              <w:t>Quantitative and Qualitative Disclosures About Market Risk</w:t>
            </w:r>
          </w:p>
        </w:tc>
        <w:tc>
          <w:tcPr>
            <w:tcW w:w="2320" w:type="dxa"/>
            <w:vAlign w:val="bottom"/>
            <w:tcBorders>
              <w:top w:val="single" w:sz="8" w:color="0000FF"/>
              <w:bottom w:val="single" w:sz="8" w:color="CCEEFF"/>
            </w:tcBorders>
            <w:gridSpan w:val="6"/>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186"/>
        </w:trPr>
        <w:tc>
          <w:tcPr>
            <w:tcW w:w="1140" w:type="dxa"/>
            <w:vAlign w:val="bottom"/>
          </w:tcPr>
          <w:p>
            <w:pPr>
              <w:ind w:left="20"/>
              <w:spacing w:after="0" w:line="186" w:lineRule="exact"/>
              <w:rPr>
                <w:sz w:val="20"/>
                <w:szCs w:val="20"/>
                <w:color w:val="auto"/>
              </w:rPr>
            </w:pPr>
            <w:r>
              <w:rPr>
                <w:rFonts w:ascii="Arial" w:cs="Arial" w:eastAsia="Arial" w:hAnsi="Arial"/>
                <w:sz w:val="18"/>
                <w:szCs w:val="18"/>
                <w:b w:val="1"/>
                <w:bCs w:val="1"/>
                <w:color w:val="auto"/>
              </w:rPr>
              <w:t>Item 4.</w:t>
            </w:r>
          </w:p>
        </w:tc>
        <w:tc>
          <w:tcPr>
            <w:tcW w:w="8980" w:type="dxa"/>
            <w:vAlign w:val="bottom"/>
            <w:gridSpan w:val="19"/>
          </w:tcPr>
          <w:p>
            <w:pPr>
              <w:spacing w:after="0" w:line="186" w:lineRule="exact"/>
              <w:rPr>
                <w:sz w:val="20"/>
                <w:szCs w:val="20"/>
                <w:color w:val="auto"/>
              </w:rPr>
            </w:pPr>
            <w:r>
              <w:rPr>
                <w:rFonts w:ascii="Arial" w:cs="Arial" w:eastAsia="Arial" w:hAnsi="Arial"/>
                <w:sz w:val="18"/>
                <w:szCs w:val="18"/>
                <w:color w:val="0000FF"/>
              </w:rPr>
              <w:t>Controls and Procedures</w:t>
            </w:r>
          </w:p>
        </w:tc>
        <w:tc>
          <w:tcPr>
            <w:tcW w:w="1120" w:type="dxa"/>
            <w:vAlign w:val="bottom"/>
          </w:tcPr>
          <w:p>
            <w:pPr>
              <w:jc w:val="center"/>
              <w:spacing w:after="0" w:line="186" w:lineRule="exact"/>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497"/>
        </w:trPr>
        <w:tc>
          <w:tcPr>
            <w:tcW w:w="11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80" w:type="dxa"/>
            <w:vAlign w:val="bottom"/>
            <w:gridSpan w:val="9"/>
          </w:tcPr>
          <w:p>
            <w:pPr>
              <w:jc w:val="center"/>
              <w:ind w:right="2520"/>
              <w:spacing w:after="0"/>
              <w:rPr>
                <w:sz w:val="20"/>
                <w:szCs w:val="20"/>
                <w:color w:val="auto"/>
              </w:rPr>
            </w:pPr>
            <w:r>
              <w:rPr>
                <w:rFonts w:ascii="Arial" w:cs="Arial" w:eastAsia="Arial" w:hAnsi="Arial"/>
                <w:sz w:val="18"/>
                <w:szCs w:val="18"/>
                <w:b w:val="1"/>
                <w:bCs w:val="1"/>
                <w:color w:val="auto"/>
                <w:w w:val="96"/>
              </w:rPr>
              <w:t>PART II. OTHER INFORMATION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40" w:type="dxa"/>
            <w:vAlign w:val="bottom"/>
            <w:tcBorders>
              <w:bottom w:val="single" w:sz="8" w:color="CCEEFF"/>
            </w:tcBorders>
            <w:shd w:val="clear" w:color="auto" w:fill="CCEEFF"/>
          </w:tcPr>
          <w:p>
            <w:pPr>
              <w:ind w:left="20"/>
              <w:spacing w:after="0" w:line="186" w:lineRule="exact"/>
              <w:rPr>
                <w:sz w:val="20"/>
                <w:szCs w:val="20"/>
                <w:color w:val="auto"/>
              </w:rPr>
            </w:pPr>
            <w:r>
              <w:rPr>
                <w:rFonts w:ascii="Arial" w:cs="Arial" w:eastAsia="Arial" w:hAnsi="Arial"/>
                <w:sz w:val="18"/>
                <w:szCs w:val="18"/>
                <w:b w:val="1"/>
                <w:bCs w:val="1"/>
                <w:color w:val="auto"/>
              </w:rPr>
              <w:t>Item 1.</w:t>
            </w:r>
          </w:p>
        </w:tc>
        <w:tc>
          <w:tcPr>
            <w:tcW w:w="1460" w:type="dxa"/>
            <w:vAlign w:val="bottom"/>
            <w:tcBorders>
              <w:bottom w:val="single" w:sz="8" w:color="0000FF"/>
            </w:tcBorders>
            <w:gridSpan w:val="6"/>
            <w:shd w:val="clear" w:color="auto" w:fill="CCEEFF"/>
          </w:tcPr>
          <w:p>
            <w:pPr>
              <w:spacing w:after="0" w:line="186" w:lineRule="exact"/>
              <w:rPr>
                <w:sz w:val="20"/>
                <w:szCs w:val="20"/>
                <w:color w:val="auto"/>
              </w:rPr>
            </w:pPr>
            <w:r>
              <w:rPr>
                <w:rFonts w:ascii="Arial" w:cs="Arial" w:eastAsia="Arial" w:hAnsi="Arial"/>
                <w:sz w:val="18"/>
                <w:szCs w:val="18"/>
                <w:color w:val="0000FF"/>
                <w:w w:val="96"/>
              </w:rPr>
              <w:t>Legal Proceedings</w:t>
            </w:r>
          </w:p>
        </w:tc>
        <w:tc>
          <w:tcPr>
            <w:tcW w:w="752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95"/>
        </w:trPr>
        <w:tc>
          <w:tcPr>
            <w:tcW w:w="1140" w:type="dxa"/>
            <w:vAlign w:val="bottom"/>
          </w:tcPr>
          <w:p>
            <w:pPr>
              <w:ind w:left="20"/>
              <w:spacing w:after="0" w:line="186" w:lineRule="exact"/>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FF"/>
            </w:tcBorders>
            <w:gridSpan w:val="4"/>
          </w:tcPr>
          <w:p>
            <w:pPr>
              <w:spacing w:after="0" w:line="186" w:lineRule="exact"/>
              <w:rPr>
                <w:sz w:val="20"/>
                <w:szCs w:val="20"/>
                <w:color w:val="auto"/>
              </w:rPr>
            </w:pPr>
            <w:r>
              <w:rPr>
                <w:rFonts w:ascii="Arial" w:cs="Arial" w:eastAsia="Arial" w:hAnsi="Arial"/>
                <w:sz w:val="18"/>
                <w:szCs w:val="18"/>
                <w:color w:val="0000FF"/>
                <w:w w:val="95"/>
              </w:rPr>
              <w:t>Risk Factors</w:t>
            </w:r>
          </w:p>
        </w:tc>
        <w:tc>
          <w:tcPr>
            <w:tcW w:w="8000" w:type="dxa"/>
            <w:vAlign w:val="bottom"/>
            <w:gridSpan w:val="15"/>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5"/>
        </w:trPr>
        <w:tc>
          <w:tcPr>
            <w:tcW w:w="11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2.</w:t>
            </w:r>
          </w:p>
        </w:tc>
        <w:tc>
          <w:tcPr>
            <w:tcW w:w="4760" w:type="dxa"/>
            <w:vAlign w:val="bottom"/>
            <w:tcBorders>
              <w:bottom w:val="single" w:sz="8" w:color="0000FF"/>
            </w:tcBorders>
            <w:gridSpan w:val="13"/>
            <w:shd w:val="clear" w:color="auto" w:fill="CCEEFF"/>
          </w:tcPr>
          <w:p>
            <w:pPr>
              <w:spacing w:after="0" w:line="195" w:lineRule="exact"/>
              <w:rPr>
                <w:sz w:val="20"/>
                <w:szCs w:val="20"/>
                <w:color w:val="auto"/>
              </w:rPr>
            </w:pPr>
            <w:r>
              <w:rPr>
                <w:rFonts w:ascii="Arial" w:cs="Arial" w:eastAsia="Arial" w:hAnsi="Arial"/>
                <w:sz w:val="18"/>
                <w:szCs w:val="18"/>
                <w:color w:val="0000FF"/>
                <w:w w:val="97"/>
              </w:rPr>
              <w:t>Unregistered Sales of Equity Securities and Use of Proceeds</w:t>
            </w:r>
          </w:p>
        </w:tc>
        <w:tc>
          <w:tcPr>
            <w:tcW w:w="4220" w:type="dxa"/>
            <w:vAlign w:val="bottom"/>
            <w:tcBorders>
              <w:bottom w:val="single" w:sz="8" w:color="CCEEFF"/>
            </w:tcBorders>
            <w:gridSpan w:val="6"/>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95"/>
        </w:trPr>
        <w:tc>
          <w:tcPr>
            <w:tcW w:w="1140" w:type="dxa"/>
            <w:vAlign w:val="bottom"/>
          </w:tcPr>
          <w:p>
            <w:pPr>
              <w:ind w:left="20"/>
              <w:spacing w:after="0" w:line="186" w:lineRule="exact"/>
              <w:rPr>
                <w:sz w:val="20"/>
                <w:szCs w:val="20"/>
                <w:color w:val="auto"/>
              </w:rPr>
            </w:pPr>
            <w:r>
              <w:rPr>
                <w:rFonts w:ascii="Arial" w:cs="Arial" w:eastAsia="Arial" w:hAnsi="Arial"/>
                <w:sz w:val="18"/>
                <w:szCs w:val="18"/>
                <w:b w:val="1"/>
                <w:bCs w:val="1"/>
                <w:color w:val="auto"/>
              </w:rPr>
              <w:t>Item 3.</w:t>
            </w:r>
          </w:p>
        </w:tc>
        <w:tc>
          <w:tcPr>
            <w:tcW w:w="2500" w:type="dxa"/>
            <w:vAlign w:val="bottom"/>
            <w:tcBorders>
              <w:bottom w:val="single" w:sz="8" w:color="0000FF"/>
            </w:tcBorders>
            <w:gridSpan w:val="10"/>
          </w:tcPr>
          <w:p>
            <w:pPr>
              <w:spacing w:after="0" w:line="186" w:lineRule="exact"/>
              <w:rPr>
                <w:sz w:val="20"/>
                <w:szCs w:val="20"/>
                <w:color w:val="auto"/>
              </w:rPr>
            </w:pPr>
            <w:r>
              <w:rPr>
                <w:rFonts w:ascii="Arial" w:cs="Arial" w:eastAsia="Arial" w:hAnsi="Arial"/>
                <w:sz w:val="18"/>
                <w:szCs w:val="18"/>
                <w:color w:val="0000FF"/>
                <w:w w:val="97"/>
              </w:rPr>
              <w:t>Defaults Upon Senior Securities</w:t>
            </w:r>
          </w:p>
        </w:tc>
        <w:tc>
          <w:tcPr>
            <w:tcW w:w="6480" w:type="dxa"/>
            <w:vAlign w:val="bottom"/>
            <w:gridSpan w:val="9"/>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5"/>
        </w:trPr>
        <w:tc>
          <w:tcPr>
            <w:tcW w:w="11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4.</w:t>
            </w:r>
          </w:p>
        </w:tc>
        <w:tc>
          <w:tcPr>
            <w:tcW w:w="1900" w:type="dxa"/>
            <w:vAlign w:val="bottom"/>
            <w:tcBorders>
              <w:bottom w:val="single" w:sz="8" w:color="0000FF"/>
            </w:tcBorders>
            <w:gridSpan w:val="8"/>
            <w:shd w:val="clear" w:color="auto" w:fill="CCEEFF"/>
          </w:tcPr>
          <w:p>
            <w:pPr>
              <w:spacing w:after="0" w:line="195" w:lineRule="exact"/>
              <w:rPr>
                <w:sz w:val="20"/>
                <w:szCs w:val="20"/>
                <w:color w:val="auto"/>
              </w:rPr>
            </w:pPr>
            <w:r>
              <w:rPr>
                <w:rFonts w:ascii="Arial" w:cs="Arial" w:eastAsia="Arial" w:hAnsi="Arial"/>
                <w:sz w:val="18"/>
                <w:szCs w:val="18"/>
                <w:color w:val="0000FF"/>
                <w:w w:val="97"/>
              </w:rPr>
              <w:t>Mine Safety Disclosures</w:t>
            </w:r>
          </w:p>
        </w:tc>
        <w:tc>
          <w:tcPr>
            <w:tcW w:w="7080" w:type="dxa"/>
            <w:vAlign w:val="bottom"/>
            <w:tcBorders>
              <w:bottom w:val="single" w:sz="8" w:color="CCEEFF"/>
            </w:tcBorders>
            <w:gridSpan w:val="11"/>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95"/>
        </w:trPr>
        <w:tc>
          <w:tcPr>
            <w:tcW w:w="1140" w:type="dxa"/>
            <w:vAlign w:val="bottom"/>
          </w:tcPr>
          <w:p>
            <w:pPr>
              <w:ind w:left="20"/>
              <w:spacing w:after="0" w:line="186" w:lineRule="exact"/>
              <w:rPr>
                <w:sz w:val="20"/>
                <w:szCs w:val="20"/>
                <w:color w:val="auto"/>
              </w:rPr>
            </w:pPr>
            <w:r>
              <w:rPr>
                <w:rFonts w:ascii="Arial" w:cs="Arial" w:eastAsia="Arial" w:hAnsi="Arial"/>
                <w:sz w:val="18"/>
                <w:szCs w:val="18"/>
                <w:b w:val="1"/>
                <w:bCs w:val="1"/>
                <w:color w:val="auto"/>
              </w:rPr>
              <w:t>Item 5.</w:t>
            </w:r>
          </w:p>
        </w:tc>
        <w:tc>
          <w:tcPr>
            <w:tcW w:w="1380" w:type="dxa"/>
            <w:vAlign w:val="bottom"/>
            <w:tcBorders>
              <w:bottom w:val="single" w:sz="8" w:color="0000FF"/>
            </w:tcBorders>
            <w:gridSpan w:val="5"/>
          </w:tcPr>
          <w:p>
            <w:pPr>
              <w:spacing w:after="0" w:line="186" w:lineRule="exact"/>
              <w:rPr>
                <w:sz w:val="20"/>
                <w:szCs w:val="20"/>
                <w:color w:val="auto"/>
              </w:rPr>
            </w:pPr>
            <w:r>
              <w:rPr>
                <w:rFonts w:ascii="Arial" w:cs="Arial" w:eastAsia="Arial" w:hAnsi="Arial"/>
                <w:sz w:val="18"/>
                <w:szCs w:val="18"/>
                <w:color w:val="0000FF"/>
                <w:w w:val="97"/>
              </w:rPr>
              <w:t>Other Information</w:t>
            </w:r>
          </w:p>
        </w:tc>
        <w:tc>
          <w:tcPr>
            <w:tcW w:w="7600" w:type="dxa"/>
            <w:vAlign w:val="bottom"/>
            <w:gridSpan w:val="14"/>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5"/>
        </w:trPr>
        <w:tc>
          <w:tcPr>
            <w:tcW w:w="11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bottom w:val="single" w:sz="8" w:color="0000FF"/>
            </w:tcBorders>
            <w:gridSpan w:val="2"/>
            <w:shd w:val="clear" w:color="auto" w:fill="CCEEFF"/>
          </w:tcPr>
          <w:p>
            <w:pPr>
              <w:spacing w:after="0" w:line="195" w:lineRule="exact"/>
              <w:rPr>
                <w:sz w:val="20"/>
                <w:szCs w:val="20"/>
                <w:color w:val="auto"/>
              </w:rPr>
            </w:pPr>
            <w:r>
              <w:rPr>
                <w:rFonts w:ascii="Arial" w:cs="Arial" w:eastAsia="Arial" w:hAnsi="Arial"/>
                <w:sz w:val="18"/>
                <w:szCs w:val="18"/>
                <w:color w:val="0000FF"/>
                <w:w w:val="95"/>
              </w:rPr>
              <w:t>Exhibits</w:t>
            </w:r>
          </w:p>
        </w:tc>
        <w:tc>
          <w:tcPr>
            <w:tcW w:w="8360" w:type="dxa"/>
            <w:vAlign w:val="bottom"/>
            <w:tcBorders>
              <w:bottom w:val="single" w:sz="8" w:color="CCEEFF"/>
            </w:tcBorders>
            <w:gridSpan w:val="17"/>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980" w:type="dxa"/>
            <w:vAlign w:val="bottom"/>
            <w:gridSpan w:val="19"/>
          </w:tcPr>
          <w:p>
            <w:pPr>
              <w:spacing w:after="0" w:line="186" w:lineRule="exact"/>
              <w:rPr>
                <w:sz w:val="20"/>
                <w:szCs w:val="20"/>
                <w:color w:val="auto"/>
              </w:rPr>
            </w:pPr>
            <w:r>
              <w:rPr>
                <w:rFonts w:ascii="Arial" w:cs="Arial" w:eastAsia="Arial" w:hAnsi="Arial"/>
                <w:sz w:val="18"/>
                <w:szCs w:val="18"/>
                <w:color w:val="0000FF"/>
              </w:rPr>
              <w:t>Signatures</w:t>
            </w:r>
          </w:p>
        </w:tc>
        <w:tc>
          <w:tcPr>
            <w:tcW w:w="1120" w:type="dxa"/>
            <w:vAlign w:val="bottom"/>
          </w:tcPr>
          <w:p>
            <w:pPr>
              <w:jc w:val="center"/>
              <w:spacing w:after="0" w:line="186"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752"/>
        </w:trPr>
        <w:tc>
          <w:tcPr>
            <w:tcW w:w="1140" w:type="dxa"/>
            <w:vAlign w:val="bottom"/>
          </w:tcPr>
          <w:p>
            <w:pPr>
              <w:spacing w:after="0"/>
              <w:rPr>
                <w:sz w:val="24"/>
                <w:szCs w:val="24"/>
                <w:color w:val="auto"/>
              </w:rPr>
            </w:pPr>
          </w:p>
        </w:tc>
        <w:tc>
          <w:tcPr>
            <w:tcW w:w="840" w:type="dxa"/>
            <w:vAlign w:val="bottom"/>
            <w:tcBorders>
              <w:top w:val="single" w:sz="8" w:color="0000FF"/>
            </w:tcBorders>
            <w:gridSpan w:val="3"/>
          </w:tcPr>
          <w:p>
            <w:pPr>
              <w:spacing w:after="0"/>
              <w:rPr>
                <w:sz w:val="24"/>
                <w:szCs w:val="24"/>
                <w:color w:val="auto"/>
              </w:rPr>
            </w:pPr>
          </w:p>
        </w:tc>
        <w:tc>
          <w:tcPr>
            <w:tcW w:w="3780" w:type="dxa"/>
            <w:vAlign w:val="bottom"/>
            <w:gridSpan w:val="9"/>
          </w:tcPr>
          <w:p>
            <w:pPr>
              <w:jc w:val="center"/>
              <w:ind w:left="3432"/>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“possible”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4" w:lineRule="exact"/>
        <w:rPr>
          <w:sz w:val="20"/>
          <w:szCs w:val="20"/>
          <w:color w:val="auto"/>
        </w:rPr>
      </w:pPr>
    </w:p>
    <w:p>
      <w:pPr>
        <w:ind w:left="640" w:hanging="316"/>
        <w:spacing w:after="0" w:line="274" w:lineRule="auto"/>
        <w:tabs>
          <w:tab w:leader="none" w:pos="609"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revenue, cost of revenue and operating expenses and our ability to achieve and maintain future profitability;</w:t>
      </w:r>
    </w:p>
    <w:p>
      <w:pPr>
        <w:spacing w:after="0" w:line="57" w:lineRule="exact"/>
        <w:rPr>
          <w:rFonts w:ascii="Arial" w:cs="Arial" w:eastAsia="Arial" w:hAnsi="Arial"/>
          <w:sz w:val="18"/>
          <w:szCs w:val="18"/>
          <w:i w:val="1"/>
          <w:iCs w:val="1"/>
          <w:color w:val="auto"/>
        </w:rPr>
      </w:pPr>
    </w:p>
    <w:p>
      <w:pPr>
        <w:ind w:left="620" w:hanging="296"/>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cash, cash equivalents and capital resources to meet our liquidity needs;</w:t>
      </w:r>
    </w:p>
    <w:p>
      <w:pPr>
        <w:spacing w:after="0" w:line="111" w:lineRule="exact"/>
        <w:rPr>
          <w:rFonts w:ascii="Arial" w:cs="Arial" w:eastAsia="Arial" w:hAnsi="Arial"/>
          <w:sz w:val="18"/>
          <w:szCs w:val="18"/>
          <w:i w:val="1"/>
          <w:iCs w:val="1"/>
          <w:color w:val="auto"/>
        </w:rPr>
      </w:pPr>
    </w:p>
    <w:p>
      <w:pPr>
        <w:ind w:left="620" w:hanging="296"/>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111" w:lineRule="exact"/>
        <w:rPr>
          <w:rFonts w:ascii="Arial" w:cs="Arial" w:eastAsia="Arial" w:hAnsi="Arial"/>
          <w:sz w:val="18"/>
          <w:szCs w:val="18"/>
          <w:i w:val="1"/>
          <w:iCs w:val="1"/>
          <w:color w:val="auto"/>
        </w:rPr>
      </w:pPr>
    </w:p>
    <w:p>
      <w:pPr>
        <w:ind w:left="640" w:hanging="316"/>
        <w:spacing w:after="0" w:line="274" w:lineRule="auto"/>
        <w:tabs>
          <w:tab w:leader="none" w:pos="609"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 including our expectations regarding future infrastructure investments as well as restructuring activities;</w:t>
      </w:r>
    </w:p>
    <w:p>
      <w:pPr>
        <w:spacing w:after="0" w:line="57" w:lineRule="exact"/>
        <w:rPr>
          <w:rFonts w:ascii="Arial" w:cs="Arial" w:eastAsia="Arial" w:hAnsi="Arial"/>
          <w:sz w:val="18"/>
          <w:szCs w:val="18"/>
          <w:i w:val="1"/>
          <w:iCs w:val="1"/>
          <w:color w:val="auto"/>
        </w:rPr>
      </w:pPr>
    </w:p>
    <w:p>
      <w:pPr>
        <w:ind w:left="640" w:hanging="316"/>
        <w:spacing w:after="0" w:line="274" w:lineRule="auto"/>
        <w:tabs>
          <w:tab w:leader="none" w:pos="609"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the continued impact of network effects as we scale our platform, and the capacity of our operations and processing infrastructure to support that growth;</w:t>
      </w:r>
    </w:p>
    <w:p>
      <w:pPr>
        <w:spacing w:after="0" w:line="57" w:lineRule="exact"/>
        <w:rPr>
          <w:rFonts w:ascii="Arial" w:cs="Arial" w:eastAsia="Arial" w:hAnsi="Arial"/>
          <w:sz w:val="18"/>
          <w:szCs w:val="18"/>
          <w:i w:val="1"/>
          <w:iCs w:val="1"/>
          <w:color w:val="auto"/>
        </w:rPr>
      </w:pPr>
    </w:p>
    <w:p>
      <w:pPr>
        <w:ind w:left="620" w:hanging="296"/>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our key financial and operating metrics;</w:t>
      </w:r>
    </w:p>
    <w:p>
      <w:pPr>
        <w:spacing w:after="0" w:line="111" w:lineRule="exact"/>
        <w:rPr>
          <w:rFonts w:ascii="Arial" w:cs="Arial" w:eastAsia="Arial" w:hAnsi="Arial"/>
          <w:sz w:val="18"/>
          <w:szCs w:val="18"/>
          <w:i w:val="1"/>
          <w:iCs w:val="1"/>
          <w:color w:val="auto"/>
        </w:rPr>
      </w:pPr>
    </w:p>
    <w:p>
      <w:pPr>
        <w:ind w:left="620" w:hanging="296"/>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111" w:lineRule="exact"/>
        <w:rPr>
          <w:rFonts w:ascii="Arial" w:cs="Arial" w:eastAsia="Arial" w:hAnsi="Arial"/>
          <w:sz w:val="18"/>
          <w:szCs w:val="18"/>
          <w:i w:val="1"/>
          <w:iCs w:val="1"/>
          <w:color w:val="auto"/>
        </w:rPr>
      </w:pPr>
    </w:p>
    <w:p>
      <w:pPr>
        <w:ind w:left="640" w:hanging="316"/>
        <w:spacing w:after="0" w:line="274" w:lineRule="auto"/>
        <w:tabs>
          <w:tab w:leader="none" w:pos="609"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 including inflationary pressures, interest rate volatility, cybersecurity risks, changing consumer habits, climate change and extreme weather events and general global political and economic uncertainty;</w:t>
      </w:r>
    </w:p>
    <w:p>
      <w:pPr>
        <w:spacing w:after="0" w:line="57" w:lineRule="exact"/>
        <w:rPr>
          <w:rFonts w:ascii="Arial" w:cs="Arial" w:eastAsia="Arial" w:hAnsi="Arial"/>
          <w:sz w:val="18"/>
          <w:szCs w:val="18"/>
          <w:i w:val="1"/>
          <w:iCs w:val="1"/>
          <w:color w:val="auto"/>
        </w:rPr>
      </w:pPr>
    </w:p>
    <w:p>
      <w:pPr>
        <w:ind w:left="620" w:hanging="296"/>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applicable laws and regulations; and</w:t>
      </w:r>
    </w:p>
    <w:p>
      <w:pPr>
        <w:spacing w:after="0" w:line="150" w:lineRule="exact"/>
        <w:rPr>
          <w:rFonts w:ascii="Arial" w:cs="Arial" w:eastAsia="Arial" w:hAnsi="Arial"/>
          <w:sz w:val="18"/>
          <w:szCs w:val="18"/>
          <w:i w:val="1"/>
          <w:iCs w:val="1"/>
          <w:color w:val="auto"/>
        </w:rPr>
      </w:pPr>
    </w:p>
    <w:p>
      <w:pPr>
        <w:ind w:left="640" w:hanging="316"/>
        <w:spacing w:after="0" w:line="237"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ability to incorporate artificial intelligence and machine learning and other emergent technologies into our business operations successfully.</w:t>
      </w:r>
    </w:p>
    <w:p>
      <w:pPr>
        <w:spacing w:after="0" w:line="299"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i w:val="1"/>
          <w:iCs w:val="1"/>
          <w:color w:val="auto"/>
        </w:rPr>
        <w:t>You should not rely upon forward-looking statements as predictions of future events. Forward-looking statements are neither historical facts nor assurances of future performance. Forward-looking statements involve substantial risks and uncertainties that may cause actual results to differ materially from those that we expect. These risks and uncertainties include, but are not limited to: our ability to attract new users and convert users into buyers and active buyers; the sufficiency of our cash, cash equivalents and capital resources to meet our liquidity needs; our ability to effectively manage or sustain our growth and to effectively expand our operations; risks from an intensely competitive market; our ability to effectively deploy new and evolving technologies, such as artificial intelligence and machine learning, in our offerings; risks arising from economic and industry trends, including the effects of inflationary pressures, interest rate volatility, changing consumer habits, climate change and general global political and economic uncertainty; our ability to comply with applicable laws and regulations; our ability to realize expected savings or benefits from reorganization activities; and our ability to successfully integrate and realize the benefits of our past or future strategic acquisitions or investments. More information on these risks and other potential factors that could affect the Company’s business, reputation, results of operations, financial condition, and stock price is included in the Company’s filings with the Securities and Exchange Commission (“SEC”), including in Part I, Item 1A, Risk Factors, of our Annual Report on Form 10-K for the year ended December 31, 2025, in Part II, Item 1A, Risk Factors and elsewhere in this Quarterly Report on Form 10-Q, as well as in our other filings with the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7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 and its consolidated subsidiaries.</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ThredUp is one of the world’s largest online resale platforms for apparel, shoes and accessories, based primarily on items processed, items sold and the capacity of our distribution centers.</w:t>
      </w:r>
    </w:p>
    <w:p>
      <w:pPr>
        <w:spacing w:after="0" w:line="16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4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ThredUp intends to announce material information to the public through the ThredUp Investor Relations website (ir.thredup.com), SEC filings, press releases, public conference calls, and public webcasts. ThredUp uses these channels, as well as social media, to communicate with its investors, customers, and the public about the company, its offerings, and other issues. It is possible that the information ThredUp posts on social media could be deemed to be material information. As such, ThredUp encourages investors, the media, and others to follow the channels listed above, including the social media channels listed on ThredUp’s investor relations website, and to review the information disclosed through such channels.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r>
      <w:tr>
        <w:trPr>
          <w:trHeight w:val="188"/>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4"/>
          </w:tcPr>
          <w:p>
            <w:pPr>
              <w:jc w:val="right"/>
              <w:ind w:right="353"/>
              <w:spacing w:after="0"/>
              <w:rPr>
                <w:sz w:val="20"/>
                <w:szCs w:val="20"/>
                <w:color w:val="auto"/>
              </w:rPr>
            </w:pPr>
            <w:r>
              <w:rPr>
                <w:rFonts w:ascii="Arial" w:cs="Arial" w:eastAsia="Arial" w:hAnsi="Arial"/>
                <w:sz w:val="14"/>
                <w:szCs w:val="14"/>
                <w:i w:val="1"/>
                <w:iCs w:val="1"/>
                <w:color w:val="auto"/>
              </w:rPr>
              <w:t>(in thousands, except par value amounts)</w:t>
            </w:r>
          </w:p>
        </w:tc>
      </w:tr>
      <w:tr>
        <w:trPr>
          <w:trHeight w:val="230"/>
        </w:trPr>
        <w:tc>
          <w:tcPr>
            <w:tcW w:w="778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38,629</w:t>
            </w:r>
          </w:p>
        </w:tc>
      </w:tr>
      <w:tr>
        <w:trPr>
          <w:trHeight w:val="225"/>
        </w:trPr>
        <w:tc>
          <w:tcPr>
            <w:tcW w:w="77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9,498</w:t>
            </w: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5"/>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56,676</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25,376</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67,243</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10,746</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r>
      <w:tr>
        <w:trPr>
          <w:trHeight w:val="218"/>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2"/>
        </w:trPr>
        <w:tc>
          <w:tcPr>
            <w:tcW w:w="7780" w:type="dxa"/>
            <w:vAlign w:val="bottom"/>
            <w:shd w:val="clear" w:color="auto" w:fill="CCEEFF"/>
          </w:tcPr>
          <w:p>
            <w:pPr>
              <w:ind w:left="3760"/>
              <w:spacing w:after="0" w:line="192"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r>
      <w:tr>
        <w:trPr>
          <w:trHeight w:val="225"/>
        </w:trPr>
        <w:tc>
          <w:tcPr>
            <w:tcW w:w="778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24,511</w:t>
            </w: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Seller payable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w:t>
            </w:r>
          </w:p>
        </w:tc>
      </w:tr>
      <w:tr>
        <w:trPr>
          <w:trHeight w:val="225"/>
        </w:trPr>
        <w:tc>
          <w:tcPr>
            <w:tcW w:w="77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5,401</w:t>
            </w: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r>
      <w:tr>
        <w:trPr>
          <w:trHeight w:val="219"/>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63,699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62,380</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28,580</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14,276</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r>
      <w:tr>
        <w:trPr>
          <w:trHeight w:val="218"/>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112,982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108,052</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2"/>
        </w:trPr>
        <w:tc>
          <w:tcPr>
            <w:tcW w:w="778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Class A and B common stock, $0.0001 par value; 1,120,000 shares authorized as of March 31,</w:t>
            </w: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2"/>
        </w:trPr>
        <w:tc>
          <w:tcPr>
            <w:tcW w:w="7780" w:type="dxa"/>
            <w:vAlign w:val="bottom"/>
            <w:shd w:val="clear" w:color="auto" w:fill="CCEEFF"/>
          </w:tcPr>
          <w:p>
            <w:pPr>
              <w:ind w:left="340"/>
              <w:spacing w:after="0" w:line="182" w:lineRule="exact"/>
              <w:rPr>
                <w:sz w:val="20"/>
                <w:szCs w:val="20"/>
                <w:color w:val="auto"/>
              </w:rPr>
            </w:pPr>
            <w:r>
              <w:rPr>
                <w:rFonts w:ascii="Arial" w:cs="Arial" w:eastAsia="Arial" w:hAnsi="Arial"/>
                <w:sz w:val="18"/>
                <w:szCs w:val="18"/>
                <w:color w:val="auto"/>
              </w:rPr>
              <w:t>2026 and December 31, 2025; 129,004 and 127,027 shares issued and outstanding as of</w:t>
            </w: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29"/>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2026 and December 31, 2025, respectively</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641,945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635,253</w:t>
            </w: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(576,075)</w:t>
            </w:r>
          </w:p>
        </w:tc>
      </w:tr>
      <w:tr>
        <w:trPr>
          <w:trHeight w:val="21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59,193</w:t>
            </w:r>
          </w:p>
        </w:tc>
      </w:tr>
      <w:tr>
        <w:trPr>
          <w:trHeight w:val="218"/>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167,245</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Three Months Ended</w:t>
            </w:r>
          </w:p>
        </w:tc>
      </w:tr>
      <w:tr>
        <w:trPr>
          <w:trHeight w:val="143"/>
        </w:trPr>
        <w:tc>
          <w:tcPr>
            <w:tcW w:w="7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ind w:left="240"/>
              <w:spacing w:after="0" w:line="143"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2"/>
                <w:szCs w:val="12"/>
                <w:color w:val="auto"/>
              </w:rPr>
            </w:pPr>
          </w:p>
        </w:tc>
        <w:tc>
          <w:tcPr>
            <w:tcW w:w="1360" w:type="dxa"/>
            <w:vAlign w:val="bottom"/>
          </w:tcPr>
          <w:p>
            <w:pPr>
              <w:jc w:val="right"/>
              <w:ind w:right="434"/>
              <w:spacing w:after="0" w:line="143" w:lineRule="exact"/>
              <w:rPr>
                <w:sz w:val="20"/>
                <w:szCs w:val="20"/>
                <w:color w:val="auto"/>
              </w:rPr>
            </w:pPr>
            <w:r>
              <w:rPr>
                <w:rFonts w:ascii="Arial" w:cs="Arial" w:eastAsia="Arial" w:hAnsi="Arial"/>
                <w:sz w:val="14"/>
                <w:szCs w:val="14"/>
                <w:b w:val="1"/>
                <w:bCs w:val="1"/>
                <w:color w:val="auto"/>
              </w:rPr>
              <w:t>March 31,</w:t>
            </w:r>
          </w:p>
        </w:tc>
      </w:tr>
      <w:tr>
        <w:trPr>
          <w:trHeight w:val="182"/>
        </w:trPr>
        <w:tc>
          <w:tcPr>
            <w:tcW w:w="7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2025</w:t>
            </w:r>
          </w:p>
        </w:tc>
      </w:tr>
      <w:tr>
        <w:trPr>
          <w:trHeight w:val="188"/>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4"/>
          </w:tcPr>
          <w:p>
            <w:pPr>
              <w:jc w:val="right"/>
              <w:ind w:right="334"/>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71,291</w:t>
            </w:r>
          </w:p>
        </w:tc>
      </w:tr>
      <w:tr>
        <w:trPr>
          <w:trHeight w:val="22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14,920</w:t>
            </w:r>
          </w:p>
        </w:tc>
      </w:tr>
      <w:tr>
        <w:trPr>
          <w:trHeight w:val="21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56,371</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35,126</w:t>
            </w:r>
          </w:p>
        </w:tc>
      </w:tr>
      <w:tr>
        <w:trPr>
          <w:trHeight w:val="225"/>
        </w:trPr>
        <w:tc>
          <w:tcPr>
            <w:tcW w:w="778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13,143</w:t>
            </w: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r>
      <w:tr>
        <w:trPr>
          <w:trHeight w:val="21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61,805</w:t>
            </w:r>
          </w:p>
        </w:tc>
      </w:tr>
      <w:tr>
        <w:trPr>
          <w:trHeight w:val="21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19"/>
        </w:trPr>
        <w:tc>
          <w:tcPr>
            <w:tcW w:w="77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(5,158)</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9"/>
        </w:trPr>
        <w:tc>
          <w:tcPr>
            <w:tcW w:w="7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 basic and diluted</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32"/>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shares used to compute loss per share, basic and diluted</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127,691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116,698</w:t>
            </w:r>
          </w:p>
        </w:tc>
      </w:tr>
    </w:tbl>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8"/>
              <w:spacing w:after="0"/>
              <w:rPr>
                <w:sz w:val="20"/>
                <w:szCs w:val="20"/>
                <w:color w:val="auto"/>
              </w:rPr>
            </w:pPr>
            <w:r>
              <w:rPr>
                <w:rFonts w:ascii="Arial" w:cs="Arial" w:eastAsia="Arial" w:hAnsi="Arial"/>
                <w:sz w:val="14"/>
                <w:szCs w:val="14"/>
                <w:b w:val="1"/>
                <w:bCs w:val="1"/>
                <w:color w:val="auto"/>
              </w:rPr>
              <w:t>Three Months Ended</w:t>
            </w:r>
          </w:p>
        </w:tc>
      </w:tr>
      <w:tr>
        <w:trPr>
          <w:trHeight w:val="143"/>
        </w:trPr>
        <w:tc>
          <w:tcPr>
            <w:tcW w:w="7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ind w:left="200"/>
              <w:spacing w:after="0" w:line="143"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220" w:type="dxa"/>
            <w:vAlign w:val="bottom"/>
          </w:tcPr>
          <w:p>
            <w:pPr>
              <w:jc w:val="right"/>
              <w:ind w:right="438"/>
              <w:spacing w:after="0" w:line="143" w:lineRule="exact"/>
              <w:rPr>
                <w:sz w:val="20"/>
                <w:szCs w:val="20"/>
                <w:color w:val="auto"/>
              </w:rPr>
            </w:pPr>
            <w:r>
              <w:rPr>
                <w:rFonts w:ascii="Arial" w:cs="Arial" w:eastAsia="Arial" w:hAnsi="Arial"/>
                <w:sz w:val="14"/>
                <w:szCs w:val="14"/>
                <w:b w:val="1"/>
                <w:bCs w:val="1"/>
                <w:color w:val="auto"/>
              </w:rPr>
              <w:t>March 31,</w:t>
            </w:r>
          </w:p>
        </w:tc>
      </w:tr>
      <w:tr>
        <w:trPr>
          <w:trHeight w:val="182"/>
        </w:trPr>
        <w:tc>
          <w:tcPr>
            <w:tcW w:w="7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r>
      <w:tr>
        <w:trPr>
          <w:trHeight w:val="188"/>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available-for-sale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Additional Paid-</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80"/>
              <w:spacing w:after="0" w:line="146"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9"/>
              <w:spacing w:after="0" w:line="146"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2025</w:t>
            </w: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127,027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635,253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(576,075)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59,193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20" w:type="dxa"/>
            <w:vAlign w:val="bottom"/>
          </w:tcPr>
          <w:p>
            <w:pPr>
              <w:spacing w:after="0" w:line="150" w:lineRule="exact"/>
              <w:rPr>
                <w:sz w:val="20"/>
                <w:szCs w:val="20"/>
                <w:color w:val="auto"/>
              </w:rPr>
            </w:pPr>
            <w:r>
              <w:rPr>
                <w:rFonts w:ascii="Arial" w:cs="Arial" w:eastAsia="Arial" w:hAnsi="Arial"/>
                <w:sz w:val="14"/>
                <w:szCs w:val="14"/>
                <w:color w:val="auto"/>
              </w:rPr>
              <w:t>Issuance of common stock from exercise of stock</w:t>
            </w:r>
          </w:p>
        </w:tc>
        <w:tc>
          <w:tcPr>
            <w:tcW w:w="1220" w:type="dxa"/>
            <w:vAlign w:val="bottom"/>
            <w:vMerge w:val="restart"/>
          </w:tcPr>
          <w:p>
            <w:pPr>
              <w:jc w:val="right"/>
              <w:ind w:right="9"/>
              <w:spacing w:after="0"/>
              <w:rPr>
                <w:sz w:val="20"/>
                <w:szCs w:val="20"/>
                <w:color w:val="auto"/>
              </w:rPr>
            </w:pPr>
            <w:r>
              <w:rPr>
                <w:rFonts w:ascii="Arial" w:cs="Arial" w:eastAsia="Arial" w:hAnsi="Arial"/>
                <w:sz w:val="14"/>
                <w:szCs w:val="14"/>
                <w:color w:val="auto"/>
              </w:rPr>
              <w:t>1,977</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options and restricted stock units</w:t>
            </w: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2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Balance as of March 31, 2026</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129,004</w:t>
            </w:r>
          </w:p>
        </w:tc>
        <w:tc>
          <w:tcPr>
            <w:tcW w:w="80" w:type="dxa"/>
            <w:vAlign w:val="bottom"/>
          </w:tcPr>
          <w:p>
            <w:pPr>
              <w:spacing w:after="0"/>
              <w:rPr>
                <w:sz w:val="15"/>
                <w:szCs w:val="15"/>
                <w:color w:val="auto"/>
              </w:rPr>
            </w:pPr>
          </w:p>
        </w:tc>
        <w:tc>
          <w:tcPr>
            <w:tcW w:w="940" w:type="dxa"/>
            <w:vAlign w:val="bottom"/>
          </w:tcPr>
          <w:p>
            <w:pPr>
              <w:jc w:val="right"/>
              <w:ind w:right="769"/>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641,945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(582,547)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59,391</w:t>
            </w: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4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2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80"/>
              <w:spacing w:after="0" w:line="146"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29"/>
              <w:spacing w:after="0" w:line="14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Income (Loss)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2024</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116,134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612,148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(555,861)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56,301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line="146" w:lineRule="exact"/>
              <w:rPr>
                <w:sz w:val="20"/>
                <w:szCs w:val="20"/>
                <w:color w:val="auto"/>
              </w:rPr>
            </w:pPr>
            <w:r>
              <w:rPr>
                <w:rFonts w:ascii="Arial" w:cs="Arial" w:eastAsia="Arial" w:hAnsi="Arial"/>
                <w:sz w:val="14"/>
                <w:szCs w:val="14"/>
                <w:color w:val="auto"/>
              </w:rPr>
              <w:t>Issuance of common stock from exercise of stock</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2,047</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options and restricted stock units</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20" w:type="dxa"/>
            <w:vAlign w:val="bottom"/>
          </w:tcPr>
          <w:p>
            <w:pPr>
              <w:jc w:val="right"/>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(5,215)</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loss</w:t>
            </w: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2025</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117,781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617,150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56,083</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r>
      <w:tr>
        <w:trPr>
          <w:trHeight w:val="143"/>
        </w:trPr>
        <w:tc>
          <w:tcPr>
            <w:tcW w:w="7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ind w:left="200"/>
              <w:spacing w:after="0" w:line="143"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220" w:type="dxa"/>
            <w:vAlign w:val="bottom"/>
          </w:tcPr>
          <w:p>
            <w:pPr>
              <w:jc w:val="right"/>
              <w:ind w:right="433"/>
              <w:spacing w:after="0" w:line="143" w:lineRule="exact"/>
              <w:rPr>
                <w:sz w:val="20"/>
                <w:szCs w:val="20"/>
                <w:color w:val="auto"/>
              </w:rPr>
            </w:pPr>
            <w:r>
              <w:rPr>
                <w:rFonts w:ascii="Arial" w:cs="Arial" w:eastAsia="Arial" w:hAnsi="Arial"/>
                <w:sz w:val="14"/>
                <w:szCs w:val="14"/>
                <w:b w:val="1"/>
                <w:bCs w:val="1"/>
                <w:color w:val="auto"/>
              </w:rPr>
              <w:t>March 31,</w:t>
            </w:r>
          </w:p>
        </w:tc>
      </w:tr>
      <w:tr>
        <w:trPr>
          <w:trHeight w:val="182"/>
        </w:trPr>
        <w:tc>
          <w:tcPr>
            <w:tcW w:w="7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r>
      <w:tr>
        <w:trPr>
          <w:trHeight w:val="188"/>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7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(5,215)</w:t>
            </w: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5,520</w:t>
            </w:r>
          </w:p>
        </w:tc>
      </w:tr>
      <w:tr>
        <w:trPr>
          <w:trHeight w:val="225"/>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r>
      <w:tr>
        <w:trPr>
          <w:trHeight w:val="225"/>
        </w:trPr>
        <w:tc>
          <w:tcPr>
            <w:tcW w:w="7780" w:type="dxa"/>
            <w:vAlign w:val="bottom"/>
          </w:tcPr>
          <w:p>
            <w:pPr>
              <w:ind w:left="340"/>
              <w:spacing w:after="0"/>
              <w:rPr>
                <w:sz w:val="20"/>
                <w:szCs w:val="20"/>
                <w:color w:val="auto"/>
              </w:rPr>
            </w:pPr>
            <w:r>
              <w:rPr>
                <w:rFonts w:ascii="Arial" w:cs="Arial" w:eastAsia="Arial" w:hAnsi="Arial"/>
                <w:sz w:val="18"/>
                <w:szCs w:val="18"/>
                <w:color w:val="auto"/>
              </w:rPr>
              <w:t>Reduction in carrying amount of right-of-use assets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25"/>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5"/>
        </w:trPr>
        <w:tc>
          <w:tcPr>
            <w:tcW w:w="77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5"/>
        </w:trPr>
        <w:tc>
          <w:tcPr>
            <w:tcW w:w="7780" w:type="dxa"/>
            <w:vAlign w:val="bottom"/>
          </w:tcPr>
          <w:p>
            <w:pPr>
              <w:ind w:left="500"/>
              <w:spacing w:after="0"/>
              <w:rPr>
                <w:sz w:val="20"/>
                <w:szCs w:val="20"/>
                <w:color w:val="auto"/>
              </w:rPr>
            </w:pPr>
            <w:r>
              <w:rPr>
                <w:rFonts w:ascii="Arial" w:cs="Arial" w:eastAsia="Arial" w:hAnsi="Arial"/>
                <w:sz w:val="18"/>
                <w:szCs w:val="18"/>
                <w:color w:val="auto"/>
              </w:rPr>
              <w:t>Other current and non-current assets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r>
      <w:tr>
        <w:trPr>
          <w:trHeight w:val="225"/>
        </w:trPr>
        <w:tc>
          <w:tcPr>
            <w:tcW w:w="7780" w:type="dxa"/>
            <w:vAlign w:val="bottom"/>
          </w:tcPr>
          <w:p>
            <w:pPr>
              <w:ind w:left="50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(1,863)</w:t>
            </w:r>
          </w:p>
        </w:tc>
      </w:tr>
      <w:tr>
        <w:trPr>
          <w:trHeight w:val="225"/>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Seller payable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5"/>
        </w:trPr>
        <w:tc>
          <w:tcPr>
            <w:tcW w:w="778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25"/>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1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5,743</w:t>
            </w:r>
          </w:p>
        </w:tc>
      </w:tr>
      <w:tr>
        <w:trPr>
          <w:trHeight w:val="205"/>
        </w:trPr>
        <w:tc>
          <w:tcPr>
            <w:tcW w:w="77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778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(3,214)</w:t>
            </w: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and maturities of marketable securities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r>
      <w:tr>
        <w:trPr>
          <w:trHeight w:val="225"/>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r>
      <w:tr>
        <w:trPr>
          <w:trHeight w:val="21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r>
      <w:tr>
        <w:trPr>
          <w:trHeight w:val="205"/>
        </w:trPr>
        <w:tc>
          <w:tcPr>
            <w:tcW w:w="7780" w:type="dxa"/>
            <w:vAlign w:val="bottom"/>
          </w:tcPr>
          <w:p>
            <w:pPr>
              <w:ind w:left="20"/>
              <w:spacing w:after="0" w:line="205" w:lineRule="exact"/>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debt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5"/>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issuance of stock-based awards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on stock-based awards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r>
      <w:tr>
        <w:trPr>
          <w:trHeight w:val="21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r>
      <w:tr>
        <w:trPr>
          <w:trHeight w:val="21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r>
      <w:tr>
        <w:trPr>
          <w:trHeight w:val="22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w:t>
            </w: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operates a large resale platform that enables consumers to buy and sell primarily secondhand apparel, shoes, and accessories.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Basis of Presentation and Use of Estimates</w:t>
      </w:r>
    </w:p>
    <w:p>
      <w:pPr>
        <w:spacing w:after="0" w:line="111" w:lineRule="exact"/>
        <w:rPr>
          <w:sz w:val="20"/>
          <w:szCs w:val="20"/>
          <w:color w:val="auto"/>
        </w:rPr>
      </w:pPr>
    </w:p>
    <w:p>
      <w:pPr>
        <w:jc w:val="both"/>
        <w:ind w:firstLine="318"/>
        <w:spacing w:after="0" w:line="216" w:lineRule="exact"/>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As permitted under those rules, certain footnotes or other financial information may be condensed or omitted.</w:t>
      </w:r>
    </w:p>
    <w:p>
      <w:pPr>
        <w:spacing w:after="0" w:line="19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breakage on gift cards, stock-based compensation, lease liabilities, and goodwill.</w:t>
      </w:r>
    </w:p>
    <w:p>
      <w:pPr>
        <w:spacing w:after="0" w:line="18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and recurring adjustments necessary to present fairly the financial position of the Company as of March 31, 2026 and 2025, and the results of operations and cash flows for the interim periods presented.</w:t>
      </w:r>
    </w:p>
    <w:p>
      <w:pPr>
        <w:spacing w:after="0" w:line="17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2025 (the “2025 10-K”).</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Accounts Receivable and Contract Assets. </w:t>
      </w:r>
      <w:r>
        <w:rPr>
          <w:rFonts w:ascii="Arial" w:cs="Arial" w:eastAsia="Arial" w:hAnsi="Arial"/>
          <w:sz w:val="18"/>
          <w:szCs w:val="18"/>
          <w:color w:val="auto"/>
        </w:rPr>
        <w:t>ASU 2025-05 provides a practical expedient that permits entities to assume that conditions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balance sheet date remain unchanged over the life of the asset when estimating expected credit losses for current accounts receivable and current contract assets. ASU 2025-05 is effective for annual periods beginning after December 15, 2025, including interim periods within those annual periods. The Company adopted ASU 2025-05 as of January 1, 2026, and the adoption did not have a material impact on its consolidated financial statements.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Accounting Pronouncements Not Yet Effective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In September 2025, the Financial Accounting Standards Board ("FASB") issued Accounting Standards Update ("ASU”) 2025-06, </w:t>
      </w:r>
      <w:r>
        <w:rPr>
          <w:rFonts w:ascii="Arial" w:cs="Arial" w:eastAsia="Arial" w:hAnsi="Arial"/>
          <w:sz w:val="17"/>
          <w:szCs w:val="17"/>
          <w:i w:val="1"/>
          <w:iCs w:val="1"/>
          <w:color w:val="auto"/>
        </w:rPr>
        <w:t>Intangibles</w:t>
      </w:r>
    </w:p>
    <w:p>
      <w:pPr>
        <w:spacing w:after="0" w:line="33" w:lineRule="exact"/>
        <w:rPr>
          <w:sz w:val="20"/>
          <w:szCs w:val="20"/>
          <w:color w:val="auto"/>
        </w:rPr>
      </w:pPr>
    </w:p>
    <w:p>
      <w:pPr>
        <w:jc w:val="both"/>
        <w:ind w:firstLine="6"/>
        <w:spacing w:after="0" w:line="248" w:lineRule="auto"/>
        <w:tabs>
          <w:tab w:leader="none" w:pos="12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Goodwill and Other - Internal-Use Software (Subtopic 350-40): Targeted Improvements to the Accounting for Internal-Use Software, </w:t>
      </w:r>
      <w:r>
        <w:rPr>
          <w:rFonts w:ascii="Arial" w:cs="Arial" w:eastAsia="Arial" w:hAnsi="Arial"/>
          <w:sz w:val="18"/>
          <w:szCs w:val="18"/>
          <w:color w:val="auto"/>
        </w:rPr>
        <w:t>which</w:t>
      </w:r>
      <w:r>
        <w:rPr>
          <w:rFonts w:ascii="Arial" w:cs="Arial" w:eastAsia="Arial" w:hAnsi="Arial"/>
          <w:sz w:val="18"/>
          <w:szCs w:val="18"/>
          <w:i w:val="1"/>
          <w:iCs w:val="1"/>
          <w:color w:val="auto"/>
        </w:rPr>
        <w:t xml:space="preserve"> </w:t>
      </w:r>
      <w:r>
        <w:rPr>
          <w:rFonts w:ascii="Arial" w:cs="Arial" w:eastAsia="Arial" w:hAnsi="Arial"/>
          <w:sz w:val="18"/>
          <w:szCs w:val="18"/>
          <w:color w:val="auto"/>
        </w:rPr>
        <w:t>removes stage-based criteria and instead requires capitalization once a project is approved and it is probable that the project will be completed, unless significant development uncertainty exists. ASU 2025-06 is effective for annual periods beginning after December 15, 2027, and interim periods within those annual periods. For the Company, the ASU will be effective for the annual period ending December 31, 2028. Early adoption is permitted. The Company is currently evaluating the potential impact on its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which expands disclosures about a public entity’s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inventory, employee compensation, depreciation, intangible asset amortization, selling expenses and other expense categories. ASU 2024-03 is effective for annual period beginning after December 15, 2026, and interim periods within annual periods beginning after December 15, 2027. For the Company, the ASU will be effective for the annual period ending December 31, 2027. The Company is currently evaluating the potential impact on its consolidated financial statement disclosures.</w:t>
      </w:r>
    </w:p>
    <w:p>
      <w:pPr>
        <w:spacing w:after="0" w:line="1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In October 2023, the FASB issued ASU 2023-06, </w:t>
      </w:r>
      <w:r>
        <w:rPr>
          <w:rFonts w:ascii="Arial" w:cs="Arial" w:eastAsia="Arial" w:hAnsi="Arial"/>
          <w:sz w:val="18"/>
          <w:szCs w:val="18"/>
          <w:i w:val="1"/>
          <w:iCs w:val="1"/>
          <w:color w:val="auto"/>
        </w:rPr>
        <w:t>Disclosure Improvements: Codification Amendments in Response to the SEC’s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Update and Simplification Initiative</w:t>
      </w:r>
      <w:r>
        <w:rPr>
          <w:rFonts w:ascii="Arial" w:cs="Arial" w:eastAsia="Arial" w:hAnsi="Arial"/>
          <w:sz w:val="18"/>
          <w:szCs w:val="18"/>
          <w:color w:val="auto"/>
        </w:rPr>
        <w:t>, to amend certain disclosure and presentation requirements for a variety of topics within the ASC. These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its consolidated financial statements and disclosures.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Segment Reporting</w:t>
      </w:r>
    </w:p>
    <w:p>
      <w:pPr>
        <w:spacing w:after="0" w:line="11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operates under one operating segment and one reportable segment as its chief operating decision maker (“CODM”), who is its Chief Executive Officer, reviews financial information presented on a consolidated basis for purposes of making operating decisions, allocating resources and evaluating financial performance. The Company does not have material intra-entity sales or transfers.</w:t>
      </w:r>
    </w:p>
    <w:p>
      <w:pPr>
        <w:spacing w:after="0" w:line="17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key measure of segment profit or loss that the CODM uses to allocate resources and assess performance is the Company’s net loss, as reported in the condensed consolidated statements of operations.</w:t>
      </w:r>
    </w:p>
    <w:p>
      <w:pPr>
        <w:spacing w:after="0" w:line="163"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Significant expenses within operating loss, as well as within net loss, include cost of revenue, operations, product and technology, marketing, and sales, general and administrative expenses, which are each separately presented in the condensed consolidated statements of operations. Other segment items within net loss include interest expense, other income, net, and provision for income taxes. The CODM manages the business using consolidated expense information, as well as regularly provided budgeted or forecasted expense information. Assets provided to the CODM are consistent with those reported on the condensed consolidated balance sheets.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 from Loyalty Reward Redemption and Expiration</w:t>
      </w:r>
    </w:p>
    <w:p>
      <w:pPr>
        <w:spacing w:after="0" w:line="111"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Company previously had a customer loyalty program that has since been discontinued. Effective October 1, 2024, customers were no longer able to earn loyalty points and after March 31, 2025, they could no longer redeem any previously accumulated points. As a result, as of March 31, 2026 and December 31, 2025, the Company did not have a deferred revenue liability related to its customer loyalty program. The Company recognized $0 and $1.5 million of revenue from loyalty reward redemptions and expirations for the three months ended March 31, 2026 and 2025, respectively.</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Gift Cards, Site Credits and Seller Payable</w:t>
      </w:r>
    </w:p>
    <w:p>
      <w:pPr>
        <w:spacing w:after="0" w:line="1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sells ThredUp gift cards on its e-commerce website and may also convert seller payables and site credits to ThredUp gift cards one year after issuance at the discretion of the Company. ThredUp gift cards do not expire or lose value over periods of inactivity. The Company accounts for gift cards by recognizing a gift card liability at the time a gift card is delivered to the customer. As of March 31, 2026 and December 31, 2025, gift card liabilities of $3.5 million and $3.9 million, respectively, were included in accrued and other current liabilities within the Company’s condensed consolidated balance sheets. Revenue from redemption of gift cards was not material for the three months ended March 31, 2026 and 2025.</w:t>
      </w:r>
    </w:p>
    <w:p>
      <w:pPr>
        <w:spacing w:after="0" w:line="18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Company recognizes breakage revenue for the portion of gift card values that are not expected to be redeemed. Breakage revenue is estimated based upon historical customer redemption patterns. Breakage revenue primarily relates to gift cards converted from seller payables and site credits. Judgment is required in determining the appropriate grouping of gift cards for analyzing breakage rates, redemption patterns, and estimating the ultimate value of gift cards not expected to be redeemed. Breakage revenue was $1.3 million and $2.3 million for the three months ended March 31, 2026 and 2025,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7"/>
          <w:szCs w:val="17"/>
          <w:color w:val="auto"/>
        </w:rPr>
        <w:t>The Company issues site credits for returns, which can be applied toward future charges but may not be converted into cash. Site credits may also be converted to ThredUp gift cards beginning after one year at the discretion of the Company. These credits are recognized as revenue when used. As of March 31, 2026 and December 31, 2025, $4.3 million and $4.1 million, respectively, of such customer site credits were included in accrued and other current liabilities within the Company’s condensed consolidated balance sheets. Revenue recognized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of site credits was $11.4 million and $11.0 million for the three months ended March 31, 2026 and 2025, respectively.</w:t>
      </w:r>
    </w:p>
    <w:p>
      <w:pPr>
        <w:spacing w:after="0" w:line="111"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Seller payable includes amounts owed to sellers upon the purchase of sellers’ goods by the Company or by buyers. Amounts are initially provided as a credit to sellers (“seller credits”). These credits may be applied towards purchases from the Company, converted to third-party retailer or ThredUp gift cards or redeemed for cash. As of March 31, 2026 and December 31, 2025, there was $18.9 million and $18.3 million, respectively, of seller payable within the Company’s condensed consolidated balance sheets. Revenue recognized from the redemption of seller credits was $8.1 million and $6.1 million for the three months ended March 31, 2026 and 2025, respectively.</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condensed consolidated balance sheets, which sum to the total of the same such amounts shown in the Company’s condensed consolidated statements of cash flows: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20" w:type="dxa"/>
            <w:vAlign w:val="bottom"/>
          </w:tcPr>
          <w:p>
            <w:pPr>
              <w:jc w:val="right"/>
              <w:ind w:right="298"/>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r>
      <w:tr>
        <w:trPr>
          <w:trHeight w:val="188"/>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4"/>
          </w:tcPr>
          <w:p>
            <w:pPr>
              <w:jc w:val="right"/>
              <w:ind w:right="1178"/>
              <w:spacing w:after="0"/>
              <w:rPr>
                <w:sz w:val="20"/>
                <w:szCs w:val="20"/>
                <w:color w:val="auto"/>
              </w:rPr>
            </w:pPr>
            <w:r>
              <w:rPr>
                <w:rFonts w:ascii="Arial" w:cs="Arial" w:eastAsia="Arial" w:hAnsi="Arial"/>
                <w:sz w:val="14"/>
                <w:szCs w:val="14"/>
                <w:i w:val="1"/>
                <w:iCs w:val="1"/>
                <w:color w:val="auto"/>
              </w:rPr>
              <w:t>(in thousands)</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38,629</w:t>
            </w:r>
          </w:p>
        </w:tc>
      </w:tr>
      <w:tr>
        <w:trPr>
          <w:trHeight w:val="225"/>
        </w:trPr>
        <w:tc>
          <w:tcPr>
            <w:tcW w:w="766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5"/>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r>
      <w:tr>
        <w:trPr>
          <w:trHeight w:val="218"/>
        </w:trPr>
        <w:tc>
          <w:tcPr>
            <w:tcW w:w="76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43,577</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Measurements</w:t>
      </w:r>
    </w:p>
    <w:p>
      <w:pPr>
        <w:spacing w:after="0" w:line="11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The Company applies the provisions of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spacing w:after="0" w:line="74" w:lineRule="exact"/>
        <w:rPr>
          <w:sz w:val="20"/>
          <w:szCs w:val="20"/>
          <w:color w:val="auto"/>
        </w:rPr>
      </w:pPr>
    </w:p>
    <w:p>
      <w:pPr>
        <w:ind w:left="64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57"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69"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 - Recurring Basis</w:t>
      </w:r>
    </w:p>
    <w:p>
      <w:pPr>
        <w:spacing w:after="0" w:line="11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The following tables provide information about the Company’s financial instruments that are measured at fair value on a recurring basis and indicate the fair value hierarchy of the valuation techniques utilized to determine such values as of March 31, 2026 and December 31, 2025:</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2026</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2"/>
        </w:trPr>
        <w:tc>
          <w:tcPr>
            <w:tcW w:w="60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Total</w:t>
            </w:r>
          </w:p>
        </w:tc>
      </w:tr>
      <w:tr>
        <w:trPr>
          <w:trHeight w:val="188"/>
        </w:trPr>
        <w:tc>
          <w:tcPr>
            <w:tcW w:w="6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60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10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25"/>
        </w:trPr>
        <w:tc>
          <w:tcPr>
            <w:tcW w:w="602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8,135</w:t>
            </w:r>
          </w:p>
        </w:tc>
      </w:tr>
      <w:tr>
        <w:trPr>
          <w:trHeight w:val="225"/>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5"/>
        </w:trPr>
        <w:tc>
          <w:tcPr>
            <w:tcW w:w="6020" w:type="dxa"/>
            <w:vAlign w:val="bottom"/>
          </w:tcPr>
          <w:p>
            <w:pPr>
              <w:ind w:left="340"/>
              <w:spacing w:after="0"/>
              <w:rPr>
                <w:sz w:val="20"/>
                <w:szCs w:val="20"/>
                <w:color w:val="auto"/>
              </w:rPr>
            </w:pPr>
            <w:r>
              <w:rPr>
                <w:rFonts w:ascii="Arial" w:cs="Arial" w:eastAsia="Arial" w:hAnsi="Arial"/>
                <w:sz w:val="18"/>
                <w:szCs w:val="18"/>
                <w:color w:val="auto"/>
              </w:rPr>
              <w:t>U.S. government agency bonds</w:t>
            </w:r>
          </w:p>
        </w:tc>
        <w:tc>
          <w:tcPr>
            <w:tcW w:w="1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5"/>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8"/>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cash equivalents</w:t>
            </w:r>
          </w:p>
        </w:tc>
        <w:tc>
          <w:tcPr>
            <w:tcW w:w="1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12,480</w:t>
            </w:r>
          </w:p>
        </w:tc>
      </w:tr>
      <w:tr>
        <w:trPr>
          <w:trHeight w:val="205"/>
        </w:trPr>
        <w:tc>
          <w:tcPr>
            <w:tcW w:w="602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Marketable securities: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5"/>
        </w:trPr>
        <w:tc>
          <w:tcPr>
            <w:tcW w:w="60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1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5,924</w:t>
            </w:r>
          </w:p>
        </w:tc>
      </w:tr>
      <w:tr>
        <w:trPr>
          <w:trHeight w:val="225"/>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25"/>
        </w:trPr>
        <w:tc>
          <w:tcPr>
            <w:tcW w:w="6020" w:type="dxa"/>
            <w:vAlign w:val="bottom"/>
          </w:tcPr>
          <w:p>
            <w:pPr>
              <w:ind w:left="340"/>
              <w:spacing w:after="0"/>
              <w:rPr>
                <w:sz w:val="20"/>
                <w:szCs w:val="20"/>
                <w:color w:val="auto"/>
              </w:rPr>
            </w:pPr>
            <w:r>
              <w:rPr>
                <w:rFonts w:ascii="Arial" w:cs="Arial" w:eastAsia="Arial" w:hAnsi="Arial"/>
                <w:sz w:val="18"/>
                <w:szCs w:val="18"/>
                <w:color w:val="auto"/>
              </w:rPr>
              <w:t>U.S. government agency bonds</w:t>
            </w:r>
          </w:p>
        </w:tc>
        <w:tc>
          <w:tcPr>
            <w:tcW w:w="1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2,144</w:t>
            </w:r>
          </w:p>
        </w:tc>
      </w:tr>
      <w:tr>
        <w:trPr>
          <w:trHeight w:val="218"/>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10,457</w:t>
            </w:r>
          </w:p>
        </w:tc>
      </w:tr>
      <w:tr>
        <w:trPr>
          <w:trHeight w:val="218"/>
        </w:trPr>
        <w:tc>
          <w:tcPr>
            <w:tcW w:w="60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100" w:type="dxa"/>
            <w:vAlign w:val="bottom"/>
            <w:tcBorders>
              <w:bottom w:val="single" w:sz="8" w:color="auto"/>
            </w:tcBorders>
          </w:tcPr>
          <w:p>
            <w:pPr>
              <w:jc w:val="right"/>
              <w:ind w:right="89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22,937</w:t>
            </w: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23"/>
        </w:trPr>
        <w:tc>
          <w:tcPr>
            <w:tcW w:w="60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December 31, 2025</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2"/>
        </w:trPr>
        <w:tc>
          <w:tcPr>
            <w:tcW w:w="60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Total</w:t>
            </w:r>
          </w:p>
        </w:tc>
      </w:tr>
      <w:tr>
        <w:trPr>
          <w:trHeight w:val="188"/>
        </w:trPr>
        <w:tc>
          <w:tcPr>
            <w:tcW w:w="6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60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10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r>
      <w:tr>
        <w:trPr>
          <w:trHeight w:val="225"/>
        </w:trPr>
        <w:tc>
          <w:tcPr>
            <w:tcW w:w="602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6,681</w:t>
            </w:r>
          </w:p>
        </w:tc>
      </w:tr>
      <w:tr>
        <w:trPr>
          <w:trHeight w:val="225"/>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25"/>
        </w:trPr>
        <w:tc>
          <w:tcPr>
            <w:tcW w:w="6020" w:type="dxa"/>
            <w:vAlign w:val="bottom"/>
          </w:tcPr>
          <w:p>
            <w:pPr>
              <w:ind w:left="340"/>
              <w:spacing w:after="0"/>
              <w:rPr>
                <w:sz w:val="20"/>
                <w:szCs w:val="20"/>
                <w:color w:val="auto"/>
              </w:rPr>
            </w:pPr>
            <w:r>
              <w:rPr>
                <w:rFonts w:ascii="Arial" w:cs="Arial" w:eastAsia="Arial" w:hAnsi="Arial"/>
                <w:sz w:val="18"/>
                <w:szCs w:val="18"/>
                <w:color w:val="auto"/>
              </w:rPr>
              <w:t>U.S. government agency bonds</w:t>
            </w:r>
          </w:p>
        </w:tc>
        <w:tc>
          <w:tcPr>
            <w:tcW w:w="1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18"/>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13,257</w:t>
            </w:r>
          </w:p>
        </w:tc>
      </w:tr>
      <w:tr>
        <w:trPr>
          <w:trHeight w:val="205"/>
        </w:trPr>
        <w:tc>
          <w:tcPr>
            <w:tcW w:w="6020" w:type="dxa"/>
            <w:vAlign w:val="bottom"/>
          </w:tcPr>
          <w:p>
            <w:pPr>
              <w:ind w:left="180"/>
              <w:spacing w:after="0" w:line="205" w:lineRule="exact"/>
              <w:rPr>
                <w:sz w:val="20"/>
                <w:szCs w:val="20"/>
                <w:color w:val="auto"/>
              </w:rPr>
            </w:pPr>
            <w:r>
              <w:rPr>
                <w:rFonts w:ascii="Arial" w:cs="Arial" w:eastAsia="Arial" w:hAnsi="Arial"/>
                <w:sz w:val="18"/>
                <w:szCs w:val="18"/>
                <w:color w:val="auto"/>
              </w:rPr>
              <w:t>Marketable securities, current:</w:t>
            </w: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5"/>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r>
      <w:tr>
        <w:trPr>
          <w:trHeight w:val="225"/>
        </w:trPr>
        <w:tc>
          <w:tcPr>
            <w:tcW w:w="60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1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6,126</w:t>
            </w:r>
          </w:p>
        </w:tc>
      </w:tr>
      <w:tr>
        <w:trPr>
          <w:trHeight w:val="225"/>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19"/>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 current</w:t>
            </w:r>
          </w:p>
        </w:tc>
        <w:tc>
          <w:tcPr>
            <w:tcW w:w="1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9,498</w:t>
            </w: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10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March 31, 2026 and December 31, 2025, the Company’s cash equivalents and marketable securities approximated their estimated fair value. As such, the unrealized gains or losses related to the Company’s cash equivalents and marketable securities were not material.</w:t>
      </w:r>
    </w:p>
    <w:p>
      <w:pPr>
        <w:spacing w:after="0" w:line="163"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months ended March 31, 2026 and 2025, the Company did not recognize any losses on its marketable securities due to credit-related factors.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20" w:firstLine="318"/>
        <w:spacing w:after="0" w:line="255" w:lineRule="auto"/>
        <w:rPr>
          <w:sz w:val="20"/>
          <w:szCs w:val="20"/>
          <w:color w:val="auto"/>
        </w:rPr>
      </w:pPr>
      <w:r>
        <w:rPr>
          <w:rFonts w:ascii="Arial" w:cs="Arial" w:eastAsia="Arial" w:hAnsi="Arial"/>
          <w:sz w:val="18"/>
          <w:szCs w:val="18"/>
          <w:color w:val="auto"/>
        </w:rPr>
        <w:t>As of March 31, 2026, the Company’s money market funds were valued using Level 1 inputs because they were valued using quoted prices in active markets. The Company’s commercial paper, corporate debt securities, U.S. government agency bonds and U.S. treasury securities were valued using Level 2 inputs because they were valued using quoted prices for similar assets or liabilities in active markets and quoted prices for identical or similar assets or liabilities in markets that are not active.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2026 and December 31, 2025, the Company had no assets or liabilities classified within Level 3 of the fair value hierarchy.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were no transfers into or out of Level 3 during the three months ended March 31, 2026.</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 of the Company’s marketable securities by contractual maturities as of March 31, 2026:</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March 31, 2026</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Less than 1 year</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1 to 2 years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Total</w:t>
            </w:r>
          </w:p>
        </w:tc>
      </w:tr>
      <w:tr>
        <w:trPr>
          <w:trHeight w:val="188"/>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9"/>
              </w:rPr>
              <w:t>(in thousands)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r>
      <w:tr>
        <w:trPr>
          <w:trHeight w:val="225"/>
        </w:trPr>
        <w:tc>
          <w:tcPr>
            <w:tcW w:w="2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2,389</w:t>
            </w:r>
          </w:p>
        </w:tc>
      </w:tr>
      <w:tr>
        <w:trPr>
          <w:trHeight w:val="225"/>
        </w:trPr>
        <w:tc>
          <w:tcPr>
            <w:tcW w:w="20" w:type="dxa"/>
            <w:vAlign w:val="bottom"/>
          </w:tcPr>
          <w:p>
            <w:pPr>
              <w:spacing w:after="0"/>
              <w:rPr>
                <w:sz w:val="19"/>
                <w:szCs w:val="19"/>
                <w:color w:val="auto"/>
              </w:rPr>
            </w:pPr>
          </w:p>
        </w:tc>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r>
      <w:tr>
        <w:trPr>
          <w:trHeight w:val="218"/>
        </w:trPr>
        <w:tc>
          <w:tcPr>
            <w:tcW w:w="604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10,457</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20" w:firstLine="318"/>
        <w:spacing w:after="0" w:line="274" w:lineRule="auto"/>
        <w:rPr>
          <w:sz w:val="20"/>
          <w:szCs w:val="20"/>
          <w:color w:val="auto"/>
        </w:rPr>
      </w:pPr>
      <w:r>
        <w:rPr>
          <w:rFonts w:ascii="Arial" w:cs="Arial" w:eastAsia="Arial" w:hAnsi="Arial"/>
          <w:sz w:val="18"/>
          <w:szCs w:val="18"/>
          <w:color w:val="auto"/>
        </w:rPr>
        <w:t>The Company classifies marketable securities as current assets as they are available to support current operations, including highly liquid securities with maturities beyond 12 months.</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 - Nonrecurring Basis</w:t>
      </w:r>
    </w:p>
    <w:p>
      <w:pPr>
        <w:spacing w:after="0" w:line="111" w:lineRule="exact"/>
        <w:rPr>
          <w:sz w:val="20"/>
          <w:szCs w:val="20"/>
          <w:color w:val="auto"/>
        </w:rPr>
      </w:pPr>
    </w:p>
    <w:p>
      <w:pPr>
        <w:jc w:val="both"/>
        <w:ind w:left="20" w:firstLine="318"/>
        <w:spacing w:after="0" w:line="260" w:lineRule="auto"/>
        <w:rPr>
          <w:sz w:val="20"/>
          <w:szCs w:val="20"/>
          <w:color w:val="auto"/>
        </w:rPr>
      </w:pPr>
      <w:r>
        <w:rPr>
          <w:rFonts w:ascii="Arial" w:cs="Arial" w:eastAsia="Arial" w:hAnsi="Arial"/>
          <w:sz w:val="18"/>
          <w:szCs w:val="18"/>
          <w:color w:val="auto"/>
        </w:rPr>
        <w:t>The Company holds a minority equity interest in a privately held company of which 91% was divested in 2024. The investment does not have a readily determinable fair value and is accounted for under the measurement alternative. Under this approach, the investment is carried at cost, adjusted for observable transactions or impairment.</w:t>
      </w:r>
    </w:p>
    <w:p>
      <w:pPr>
        <w:spacing w:after="0" w:line="175" w:lineRule="exact"/>
        <w:rPr>
          <w:sz w:val="20"/>
          <w:szCs w:val="20"/>
          <w:color w:val="auto"/>
        </w:rPr>
      </w:pPr>
    </w:p>
    <w:p>
      <w:pPr>
        <w:jc w:val="both"/>
        <w:ind w:left="20" w:firstLine="318"/>
        <w:spacing w:after="0" w:line="253" w:lineRule="auto"/>
        <w:rPr>
          <w:sz w:val="20"/>
          <w:szCs w:val="20"/>
          <w:color w:val="auto"/>
        </w:rPr>
      </w:pPr>
      <w:r>
        <w:rPr>
          <w:rFonts w:ascii="Arial" w:cs="Arial" w:eastAsia="Arial" w:hAnsi="Arial"/>
          <w:sz w:val="18"/>
          <w:szCs w:val="18"/>
          <w:color w:val="auto"/>
        </w:rPr>
        <w:t>No remeasurements or impairments were recognized during the three months ended March 31, 2026 and 2025. As of March 31, 2026 and December 31, 2025, the carrying amount of the investment was $1.8 million, included in other assets on the Company’s condensed consolidated balance sheets, and is classified as a Level 3 asset within the fair value hierarchy. Cumulatively, the Company has recorded $0.8 million of upward adjustments from observable transactions and no impairments or downward adjustments to the carrying value of the investment.</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Fair Value Disclosures</w:t>
      </w:r>
    </w:p>
    <w:p>
      <w:pPr>
        <w:spacing w:after="0" w:line="111" w:lineRule="exact"/>
        <w:rPr>
          <w:sz w:val="20"/>
          <w:szCs w:val="20"/>
          <w:color w:val="auto"/>
        </w:rPr>
      </w:pPr>
    </w:p>
    <w:p>
      <w:pPr>
        <w:jc w:val="both"/>
        <w:ind w:left="20" w:firstLine="318"/>
        <w:spacing w:after="0" w:line="253" w:lineRule="auto"/>
        <w:rPr>
          <w:sz w:val="20"/>
          <w:szCs w:val="20"/>
          <w:color w:val="auto"/>
        </w:rPr>
      </w:pPr>
      <w:r>
        <w:rPr>
          <w:rFonts w:ascii="Arial" w:cs="Arial" w:eastAsia="Arial" w:hAnsi="Arial"/>
          <w:sz w:val="18"/>
          <w:szCs w:val="18"/>
          <w:color w:val="auto"/>
        </w:rPr>
        <w:t>As of March 31, 2026 and December 31, 2025,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March 31, 2026 and December 31, 2025.</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2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r>
      <w:tr>
        <w:trPr>
          <w:trHeight w:val="188"/>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4"/>
          </w:tcPr>
          <w:p>
            <w:pPr>
              <w:jc w:val="right"/>
              <w:ind w:right="1195"/>
              <w:spacing w:after="0"/>
              <w:rPr>
                <w:sz w:val="20"/>
                <w:szCs w:val="20"/>
                <w:color w:val="auto"/>
              </w:rPr>
            </w:pPr>
            <w:r>
              <w:rPr>
                <w:rFonts w:ascii="Arial" w:cs="Arial" w:eastAsia="Arial" w:hAnsi="Arial"/>
                <w:sz w:val="14"/>
                <w:szCs w:val="14"/>
                <w:i w:val="1"/>
                <w:iCs w:val="1"/>
                <w:color w:val="auto"/>
              </w:rPr>
              <w:t>(in thousands)</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5"/>
        </w:trPr>
        <w:tc>
          <w:tcPr>
            <w:tcW w:w="776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88,207</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84,745</w:t>
            </w:r>
          </w:p>
        </w:tc>
      </w:tr>
      <w:tr>
        <w:trPr>
          <w:trHeight w:val="225"/>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23,457</w:t>
            </w:r>
          </w:p>
        </w:tc>
      </w:tr>
      <w:tr>
        <w:trPr>
          <w:trHeight w:val="225"/>
        </w:trPr>
        <w:tc>
          <w:tcPr>
            <w:tcW w:w="7760" w:type="dxa"/>
            <w:vAlign w:val="bottom"/>
          </w:tcPr>
          <w:p>
            <w:pPr>
              <w:ind w:left="220"/>
              <w:spacing w:after="0"/>
              <w:rPr>
                <w:sz w:val="20"/>
                <w:szCs w:val="20"/>
                <w:color w:val="auto"/>
              </w:rPr>
            </w:pPr>
            <w:r>
              <w:rPr>
                <w:rFonts w:ascii="Arial" w:cs="Arial" w:eastAsia="Arial" w:hAnsi="Arial"/>
                <w:sz w:val="18"/>
                <w:szCs w:val="18"/>
                <w:color w:val="auto"/>
              </w:rPr>
              <w:t>Internal-use software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13,444</w:t>
            </w:r>
          </w:p>
        </w:tc>
      </w:tr>
      <w:tr>
        <w:trPr>
          <w:trHeight w:val="225"/>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Computers and software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r>
      <w:tr>
        <w:trPr>
          <w:trHeight w:val="225"/>
        </w:trPr>
        <w:tc>
          <w:tcPr>
            <w:tcW w:w="7760" w:type="dxa"/>
            <w:vAlign w:val="bottom"/>
          </w:tcPr>
          <w:p>
            <w:pPr>
              <w:ind w:left="22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6,858</w:t>
            </w:r>
          </w:p>
        </w:tc>
      </w:tr>
      <w:tr>
        <w:trPr>
          <w:trHeight w:val="225"/>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18"/>
        </w:trPr>
        <w:tc>
          <w:tcPr>
            <w:tcW w:w="7760" w:type="dxa"/>
            <w:vAlign w:val="bottom"/>
          </w:tcPr>
          <w:p>
            <w:pPr>
              <w:ind w:left="20"/>
              <w:spacing w:after="0"/>
              <w:rPr>
                <w:sz w:val="20"/>
                <w:szCs w:val="20"/>
                <w:color w:val="auto"/>
              </w:rPr>
            </w:pPr>
            <w:r>
              <w:rPr>
                <w:rFonts w:ascii="Arial" w:cs="Arial" w:eastAsia="Arial" w:hAnsi="Arial"/>
                <w:sz w:val="18"/>
                <w:szCs w:val="18"/>
                <w:color w:val="auto"/>
              </w:rPr>
              <w:t>Total property and equipment, at cost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142,283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138,609</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(71,366)</w:t>
            </w:r>
          </w:p>
        </w:tc>
      </w:tr>
      <w:tr>
        <w:trPr>
          <w:trHeight w:val="218"/>
        </w:trPr>
        <w:tc>
          <w:tcPr>
            <w:tcW w:w="7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67,243</w:t>
            </w: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Depreciation and amortization expense of property and equipment was $3.3 million and $3.2 million for the three months ended March 31, 2026 and 2025,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2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r>
      <w:tr>
        <w:trPr>
          <w:trHeight w:val="188"/>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4"/>
          </w:tcPr>
          <w:p>
            <w:pPr>
              <w:jc w:val="right"/>
              <w:ind w:right="1195"/>
              <w:spacing w:after="0"/>
              <w:rPr>
                <w:sz w:val="20"/>
                <w:szCs w:val="20"/>
                <w:color w:val="auto"/>
              </w:rPr>
            </w:pPr>
            <w:r>
              <w:rPr>
                <w:rFonts w:ascii="Arial" w:cs="Arial" w:eastAsia="Arial" w:hAnsi="Arial"/>
                <w:sz w:val="14"/>
                <w:szCs w:val="14"/>
                <w:i w:val="1"/>
                <w:iCs w:val="1"/>
                <w:color w:val="auto"/>
              </w:rPr>
              <w:t>(in thousands)</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4,844</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returns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2,527</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19"/>
        </w:trPr>
        <w:tc>
          <w:tcPr>
            <w:tcW w:w="77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24,511</w:t>
            </w: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11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for an aggregate amount of up to $40.0 million. Following subsequent amendments, with the most recent amendment taking place on January 30, 2026, the Term Loan matures on July 10, 2030, provides for an aggregate borrowing capacity of up to $28.0 million, of which $10.0 million remains available and is designated for the purchase of certain equipment, and bears interest at secured overnight financing rate (“SOFR”), subject to a 2.50% per annum floor, plus a margin of 3.25% per annum. The January 2026 amendment also modified amortization such that only interest, and no principal, is payable until January 10, 2028, after which the Term Loan is payable in consecutive monthly installments.</w:t>
      </w:r>
    </w:p>
    <w:p>
      <w:pPr>
        <w:spacing w:after="0" w:line="1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Term Loan requires the Company to comply with certain financial covenants, including, among other things, liquidity requirements and minimum cash deposits with Western Alliance Bank.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March 31, 2026, the Company was in compliance with its debt covenants under the Term Loan. The Company is permitted to make voluntary prepayments without penalty or premium at any time.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March 31, 2026 and December 31, 2025, the effective interest rate for borrowings under the Term Loan was 7.48% and 8.94%, respectively.</w:t>
      </w:r>
    </w:p>
    <w:p>
      <w:pPr>
        <w:spacing w:after="0" w:line="16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During the three months ended March 31, 2026 and 2025, the Company did not make any borrowings under the Term Loan and repaid $0.3 million and $1.0 million in principal, respectively. As of March 31, 2026 and December 31, 2025, the amount outstanding under the Term Loan was $18.0 million and $18.3 million, respectively.</w:t>
      </w:r>
    </w:p>
    <w:p>
      <w:pPr>
        <w:spacing w:after="0" w:line="17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Company incurred interest expense related to the Term Loan of $0.3 million and $0.5 million for the three months ended March 31, 2026 and 2025, respectively.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2026, the future annual principal payments of the Term Loan were as follows: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9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Amount</w:t>
            </w:r>
          </w:p>
        </w:tc>
      </w:tr>
      <w:tr>
        <w:trPr>
          <w:trHeight w:val="188"/>
        </w:trPr>
        <w:tc>
          <w:tcPr>
            <w:tcW w:w="9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96"/>
              <w:spacing w:after="0"/>
              <w:rPr>
                <w:sz w:val="20"/>
                <w:szCs w:val="20"/>
                <w:color w:val="auto"/>
              </w:rPr>
            </w:pPr>
            <w:r>
              <w:rPr>
                <w:rFonts w:ascii="Arial" w:cs="Arial" w:eastAsia="Arial" w:hAnsi="Arial"/>
                <w:sz w:val="14"/>
                <w:szCs w:val="14"/>
                <w:i w:val="1"/>
                <w:iCs w:val="1"/>
                <w:color w:val="auto"/>
              </w:rPr>
              <w:t>(in thousands)</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5"/>
        </w:trPr>
        <w:tc>
          <w:tcPr>
            <w:tcW w:w="9520" w:type="dxa"/>
            <w:vAlign w:val="bottom"/>
          </w:tcPr>
          <w:p>
            <w:pPr>
              <w:ind w:left="2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5"/>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9"/>
        </w:trPr>
        <w:tc>
          <w:tcPr>
            <w:tcW w:w="9520" w:type="dxa"/>
            <w:vAlign w:val="bottom"/>
          </w:tcPr>
          <w:p>
            <w:pPr>
              <w:ind w:left="20"/>
              <w:spacing w:after="0"/>
              <w:rPr>
                <w:sz w:val="20"/>
                <w:szCs w:val="20"/>
                <w:color w:val="auto"/>
              </w:rPr>
            </w:pPr>
            <w:r>
              <w:rPr>
                <w:rFonts w:ascii="Arial" w:cs="Arial" w:eastAsia="Arial" w:hAnsi="Arial"/>
                <w:sz w:val="18"/>
                <w:szCs w:val="18"/>
                <w:color w:val="auto"/>
              </w:rPr>
              <w:t>Total principal payments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25"/>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8"/>
        </w:trPr>
        <w:tc>
          <w:tcPr>
            <w:tcW w:w="9520" w:type="dxa"/>
            <w:vAlign w:val="bottom"/>
          </w:tcPr>
          <w:p>
            <w:pPr>
              <w:ind w:left="20"/>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17,740</w:t>
            </w:r>
          </w:p>
        </w:tc>
      </w:tr>
      <w:tr>
        <w:trPr>
          <w:trHeight w:val="20"/>
        </w:trPr>
        <w:tc>
          <w:tcPr>
            <w:tcW w:w="9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Stockholders’ Equity</w:t>
      </w:r>
    </w:p>
    <w:p>
      <w:pPr>
        <w:spacing w:after="0" w:line="11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6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table below summarizes the Class A common stock and Class B common stock authorized, issued and outstanding as of March 31, 2026 and December 31, 2025:</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36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4"/>
                <w:szCs w:val="14"/>
                <w:b w:val="1"/>
                <w:bCs w:val="1"/>
                <w:color w:val="auto"/>
              </w:rPr>
              <w:t>March 31, 2026</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17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2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Issued and Outstanding</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Authorized</w:t>
            </w:r>
          </w:p>
        </w:tc>
        <w:tc>
          <w:tcPr>
            <w:tcW w:w="1560" w:type="dxa"/>
            <w:vAlign w:val="bottom"/>
          </w:tcPr>
          <w:p>
            <w:pPr>
              <w:jc w:val="right"/>
              <w:ind w:right="339"/>
              <w:spacing w:after="0" w:line="139"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gridSpan w:val="3"/>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ind w:left="120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106,358</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20,669</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127,027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1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 xml:space="preserve">The Company has stock-based compensation plans, which are more fully described in Note 9, </w:t>
      </w:r>
      <w:r>
        <w:rPr>
          <w:rFonts w:ascii="Arial" w:cs="Arial" w:eastAsia="Arial" w:hAnsi="Arial"/>
          <w:sz w:val="18"/>
          <w:szCs w:val="18"/>
          <w:i w:val="1"/>
          <w:iCs w:val="1"/>
          <w:color w:val="auto"/>
        </w:rPr>
        <w:t>Stock-Based Compensation Plans</w:t>
      </w:r>
      <w:r>
        <w:rPr>
          <w:rFonts w:ascii="Arial" w:cs="Arial" w:eastAsia="Arial" w:hAnsi="Arial"/>
          <w:sz w:val="18"/>
          <w:szCs w:val="18"/>
          <w:color w:val="auto"/>
        </w:rPr>
        <w:t>, to the consolidated financial statements included in the 2025 10-K. During the three months ended March 31, 2026, the Company granted restricted stock units subject to service conditions.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about stock-based compensation expense by financial statement line item:</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00" w:type="dxa"/>
            <w:vAlign w:val="bottom"/>
          </w:tcPr>
          <w:p>
            <w:pPr>
              <w:spacing w:after="0"/>
              <w:rPr>
                <w:sz w:val="16"/>
                <w:szCs w:val="16"/>
                <w:color w:val="auto"/>
              </w:rPr>
            </w:pPr>
          </w:p>
        </w:tc>
        <w:tc>
          <w:tcPr>
            <w:tcW w:w="3440" w:type="dxa"/>
            <w:vAlign w:val="bottom"/>
            <w:tcBorders>
              <w:bottom w:val="single" w:sz="8" w:color="auto"/>
            </w:tcBorders>
            <w:gridSpan w:val="5"/>
          </w:tcPr>
          <w:p>
            <w:pPr>
              <w:jc w:val="right"/>
              <w:ind w:right="938"/>
              <w:spacing w:after="0"/>
              <w:rPr>
                <w:sz w:val="20"/>
                <w:szCs w:val="20"/>
                <w:color w:val="auto"/>
              </w:rPr>
            </w:pPr>
            <w:r>
              <w:rPr>
                <w:rFonts w:ascii="Arial" w:cs="Arial" w:eastAsia="Arial" w:hAnsi="Arial"/>
                <w:sz w:val="14"/>
                <w:szCs w:val="14"/>
                <w:b w:val="1"/>
                <w:bCs w:val="1"/>
                <w:color w:val="auto"/>
              </w:rPr>
              <w:t>Three Months Ended</w:t>
            </w:r>
          </w:p>
        </w:tc>
      </w:tr>
      <w:tr>
        <w:trPr>
          <w:trHeight w:val="143"/>
        </w:trPr>
        <w:tc>
          <w:tcPr>
            <w:tcW w:w="7800" w:type="dxa"/>
            <w:vAlign w:val="bottom"/>
          </w:tcPr>
          <w:p>
            <w:pPr>
              <w:spacing w:after="0"/>
              <w:rPr>
                <w:sz w:val="12"/>
                <w:szCs w:val="12"/>
                <w:color w:val="auto"/>
              </w:rPr>
            </w:pPr>
          </w:p>
        </w:tc>
        <w:tc>
          <w:tcPr>
            <w:tcW w:w="11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jc w:val="right"/>
              <w:ind w:right="418"/>
              <w:spacing w:after="0" w:line="143" w:lineRule="exact"/>
              <w:rPr>
                <w:sz w:val="20"/>
                <w:szCs w:val="20"/>
                <w:color w:val="auto"/>
              </w:rPr>
            </w:pPr>
            <w:r>
              <w:rPr>
                <w:rFonts w:ascii="Arial" w:cs="Arial" w:eastAsia="Arial" w:hAnsi="Arial"/>
                <w:sz w:val="14"/>
                <w:szCs w:val="14"/>
                <w:b w:val="1"/>
                <w:bCs w:val="1"/>
                <w:color w:val="auto"/>
              </w:rPr>
              <w:t>March 31,</w:t>
            </w:r>
          </w:p>
        </w:tc>
      </w:tr>
      <w:tr>
        <w:trPr>
          <w:trHeight w:val="182"/>
        </w:trPr>
        <w:tc>
          <w:tcPr>
            <w:tcW w:w="7800" w:type="dxa"/>
            <w:vAlign w:val="bottom"/>
          </w:tcPr>
          <w:p>
            <w:pPr>
              <w:spacing w:after="0"/>
              <w:rPr>
                <w:sz w:val="15"/>
                <w:szCs w:val="15"/>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r>
      <w:tr>
        <w:trPr>
          <w:trHeight w:val="188"/>
        </w:trPr>
        <w:tc>
          <w:tcPr>
            <w:tcW w:w="7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r>
      <w:tr>
        <w:trPr>
          <w:trHeight w:val="225"/>
        </w:trPr>
        <w:tc>
          <w:tcPr>
            <w:tcW w:w="780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18"/>
        </w:trPr>
        <w:tc>
          <w:tcPr>
            <w:tcW w:w="78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bottom w:val="single" w:sz="8" w:color="auto"/>
            </w:tcBorders>
          </w:tcPr>
          <w:p>
            <w:pPr>
              <w:jc w:val="right"/>
              <w:ind w:right="96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5,503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w:t>
            </w:r>
          </w:p>
        </w:tc>
      </w:tr>
      <w:tr>
        <w:trPr>
          <w:trHeight w:val="20"/>
        </w:trPr>
        <w:tc>
          <w:tcPr>
            <w:tcW w:w="7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0" w:firstLine="318"/>
        <w:spacing w:after="0" w:line="274" w:lineRule="auto"/>
        <w:rPr>
          <w:sz w:val="20"/>
          <w:szCs w:val="20"/>
          <w:color w:val="auto"/>
        </w:rPr>
      </w:pPr>
      <w:r>
        <w:rPr>
          <w:rFonts w:ascii="Arial" w:cs="Arial" w:eastAsia="Arial" w:hAnsi="Arial"/>
          <w:sz w:val="18"/>
          <w:szCs w:val="18"/>
          <w:color w:val="auto"/>
        </w:rPr>
        <w:t>Stock-based compensation expense capitalized in internal use software was not material for the three months ended March 31, 2026 and 2025.</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Options</w:t>
      </w:r>
    </w:p>
    <w:p>
      <w:pPr>
        <w:spacing w:after="0" w:line="111"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The following table summarizes the activities for all stock options under the Company’s stock-based compensation plans for the three months ended March 31, 2026: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Weighted-Average</w:t>
            </w:r>
          </w:p>
        </w:tc>
        <w:tc>
          <w:tcPr>
            <w:tcW w:w="140" w:type="dxa"/>
            <w:vAlign w:val="bottom"/>
          </w:tcPr>
          <w:p>
            <w:pPr>
              <w:spacing w:after="0"/>
              <w:rPr>
                <w:sz w:val="14"/>
                <w:szCs w:val="14"/>
                <w:color w:val="auto"/>
              </w:rPr>
            </w:pPr>
          </w:p>
        </w:tc>
        <w:tc>
          <w:tcPr>
            <w:tcW w:w="15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Exercise Price Per</w:t>
            </w:r>
          </w:p>
        </w:tc>
        <w:tc>
          <w:tcPr>
            <w:tcW w:w="17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6"/>
                <w:szCs w:val="16"/>
                <w:color w:val="auto"/>
              </w:rPr>
            </w:pPr>
          </w:p>
        </w:tc>
        <w:tc>
          <w:tcPr>
            <w:tcW w:w="152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Value (1)</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(in thousands)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61"/>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3.30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39,825</w:t>
            </w:r>
          </w:p>
        </w:tc>
        <w:tc>
          <w:tcPr>
            <w:tcW w:w="0" w:type="dxa"/>
            <w:vAlign w:val="bottom"/>
          </w:tcPr>
          <w:p>
            <w:pPr>
              <w:spacing w:after="0"/>
              <w:rPr>
                <w:sz w:val="1"/>
                <w:szCs w:val="1"/>
                <w:color w:val="auto"/>
              </w:rPr>
            </w:pPr>
          </w:p>
        </w:tc>
      </w:tr>
      <w:tr>
        <w:trPr>
          <w:trHeight w:val="22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March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3.12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32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Exercisable as of March 31, 2026</w:t>
            </w:r>
          </w:p>
        </w:tc>
        <w:tc>
          <w:tcPr>
            <w:tcW w:w="16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8,872</w:t>
            </w:r>
          </w:p>
        </w:tc>
        <w:tc>
          <w:tcPr>
            <w:tcW w:w="26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8" w:lineRule="exact"/>
              <w:rPr>
                <w:sz w:val="20"/>
                <w:szCs w:val="20"/>
                <w:color w:val="auto"/>
              </w:rPr>
            </w:pPr>
            <w:r>
              <w:rPr>
                <w:rFonts w:ascii="Arial" w:cs="Arial" w:eastAsia="Arial" w:hAnsi="Arial"/>
                <w:sz w:val="18"/>
                <w:szCs w:val="18"/>
                <w:color w:val="auto"/>
              </w:rPr>
              <w:t>2.17</w:t>
            </w:r>
          </w:p>
        </w:tc>
        <w:tc>
          <w:tcPr>
            <w:tcW w:w="80" w:type="dxa"/>
            <w:vAlign w:val="bottom"/>
          </w:tcPr>
          <w:p>
            <w:pPr>
              <w:spacing w:after="0"/>
              <w:rPr>
                <w:sz w:val="17"/>
                <w:szCs w:val="17"/>
                <w:color w:val="auto"/>
              </w:rPr>
            </w:pPr>
          </w:p>
        </w:tc>
        <w:tc>
          <w:tcPr>
            <w:tcW w:w="1760" w:type="dxa"/>
            <w:vAlign w:val="bottom"/>
            <w:gridSpan w:val="2"/>
          </w:tcPr>
          <w:p>
            <w:pPr>
              <w:ind w:left="820"/>
              <w:spacing w:after="0" w:line="198" w:lineRule="exact"/>
              <w:rPr>
                <w:sz w:val="20"/>
                <w:szCs w:val="20"/>
                <w:color w:val="auto"/>
              </w:rPr>
            </w:pPr>
            <w:r>
              <w:rPr>
                <w:rFonts w:ascii="Arial" w:cs="Arial" w:eastAsia="Arial" w:hAnsi="Arial"/>
                <w:sz w:val="18"/>
                <w:szCs w:val="18"/>
                <w:color w:val="auto"/>
              </w:rPr>
              <w:t>3.12 years</w:t>
            </w:r>
          </w:p>
        </w:tc>
        <w:tc>
          <w:tcPr>
            <w:tcW w:w="14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
              <w:spacing w:after="0" w:line="198" w:lineRule="exact"/>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240" w:type="dxa"/>
            <w:vAlign w:val="bottom"/>
            <w:tcBorders>
              <w:bottom w:val="single" w:sz="8" w:color="auto"/>
            </w:tcBorders>
          </w:tcPr>
          <w:p>
            <w:pPr>
              <w:spacing w:after="0"/>
              <w:rPr>
                <w:sz w:val="14"/>
                <w:szCs w:val="14"/>
                <w:color w:val="auto"/>
              </w:rPr>
            </w:pPr>
          </w:p>
        </w:tc>
        <w:tc>
          <w:tcPr>
            <w:tcW w:w="2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20" w:right="120" w:hanging="314"/>
        <w:spacing w:after="0" w:line="520"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intrinsic value is the amount by which the current market value of the underlying stock exceeds the exercise price of the stock awards. As of March 31, 2026, there was no unrecognized compensation cost related to nonvested stock options.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Restricted Stock Units</w:t>
      </w:r>
    </w:p>
    <w:p>
      <w:pPr>
        <w:spacing w:after="0" w:line="217" w:lineRule="exact"/>
        <w:rPr>
          <w:sz w:val="20"/>
          <w:szCs w:val="20"/>
          <w:color w:val="auto"/>
        </w:rPr>
      </w:pPr>
    </w:p>
    <w:p>
      <w:pPr>
        <w:ind w:left="160" w:firstLine="318"/>
        <w:spacing w:after="0" w:line="274" w:lineRule="auto"/>
        <w:rPr>
          <w:sz w:val="20"/>
          <w:szCs w:val="20"/>
          <w:color w:val="auto"/>
        </w:rPr>
      </w:pPr>
      <w:r>
        <w:rPr>
          <w:rFonts w:ascii="Arial" w:cs="Arial" w:eastAsia="Arial" w:hAnsi="Arial"/>
          <w:sz w:val="18"/>
          <w:szCs w:val="18"/>
          <w:color w:val="auto"/>
        </w:rPr>
        <w:t>The following table summarizes the activities for all restricted stock units (“RSUs”) under the Company’s stock-based compensation plans for the three months ended March 31, 2026:</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Weighted-Average Grant</w:t>
            </w: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16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Date Fair Value Per</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7"/>
        </w:trPr>
        <w:tc>
          <w:tcPr>
            <w:tcW w:w="7760" w:type="dxa"/>
            <w:vAlign w:val="bottom"/>
          </w:tcPr>
          <w:p>
            <w:pPr>
              <w:spacing w:after="0"/>
              <w:rPr>
                <w:sz w:val="16"/>
                <w:szCs w:val="16"/>
                <w:color w:val="auto"/>
              </w:rPr>
            </w:pPr>
          </w:p>
        </w:tc>
        <w:tc>
          <w:tcPr>
            <w:tcW w:w="1680" w:type="dxa"/>
            <w:vAlign w:val="bottom"/>
          </w:tcPr>
          <w:p>
            <w:pPr>
              <w:jc w:val="right"/>
              <w:ind w:right="317"/>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December 31, 2025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2,604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5"/>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March 31,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March 31, 2026, the total unrecognized compensation cost related to all nonvested RSUs was $36.1 million and the related weighted-average period over which it is expected to be recognized was approximately two years.</w:t>
      </w:r>
    </w:p>
    <w:p>
      <w:pPr>
        <w:spacing w:after="0" w:line="267" w:lineRule="exact"/>
        <w:rPr>
          <w:sz w:val="20"/>
          <w:szCs w:val="20"/>
          <w:color w:val="auto"/>
        </w:rPr>
      </w:pPr>
    </w:p>
    <w:p>
      <w:pPr>
        <w:ind w:left="160" w:right="8240" w:hanging="154"/>
        <w:spacing w:after="0" w:line="391" w:lineRule="auto"/>
        <w:tabs>
          <w:tab w:leader="none" w:pos="197"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Legal Contingencies</w:t>
      </w:r>
    </w:p>
    <w:p>
      <w:pPr>
        <w:spacing w:after="0" w:line="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Indemnifications</w:t>
      </w:r>
    </w:p>
    <w:p>
      <w:pPr>
        <w:spacing w:after="0" w:line="111" w:lineRule="exact"/>
        <w:rPr>
          <w:sz w:val="20"/>
          <w:szCs w:val="20"/>
          <w:color w:val="auto"/>
        </w:rPr>
      </w:pPr>
    </w:p>
    <w:p>
      <w:pPr>
        <w:jc w:val="both"/>
        <w:ind w:right="20" w:firstLine="318"/>
        <w:spacing w:after="0" w:line="260"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1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quarterly income tax provision reflects an estimate of the corresponding quarter’s state taxes in the U.S. The provision for income tax expense for the three months ended March 31, 2026 and 2025 was determined based upon estimates of the Company’s annual effective tax rate for the years ending December 31, 2026 and 2025, respectively. Since the Company is in a full valuation allowance position due to losses incurred since inception, the provision for taxes consists solely of certain state income taxes.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Per Share</w:t>
      </w:r>
    </w:p>
    <w:p>
      <w:pPr>
        <w:spacing w:after="0" w:line="11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securities have been excluded from the computation of diluted loss per share for the periods presented because including them would have been anti-dilutive: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2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5480" w:type="dxa"/>
            <w:vAlign w:val="bottom"/>
            <w:gridSpan w:val="2"/>
          </w:tcPr>
          <w:p>
            <w:pPr>
              <w:jc w:val="right"/>
              <w:ind w:right="60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57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220" w:type="dxa"/>
            <w:vAlign w:val="bottom"/>
            <w:tcBorders>
              <w:top w:val="single" w:sz="8" w:color="auto"/>
            </w:tcBorders>
            <w:gridSpan w:val="3"/>
          </w:tcPr>
          <w:p>
            <w:pPr>
              <w:ind w:left="126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8,872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Total</w:t>
            </w:r>
          </w:p>
        </w:tc>
        <w:tc>
          <w:tcPr>
            <w:tcW w:w="38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20" w:type="dxa"/>
            <w:vAlign w:val="bottom"/>
            <w:vMerge w:val="restart"/>
          </w:tcPr>
          <w:p>
            <w:pPr>
              <w:jc w:val="right"/>
              <w:ind w:right="1995"/>
              <w:spacing w:after="0"/>
              <w:rPr>
                <w:sz w:val="20"/>
                <w:szCs w:val="20"/>
                <w:color w:val="auto"/>
              </w:rPr>
            </w:pPr>
            <w:r>
              <w:rPr>
                <w:rFonts w:ascii="Arial" w:cs="Arial" w:eastAsia="Arial" w:hAnsi="Arial"/>
                <w:sz w:val="18"/>
                <w:szCs w:val="18"/>
                <w:color w:val="auto"/>
              </w:rPr>
              <w:t>18</w:t>
            </w: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Arial" w:cs="Arial" w:eastAsia="Arial" w:hAnsi="Arial"/>
          <w:sz w:val="18"/>
          <w:szCs w:val="18"/>
          <w:color w:val="auto"/>
        </w:rPr>
        <w:t>Financial Statements</w:t>
      </w:r>
      <w:r>
        <w:rPr>
          <w:rFonts w:ascii="Arial" w:cs="Arial" w:eastAsia="Arial" w:hAnsi="Arial"/>
          <w:sz w:val="18"/>
          <w:szCs w:val="18"/>
          <w:i w:val="1"/>
          <w:iCs w:val="1"/>
          <w:color w:val="auto"/>
        </w:rPr>
        <w:t xml:space="preserve">, of this Quarterly Report on Form 10-Q;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this Quarterly Report on Form 10-Q; and our consolidated financial statements and related notes appearing in our Annual Report on Form 10-K for the year ended December 31, 2025 (the “2025 10-K”). There have been no material changes to the risk factors described in our 2025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3"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April 2026.</w:t>
      </w:r>
    </w:p>
    <w:p>
      <w:pPr>
        <w:spacing w:after="0" w:line="18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marketplaces we have built enable buyers to browse and purchase resale items for primarily apparel, shoes and accessories across a wide range of price points. Buyers enjoy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Bag or a prepaid shipping label, fill a bag or a box and return it to us. We take it from there and do the work to make those items available for resale. In addition to our core marketplace, some of the world’s leading brands and retailers are taking advantage of our Resale-as-a-Service (“RaaS”) offering, which allows them to conveniently offer a scalable closet clean out service and/or resale shop to their customers. We believe that RaaS will accelerate the growth of this emerging category and supplements our overall supply strategy and other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First Quarter Results</w:t>
      </w:r>
    </w:p>
    <w:p>
      <w:pPr>
        <w:spacing w:after="0" w:line="111"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totaled $81.7 million for the first quarter of 2026, compared to $71.3 million for the first quarter of 2025, representing an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of 14.6% year over year.</w:t>
      </w:r>
    </w:p>
    <w:p>
      <w:pPr>
        <w:spacing w:after="0" w:line="160"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$64.7 million for the first quarter of 2026, compared to $ 56.4 million for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2025, representing an increase of 14.7% year over year. Gross margin was 79.2%, an increase of 10 basis points from 79.1% in the comparable quarter last year.</w:t>
      </w:r>
    </w:p>
    <w:p>
      <w:pPr>
        <w:spacing w:after="0" w:line="173"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$6.5 million, or a negative 7.9% of revenue, for the first quarter of 2026, compared to $5.2 million, or a negative 7.3% of</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for the first quarter of 2025, representing an increase of 24.1% year over year.</w:t>
      </w:r>
    </w:p>
    <w:p>
      <w:pPr>
        <w:spacing w:after="0" w:line="15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b w:val="1"/>
          <w:bCs w:val="1"/>
          <w:color w:val="auto"/>
        </w:rPr>
        <w:t>Non-GAAP Adjusted EBITDA</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was $2.7 million, or 3.4% of revenue, for the first quarter of 2026, compared to $3.8 million, or 5.3% of</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for the first quarter of 2025, representing a decrease of 27.9% year over year.</w:t>
      </w:r>
    </w:p>
    <w:p>
      <w:pPr>
        <w:spacing w:after="0" w:line="192"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Active Buyers totaled 1.7 million and Orders totaled 1.6 million, in the first quarter of 2026,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1.4 million and 1.4 million, respectively, in the first quarter of 2025, representing increases of 25.0% and 19.3%, respectively, year over year.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1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16"/>
              <w:spacing w:after="0" w:line="14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2"/>
                <w:szCs w:val="12"/>
                <w:color w:val="auto"/>
              </w:rPr>
            </w:pPr>
          </w:p>
        </w:tc>
        <w:tc>
          <w:tcPr>
            <w:tcW w:w="1680" w:type="dxa"/>
            <w:vAlign w:val="bottom"/>
          </w:tcPr>
          <w:p>
            <w:pPr>
              <w:jc w:val="right"/>
              <w:ind w:right="815"/>
              <w:spacing w:after="0" w:line="143" w:lineRule="exact"/>
              <w:rPr>
                <w:sz w:val="20"/>
                <w:szCs w:val="20"/>
                <w:color w:val="auto"/>
              </w:rPr>
            </w:pPr>
            <w:r>
              <w:rPr>
                <w:rFonts w:ascii="Arial" w:cs="Arial" w:eastAsia="Arial" w:hAnsi="Arial"/>
                <w:sz w:val="14"/>
                <w:szCs w:val="14"/>
                <w:b w:val="1"/>
                <w:bCs w:val="1"/>
                <w:color w:val="auto"/>
              </w:rPr>
              <w:t>March 31,</w:t>
            </w:r>
          </w:p>
        </w:tc>
        <w:tc>
          <w:tcPr>
            <w:tcW w:w="7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 except percentages)</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1,713</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rPr>
              <w:t>1,370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Orders</w:t>
            </w:r>
          </w:p>
        </w:tc>
        <w:tc>
          <w:tcPr>
            <w:tcW w:w="240" w:type="dxa"/>
            <w:vAlign w:val="bottom"/>
          </w:tcPr>
          <w:p>
            <w:pPr>
              <w:spacing w:after="0"/>
              <w:rPr>
                <w:sz w:val="19"/>
                <w:szCs w:val="19"/>
                <w:color w:val="auto"/>
              </w:rPr>
            </w:pP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1,635</w:t>
            </w:r>
          </w:p>
        </w:tc>
        <w:tc>
          <w:tcPr>
            <w:tcW w:w="280" w:type="dxa"/>
            <w:vAlign w:val="bottom"/>
          </w:tcPr>
          <w:p>
            <w:pPr>
              <w:spacing w:after="0"/>
              <w:rPr>
                <w:sz w:val="19"/>
                <w:szCs w:val="19"/>
                <w:color w:val="auto"/>
              </w:rPr>
            </w:pPr>
          </w:p>
        </w:tc>
        <w:tc>
          <w:tcPr>
            <w:tcW w:w="1680" w:type="dxa"/>
            <w:vAlign w:val="bottom"/>
          </w:tcPr>
          <w:p>
            <w:pPr>
              <w:jc w:val="right"/>
              <w:ind w:right="675"/>
              <w:spacing w:after="0"/>
              <w:rPr>
                <w:sz w:val="20"/>
                <w:szCs w:val="20"/>
                <w:color w:val="auto"/>
              </w:rPr>
            </w:pPr>
            <w:r>
              <w:rPr>
                <w:rFonts w:ascii="Arial" w:cs="Arial" w:eastAsia="Arial" w:hAnsi="Arial"/>
                <w:sz w:val="18"/>
                <w:szCs w:val="18"/>
                <w:color w:val="auto"/>
              </w:rPr>
              <w:t>1,371</w:t>
            </w:r>
          </w:p>
        </w:tc>
        <w:tc>
          <w:tcPr>
            <w:tcW w:w="760" w:type="dxa"/>
            <w:vAlign w:val="bottom"/>
          </w:tcPr>
          <w:p>
            <w:pPr>
              <w:jc w:val="right"/>
              <w:spacing w:after="0"/>
              <w:rPr>
                <w:sz w:val="20"/>
                <w:szCs w:val="20"/>
                <w:color w:val="auto"/>
              </w:rPr>
            </w:pPr>
            <w:r>
              <w:rPr>
                <w:rFonts w:ascii="Arial" w:cs="Arial" w:eastAsia="Arial" w:hAnsi="Arial"/>
                <w:sz w:val="18"/>
                <w:szCs w:val="18"/>
                <w:color w:val="auto"/>
              </w:rPr>
              <w:t>19.3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81,671</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rPr>
              <w:t>71,291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64,660</w:t>
            </w:r>
          </w:p>
        </w:tc>
        <w:tc>
          <w:tcPr>
            <w:tcW w:w="2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75"/>
              <w:spacing w:after="0"/>
              <w:rPr>
                <w:sz w:val="20"/>
                <w:szCs w:val="20"/>
                <w:color w:val="auto"/>
              </w:rPr>
            </w:pPr>
            <w:r>
              <w:rPr>
                <w:rFonts w:ascii="Arial" w:cs="Arial" w:eastAsia="Arial" w:hAnsi="Arial"/>
                <w:sz w:val="18"/>
                <w:szCs w:val="18"/>
                <w:color w:val="auto"/>
              </w:rPr>
              <w:t>56,371</w:t>
            </w: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79.2 %</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79.1 %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(6,472)</w:t>
            </w:r>
          </w:p>
        </w:tc>
        <w:tc>
          <w:tcPr>
            <w:tcW w:w="2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35"/>
              <w:spacing w:after="0"/>
              <w:rPr>
                <w:sz w:val="20"/>
                <w:szCs w:val="20"/>
                <w:color w:val="auto"/>
              </w:rPr>
            </w:pPr>
            <w:r>
              <w:rPr>
                <w:rFonts w:ascii="Arial" w:cs="Arial" w:eastAsia="Arial" w:hAnsi="Arial"/>
                <w:sz w:val="18"/>
                <w:szCs w:val="18"/>
                <w:color w:val="auto"/>
              </w:rPr>
              <w:t>(5,215)</w:t>
            </w:r>
          </w:p>
        </w:tc>
        <w:tc>
          <w:tcPr>
            <w:tcW w:w="760" w:type="dxa"/>
            <w:vAlign w:val="bottom"/>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bps</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Non-GAAP Adjusted EBITDA(1)</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2,745</w:t>
            </w:r>
          </w:p>
        </w:tc>
        <w:tc>
          <w:tcPr>
            <w:tcW w:w="2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75"/>
              <w:spacing w:after="0"/>
              <w:rPr>
                <w:sz w:val="20"/>
                <w:szCs w:val="20"/>
                <w:color w:val="auto"/>
              </w:rPr>
            </w:pPr>
            <w:r>
              <w:rPr>
                <w:rFonts w:ascii="Arial" w:cs="Arial" w:eastAsia="Arial" w:hAnsi="Arial"/>
                <w:sz w:val="18"/>
                <w:szCs w:val="18"/>
                <w:color w:val="auto"/>
              </w:rPr>
              <w:t>3,808</w:t>
            </w:r>
          </w:p>
        </w:tc>
        <w:tc>
          <w:tcPr>
            <w:tcW w:w="760" w:type="dxa"/>
            <w:vAlign w:val="bottom"/>
          </w:tcPr>
          <w:p>
            <w:pPr>
              <w:jc w:val="right"/>
              <w:spacing w:after="0"/>
              <w:rPr>
                <w:sz w:val="20"/>
                <w:szCs w:val="20"/>
                <w:color w:val="auto"/>
              </w:rPr>
            </w:pPr>
            <w:r>
              <w:rPr>
                <w:rFonts w:ascii="Arial" w:cs="Arial" w:eastAsia="Arial" w:hAnsi="Arial"/>
                <w:sz w:val="18"/>
                <w:szCs w:val="18"/>
                <w:color w:val="auto"/>
              </w:rPr>
              <w:t>(27.9)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Non-GAAP Adjusted EBITDA margin(1)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5.3 %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 bps</w:t>
            </w:r>
          </w:p>
        </w:tc>
        <w:tc>
          <w:tcPr>
            <w:tcW w:w="0" w:type="dxa"/>
            <w:vAlign w:val="bottom"/>
          </w:tcPr>
          <w:p>
            <w:pPr>
              <w:spacing w:after="0"/>
              <w:rPr>
                <w:sz w:val="1"/>
                <w:szCs w:val="1"/>
                <w:color w:val="auto"/>
              </w:rPr>
            </w:pPr>
          </w:p>
        </w:tc>
      </w:tr>
      <w:tr>
        <w:trPr>
          <w:trHeight w:val="172"/>
        </w:trPr>
        <w:tc>
          <w:tcPr>
            <w:tcW w:w="2240" w:type="dxa"/>
            <w:vAlign w:val="bottom"/>
            <w:tcBorders>
              <w:bottom w:val="single" w:sz="8" w:color="auto"/>
            </w:tcBorders>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left="320" w:hanging="314"/>
        <w:spacing w:after="0" w:line="260" w:lineRule="auto"/>
        <w:tabs>
          <w:tab w:leader="none" w:pos="31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Adjusted EBITDA and Non-GAAP Adjusted EBITDA margin are non-GAAP measures, which may not be comparable to similarly-titled measures used by other companies. See below for a reconciliation of Non-GAAP Adjusted EBITDA to its most directly comparable GAAP measure, Net loss.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Active Buyers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Orders</w:t>
      </w:r>
    </w:p>
    <w:p>
      <w:pPr>
        <w:spacing w:after="0" w:line="11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Orders means the total number of orders placed by buyers across our marketplaces, including through our RaaS clients, in a given period, net of cancellations.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Non-GAAP Adjusted EBITDA and Non-GAAP Adjusted EBITDA Margin</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Non-GAAP Adjusted EBITDA means Net loss adjusted to exclude, where applicable in a given period, stock-based compensation expense, depreciation and amortization, interest expense, provision for income taxes, severance and other reorganization costs, and gains related to non-marketable equity investments. Non-GAAP Adjusted EBITDA margin represents Non-GAAP Adjusted EBITDA divided by Revenue. We use these non-GAAP measures to evaluate and assess our operating performance and the operating leverage in our business, and for internal planning and forecasting purposes. We believe these non-GAAP measures,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Net loss to Non-GAAP Adjusted EBITDA:</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ind w:right="105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3"/>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right"/>
              <w:ind w:right="381"/>
              <w:spacing w:after="0" w:line="14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jc w:val="right"/>
              <w:ind w:right="495"/>
              <w:spacing w:after="0" w:line="14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2"/>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2026</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right"/>
              <w:ind w:right="38"/>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rPr>
              <w:t>(6,472)</w:t>
            </w:r>
          </w:p>
        </w:tc>
        <w:tc>
          <w:tcPr>
            <w:tcW w:w="720" w:type="dxa"/>
            <w:vAlign w:val="bottom"/>
            <w:gridSpan w:val="3"/>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3"/>
          </w:tcPr>
          <w:p>
            <w:pPr>
              <w:jc w:val="right"/>
              <w:ind w:right="41"/>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3"/>
          </w:tcPr>
          <w:p>
            <w:pPr>
              <w:jc w:val="right"/>
              <w:ind w:right="4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Severance and other reorganization costs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related to non-marketable equity investments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8"/>
        </w:trPr>
        <w:tc>
          <w:tcPr>
            <w:tcW w:w="6320" w:type="dxa"/>
            <w:vAlign w:val="bottom"/>
          </w:tcPr>
          <w:p>
            <w:pPr>
              <w:ind w:left="20"/>
              <w:spacing w:after="0"/>
              <w:rPr>
                <w:sz w:val="20"/>
                <w:szCs w:val="20"/>
                <w:color w:val="auto"/>
              </w:rPr>
            </w:pPr>
            <w:r>
              <w:rPr>
                <w:rFonts w:ascii="Arial" w:cs="Arial" w:eastAsia="Arial" w:hAnsi="Arial"/>
                <w:sz w:val="18"/>
                <w:szCs w:val="18"/>
                <w:color w:val="auto"/>
              </w:rPr>
              <w:t>Non-GAAP Adjusted EBITDA</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81,671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71,291</w:t>
            </w:r>
          </w:p>
        </w:tc>
        <w:tc>
          <w:tcPr>
            <w:tcW w:w="0" w:type="dxa"/>
            <w:vAlign w:val="bottom"/>
          </w:tcPr>
          <w:p>
            <w:pPr>
              <w:spacing w:after="0"/>
              <w:rPr>
                <w:sz w:val="1"/>
                <w:szCs w:val="1"/>
                <w:color w:val="auto"/>
              </w:rPr>
            </w:pPr>
          </w:p>
        </w:tc>
      </w:tr>
      <w:tr>
        <w:trPr>
          <w:trHeight w:val="232"/>
        </w:trPr>
        <w:tc>
          <w:tcPr>
            <w:tcW w:w="6320" w:type="dxa"/>
            <w:vAlign w:val="bottom"/>
          </w:tcPr>
          <w:p>
            <w:pPr>
              <w:ind w:left="20"/>
              <w:spacing w:after="0"/>
              <w:rPr>
                <w:sz w:val="20"/>
                <w:szCs w:val="20"/>
                <w:color w:val="auto"/>
              </w:rPr>
            </w:pPr>
            <w:r>
              <w:rPr>
                <w:rFonts w:ascii="Arial" w:cs="Arial" w:eastAsia="Arial" w:hAnsi="Arial"/>
                <w:sz w:val="18"/>
                <w:szCs w:val="18"/>
                <w:color w:val="auto"/>
              </w:rPr>
              <w:t>Non-GAAP Adjusted EBITDA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629"/>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Comparison of Financial Results for the Three Months Ended March 31, 2026 and 2025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320" w:type="dxa"/>
            <w:vAlign w:val="bottom"/>
          </w:tcPr>
          <w:p>
            <w:pPr>
              <w:ind w:left="160"/>
              <w:spacing w:after="0"/>
              <w:rPr>
                <w:sz w:val="20"/>
                <w:szCs w:val="20"/>
                <w:color w:val="auto"/>
              </w:rPr>
            </w:pPr>
            <w:r>
              <w:rPr>
                <w:rFonts w:ascii="Arial" w:cs="Arial" w:eastAsia="Arial" w:hAnsi="Arial"/>
                <w:sz w:val="18"/>
                <w:szCs w:val="18"/>
                <w:i w:val="1"/>
                <w:iCs w:val="1"/>
                <w:color w:val="auto"/>
              </w:rPr>
              <w:t>Revenue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8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9"/>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65"/>
              <w:spacing w:after="0" w:line="139" w:lineRule="exact"/>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2"/>
                <w:szCs w:val="12"/>
                <w:color w:val="auto"/>
              </w:rPr>
            </w:pPr>
          </w:p>
        </w:tc>
        <w:tc>
          <w:tcPr>
            <w:tcW w:w="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vMerge w:val="restart"/>
          </w:tcPr>
          <w:p>
            <w:pPr>
              <w:jc w:val="right"/>
              <w:ind w:right="258"/>
              <w:spacing w:after="0"/>
              <w:rPr>
                <w:sz w:val="20"/>
                <w:szCs w:val="20"/>
                <w:color w:val="auto"/>
              </w:rPr>
            </w:pPr>
            <w:r>
              <w:rPr>
                <w:rFonts w:ascii="Arial" w:cs="Arial" w:eastAsia="Arial" w:hAnsi="Arial"/>
                <w:sz w:val="14"/>
                <w:szCs w:val="14"/>
                <w:b w:val="1"/>
                <w:bCs w:val="1"/>
                <w:color w:val="auto"/>
              </w:rPr>
              <w:t>Amount</w:t>
            </w:r>
          </w:p>
        </w:tc>
        <w:tc>
          <w:tcPr>
            <w:tcW w:w="12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6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8"/>
          </w:tcPr>
          <w:p>
            <w:pPr>
              <w:jc w:val="right"/>
              <w:spacing w:after="0"/>
              <w:rPr>
                <w:sz w:val="20"/>
                <w:szCs w:val="20"/>
                <w:color w:val="auto"/>
              </w:rPr>
            </w:pPr>
            <w:r>
              <w:rPr>
                <w:rFonts w:ascii="Arial" w:cs="Arial" w:eastAsia="Arial" w:hAnsi="Arial"/>
                <w:sz w:val="14"/>
                <w:szCs w:val="14"/>
                <w:i w:val="1"/>
                <w:iCs w:val="1"/>
                <w:color w:val="auto"/>
                <w:w w:val="99"/>
              </w:rPr>
              <w:t>(in thousands, except percentages)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81,671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71,291</w:t>
            </w:r>
          </w:p>
        </w:tc>
        <w:tc>
          <w:tcPr>
            <w:tcW w:w="60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10,380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Revenue increased $10.4 million, or 14.6%, for the three months ended March 31, 2026 as compared to the same period in 2025. The growth in revenue was mainly driven by a 19.3% increase in Orders, supported by higher engagement from both new and returning buyers, partially offset by a 1.6% decrease in the average order value, primarily driven by a higher mix of orders from newer buyer cohorts who tend to place smaller orders, all largely attributable to a lower free shipping threshold. These trends reflect the continued strength in our core marketplace business and our ongoing focus on driving platform growth.</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Gross Margin</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6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16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00" w:type="dxa"/>
            <w:vAlign w:val="bottom"/>
            <w:vMerge w:val="restart"/>
          </w:tcPr>
          <w:p>
            <w:pPr>
              <w:jc w:val="right"/>
              <w:ind w:right="701"/>
              <w:spacing w:after="0"/>
              <w:rPr>
                <w:sz w:val="20"/>
                <w:szCs w:val="20"/>
                <w:color w:val="auto"/>
              </w:rPr>
            </w:pPr>
            <w:r>
              <w:rPr>
                <w:rFonts w:ascii="Arial" w:cs="Arial" w:eastAsia="Arial" w:hAnsi="Arial"/>
                <w:sz w:val="14"/>
                <w:szCs w:val="14"/>
                <w:b w:val="1"/>
                <w:bCs w:val="1"/>
                <w:color w:val="auto"/>
              </w:rPr>
              <w:t>Amount</w:t>
            </w:r>
          </w:p>
        </w:tc>
        <w:tc>
          <w:tcPr>
            <w:tcW w:w="58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6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20" w:type="dxa"/>
            <w:vAlign w:val="bottom"/>
            <w:gridSpan w:val="5"/>
          </w:tcPr>
          <w:p>
            <w:pPr>
              <w:jc w:val="right"/>
              <w:ind w:right="601"/>
              <w:spacing w:after="0"/>
              <w:rPr>
                <w:sz w:val="20"/>
                <w:szCs w:val="20"/>
                <w:color w:val="auto"/>
              </w:rPr>
            </w:pPr>
            <w:r>
              <w:rPr>
                <w:rFonts w:ascii="Arial" w:cs="Arial" w:eastAsia="Arial" w:hAnsi="Arial"/>
                <w:sz w:val="14"/>
                <w:szCs w:val="14"/>
                <w:i w:val="1"/>
                <w:iCs w:val="1"/>
                <w:color w:val="auto"/>
              </w:rPr>
              <w:t>(in thousands, except percentages)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17,011</w:t>
            </w:r>
          </w:p>
        </w:tc>
        <w:tc>
          <w:tcPr>
            <w:tcW w:w="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14,920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481"/>
              <w:spacing w:after="0"/>
              <w:rPr>
                <w:sz w:val="20"/>
                <w:szCs w:val="20"/>
                <w:color w:val="auto"/>
              </w:rPr>
            </w:pPr>
            <w:r>
              <w:rPr>
                <w:rFonts w:ascii="Arial" w:cs="Arial" w:eastAsia="Arial" w:hAnsi="Arial"/>
                <w:sz w:val="18"/>
                <w:szCs w:val="18"/>
                <w:color w:val="auto"/>
              </w:rPr>
              <w:t>2,091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5"/>
        </w:trPr>
        <w:tc>
          <w:tcPr>
            <w:tcW w:w="60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01"/>
              <w:spacing w:after="0"/>
              <w:rPr>
                <w:sz w:val="20"/>
                <w:szCs w:val="20"/>
                <w:color w:val="auto"/>
              </w:rPr>
            </w:pPr>
            <w:r>
              <w:rPr>
                <w:rFonts w:ascii="Arial" w:cs="Arial" w:eastAsia="Arial" w:hAnsi="Arial"/>
                <w:sz w:val="18"/>
                <w:szCs w:val="18"/>
                <w:color w:val="auto"/>
              </w:rPr>
              <w:t>64,660</w:t>
            </w:r>
          </w:p>
        </w:tc>
        <w:tc>
          <w:tcPr>
            <w:tcW w:w="2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9"/>
              <w:spacing w:after="0"/>
              <w:rPr>
                <w:sz w:val="20"/>
                <w:szCs w:val="20"/>
                <w:color w:val="auto"/>
              </w:rPr>
            </w:pPr>
            <w:r>
              <w:rPr>
                <w:rFonts w:ascii="Arial" w:cs="Arial" w:eastAsia="Arial" w:hAnsi="Arial"/>
                <w:sz w:val="18"/>
                <w:szCs w:val="18"/>
                <w:color w:val="auto"/>
              </w:rPr>
              <w:t>56,371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481"/>
              <w:spacing w:after="0"/>
              <w:rPr>
                <w:sz w:val="20"/>
                <w:szCs w:val="20"/>
                <w:color w:val="auto"/>
              </w:rPr>
            </w:pPr>
            <w:r>
              <w:rPr>
                <w:rFonts w:ascii="Arial" w:cs="Arial" w:eastAsia="Arial" w:hAnsi="Arial"/>
                <w:sz w:val="18"/>
                <w:szCs w:val="18"/>
                <w:color w:val="auto"/>
              </w:rPr>
              <w:t>8,289</w:t>
            </w: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79.2 %</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00" w:firstLine="318"/>
        <w:spacing w:after="0" w:line="286" w:lineRule="auto"/>
        <w:rPr>
          <w:sz w:val="20"/>
          <w:szCs w:val="20"/>
          <w:color w:val="auto"/>
        </w:rPr>
      </w:pPr>
      <w:r>
        <w:rPr>
          <w:rFonts w:ascii="Arial" w:cs="Arial" w:eastAsia="Arial" w:hAnsi="Arial"/>
          <w:sz w:val="18"/>
          <w:szCs w:val="18"/>
          <w:color w:val="auto"/>
        </w:rPr>
        <w:t>Gross margin was 79.2% for the three months ended March 31, 2026, compared to 79.1% in the same period in 2025, an increase of 10 basis points</w:t>
      </w:r>
      <w:r>
        <w:rPr>
          <w:rFonts w:ascii="Arial" w:cs="Arial" w:eastAsia="Arial" w:hAnsi="Arial"/>
          <w:sz w:val="21"/>
          <w:szCs w:val="21"/>
          <w:color w:val="auto"/>
        </w:rPr>
        <w:t>.</w:t>
      </w:r>
      <w:r>
        <w:rPr>
          <w:rFonts w:ascii="Arial" w:cs="Arial" w:eastAsia="Arial" w:hAnsi="Arial"/>
          <w:sz w:val="18"/>
          <w:szCs w:val="18"/>
          <w:color w:val="auto"/>
        </w:rPr>
        <w:t xml:space="preserve"> Overall, gross margin remained relatively stable between periods.</w:t>
      </w: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Operations, Product, and Technology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82"/>
              <w:spacing w:after="0" w:line="14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16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00" w:type="dxa"/>
            <w:vAlign w:val="bottom"/>
            <w:vMerge w:val="restart"/>
          </w:tcPr>
          <w:p>
            <w:pPr>
              <w:jc w:val="right"/>
              <w:ind w:right="703"/>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6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20" w:type="dxa"/>
            <w:vAlign w:val="bottom"/>
            <w:gridSpan w:val="5"/>
          </w:tcPr>
          <w:p>
            <w:pPr>
              <w:jc w:val="right"/>
              <w:ind w:right="603"/>
              <w:spacing w:after="0"/>
              <w:rPr>
                <w:sz w:val="20"/>
                <w:szCs w:val="20"/>
                <w:color w:val="auto"/>
              </w:rPr>
            </w:pPr>
            <w:r>
              <w:rPr>
                <w:rFonts w:ascii="Arial" w:cs="Arial" w:eastAsia="Arial" w:hAnsi="Arial"/>
                <w:sz w:val="14"/>
                <w:szCs w:val="14"/>
                <w:i w:val="1"/>
                <w:iCs w:val="1"/>
                <w:color w:val="auto"/>
              </w:rPr>
              <w:t>(in thousands, except percentages)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41,075</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35,126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rPr>
              <w:t>5,949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32"/>
        </w:trPr>
        <w:tc>
          <w:tcPr>
            <w:tcW w:w="6080" w:type="dxa"/>
            <w:vAlign w:val="bottom"/>
          </w:tcPr>
          <w:p>
            <w:pPr>
              <w:ind w:left="20"/>
              <w:spacing w:after="0"/>
              <w:rPr>
                <w:sz w:val="20"/>
                <w:szCs w:val="20"/>
                <w:color w:val="auto"/>
              </w:rPr>
            </w:pPr>
            <w:r>
              <w:rPr>
                <w:rFonts w:ascii="Arial" w:cs="Arial" w:eastAsia="Arial" w:hAnsi="Arial"/>
                <w:sz w:val="18"/>
                <w:szCs w:val="18"/>
                <w:color w:val="auto"/>
              </w:rPr>
              <w:t>Operations, product, and technology as a percentage of revenue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Operations, product, and technology expenses increased $ 5.9 million, or 16.9%, for the three months ended March 31, 2026 as compared to the same period in 2025. The increase was primarily due to a $3.6 million increase in personnel-related costs, mainly reflecting distribution center headcount, a $1.7 million increase in inbound shipping costs driven by higher supply volume, and a $ 0.7 million increase in facilities, technology and other distribution center-related costs. We expect shipping rates to increase in the near term driven by fuel surcharges. The increase in operations, product, and technology expenses as a percentage of revenue reflects higher labor and inbound shipping costs associated with increased order volume.</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w:t>
      </w:r>
    </w:p>
    <w:p>
      <w:pPr>
        <w:spacing w:after="0" w:line="52"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282"/>
              <w:spacing w:after="0" w:line="13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14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00" w:type="dxa"/>
            <w:vAlign w:val="bottom"/>
            <w:vMerge w:val="restart"/>
          </w:tcPr>
          <w:p>
            <w:pPr>
              <w:jc w:val="right"/>
              <w:ind w:right="703"/>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80" w:type="dxa"/>
            <w:vAlign w:val="bottom"/>
            <w:gridSpan w:val="5"/>
          </w:tcPr>
          <w:p>
            <w:pPr>
              <w:jc w:val="right"/>
              <w:ind w:right="563"/>
              <w:spacing w:after="0"/>
              <w:rPr>
                <w:sz w:val="20"/>
                <w:szCs w:val="20"/>
                <w:color w:val="auto"/>
              </w:rPr>
            </w:pPr>
            <w:r>
              <w:rPr>
                <w:rFonts w:ascii="Arial" w:cs="Arial" w:eastAsia="Arial" w:hAnsi="Arial"/>
                <w:sz w:val="14"/>
                <w:szCs w:val="14"/>
                <w:i w:val="1"/>
                <w:iCs w:val="1"/>
                <w:color w:val="auto"/>
              </w:rPr>
              <w:t>(in thousands, except percentages)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14,941</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13,143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rPr>
              <w:t>1,798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2"/>
        </w:trPr>
        <w:tc>
          <w:tcPr>
            <w:tcW w:w="5780" w:type="dxa"/>
            <w:vAlign w:val="bottom"/>
          </w:tcPr>
          <w:p>
            <w:pPr>
              <w:ind w:left="20"/>
              <w:spacing w:after="0"/>
              <w:rPr>
                <w:sz w:val="20"/>
                <w:szCs w:val="20"/>
                <w:color w:val="auto"/>
              </w:rPr>
            </w:pPr>
            <w:r>
              <w:rPr>
                <w:rFonts w:ascii="Arial" w:cs="Arial" w:eastAsia="Arial" w:hAnsi="Arial"/>
                <w:sz w:val="18"/>
                <w:szCs w:val="18"/>
                <w:color w:val="auto"/>
              </w:rPr>
              <w:t>Marketing as a percentage of revenue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18.3 %</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Marketing expenses increased $1.8 million, or 13.7%, for the three months ended March 31, 2026 as compared to the same period in 2025. The increase was primarily due to a $1.9 million increase in advertising costs related to our marketing initiatives aimed at driving customer engagement and platform growth. The marketing expenses as a percentage of revenue remained relatively consistent between periods.</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Sales, General and Administrative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282"/>
              <w:spacing w:after="0" w:line="14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26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20" w:type="dxa"/>
            <w:vAlign w:val="bottom"/>
            <w:vMerge w:val="restart"/>
          </w:tcPr>
          <w:p>
            <w:pPr>
              <w:jc w:val="right"/>
              <w:ind w:right="723"/>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6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603"/>
              <w:spacing w:after="0"/>
              <w:rPr>
                <w:sz w:val="20"/>
                <w:szCs w:val="20"/>
                <w:color w:val="auto"/>
              </w:rPr>
            </w:pPr>
            <w:r>
              <w:rPr>
                <w:rFonts w:ascii="Arial" w:cs="Arial" w:eastAsia="Arial" w:hAnsi="Arial"/>
                <w:sz w:val="14"/>
                <w:szCs w:val="14"/>
                <w:i w:val="1"/>
                <w:iCs w:val="1"/>
                <w:color w:val="auto"/>
                <w:w w:val="99"/>
              </w:rPr>
              <w:t>(in thousands, except percentages)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15,233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13,536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23"/>
              <w:spacing w:after="0"/>
              <w:rPr>
                <w:sz w:val="20"/>
                <w:szCs w:val="20"/>
                <w:color w:val="auto"/>
              </w:rPr>
            </w:pPr>
            <w:r>
              <w:rPr>
                <w:rFonts w:ascii="Arial" w:cs="Arial" w:eastAsia="Arial" w:hAnsi="Arial"/>
                <w:sz w:val="18"/>
                <w:szCs w:val="18"/>
                <w:color w:val="auto"/>
              </w:rPr>
              <w:t>1,697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2"/>
        </w:trPr>
        <w:tc>
          <w:tcPr>
            <w:tcW w:w="6040" w:type="dxa"/>
            <w:vAlign w:val="bottom"/>
          </w:tcPr>
          <w:p>
            <w:pPr>
              <w:ind w:left="20"/>
              <w:spacing w:after="0"/>
              <w:rPr>
                <w:sz w:val="20"/>
                <w:szCs w:val="20"/>
                <w:color w:val="auto"/>
              </w:rPr>
            </w:pPr>
            <w:r>
              <w:rPr>
                <w:rFonts w:ascii="Arial" w:cs="Arial" w:eastAsia="Arial" w:hAnsi="Arial"/>
                <w:sz w:val="18"/>
                <w:szCs w:val="18"/>
                <w:color w:val="auto"/>
              </w:rPr>
              <w:t>Sales, general, and administrative as a percentage of revenue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18.7 %</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Sales, general, and administrative expenses increased $1.7 million, or 12.5%, for the three months ended March 31, 2026 as compared to the same period in 2025. The increase was primarily due to a $1.0 million increase in personnel-related costs, a $0.5 million increase in facilities, technology and other costs, and a $0.4 million increase in payment processing fees driven by higher order volume during the period. This increase was partially offset by a $0.3 million decrease in professional services. The decrease in sales, general, and administrative expenses as a percentage of revenue was primarily due to increased operating leverage resulting from higher revenue.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5"/>
              <w:spacing w:after="0" w:line="143"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1440" w:type="dxa"/>
            <w:vAlign w:val="bottom"/>
            <w:vMerge w:val="restart"/>
          </w:tcPr>
          <w:p>
            <w:pPr>
              <w:jc w:val="right"/>
              <w:ind w:right="743"/>
              <w:spacing w:after="0"/>
              <w:rPr>
                <w:sz w:val="20"/>
                <w:szCs w:val="20"/>
                <w:color w:val="auto"/>
              </w:rPr>
            </w:pPr>
            <w:r>
              <w:rPr>
                <w:rFonts w:ascii="Arial" w:cs="Arial" w:eastAsia="Arial" w:hAnsi="Arial"/>
                <w:sz w:val="14"/>
                <w:szCs w:val="14"/>
                <w:b w:val="1"/>
                <w:bCs w:val="1"/>
                <w:color w:val="auto"/>
              </w:rPr>
              <w:t>Amount</w:t>
            </w:r>
          </w:p>
        </w:tc>
        <w:tc>
          <w:tcPr>
            <w:tcW w:w="86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4"/>
          </w:tcPr>
          <w:p>
            <w:pPr>
              <w:jc w:val="right"/>
              <w:ind w:right="443"/>
              <w:spacing w:after="0"/>
              <w:rPr>
                <w:sz w:val="20"/>
                <w:szCs w:val="20"/>
                <w:color w:val="auto"/>
              </w:rPr>
            </w:pPr>
            <w:r>
              <w:rPr>
                <w:rFonts w:ascii="Arial" w:cs="Arial" w:eastAsia="Arial" w:hAnsi="Arial"/>
                <w:sz w:val="14"/>
                <w:szCs w:val="14"/>
                <w:i w:val="1"/>
                <w:iCs w:val="1"/>
                <w:color w:val="auto"/>
              </w:rPr>
              <w:t>(in thousands, except percentages)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523"/>
              <w:spacing w:after="0"/>
              <w:rPr>
                <w:sz w:val="20"/>
                <w:szCs w:val="20"/>
                <w:color w:val="auto"/>
              </w:rPr>
            </w:pPr>
            <w:r>
              <w:rPr>
                <w:rFonts w:ascii="Arial" w:cs="Arial" w:eastAsia="Arial" w:hAnsi="Arial"/>
                <w:sz w:val="18"/>
                <w:szCs w:val="18"/>
                <w:color w:val="auto"/>
              </w:rPr>
              <w:t>130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Interest expense decreased $0.1 million for the three months ended March 31, 2026 as compared to the same period in 2025, primarily due to a lower interest rate resulting from our recent debt amendment and reduced outstanding debt balances.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Income,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25"/>
              <w:spacing w:after="0" w:line="14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440" w:type="dxa"/>
            <w:vAlign w:val="bottom"/>
            <w:vMerge w:val="restart"/>
          </w:tcPr>
          <w:p>
            <w:pPr>
              <w:jc w:val="right"/>
              <w:ind w:right="743"/>
              <w:spacing w:after="0"/>
              <w:rPr>
                <w:sz w:val="20"/>
                <w:szCs w:val="20"/>
                <w:color w:val="auto"/>
              </w:rPr>
            </w:pPr>
            <w:r>
              <w:rPr>
                <w:rFonts w:ascii="Arial" w:cs="Arial" w:eastAsia="Arial" w:hAnsi="Arial"/>
                <w:sz w:val="14"/>
                <w:szCs w:val="14"/>
                <w:b w:val="1"/>
                <w:bCs w:val="1"/>
                <w:color w:val="auto"/>
              </w:rPr>
              <w:t>Amount</w:t>
            </w:r>
          </w:p>
        </w:tc>
        <w:tc>
          <w:tcPr>
            <w:tcW w:w="86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4"/>
          </w:tcPr>
          <w:p>
            <w:pPr>
              <w:jc w:val="right"/>
              <w:ind w:right="443"/>
              <w:spacing w:after="0"/>
              <w:rPr>
                <w:sz w:val="20"/>
                <w:szCs w:val="20"/>
                <w:color w:val="auto"/>
              </w:rPr>
            </w:pPr>
            <w:r>
              <w:rPr>
                <w:rFonts w:ascii="Arial" w:cs="Arial" w:eastAsia="Arial" w:hAnsi="Arial"/>
                <w:sz w:val="14"/>
                <w:szCs w:val="14"/>
                <w:i w:val="1"/>
                <w:iCs w:val="1"/>
                <w:color w:val="auto"/>
              </w:rPr>
              <w:t>(in thousands, except percentages)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63"/>
              <w:spacing w:after="0"/>
              <w:rPr>
                <w:sz w:val="20"/>
                <w:szCs w:val="20"/>
                <w:color w:val="auto"/>
              </w:rPr>
            </w:pPr>
            <w:r>
              <w:rPr>
                <w:rFonts w:ascii="Arial" w:cs="Arial" w:eastAsia="Arial" w:hAnsi="Arial"/>
                <w:sz w:val="18"/>
                <w:szCs w:val="18"/>
                <w:color w:val="auto"/>
              </w:rPr>
              <w:t>(265)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Other income, net decreased $0.3 million for the three months ended March 31, 2026 as compared to the same period in 2025, primarily due to a gain recognized on a non-marketable equity investment in the first quarter of 2025.</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We generated positive cash flows from operating activities of $4.8 million for the three months ended March 31, 2026. We have primarily financed our operations through private and public sales of equity securities and a term loan facility (“Term Loan”). As of March 31, 2026, we had cash, cash equivalents, restricted cash and marketable securities of $54.4 million, an increase of $1.3 million from December 31, 2025. Additionally, we have a Term Loan under which $10.0 million remained available to be drawn as of March 31, 2026 for the purchase of certain equipment, and we were in full compliance with our debt covenants under the Term Loan as of that date. See Note 6,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a further discussion on our Term Loan.</w:t>
      </w:r>
    </w:p>
    <w:p>
      <w:pPr>
        <w:spacing w:after="0" w:line="18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primary sources of liquidity are cash flows generated from operations, cash on hand and borrowings available under the Term Loan. Our primary uses of cash include seller payouts, operating costs such as distribution network spend, product and technology, marketing, personnel-related expenses, and other expenditures necessary to support our operations and our growth, as well as repayments on our Term Loan. Additionally, our primary capital expenditures are related to the set-up, expansion and/or automation of our distribution network. Based upon our current operating plans, we believe that our existing cash, cash equivalents and marketable securities will be sufficient for at least the next 12 months and beyond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Our future capital requirements will depend on many factors, including but not limited to, the timing of any future distribution center automation and expansion plans to support planned revenue growth, the expansion of sales and marketing activities, the potential introduction of new offerings, the continuing growth of our marketplaces and overall economic conditions. However, we expect that our capital expenditures will remain modest for the remainder of 2026. See the section titled </w:t>
      </w:r>
      <w:r>
        <w:rPr>
          <w:rFonts w:ascii="Arial" w:cs="Arial" w:eastAsia="Arial" w:hAnsi="Arial"/>
          <w:sz w:val="18"/>
          <w:szCs w:val="18"/>
          <w:i w:val="1"/>
          <w:iCs w:val="1"/>
          <w:color w:val="auto"/>
        </w:rPr>
        <w:t>“Risk Factors—Risks Relating to Our Indebtedness and Liquidity</w:t>
      </w:r>
      <w:r>
        <w:rPr>
          <w:rFonts w:ascii="Arial" w:cs="Arial" w:eastAsia="Arial" w:hAnsi="Arial"/>
          <w:sz w:val="18"/>
          <w:szCs w:val="18"/>
          <w:color w:val="auto"/>
        </w:rPr>
        <w:t>—We may require additional capital to support business growth, and this capital might not be available or may be available only by diluting existing stockholders” within the 2025 10-K.</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339"/>
              <w:spacing w:after="0"/>
              <w:rPr>
                <w:sz w:val="20"/>
                <w:szCs w:val="20"/>
                <w:color w:val="auto"/>
              </w:rPr>
            </w:pPr>
            <w:r>
              <w:rPr>
                <w:rFonts w:ascii="Arial" w:cs="Arial" w:eastAsia="Arial" w:hAnsi="Arial"/>
                <w:sz w:val="18"/>
                <w:szCs w:val="18"/>
                <w:color w:val="auto"/>
                <w:w w:val="97"/>
              </w:rPr>
              <w:t>5,743</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(989)</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39"/>
              <w:spacing w:after="0"/>
              <w:rPr>
                <w:sz w:val="20"/>
                <w:szCs w:val="20"/>
                <w:color w:val="auto"/>
              </w:rPr>
            </w:pPr>
            <w:r>
              <w:rPr>
                <w:rFonts w:ascii="Arial" w:cs="Arial" w:eastAsia="Arial" w:hAnsi="Arial"/>
                <w:sz w:val="18"/>
                <w:szCs w:val="18"/>
                <w:color w:val="auto"/>
                <w:w w:val="97"/>
              </w:rPr>
              <w:t>5,075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activities</w:t>
            </w:r>
          </w:p>
        </w:tc>
        <w:tc>
          <w:tcPr>
            <w:tcW w:w="1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99"/>
              <w:spacing w:after="0"/>
              <w:rPr>
                <w:sz w:val="20"/>
                <w:szCs w:val="20"/>
                <w:color w:val="auto"/>
              </w:rPr>
            </w:pPr>
            <w:r>
              <w:rPr>
                <w:rFonts w:ascii="Arial" w:cs="Arial" w:eastAsia="Arial" w:hAnsi="Arial"/>
                <w:sz w:val="18"/>
                <w:szCs w:val="18"/>
                <w:color w:val="auto"/>
                <w:w w:val="98"/>
              </w:rPr>
              <w:t>(1,589)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5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8"/>
                <w:szCs w:val="18"/>
                <w:color w:val="auto"/>
                <w:w w:val="97"/>
              </w:rPr>
              <w:t>9,229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452"/>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50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Changes in Cash Flows from Operating Activities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Net cash provided by operating activities was $4.7 million during the three months ended March 31, 2026, compared to $ 5.7 million for the same period in 2025. The $1.0 million decrease in operating cash inflows was primarily due to a $0.9 million increase in net loss, adjusted for non-cash items, reflecting higher operating losses, as well as a $0.1 million decrease in the net cash provided by changes in operating assets and liabilities. Changes in operating assets and liabilities were primarily driven by $1.2 million in higher cash outflows from accounts receivable reflecting the timing of cash receipts and higher sales volume near the end of the quarter and $0.6 million in higher cash outflows from operating liabilities reflecting higher lease payments. These were partially offset by $2.0 million in higher cash inflows from accounts payable and accrued and other liabilities, primarily reflecting the timing of vendor payments, compensation and taxes.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Changes in Cash Flows from Investing Activities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for the three months ended March 31, 2026 was $5.0 million as compared to net cash provided by investing activities of $5.1 million for the same period in 2025. The $10.1 million increase in cash outflows was primarily due to a $6.4 million decrease in sale and maturities of marketable securities, a $2.3 million increase in purchases of property and equipment, and a $1.4 million increase in purchases of marketable securities.</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Changes in Cash Flows from Financing Activities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for the three months ended March 31, 2026 was $0.6 million as compared to net cash used in financing activities of $1.6 million for the same period in 2025. The $2.2 million increase in cash inflows was primarily due to a $3.3 million increase in proceeds from issuance of stock-based awards and a $0.6 million decrease in payments on debt resulting from our recent debt amendment in the first quarter of 2026, partially offset by a $1.6 million increase in payroll taxes paid on stock-based award activity.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3"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spacing w:after="0" w:line="18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 xml:space="preserve">There have been no material changes to our critical accounting policies since the 2025 10-K. For a description of critical accounting policies that affect our significant judgments and estimates used in the preparation of our condensed consolidated financial statements, see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the 2025 10-K.</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JOBS Act Accounting Election</w:t>
      </w:r>
    </w:p>
    <w:p>
      <w:pPr>
        <w:spacing w:after="0" w:line="111"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 However, we will cease to qualify as an emerging growth company as of December 31, 2026, the last day of the fiscal year in which the fifth anniversary of our initial public offering occurs. Upon losing emerging growth company status, we will be required to adopt any accounting standards for which we have been using private company effective dates beginning with our Annual Report on Form 10-K for the fiscal year ending December 31, 2026.</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New Accounting Pronouncements</w:t>
      </w:r>
    </w:p>
    <w:p>
      <w:pPr>
        <w:spacing w:after="0" w:line="11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 xml:space="preserve">See discussion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information on new accounting pronouncements.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 Risk</w:t>
      </w:r>
    </w:p>
    <w:p>
      <w:pPr>
        <w:spacing w:after="0" w:line="1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March 31, 2026, we had non-restricted cash and cash equivalents of $39.0 million and marketable securities of $10.5 million, consisting primarily of commercial paper, corporate debt securities, U.S. government agency bonds and U.S. treasury securities,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spacing w:after="0" w:line="18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Term Loan bears variable interest rates tied to SOFR, with a floor of 2.50%, plus a margin of 3.25% and therefore carries interest rate risk. If interest rates were to increase or decrease by 1% for the year and our borrowing amounts on the Term Loan remained constant, the increase or decrease to our annual interest expense would not be material.</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Inflation Risk</w:t>
      </w:r>
    </w:p>
    <w:p>
      <w:pPr>
        <w:spacing w:after="0" w:line="111"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As of March 31, 2026, inflation remains elevated relative to historical norms in the U.S. where we conduct our business, resulting in higher costs in areas such as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which could slow revenue and Order growth. If we are unable to increase our prices to sufficiently offset the rising costs of doing business, our profitability and financial position could be adversely impacted.</w:t>
      </w:r>
    </w:p>
    <w:p>
      <w:pPr>
        <w:spacing w:after="0" w:line="2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(the “Exchange Act”), as of March 31, 2026.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w:t>
      </w:r>
    </w:p>
    <w:p>
      <w:pPr>
        <w:spacing w:after="0" w:line="18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2026.</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quarter ended March 31, 2026 that materially affected, or are reasonably likely to materially affect, our internal control over financial reporting.</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Risks affecting our business are discussed in the section titled “Risk Factors” in Part I, Item 1A of our Annual Report on Form 10-K for the fiscal year ended December 31, 2025 filed with the SEC on March 2, 2026 (our “Fiscal 2025 10-K”). There have been no material changes to our risk factors as previously disclosed in our Fiscal 2025 10-K.</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3"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3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3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3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3"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 10b5-1 Trading Plans</w:t>
      </w:r>
    </w:p>
    <w:p>
      <w:pPr>
        <w:spacing w:after="0" w:line="111"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During the three months ended March 31, 2026, none of our directors or officers (as defined in Rule 16a -1(f) under the Exchange Act) adopted or terminated a “Rule 10b5-1 trading arrangement” or “non-Rule 10b5-1 trading arrangement,” as those terms are defined in Item 408 of Regulation S-K.</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Exhibit Index:</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right="655"/>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1"/>
        </w:trPr>
        <w:tc>
          <w:tcPr>
            <w:tcW w:w="11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1"/>
                <w:szCs w:val="11"/>
                <w:color w:val="auto"/>
              </w:rPr>
            </w:pPr>
          </w:p>
        </w:tc>
        <w:tc>
          <w:tcPr>
            <w:tcW w:w="6380" w:type="dxa"/>
            <w:vAlign w:val="bottom"/>
            <w:gridSpan w:val="16"/>
            <w:vMerge w:val="restart"/>
          </w:tcPr>
          <w:p>
            <w:pPr>
              <w:ind w:left="2540"/>
              <w:spacing w:after="0"/>
              <w:rPr>
                <w:sz w:val="20"/>
                <w:szCs w:val="20"/>
                <w:color w:val="auto"/>
              </w:rPr>
            </w:pPr>
            <w:r>
              <w:rPr>
                <w:rFonts w:ascii="Arial" w:cs="Arial" w:eastAsia="Arial" w:hAnsi="Arial"/>
                <w:sz w:val="14"/>
                <w:szCs w:val="14"/>
                <w:b w:val="1"/>
                <w:bCs w:val="1"/>
                <w:color w:val="auto"/>
              </w:rPr>
              <w:t>Description</w:t>
            </w:r>
          </w:p>
        </w:tc>
        <w:tc>
          <w:tcPr>
            <w:tcW w:w="740" w:type="dxa"/>
            <w:vAlign w:val="bottom"/>
            <w:vMerge w:val="restart"/>
          </w:tcPr>
          <w:p>
            <w:pPr>
              <w:jc w:val="center"/>
              <w:ind w:left="215"/>
              <w:spacing w:after="0"/>
              <w:rPr>
                <w:sz w:val="20"/>
                <w:szCs w:val="20"/>
                <w:color w:val="auto"/>
              </w:rPr>
            </w:pPr>
            <w:r>
              <w:rPr>
                <w:rFonts w:ascii="Arial" w:cs="Arial" w:eastAsia="Arial" w:hAnsi="Arial"/>
                <w:sz w:val="14"/>
                <w:szCs w:val="14"/>
                <w:b w:val="1"/>
                <w:bCs w:val="1"/>
                <w:color w:val="auto"/>
              </w:rPr>
              <w:t>Form</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5"/>
                <w:szCs w:val="15"/>
                <w:color w:val="auto"/>
              </w:rPr>
            </w:pPr>
          </w:p>
        </w:tc>
        <w:tc>
          <w:tcPr>
            <w:tcW w:w="6380" w:type="dxa"/>
            <w:vAlign w:val="bottom"/>
            <w:gridSpan w:val="16"/>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4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95"/>
              </w:rPr>
              <w:t>3.1</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6660" w:type="dxa"/>
            <w:vAlign w:val="bottom"/>
            <w:tcBorders>
              <w:top w:val="single" w:sz="8" w:color="auto"/>
            </w:tcBorders>
            <w:gridSpan w:val="16"/>
            <w:shd w:val="clear" w:color="auto" w:fill="CCEEFF"/>
          </w:tcPr>
          <w:p>
            <w:pPr>
              <w:spacing w:after="0" w:line="179" w:lineRule="exact"/>
              <w:rPr>
                <w:rFonts w:ascii="Arial" w:cs="Arial" w:eastAsia="Arial" w:hAnsi="Arial"/>
                <w:sz w:val="18"/>
                <w:szCs w:val="18"/>
                <w:color w:val="0000FF"/>
              </w:rPr>
            </w:pPr>
            <w:hyperlink r:id="rId39">
              <w:r>
                <w:rPr>
                  <w:rFonts w:ascii="Arial" w:cs="Arial" w:eastAsia="Arial" w:hAnsi="Arial"/>
                  <w:sz w:val="18"/>
                  <w:szCs w:val="18"/>
                  <w:color w:val="0000FF"/>
                </w:rPr>
                <w:t>Restated Certificate of Incorporation of the Registrant</w:t>
              </w:r>
            </w:hyperlink>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ind w:left="215"/>
              <w:spacing w:after="0" w:line="179" w:lineRule="exact"/>
              <w:rPr>
                <w:sz w:val="20"/>
                <w:szCs w:val="20"/>
                <w:color w:val="auto"/>
              </w:rPr>
            </w:pPr>
            <w:r>
              <w:rPr>
                <w:rFonts w:ascii="Arial" w:cs="Arial" w:eastAsia="Arial" w:hAnsi="Arial"/>
                <w:sz w:val="18"/>
                <w:szCs w:val="18"/>
                <w:color w:val="auto"/>
                <w:w w:val="99"/>
              </w:rPr>
              <w:t>10-Q</w:t>
            </w: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95"/>
              </w:rPr>
              <w:t>3.1</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96"/>
              </w:rPr>
              <w:t>8/5/2024</w:t>
            </w:r>
          </w:p>
        </w:tc>
        <w:tc>
          <w:tcPr>
            <w:tcW w:w="0" w:type="dxa"/>
            <w:vAlign w:val="bottom"/>
          </w:tcPr>
          <w:p>
            <w:pPr>
              <w:spacing w:after="0"/>
              <w:rPr>
                <w:sz w:val="1"/>
                <w:szCs w:val="1"/>
                <w:color w:val="auto"/>
              </w:rPr>
            </w:pPr>
          </w:p>
        </w:tc>
      </w:tr>
      <w:tr>
        <w:trPr>
          <w:trHeight w:val="40"/>
        </w:trPr>
        <w:tc>
          <w:tcPr>
            <w:tcW w:w="10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378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6"/>
                <w:szCs w:val="16"/>
                <w:color w:val="auto"/>
              </w:rPr>
            </w:pPr>
          </w:p>
        </w:tc>
        <w:tc>
          <w:tcPr>
            <w:tcW w:w="6760" w:type="dxa"/>
            <w:vAlign w:val="bottom"/>
            <w:gridSpan w:val="17"/>
          </w:tcPr>
          <w:p>
            <w:pPr>
              <w:spacing w:after="0" w:line="186" w:lineRule="exact"/>
              <w:rPr>
                <w:rFonts w:ascii="Arial" w:cs="Arial" w:eastAsia="Arial" w:hAnsi="Arial"/>
                <w:sz w:val="18"/>
                <w:szCs w:val="18"/>
                <w:color w:val="0000FF"/>
              </w:rPr>
            </w:pPr>
            <w:hyperlink r:id="rId40">
              <w:r>
                <w:rPr>
                  <w:rFonts w:ascii="Arial" w:cs="Arial" w:eastAsia="Arial" w:hAnsi="Arial"/>
                  <w:sz w:val="18"/>
                  <w:szCs w:val="18"/>
                  <w:color w:val="0000FF"/>
                </w:rPr>
                <w:t>Amended and Restated Bylaws of the Registrant, as adopted on February 16, 2023</w:t>
              </w:r>
            </w:hyperlink>
          </w:p>
        </w:tc>
        <w:tc>
          <w:tcPr>
            <w:tcW w:w="740" w:type="dxa"/>
            <w:vAlign w:val="bottom"/>
          </w:tcPr>
          <w:p>
            <w:pPr>
              <w:jc w:val="center"/>
              <w:ind w:left="215"/>
              <w:spacing w:after="0" w:line="186" w:lineRule="exact"/>
              <w:rPr>
                <w:sz w:val="20"/>
                <w:szCs w:val="20"/>
                <w:color w:val="auto"/>
              </w:rPr>
            </w:pPr>
            <w:r>
              <w:rPr>
                <w:rFonts w:ascii="Arial" w:cs="Arial" w:eastAsia="Arial" w:hAnsi="Arial"/>
                <w:sz w:val="18"/>
                <w:szCs w:val="18"/>
                <w:color w:val="auto"/>
                <w:w w:val="99"/>
              </w:rPr>
              <w:t>8-K</w:t>
            </w:r>
          </w:p>
        </w:tc>
        <w:tc>
          <w:tcPr>
            <w:tcW w:w="1440" w:type="dxa"/>
            <w:vAlign w:val="bottom"/>
            <w:gridSpan w:val="3"/>
          </w:tcPr>
          <w:p>
            <w:pPr>
              <w:jc w:val="center"/>
              <w:ind w:left="315"/>
              <w:spacing w:after="0" w:line="186"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6"/>
                <w:szCs w:val="16"/>
                <w:color w:val="auto"/>
              </w:rPr>
            </w:pPr>
          </w:p>
        </w:tc>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9"/>
              </w:rPr>
              <w:t>2/21/2023</w:t>
            </w: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4.1</w:t>
            </w:r>
          </w:p>
        </w:tc>
        <w:tc>
          <w:tcPr>
            <w:tcW w:w="120" w:type="dxa"/>
            <w:vAlign w:val="bottom"/>
            <w:tcBorders>
              <w:right w:val="single" w:sz="8" w:color="CCEEFF"/>
            </w:tcBorders>
            <w:shd w:val="clear" w:color="auto" w:fill="CCEEFF"/>
          </w:tcPr>
          <w:p>
            <w:pPr>
              <w:spacing w:after="0"/>
              <w:rPr>
                <w:sz w:val="16"/>
                <w:szCs w:val="16"/>
                <w:color w:val="auto"/>
              </w:rPr>
            </w:pPr>
          </w:p>
        </w:tc>
        <w:tc>
          <w:tcPr>
            <w:tcW w:w="6500" w:type="dxa"/>
            <w:vAlign w:val="bottom"/>
            <w:tcBorders>
              <w:top w:val="single" w:sz="8" w:color="0000FF"/>
            </w:tcBorders>
            <w:gridSpan w:val="13"/>
            <w:shd w:val="clear" w:color="auto" w:fill="CCEEFF"/>
          </w:tcPr>
          <w:p>
            <w:pPr>
              <w:spacing w:after="0" w:line="195" w:lineRule="exact"/>
              <w:rPr>
                <w:rFonts w:ascii="Arial" w:cs="Arial" w:eastAsia="Arial" w:hAnsi="Arial"/>
                <w:sz w:val="18"/>
                <w:szCs w:val="18"/>
                <w:color w:val="0000FF"/>
              </w:rPr>
            </w:pPr>
            <w:hyperlink r:id="rId41">
              <w:r>
                <w:rPr>
                  <w:rFonts w:ascii="Arial" w:cs="Arial" w:eastAsia="Arial" w:hAnsi="Arial"/>
                  <w:sz w:val="18"/>
                  <w:szCs w:val="18"/>
                  <w:color w:val="0000FF"/>
                </w:rPr>
                <w:t>Form of Class A common stock certificate of the Registrant</w:t>
              </w:r>
            </w:hyperlink>
          </w:p>
        </w:tc>
        <w:tc>
          <w:tcPr>
            <w:tcW w:w="260" w:type="dxa"/>
            <w:vAlign w:val="bottom"/>
            <w:gridSpan w:val="4"/>
            <w:shd w:val="clear" w:color="auto" w:fill="CCEEFF"/>
          </w:tcPr>
          <w:p>
            <w:pPr>
              <w:spacing w:after="0"/>
              <w:rPr>
                <w:sz w:val="16"/>
                <w:szCs w:val="16"/>
                <w:color w:val="auto"/>
              </w:rPr>
            </w:pPr>
          </w:p>
        </w:tc>
        <w:tc>
          <w:tcPr>
            <w:tcW w:w="740" w:type="dxa"/>
            <w:vAlign w:val="bottom"/>
            <w:shd w:val="clear" w:color="auto" w:fill="CCEEFF"/>
          </w:tcPr>
          <w:p>
            <w:pPr>
              <w:jc w:val="center"/>
              <w:ind w:left="215"/>
              <w:spacing w:after="0" w:line="195" w:lineRule="exact"/>
              <w:rPr>
                <w:sz w:val="20"/>
                <w:szCs w:val="20"/>
                <w:color w:val="auto"/>
              </w:rPr>
            </w:pPr>
            <w:r>
              <w:rPr>
                <w:rFonts w:ascii="Arial" w:cs="Arial" w:eastAsia="Arial" w:hAnsi="Arial"/>
                <w:sz w:val="18"/>
                <w:szCs w:val="18"/>
                <w:color w:val="auto"/>
                <w:w w:val="99"/>
              </w:rPr>
              <w:t>S-1</w:t>
            </w:r>
          </w:p>
        </w:tc>
        <w:tc>
          <w:tcPr>
            <w:tcW w:w="1440" w:type="dxa"/>
            <w:vAlign w:val="bottom"/>
            <w:gridSpan w:val="3"/>
            <w:shd w:val="clear" w:color="auto" w:fill="CCEEFF"/>
          </w:tcPr>
          <w:p>
            <w:pPr>
              <w:jc w:val="center"/>
              <w:ind w:left="315"/>
              <w:spacing w:after="0" w:line="195"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3/3/2021</w:t>
            </w:r>
          </w:p>
        </w:tc>
        <w:tc>
          <w:tcPr>
            <w:tcW w:w="0" w:type="dxa"/>
            <w:vAlign w:val="bottom"/>
          </w:tcPr>
          <w:p>
            <w:pPr>
              <w:spacing w:after="0"/>
              <w:rPr>
                <w:sz w:val="1"/>
                <w:szCs w:val="1"/>
                <w:color w:val="auto"/>
              </w:rPr>
            </w:pPr>
          </w:p>
        </w:tc>
      </w:tr>
      <w:tr>
        <w:trPr>
          <w:trHeight w:val="40"/>
        </w:trPr>
        <w:tc>
          <w:tcPr>
            <w:tcW w:w="10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37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6"/>
                <w:szCs w:val="16"/>
                <w:color w:val="auto"/>
              </w:rPr>
            </w:pPr>
          </w:p>
        </w:tc>
        <w:tc>
          <w:tcPr>
            <w:tcW w:w="6760" w:type="dxa"/>
            <w:vAlign w:val="bottom"/>
            <w:gridSpan w:val="17"/>
          </w:tcPr>
          <w:p>
            <w:pPr>
              <w:spacing w:after="0" w:line="186" w:lineRule="exact"/>
              <w:rPr>
                <w:rFonts w:ascii="Arial" w:cs="Arial" w:eastAsia="Arial" w:hAnsi="Arial"/>
                <w:sz w:val="18"/>
                <w:szCs w:val="18"/>
                <w:color w:val="0000FF"/>
              </w:rPr>
            </w:pPr>
            <w:hyperlink r:id="rId42">
              <w:r>
                <w:rPr>
                  <w:rFonts w:ascii="Arial" w:cs="Arial" w:eastAsia="Arial" w:hAnsi="Arial"/>
                  <w:sz w:val="18"/>
                  <w:szCs w:val="18"/>
                  <w:color w:val="0000FF"/>
                </w:rPr>
                <w:t>Tenth Amended and Restated Investors’ Rights Agreement, dated February 16,</w:t>
              </w:r>
            </w:hyperlink>
          </w:p>
        </w:tc>
        <w:tc>
          <w:tcPr>
            <w:tcW w:w="740" w:type="dxa"/>
            <w:vAlign w:val="bottom"/>
          </w:tcPr>
          <w:p>
            <w:pPr>
              <w:jc w:val="center"/>
              <w:ind w:left="215"/>
              <w:spacing w:after="0" w:line="186" w:lineRule="exact"/>
              <w:rPr>
                <w:sz w:val="20"/>
                <w:szCs w:val="20"/>
                <w:color w:val="auto"/>
              </w:rPr>
            </w:pPr>
            <w:r>
              <w:rPr>
                <w:rFonts w:ascii="Arial" w:cs="Arial" w:eastAsia="Arial" w:hAnsi="Arial"/>
                <w:sz w:val="18"/>
                <w:szCs w:val="18"/>
                <w:color w:val="auto"/>
                <w:w w:val="99"/>
              </w:rPr>
              <w:t>S-1</w:t>
            </w:r>
          </w:p>
        </w:tc>
        <w:tc>
          <w:tcPr>
            <w:tcW w:w="1440" w:type="dxa"/>
            <w:vAlign w:val="bottom"/>
            <w:gridSpan w:val="3"/>
          </w:tcPr>
          <w:p>
            <w:pPr>
              <w:jc w:val="center"/>
              <w:ind w:left="315"/>
              <w:spacing w:after="0" w:line="186"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6"/>
                <w:szCs w:val="16"/>
                <w:color w:val="auto"/>
              </w:rPr>
            </w:pPr>
          </w:p>
        </w:tc>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6"/>
              </w:rPr>
              <w:t>3/3/2021</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top w:val="single" w:sz="8" w:color="0000FF"/>
            </w:tcBorders>
            <w:gridSpan w:val="8"/>
          </w:tcPr>
          <w:p>
            <w:pPr>
              <w:spacing w:after="0" w:line="152" w:lineRule="exact"/>
              <w:rPr>
                <w:rFonts w:ascii="Arial" w:cs="Arial" w:eastAsia="Arial" w:hAnsi="Arial"/>
                <w:sz w:val="17"/>
                <w:szCs w:val="17"/>
                <w:color w:val="0000FF"/>
              </w:rPr>
            </w:pPr>
            <w:hyperlink r:id="rId42">
              <w:r>
                <w:rPr>
                  <w:rFonts w:ascii="Arial" w:cs="Arial" w:eastAsia="Arial" w:hAnsi="Arial"/>
                  <w:sz w:val="17"/>
                  <w:szCs w:val="17"/>
                  <w:color w:val="0000FF"/>
                </w:rPr>
                <w:t>2021, by and among the Registrant and certain of its stockholders</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Borders>
              <w:bottom w:val="single" w:sz="8" w:color="CCEEFF"/>
            </w:tcBorders>
            <w:shd w:val="clear" w:color="auto" w:fill="CCEEFF"/>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820" w:type="dxa"/>
            <w:vAlign w:val="bottom"/>
            <w:tcBorders>
              <w:bottom w:val="single" w:sz="8" w:color="0000FF"/>
            </w:tcBorders>
            <w:gridSpan w:val="6"/>
            <w:shd w:val="clear" w:color="auto" w:fill="CCEEFF"/>
          </w:tcPr>
          <w:p>
            <w:pPr>
              <w:spacing w:after="0" w:line="186" w:lineRule="exact"/>
              <w:rPr>
                <w:rFonts w:ascii="Arial" w:cs="Arial" w:eastAsia="Arial" w:hAnsi="Arial"/>
                <w:sz w:val="18"/>
                <w:szCs w:val="18"/>
                <w:color w:val="0000FF"/>
                <w:w w:val="97"/>
              </w:rPr>
            </w:pPr>
            <w:hyperlink r:id="rId43">
              <w:r>
                <w:rPr>
                  <w:rFonts w:ascii="Arial" w:cs="Arial" w:eastAsia="Arial" w:hAnsi="Arial"/>
                  <w:sz w:val="18"/>
                  <w:szCs w:val="18"/>
                  <w:color w:val="0000FF"/>
                  <w:w w:val="97"/>
                </w:rPr>
                <w:t>Second Amendment to Second Amended and Restated Loan and Security</w:t>
              </w:r>
            </w:hyperlink>
          </w:p>
        </w:tc>
        <w:tc>
          <w:tcPr>
            <w:tcW w:w="940" w:type="dxa"/>
            <w:vAlign w:val="bottom"/>
            <w:tcBorders>
              <w:bottom w:val="single" w:sz="8" w:color="CCEEFF"/>
            </w:tcBorders>
            <w:gridSpan w:val="11"/>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center"/>
              <w:ind w:left="215"/>
              <w:spacing w:after="0" w:line="186" w:lineRule="exact"/>
              <w:rPr>
                <w:sz w:val="20"/>
                <w:szCs w:val="20"/>
                <w:color w:val="auto"/>
              </w:rPr>
            </w:pPr>
            <w:r>
              <w:rPr>
                <w:rFonts w:ascii="Arial" w:cs="Arial" w:eastAsia="Arial" w:hAnsi="Arial"/>
                <w:sz w:val="18"/>
                <w:szCs w:val="18"/>
                <w:color w:val="auto"/>
                <w:w w:val="94"/>
              </w:rPr>
              <w:t>10-K</w:t>
            </w:r>
          </w:p>
        </w:tc>
        <w:tc>
          <w:tcPr>
            <w:tcW w:w="1440" w:type="dxa"/>
            <w:vAlign w:val="bottom"/>
            <w:tcBorders>
              <w:bottom w:val="single" w:sz="8" w:color="CCEEFF"/>
            </w:tcBorders>
            <w:gridSpan w:val="3"/>
            <w:shd w:val="clear" w:color="auto" w:fill="CCEEFF"/>
          </w:tcPr>
          <w:p>
            <w:pPr>
              <w:jc w:val="center"/>
              <w:ind w:left="315"/>
              <w:spacing w:after="0" w:line="186" w:lineRule="exact"/>
              <w:rPr>
                <w:sz w:val="20"/>
                <w:szCs w:val="20"/>
                <w:color w:val="auto"/>
              </w:rPr>
            </w:pPr>
            <w:r>
              <w:rPr>
                <w:rFonts w:ascii="Arial" w:cs="Arial" w:eastAsia="Arial" w:hAnsi="Arial"/>
                <w:sz w:val="18"/>
                <w:szCs w:val="18"/>
                <w:color w:val="auto"/>
                <w:w w:val="97"/>
              </w:rPr>
              <w:t>10.13</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center"/>
              <w:spacing w:after="0" w:line="186" w:lineRule="exact"/>
              <w:rPr>
                <w:sz w:val="20"/>
                <w:szCs w:val="20"/>
                <w:color w:val="auto"/>
              </w:rPr>
            </w:pPr>
            <w:r>
              <w:rPr>
                <w:rFonts w:ascii="Arial" w:cs="Arial" w:eastAsia="Arial" w:hAnsi="Arial"/>
                <w:sz w:val="18"/>
                <w:szCs w:val="18"/>
                <w:color w:val="auto"/>
                <w:w w:val="96"/>
              </w:rPr>
              <w:t>3/2/2026</w:t>
            </w:r>
          </w:p>
        </w:tc>
        <w:tc>
          <w:tcPr>
            <w:tcW w:w="0" w:type="dxa"/>
            <w:vAlign w:val="bottom"/>
          </w:tcPr>
          <w:p>
            <w:pPr>
              <w:spacing w:after="0"/>
              <w:rPr>
                <w:sz w:val="1"/>
                <w:szCs w:val="1"/>
                <w:color w:val="auto"/>
              </w:rPr>
            </w:pPr>
          </w:p>
        </w:tc>
      </w:tr>
      <w:tr>
        <w:trPr>
          <w:trHeight w:val="152"/>
        </w:trPr>
        <w:tc>
          <w:tcPr>
            <w:tcW w:w="10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760" w:type="dxa"/>
            <w:vAlign w:val="bottom"/>
            <w:gridSpan w:val="17"/>
            <w:shd w:val="clear" w:color="auto" w:fill="CCEEFF"/>
          </w:tcPr>
          <w:p>
            <w:pPr>
              <w:spacing w:after="0" w:line="152" w:lineRule="exact"/>
              <w:rPr>
                <w:rFonts w:ascii="Arial" w:cs="Arial" w:eastAsia="Arial" w:hAnsi="Arial"/>
                <w:sz w:val="17"/>
                <w:szCs w:val="17"/>
                <w:color w:val="0000FF"/>
              </w:rPr>
            </w:pPr>
            <w:hyperlink r:id="rId43">
              <w:r>
                <w:rPr>
                  <w:rFonts w:ascii="Arial" w:cs="Arial" w:eastAsia="Arial" w:hAnsi="Arial"/>
                  <w:sz w:val="17"/>
                  <w:szCs w:val="17"/>
                  <w:color w:val="0000FF"/>
                </w:rPr>
                <w:t>Agreement, dated as of January 30, 2026, by and among ThredUp Inc., ThredUp</w:t>
              </w:r>
            </w:hyperlink>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6320" w:type="dxa"/>
            <w:vAlign w:val="bottom"/>
            <w:tcBorders>
              <w:top w:val="single" w:sz="8" w:color="0000FF"/>
            </w:tcBorders>
            <w:gridSpan w:val="11"/>
            <w:shd w:val="clear" w:color="auto" w:fill="CCEEFF"/>
          </w:tcPr>
          <w:p>
            <w:pPr>
              <w:spacing w:after="0" w:line="165" w:lineRule="exact"/>
              <w:rPr>
                <w:rFonts w:ascii="Arial" w:cs="Arial" w:eastAsia="Arial" w:hAnsi="Arial"/>
                <w:sz w:val="18"/>
                <w:szCs w:val="18"/>
                <w:color w:val="0000FF"/>
              </w:rPr>
            </w:pPr>
            <w:hyperlink r:id="rId43">
              <w:r>
                <w:rPr>
                  <w:rFonts w:ascii="Arial" w:cs="Arial" w:eastAsia="Arial" w:hAnsi="Arial"/>
                  <w:sz w:val="18"/>
                  <w:szCs w:val="18"/>
                  <w:color w:val="0000FF"/>
                </w:rPr>
                <w:t>Intermediary Holdings LLC and Knitwit GC LLC, and Western Alliance Bank.</w:t>
              </w:r>
            </w:hyperlink>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37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6"/>
                <w:szCs w:val="16"/>
                <w:color w:val="auto"/>
              </w:rPr>
            </w:pPr>
          </w:p>
        </w:tc>
        <w:tc>
          <w:tcPr>
            <w:tcW w:w="6760" w:type="dxa"/>
            <w:vAlign w:val="bottom"/>
            <w:gridSpan w:val="17"/>
          </w:tcPr>
          <w:p>
            <w:pPr>
              <w:spacing w:after="0" w:line="186" w:lineRule="exact"/>
              <w:rPr>
                <w:sz w:val="20"/>
                <w:szCs w:val="20"/>
                <w:color w:val="auto"/>
              </w:rPr>
            </w:pPr>
            <w:r>
              <w:rPr>
                <w:rFonts w:ascii="Arial" w:cs="Arial" w:eastAsia="Arial" w:hAnsi="Arial"/>
                <w:sz w:val="18"/>
                <w:szCs w:val="18"/>
                <w:color w:val="0000FF"/>
                <w:w w:val="99"/>
              </w:rPr>
              <w:t>Certification of Principal Executive Officer pursuant to Exchange Act Rules 13a-14(a)</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20" w:type="dxa"/>
            <w:vAlign w:val="bottom"/>
            <w:tcBorders>
              <w:top w:val="single" w:sz="8" w:color="0000FF"/>
            </w:tcBorders>
            <w:gridSpan w:val="15"/>
          </w:tcPr>
          <w:p>
            <w:pPr>
              <w:spacing w:after="0" w:line="152" w:lineRule="exact"/>
              <w:rPr>
                <w:sz w:val="20"/>
                <w:szCs w:val="20"/>
                <w:color w:val="auto"/>
              </w:rPr>
            </w:pPr>
            <w:r>
              <w:rPr>
                <w:rFonts w:ascii="Arial" w:cs="Arial" w:eastAsia="Arial" w:hAnsi="Arial"/>
                <w:sz w:val="17"/>
                <w:szCs w:val="17"/>
                <w:color w:val="0000FF"/>
              </w:rPr>
              <w:t>and 15d-14(a), as adopted pursuant to Section 302 of the Sarbanes-Oxley Act of</w:t>
            </w:r>
          </w:p>
        </w:tc>
        <w:tc>
          <w:tcPr>
            <w:tcW w:w="1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Borders>
              <w:top w:val="single" w:sz="8" w:color="0000FF"/>
            </w:tcBorders>
            <w:gridSpan w:val="2"/>
          </w:tcPr>
          <w:p>
            <w:pPr>
              <w:spacing w:after="0" w:line="165" w:lineRule="exact"/>
              <w:rPr>
                <w:sz w:val="20"/>
                <w:szCs w:val="20"/>
                <w:color w:val="auto"/>
              </w:rPr>
            </w:pPr>
            <w:r>
              <w:rPr>
                <w:rFonts w:ascii="Arial" w:cs="Arial" w:eastAsia="Arial" w:hAnsi="Arial"/>
                <w:sz w:val="18"/>
                <w:szCs w:val="18"/>
                <w:color w:val="0000FF"/>
              </w:rPr>
              <w:t>2002</w:t>
            </w:r>
          </w:p>
        </w:tc>
        <w:tc>
          <w:tcPr>
            <w:tcW w:w="4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31.2*</w:t>
            </w:r>
          </w:p>
        </w:tc>
        <w:tc>
          <w:tcPr>
            <w:tcW w:w="120" w:type="dxa"/>
            <w:vAlign w:val="bottom"/>
            <w:tcBorders>
              <w:right w:val="single" w:sz="8" w:color="CCEEFF"/>
            </w:tcBorders>
            <w:shd w:val="clear" w:color="auto" w:fill="CCEEFF"/>
          </w:tcPr>
          <w:p>
            <w:pPr>
              <w:spacing w:after="0"/>
              <w:rPr>
                <w:sz w:val="16"/>
                <w:szCs w:val="16"/>
                <w:color w:val="auto"/>
              </w:rPr>
            </w:pPr>
          </w:p>
        </w:tc>
        <w:tc>
          <w:tcPr>
            <w:tcW w:w="6760" w:type="dxa"/>
            <w:vAlign w:val="bottom"/>
            <w:gridSpan w:val="17"/>
            <w:shd w:val="clear" w:color="auto" w:fill="CCEEFF"/>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Exchange Act Rules 13a-14(a)</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6560" w:type="dxa"/>
            <w:vAlign w:val="bottom"/>
            <w:tcBorders>
              <w:top w:val="single" w:sz="8" w:color="0000FF"/>
            </w:tcBorders>
            <w:gridSpan w:val="14"/>
            <w:shd w:val="clear" w:color="auto" w:fill="CCEEFF"/>
          </w:tcPr>
          <w:p>
            <w:pPr>
              <w:spacing w:after="0" w:line="152" w:lineRule="exact"/>
              <w:rPr>
                <w:sz w:val="20"/>
                <w:szCs w:val="20"/>
                <w:color w:val="auto"/>
              </w:rPr>
            </w:pPr>
            <w:r>
              <w:rPr>
                <w:rFonts w:ascii="Arial" w:cs="Arial" w:eastAsia="Arial" w:hAnsi="Arial"/>
                <w:sz w:val="17"/>
                <w:szCs w:val="17"/>
                <w:color w:val="0000FF"/>
              </w:rPr>
              <w:t>and 15d-14(a), as adopted pursuant to Section 302 of the Sarbanes-Oxley Act of</w:t>
            </w:r>
          </w:p>
        </w:tc>
        <w:tc>
          <w:tcPr>
            <w:tcW w:w="200" w:type="dxa"/>
            <w:vAlign w:val="bottom"/>
            <w:tcBorders>
              <w:top w:val="single" w:sz="8" w:color="CCEEFF"/>
            </w:tcBorders>
            <w:gridSpan w:val="3"/>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160" w:type="dxa"/>
            <w:vAlign w:val="bottom"/>
            <w:tcBorders>
              <w:top w:val="single" w:sz="8" w:color="0000FF"/>
            </w:tcBorders>
            <w:gridSpan w:val="2"/>
            <w:shd w:val="clear" w:color="auto" w:fill="CCEEFF"/>
          </w:tcPr>
          <w:p>
            <w:pPr>
              <w:spacing w:after="0" w:line="165" w:lineRule="exact"/>
              <w:rPr>
                <w:sz w:val="20"/>
                <w:szCs w:val="20"/>
                <w:color w:val="auto"/>
              </w:rPr>
            </w:pPr>
            <w:r>
              <w:rPr>
                <w:rFonts w:ascii="Arial" w:cs="Arial" w:eastAsia="Arial" w:hAnsi="Arial"/>
                <w:sz w:val="18"/>
                <w:szCs w:val="18"/>
                <w:color w:val="0000FF"/>
              </w:rPr>
              <w:t>2002</w:t>
            </w:r>
          </w:p>
        </w:tc>
        <w:tc>
          <w:tcPr>
            <w:tcW w:w="42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6"/>
                <w:szCs w:val="16"/>
                <w:color w:val="auto"/>
              </w:rPr>
            </w:pPr>
          </w:p>
        </w:tc>
        <w:tc>
          <w:tcPr>
            <w:tcW w:w="6760" w:type="dxa"/>
            <w:vAlign w:val="bottom"/>
            <w:gridSpan w:val="17"/>
          </w:tcPr>
          <w:p>
            <w:pPr>
              <w:spacing w:after="0" w:line="186" w:lineRule="exact"/>
              <w:rPr>
                <w:sz w:val="20"/>
                <w:szCs w:val="20"/>
                <w:color w:val="auto"/>
              </w:rPr>
            </w:pPr>
            <w:r>
              <w:rPr>
                <w:rFonts w:ascii="Arial" w:cs="Arial" w:eastAsia="Arial" w:hAnsi="Arial"/>
                <w:sz w:val="18"/>
                <w:szCs w:val="18"/>
                <w:color w:val="0000FF"/>
              </w:rPr>
              <w:t>Certification of Principal Executive Officer pursuant to 18 U.S.C. Section 1350, as</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40" w:type="dxa"/>
            <w:vAlign w:val="bottom"/>
            <w:tcBorders>
              <w:top w:val="single" w:sz="8" w:color="0000FF"/>
            </w:tcBorders>
            <w:gridSpan w:val="12"/>
          </w:tcPr>
          <w:p>
            <w:pPr>
              <w:spacing w:after="0" w:line="152" w:lineRule="exact"/>
              <w:rPr>
                <w:sz w:val="20"/>
                <w:szCs w:val="20"/>
                <w:color w:val="auto"/>
              </w:rPr>
            </w:pPr>
            <w:r>
              <w:rPr>
                <w:rFonts w:ascii="Arial" w:cs="Arial" w:eastAsia="Arial" w:hAnsi="Arial"/>
                <w:sz w:val="17"/>
                <w:szCs w:val="17"/>
                <w:color w:val="0000FF"/>
              </w:rPr>
              <w:t>adopted pursuant to Section 906 of the Sarbanes-Oxley Act of 2002</w:t>
            </w:r>
          </w:p>
        </w:tc>
        <w:tc>
          <w:tcPr>
            <w:tcW w:w="420" w:type="dxa"/>
            <w:vAlign w:val="bottom"/>
            <w:gridSpan w:val="5"/>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32.2**</w:t>
            </w:r>
          </w:p>
        </w:tc>
        <w:tc>
          <w:tcPr>
            <w:tcW w:w="120" w:type="dxa"/>
            <w:vAlign w:val="bottom"/>
            <w:tcBorders>
              <w:right w:val="single" w:sz="8" w:color="CCEEFF"/>
            </w:tcBorders>
            <w:shd w:val="clear" w:color="auto" w:fill="CCEEFF"/>
          </w:tcPr>
          <w:p>
            <w:pPr>
              <w:spacing w:after="0"/>
              <w:rPr>
                <w:sz w:val="16"/>
                <w:szCs w:val="16"/>
                <w:color w:val="auto"/>
              </w:rPr>
            </w:pPr>
          </w:p>
        </w:tc>
        <w:tc>
          <w:tcPr>
            <w:tcW w:w="6760" w:type="dxa"/>
            <w:vAlign w:val="bottom"/>
            <w:gridSpan w:val="17"/>
            <w:shd w:val="clear" w:color="auto" w:fill="CCEEFF"/>
          </w:tcPr>
          <w:p>
            <w:pPr>
              <w:spacing w:after="0" w:line="186" w:lineRule="exact"/>
              <w:rPr>
                <w:sz w:val="20"/>
                <w:szCs w:val="20"/>
                <w:color w:val="auto"/>
              </w:rPr>
            </w:pPr>
            <w:r>
              <w:rPr>
                <w:rFonts w:ascii="Arial" w:cs="Arial" w:eastAsia="Arial" w:hAnsi="Arial"/>
                <w:sz w:val="18"/>
                <w:szCs w:val="18"/>
                <w:color w:val="0000FF"/>
              </w:rPr>
              <w:t>Certification of Principal Financial Officer pursuant to 18 U.S.C. Section 1350, as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300" w:type="dxa"/>
            <w:vAlign w:val="bottom"/>
            <w:tcBorders>
              <w:top w:val="single" w:sz="8" w:color="0000FF"/>
              <w:bottom w:val="single" w:sz="8" w:color="0000FF"/>
            </w:tcBorders>
            <w:gridSpan w:val="5"/>
            <w:shd w:val="clear" w:color="auto" w:fill="CCEEFF"/>
          </w:tcPr>
          <w:p>
            <w:pPr>
              <w:spacing w:after="0" w:line="152" w:lineRule="exact"/>
              <w:rPr>
                <w:sz w:val="20"/>
                <w:szCs w:val="20"/>
                <w:color w:val="auto"/>
              </w:rPr>
            </w:pPr>
            <w:r>
              <w:rPr>
                <w:rFonts w:ascii="Arial" w:cs="Arial" w:eastAsia="Arial" w:hAnsi="Arial"/>
                <w:sz w:val="17"/>
                <w:szCs w:val="17"/>
                <w:color w:val="0000FF"/>
              </w:rPr>
              <w:t>adopted pursuant to Section 906 of the Sarbanes-Oxley Act of 2002</w:t>
            </w:r>
          </w:p>
        </w:tc>
        <w:tc>
          <w:tcPr>
            <w:tcW w:w="98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48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60" w:type="dxa"/>
            <w:vAlign w:val="bottom"/>
            <w:gridSpan w:val="2"/>
          </w:tcPr>
          <w:p>
            <w:pPr>
              <w:jc w:val="center"/>
              <w:ind w:right="120"/>
              <w:spacing w:after="0" w:line="172" w:lineRule="exact"/>
              <w:rPr>
                <w:sz w:val="20"/>
                <w:szCs w:val="20"/>
                <w:color w:val="auto"/>
              </w:rPr>
            </w:pPr>
            <w:r>
              <w:rPr>
                <w:rFonts w:ascii="Arial" w:cs="Arial" w:eastAsia="Arial" w:hAnsi="Arial"/>
                <w:sz w:val="18"/>
                <w:szCs w:val="18"/>
                <w:color w:val="auto"/>
                <w:w w:val="99"/>
              </w:rPr>
              <w:t>101.INS*</w:t>
            </w:r>
          </w:p>
        </w:tc>
        <w:tc>
          <w:tcPr>
            <w:tcW w:w="6760" w:type="dxa"/>
            <w:vAlign w:val="bottom"/>
            <w:gridSpan w:val="17"/>
          </w:tcPr>
          <w:p>
            <w:pPr>
              <w:spacing w:after="0" w:line="172" w:lineRule="exact"/>
              <w:rPr>
                <w:sz w:val="20"/>
                <w:szCs w:val="20"/>
                <w:color w:val="auto"/>
              </w:rPr>
            </w:pPr>
            <w:r>
              <w:rPr>
                <w:rFonts w:ascii="Arial" w:cs="Arial" w:eastAsia="Arial" w:hAnsi="Arial"/>
                <w:sz w:val="18"/>
                <w:szCs w:val="18"/>
                <w:color w:val="auto"/>
              </w:rPr>
              <w:t>XBRL Instance Document – the instance document does not appear in the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60" w:type="dxa"/>
            <w:vAlign w:val="bottom"/>
            <w:gridSpan w:val="17"/>
          </w:tcPr>
          <w:p>
            <w:pPr>
              <w:spacing w:after="0" w:line="182"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6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101.SCH*</w:t>
            </w:r>
          </w:p>
        </w:tc>
        <w:tc>
          <w:tcPr>
            <w:tcW w:w="67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101.CAL*</w:t>
            </w:r>
          </w:p>
        </w:tc>
        <w:tc>
          <w:tcPr>
            <w:tcW w:w="67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101.DEF*</w:t>
            </w:r>
          </w:p>
        </w:tc>
        <w:tc>
          <w:tcPr>
            <w:tcW w:w="67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101.LAB*</w:t>
            </w:r>
          </w:p>
        </w:tc>
        <w:tc>
          <w:tcPr>
            <w:tcW w:w="67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101.PRE*</w:t>
            </w:r>
          </w:p>
        </w:tc>
        <w:tc>
          <w:tcPr>
            <w:tcW w:w="67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040" w:type="dxa"/>
            <w:vAlign w:val="bottom"/>
          </w:tcPr>
          <w:p>
            <w:pPr>
              <w:jc w:val="center"/>
              <w:spacing w:after="0" w:line="172" w:lineRule="exact"/>
              <w:rPr>
                <w:sz w:val="20"/>
                <w:szCs w:val="20"/>
                <w:color w:val="auto"/>
              </w:rPr>
            </w:pPr>
            <w:r>
              <w:rPr>
                <w:rFonts w:ascii="Arial" w:cs="Arial" w:eastAsia="Arial" w:hAnsi="Arial"/>
                <w:sz w:val="18"/>
                <w:szCs w:val="18"/>
                <w:color w:val="auto"/>
                <w:w w:val="97"/>
              </w:rPr>
              <w:t>104*</w:t>
            </w:r>
          </w:p>
        </w:tc>
        <w:tc>
          <w:tcPr>
            <w:tcW w:w="120" w:type="dxa"/>
            <w:vAlign w:val="bottom"/>
          </w:tcPr>
          <w:p>
            <w:pPr>
              <w:spacing w:after="0"/>
              <w:rPr>
                <w:sz w:val="14"/>
                <w:szCs w:val="14"/>
                <w:color w:val="auto"/>
              </w:rPr>
            </w:pPr>
          </w:p>
        </w:tc>
        <w:tc>
          <w:tcPr>
            <w:tcW w:w="6760" w:type="dxa"/>
            <w:vAlign w:val="bottom"/>
            <w:gridSpan w:val="17"/>
          </w:tcPr>
          <w:p>
            <w:pPr>
              <w:spacing w:after="0" w:line="172" w:lineRule="exact"/>
              <w:rPr>
                <w:sz w:val="20"/>
                <w:szCs w:val="20"/>
                <w:color w:val="auto"/>
              </w:rPr>
            </w:pPr>
            <w:r>
              <w:rPr>
                <w:rFonts w:ascii="Arial" w:cs="Arial" w:eastAsia="Arial" w:hAnsi="Arial"/>
                <w:sz w:val="18"/>
                <w:szCs w:val="18"/>
                <w:color w:val="auto"/>
                <w:w w:val="99"/>
              </w:rPr>
              <w:t>Cover Page Interactive Data File (formatted as inline XBRL with applicable taxonomy</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60" w:type="dxa"/>
            <w:vAlign w:val="bottom"/>
            <w:gridSpan w:val="17"/>
          </w:tcPr>
          <w:p>
            <w:pPr>
              <w:spacing w:after="0"/>
              <w:rPr>
                <w:sz w:val="20"/>
                <w:szCs w:val="20"/>
                <w:color w:val="auto"/>
              </w:rPr>
            </w:pPr>
            <w:r>
              <w:rPr>
                <w:rFonts w:ascii="Arial" w:cs="Arial" w:eastAsia="Arial" w:hAnsi="Arial"/>
                <w:sz w:val="18"/>
                <w:szCs w:val="18"/>
                <w:color w:val="auto"/>
              </w:rPr>
              <w:t>extension information contained in Exhibits 101)</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14217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275" w:lineRule="exact"/>
        <w:rPr>
          <w:sz w:val="20"/>
          <w:szCs w:val="20"/>
          <w:color w:val="auto"/>
        </w:rPr>
      </w:pPr>
    </w:p>
    <w:p>
      <w:pPr>
        <w:ind w:left="280" w:hanging="274"/>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 w:lineRule="exact"/>
        <w:rPr>
          <w:sz w:val="20"/>
          <w:szCs w:val="20"/>
          <w:color w:val="auto"/>
        </w:rPr>
      </w:pPr>
    </w:p>
    <w:p>
      <w:pPr>
        <w:ind w:left="340" w:hanging="33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THREDUP INC.</w:t>
      </w:r>
    </w:p>
    <w:p>
      <w:pPr>
        <w:spacing w:after="0" w:line="285" w:lineRule="exact"/>
        <w:rPr>
          <w:sz w:val="20"/>
          <w:szCs w:val="20"/>
          <w:color w:val="auto"/>
        </w:rPr>
      </w:pPr>
    </w:p>
    <w:tbl>
      <w:tblPr>
        <w:tblLayout w:type="fixed"/>
        <w:tblInd w:w="5640" w:type="dxa"/>
        <w:tblCellMar>
          <w:top w:w="0" w:type="dxa"/>
          <w:left w:w="0" w:type="dxa"/>
          <w:bottom w:w="0" w:type="dxa"/>
          <w:right w:w="0" w:type="dxa"/>
        </w:tblCellMar>
      </w:tblP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5"/>
        </w:trPr>
        <w:tc>
          <w:tcPr>
            <w:tcW w:w="6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5"/>
        </w:trPr>
        <w:tc>
          <w:tcPr>
            <w:tcW w:w="6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2"/>
        </w:trPr>
        <w:tc>
          <w:tcPr>
            <w:tcW w:w="6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2026</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217"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17" w:lineRule="exact"/>
        <w:rPr>
          <w:rFonts w:ascii="Arial" w:cs="Arial" w:eastAsia="Arial" w:hAnsi="Arial"/>
          <w:sz w:val="18"/>
          <w:szCs w:val="18"/>
          <w:color w:val="auto"/>
        </w:rPr>
      </w:pPr>
    </w:p>
    <w:p>
      <w:pPr>
        <w:jc w:val="both"/>
        <w:ind w:left="640" w:hanging="316"/>
        <w:spacing w:after="0" w:line="260"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640" w:right="20" w:hanging="316"/>
        <w:spacing w:after="0" w:line="304" w:lineRule="auto"/>
        <w:tabs>
          <w:tab w:leader="none" w:pos="6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7"/>
          <w:szCs w:val="17"/>
          <w:color w:val="auto"/>
        </w:rPr>
      </w:pPr>
    </w:p>
    <w:p>
      <w:pPr>
        <w:jc w:val="both"/>
        <w:ind w:left="640" w:hanging="316"/>
        <w:spacing w:after="0" w:line="260"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960" w:hanging="318"/>
        <w:spacing w:after="0" w:line="260" w:lineRule="auto"/>
        <w:tabs>
          <w:tab w:leader="none" w:pos="9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960" w:hanging="318"/>
        <w:spacing w:after="0" w:line="260" w:lineRule="auto"/>
        <w:tabs>
          <w:tab w:leader="none" w:pos="9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960" w:hanging="318"/>
        <w:spacing w:after="0" w:line="260" w:lineRule="auto"/>
        <w:tabs>
          <w:tab w:leader="none" w:pos="9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960" w:hanging="318"/>
        <w:spacing w:after="0" w:line="260" w:lineRule="auto"/>
        <w:tabs>
          <w:tab w:leader="none" w:pos="9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jc w:val="both"/>
        <w:ind w:left="640" w:hanging="316"/>
        <w:spacing w:after="0" w:line="260"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960" w:hanging="318"/>
        <w:spacing w:after="0" w:line="304" w:lineRule="auto"/>
        <w:tabs>
          <w:tab w:leader="none" w:pos="9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7"/>
          <w:szCs w:val="17"/>
          <w:color w:val="auto"/>
        </w:rPr>
      </w:pPr>
    </w:p>
    <w:p>
      <w:pPr>
        <w:ind w:left="960" w:hanging="318"/>
        <w:spacing w:after="0" w:line="274" w:lineRule="auto"/>
        <w:tabs>
          <w:tab w:leader="none" w:pos="9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5640" w:type="dxa"/>
        <w:tblCellMar>
          <w:top w:w="0" w:type="dxa"/>
          <w:left w:w="0" w:type="dxa"/>
          <w:bottom w:w="0" w:type="dxa"/>
          <w:right w:w="0" w:type="dxa"/>
        </w:tblCellMar>
      </w:tblP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15"/>
        </w:trPr>
        <w:tc>
          <w:tcPr>
            <w:tcW w:w="6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5"/>
        </w:trPr>
        <w:tc>
          <w:tcPr>
            <w:tcW w:w="6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2"/>
        </w:trPr>
        <w:tc>
          <w:tcPr>
            <w:tcW w:w="6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2026</w:t>
      </w:r>
    </w:p>
    <w:p>
      <w:pPr>
        <w:sectPr>
          <w:pgSz w:w="11900" w:h="16838" w:orient="portrait"/>
          <w:cols w:equalWidth="0" w:num="1">
            <w:col w:w="11240"/>
          </w:cols>
          <w:pgMar w:left="320" w:top="75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217"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17" w:lineRule="exact"/>
        <w:rPr>
          <w:rFonts w:ascii="Arial" w:cs="Arial" w:eastAsia="Arial" w:hAnsi="Arial"/>
          <w:sz w:val="18"/>
          <w:szCs w:val="18"/>
          <w:color w:val="auto"/>
        </w:rPr>
      </w:pPr>
    </w:p>
    <w:p>
      <w:pPr>
        <w:jc w:val="both"/>
        <w:ind w:left="640" w:hanging="316"/>
        <w:spacing w:after="0" w:line="260"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640" w:right="20" w:hanging="316"/>
        <w:spacing w:after="0" w:line="304" w:lineRule="auto"/>
        <w:tabs>
          <w:tab w:leader="none" w:pos="6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7"/>
          <w:szCs w:val="17"/>
          <w:color w:val="auto"/>
        </w:rPr>
      </w:pPr>
    </w:p>
    <w:p>
      <w:pPr>
        <w:jc w:val="both"/>
        <w:ind w:left="640" w:hanging="316"/>
        <w:spacing w:after="0" w:line="260"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960" w:hanging="318"/>
        <w:spacing w:after="0" w:line="260" w:lineRule="auto"/>
        <w:tabs>
          <w:tab w:leader="none" w:pos="9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960" w:hanging="318"/>
        <w:spacing w:after="0" w:line="260" w:lineRule="auto"/>
        <w:tabs>
          <w:tab w:leader="none" w:pos="9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960" w:hanging="318"/>
        <w:spacing w:after="0" w:line="260" w:lineRule="auto"/>
        <w:tabs>
          <w:tab w:leader="none" w:pos="9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960" w:hanging="318"/>
        <w:spacing w:after="0" w:line="260" w:lineRule="auto"/>
        <w:tabs>
          <w:tab w:leader="none" w:pos="9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jc w:val="both"/>
        <w:ind w:left="640" w:hanging="316"/>
        <w:spacing w:after="0" w:line="260"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960" w:hanging="318"/>
        <w:spacing w:after="0" w:line="304" w:lineRule="auto"/>
        <w:tabs>
          <w:tab w:leader="none" w:pos="948"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7"/>
          <w:szCs w:val="17"/>
          <w:color w:val="auto"/>
        </w:rPr>
      </w:pPr>
    </w:p>
    <w:p>
      <w:pPr>
        <w:ind w:left="960" w:hanging="318"/>
        <w:spacing w:after="0" w:line="274" w:lineRule="auto"/>
        <w:tabs>
          <w:tab w:leader="none" w:pos="9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5640" w:type="dxa"/>
        <w:tblCellMar>
          <w:top w:w="0" w:type="dxa"/>
          <w:left w:w="0" w:type="dxa"/>
          <w:bottom w:w="0" w:type="dxa"/>
          <w:right w:w="0" w:type="dxa"/>
        </w:tblCellMar>
      </w:tblP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5"/>
        </w:trPr>
        <w:tc>
          <w:tcPr>
            <w:tcW w:w="6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5"/>
        </w:trPr>
        <w:tc>
          <w:tcPr>
            <w:tcW w:w="6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2"/>
        </w:trPr>
        <w:tc>
          <w:tcPr>
            <w:tcW w:w="6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2026</w:t>
      </w:r>
    </w:p>
    <w:p>
      <w:pPr>
        <w:sectPr>
          <w:pgSz w:w="11900" w:h="16838" w:orient="portrait"/>
          <w:cols w:equalWidth="0" w:num="1">
            <w:col w:w="11240"/>
          </w:cols>
          <w:pgMar w:left="320" w:top="75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 James Reinhart, Chief Executive Officer of ThredUp Inc. (the “Company”), do hereby certify, pursuant to 18 U.S.C. Section 1350, as adopted pursuant to Section 906 of the Sarbanes-Oxley Act of 2002, that to the best of my knowledge:</w:t>
      </w:r>
    </w:p>
    <w:p>
      <w:pPr>
        <w:spacing w:after="0" w:line="163" w:lineRule="exact"/>
        <w:rPr>
          <w:sz w:val="20"/>
          <w:szCs w:val="20"/>
          <w:color w:val="auto"/>
        </w:rPr>
      </w:pPr>
    </w:p>
    <w:p>
      <w:pPr>
        <w:ind w:left="64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2026 (the “Report”) fully complies with the requirements of Section 13(a) or 15(d) of the Securities Exchange Act of 1934; and</w:t>
      </w:r>
    </w:p>
    <w:p>
      <w:pPr>
        <w:spacing w:after="0" w:line="163"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3" w:lineRule="exact"/>
        <w:rPr>
          <w:sz w:val="20"/>
          <w:szCs w:val="20"/>
          <w:color w:val="auto"/>
        </w:rPr>
      </w:pPr>
    </w:p>
    <w:tbl>
      <w:tblPr>
        <w:tblLayout w:type="fixed"/>
        <w:tblInd w:w="5640" w:type="dxa"/>
        <w:tblCellMar>
          <w:top w:w="0" w:type="dxa"/>
          <w:left w:w="0" w:type="dxa"/>
          <w:bottom w:w="0" w:type="dxa"/>
          <w:right w:w="0" w:type="dxa"/>
        </w:tblCellMar>
      </w:tblP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15"/>
        </w:trPr>
        <w:tc>
          <w:tcPr>
            <w:tcW w:w="6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5"/>
        </w:trPr>
        <w:tc>
          <w:tcPr>
            <w:tcW w:w="6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2"/>
        </w:trPr>
        <w:tc>
          <w:tcPr>
            <w:tcW w:w="6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2026</w:t>
      </w:r>
    </w:p>
    <w:p>
      <w:pPr>
        <w:sectPr>
          <w:pgSz w:w="11900" w:h="16838" w:orient="portrait"/>
          <w:cols w:equalWidth="0" w:num="1">
            <w:col w:w="11240"/>
          </w:cols>
          <w:pgMar w:left="320" w:top="75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 Sean Sobers, Chief Financial Officer of ThredUp Inc. (the “Company”), do hereby certify, pursuant to 18 U.S.C. Section 1350, as adopted pursuant to Section 906 of the Sarbanes-Oxley Act of 2002, that to the best of my knowledge:</w:t>
      </w:r>
    </w:p>
    <w:p>
      <w:pPr>
        <w:spacing w:after="0" w:line="163" w:lineRule="exact"/>
        <w:rPr>
          <w:sz w:val="20"/>
          <w:szCs w:val="20"/>
          <w:color w:val="auto"/>
        </w:rPr>
      </w:pPr>
    </w:p>
    <w:p>
      <w:pPr>
        <w:ind w:left="640" w:hanging="316"/>
        <w:spacing w:after="0" w:line="27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2026 (the “Report”) fully complies with the requirements of Section 13(a) or 15(d) of the Securities Exchange Act of 1934; and</w:t>
      </w:r>
    </w:p>
    <w:p>
      <w:pPr>
        <w:spacing w:after="0" w:line="163"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3" w:lineRule="exact"/>
        <w:rPr>
          <w:sz w:val="20"/>
          <w:szCs w:val="20"/>
          <w:color w:val="auto"/>
        </w:rPr>
      </w:pPr>
    </w:p>
    <w:tbl>
      <w:tblPr>
        <w:tblLayout w:type="fixed"/>
        <w:tblInd w:w="5640" w:type="dxa"/>
        <w:tblCellMar>
          <w:top w:w="0" w:type="dxa"/>
          <w:left w:w="0" w:type="dxa"/>
          <w:bottom w:w="0" w:type="dxa"/>
          <w:right w:w="0" w:type="dxa"/>
        </w:tblCellMar>
      </w:tblP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5"/>
        </w:trPr>
        <w:tc>
          <w:tcPr>
            <w:tcW w:w="6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5"/>
        </w:trPr>
        <w:tc>
          <w:tcPr>
            <w:tcW w:w="6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2"/>
        </w:trPr>
        <w:tc>
          <w:tcPr>
            <w:tcW w:w="6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2026</w:t>
      </w:r>
    </w:p>
    <w:sectPr>
      <w:pgSz w:w="11900" w:h="16838" w:orient="portrait"/>
      <w:cols w:equalWidth="0" w:num="1">
        <w:col w:w="11240"/>
      </w:cols>
      <w:pgMar w:left="320" w:top="7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9"/>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39" Type="http://schemas.openxmlformats.org/officeDocument/2006/relationships/hyperlink" Target="https://www.sec.gov/Archives/edgar/data/1484778/000148477824000117/ex31tdup-publiccompanyrest.htm" TargetMode="External"/><Relationship Id="rId40" Type="http://schemas.openxmlformats.org/officeDocument/2006/relationships/hyperlink" Target="https://www.sec.gov/Archives/edgar/data/1484778/000148477823000037/thredup-arpubliccompanybyl.htm" TargetMode="External"/><Relationship Id="rId41" Type="http://schemas.openxmlformats.org/officeDocument/2006/relationships/hyperlink" Target="https://www.sec.gov/Archives/edgar/data/1484778/000162828021003857/exhibit41-sx1.htm" TargetMode="External"/><Relationship Id="rId42" Type="http://schemas.openxmlformats.org/officeDocument/2006/relationships/hyperlink" Target="https://www.sec.gov/Archives/edgar/data/1484778/000162828021003857/exhibit42-sx1.htm" TargetMode="External"/><Relationship Id="rId43" Type="http://schemas.openxmlformats.org/officeDocument/2006/relationships/hyperlink" Target="https://www.sec.gov/Archives/edgar/data/1484778/000148477826000007/exhibit1013-q4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2026-05-04T15:24:12Z</dcterms:created>
  <dcterms:modified xsi:type="dcterms:W3CDTF">2026-05-04T15:24:12Z</dcterms:modified>
</cp:coreProperties>
</file>