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268605</wp:posOffset>
            </wp:positionH>
            <wp:positionV relativeFrom="page">
              <wp:posOffset>419100</wp:posOffset>
            </wp:positionV>
            <wp:extent cx="701167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1670" cy="15875"/>
                    </a:xfrm>
                    <a:prstGeom prst="rect">
                      <a:avLst/>
                    </a:prstGeom>
                    <a:noFill/>
                  </pic:spPr>
                </pic:pic>
              </a:graphicData>
            </a:graphic>
          </wp:anchor>
        </w:drawing>
        <w:t>UNITED STATES</w:t>
      </w:r>
    </w:p>
    <w:p>
      <w:pPr>
        <w:spacing w:after="0" w:line="48" w:lineRule="exact"/>
        <w:rPr>
          <w:sz w:val="24"/>
          <w:szCs w:val="24"/>
          <w:color w:val="auto"/>
        </w:rPr>
      </w:pPr>
    </w:p>
    <w:p>
      <w:pPr>
        <w:ind w:left="2540"/>
        <w:spacing w:after="0"/>
        <w:rPr>
          <w:sz w:val="20"/>
          <w:szCs w:val="20"/>
          <w:color w:val="auto"/>
        </w:rPr>
      </w:pPr>
      <w:r>
        <w:rPr>
          <w:rFonts w:ascii="Arial" w:cs="Arial" w:eastAsia="Arial" w:hAnsi="Arial"/>
          <w:sz w:val="30"/>
          <w:szCs w:val="30"/>
          <w:b w:val="1"/>
          <w:bCs w:val="1"/>
          <w:color w:val="auto"/>
        </w:rPr>
        <w:t>SECURITIES AND EXCHANGE COMMISSION</w:t>
      </w:r>
    </w:p>
    <w:p>
      <w:pPr>
        <w:spacing w:after="0" w:line="156" w:lineRule="exact"/>
        <w:rPr>
          <w:sz w:val="24"/>
          <w:szCs w:val="24"/>
          <w:color w:val="auto"/>
        </w:rPr>
      </w:pPr>
    </w:p>
    <w:p>
      <w:pPr>
        <w:jc w:val="center"/>
        <w:ind w:right="-339"/>
        <w:spacing w:after="0"/>
        <w:rPr>
          <w:sz w:val="20"/>
          <w:szCs w:val="20"/>
          <w:color w:val="auto"/>
        </w:rPr>
      </w:pPr>
      <w:r>
        <w:rPr>
          <w:rFonts w:ascii="Arial" w:cs="Arial" w:eastAsia="Arial" w:hAnsi="Arial"/>
          <w:sz w:val="24"/>
          <w:szCs w:val="24"/>
          <w:b w:val="1"/>
          <w:bCs w:val="1"/>
          <w:color w:val="auto"/>
        </w:rPr>
        <w:t>Washington, D.C. 20549</w:t>
      </w:r>
    </w:p>
    <w:p>
      <w:pPr>
        <w:spacing w:after="0" w:line="62"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08" w:lineRule="exact"/>
        <w:rPr>
          <w:sz w:val="24"/>
          <w:szCs w:val="24"/>
          <w:color w:val="auto"/>
        </w:rPr>
      </w:pPr>
    </w:p>
    <w:p>
      <w:pPr>
        <w:jc w:val="center"/>
        <w:ind w:right="-339"/>
        <w:spacing w:after="0"/>
        <w:rPr>
          <w:sz w:val="20"/>
          <w:szCs w:val="20"/>
          <w:color w:val="auto"/>
        </w:rPr>
      </w:pPr>
      <w:r>
        <w:rPr>
          <w:rFonts w:ascii="Arial" w:cs="Arial" w:eastAsia="Arial" w:hAnsi="Arial"/>
          <w:sz w:val="30"/>
          <w:szCs w:val="30"/>
          <w:b w:val="1"/>
          <w:bCs w:val="1"/>
          <w:color w:val="auto"/>
        </w:rPr>
        <w:t>FORM 10-Q</w:t>
      </w:r>
    </w:p>
    <w:p>
      <w:pPr>
        <w:spacing w:after="0" w:line="44"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(Mark One)</w:t>
      </w:r>
    </w:p>
    <w:p>
      <w:pPr>
        <w:spacing w:after="0" w:line="58" w:lineRule="exact"/>
        <w:rPr>
          <w:sz w:val="24"/>
          <w:szCs w:val="24"/>
          <w:color w:val="auto"/>
        </w:rPr>
      </w:pPr>
    </w:p>
    <w:p>
      <w:pPr>
        <w:ind w:left="3580" w:right="1960" w:hanging="3388"/>
        <w:spacing w:after="0" w:line="439" w:lineRule="auto"/>
        <w:tabs>
          <w:tab w:leader="none" w:pos="58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5"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OR</w:t>
      </w:r>
    </w:p>
    <w:p>
      <w:pPr>
        <w:spacing w:after="0" w:line="198" w:lineRule="exact"/>
        <w:rPr>
          <w:sz w:val="24"/>
          <w:szCs w:val="24"/>
          <w:color w:val="auto"/>
        </w:rPr>
      </w:pPr>
    </w:p>
    <w:p>
      <w:pPr>
        <w:ind w:left="4300" w:right="1960" w:hanging="4084"/>
        <w:spacing w:after="0" w:line="579" w:lineRule="auto"/>
        <w:tabs>
          <w:tab w:leader="none" w:pos="58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237"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Commission file number 001-40249</w:t>
      </w:r>
    </w:p>
    <w:p>
      <w:pPr>
        <w:spacing w:after="0" w:line="198"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46" w:lineRule="exact"/>
        <w:rPr>
          <w:sz w:val="24"/>
          <w:szCs w:val="24"/>
          <w:color w:val="auto"/>
        </w:rPr>
      </w:pPr>
    </w:p>
    <w:p>
      <w:pPr>
        <w:jc w:val="center"/>
        <w:ind w:right="-339"/>
        <w:spacing w:after="0"/>
        <w:rPr>
          <w:sz w:val="20"/>
          <w:szCs w:val="20"/>
          <w:color w:val="auto"/>
        </w:rPr>
      </w:pPr>
      <w:r>
        <w:rPr>
          <w:rFonts w:ascii="Arial" w:cs="Arial" w:eastAsia="Arial" w:hAnsi="Arial"/>
          <w:sz w:val="30"/>
          <w:szCs w:val="30"/>
          <w:b w:val="1"/>
          <w:bCs w:val="1"/>
          <w:color w:val="auto"/>
        </w:rPr>
        <w:t>ThredUp Inc.</w:t>
      </w:r>
    </w:p>
    <w:p>
      <w:pPr>
        <w:spacing w:after="0" w:line="88"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201" w:lineRule="exact"/>
        <w:rPr>
          <w:sz w:val="24"/>
          <w:szCs w:val="24"/>
          <w:color w:val="auto"/>
        </w:rPr>
      </w:pPr>
    </w:p>
    <w:p>
      <w:pPr>
        <w:ind w:left="3280"/>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71" w:lineRule="exact"/>
        <w:rPr>
          <w:sz w:val="24"/>
          <w:szCs w:val="24"/>
          <w:color w:val="auto"/>
        </w:rPr>
      </w:pPr>
    </w:p>
    <w:tbl>
      <w:tblPr>
        <w:tblLayout w:type="fixed"/>
        <w:tblInd w:w="560" w:type="dxa"/>
        <w:tblCellMar>
          <w:top w:w="0" w:type="dxa"/>
          <w:left w:w="0" w:type="dxa"/>
          <w:bottom w:w="0" w:type="dxa"/>
          <w:right w:w="0" w:type="dxa"/>
        </w:tblCellMar>
      </w:tblPr>
      <w:tr>
        <w:trPr>
          <w:trHeight w:val="223"/>
        </w:trPr>
        <w:tc>
          <w:tcPr>
            <w:tcW w:w="3900" w:type="dxa"/>
            <w:vAlign w:val="bottom"/>
          </w:tcPr>
          <w:p>
            <w:pPr>
              <w:jc w:val="center"/>
              <w:ind w:right="475"/>
              <w:spacing w:after="0"/>
              <w:rPr>
                <w:sz w:val="20"/>
                <w:szCs w:val="20"/>
                <w:color w:val="auto"/>
              </w:rPr>
            </w:pPr>
            <w:r>
              <w:rPr>
                <w:rFonts w:ascii="Arial" w:cs="Arial" w:eastAsia="Arial" w:hAnsi="Arial"/>
                <w:sz w:val="17"/>
                <w:szCs w:val="17"/>
                <w:b w:val="1"/>
                <w:bCs w:val="1"/>
                <w:color w:val="auto"/>
                <w:w w:val="99"/>
              </w:rPr>
              <w:t>Delaware</w:t>
            </w:r>
          </w:p>
        </w:tc>
        <w:tc>
          <w:tcPr>
            <w:tcW w:w="5280" w:type="dxa"/>
            <w:vAlign w:val="bottom"/>
          </w:tcPr>
          <w:p>
            <w:pPr>
              <w:jc w:val="right"/>
              <w:ind w:right="775"/>
              <w:spacing w:after="0"/>
              <w:rPr>
                <w:sz w:val="20"/>
                <w:szCs w:val="20"/>
                <w:color w:val="auto"/>
              </w:rPr>
            </w:pPr>
            <w:r>
              <w:rPr>
                <w:rFonts w:ascii="Arial" w:cs="Arial" w:eastAsia="Arial" w:hAnsi="Arial"/>
                <w:sz w:val="17"/>
                <w:szCs w:val="17"/>
                <w:b w:val="1"/>
                <w:bCs w:val="1"/>
                <w:color w:val="auto"/>
              </w:rPr>
              <w:t>26-4009181</w:t>
            </w:r>
          </w:p>
        </w:tc>
      </w:tr>
      <w:tr>
        <w:trPr>
          <w:trHeight w:val="190"/>
        </w:trPr>
        <w:tc>
          <w:tcPr>
            <w:tcW w:w="3900" w:type="dxa"/>
            <w:vAlign w:val="bottom"/>
          </w:tcPr>
          <w:p>
            <w:pPr>
              <w:jc w:val="center"/>
              <w:ind w:right="475"/>
              <w:spacing w:after="0" w:line="190" w:lineRule="exact"/>
              <w:rPr>
                <w:sz w:val="20"/>
                <w:szCs w:val="20"/>
                <w:color w:val="auto"/>
              </w:rPr>
            </w:pPr>
            <w:r>
              <w:rPr>
                <w:rFonts w:ascii="Arial" w:cs="Arial" w:eastAsia="Arial" w:hAnsi="Arial"/>
                <w:sz w:val="17"/>
                <w:szCs w:val="17"/>
                <w:color w:val="auto"/>
                <w:w w:val="99"/>
              </w:rPr>
              <w:t>(State or other jurisdiction of incorporation or</w:t>
            </w:r>
          </w:p>
        </w:tc>
        <w:tc>
          <w:tcPr>
            <w:tcW w:w="5280" w:type="dxa"/>
            <w:vAlign w:val="bottom"/>
          </w:tcPr>
          <w:p>
            <w:pPr>
              <w:jc w:val="center"/>
              <w:ind w:left="2575"/>
              <w:spacing w:after="0" w:line="190" w:lineRule="exact"/>
              <w:rPr>
                <w:sz w:val="20"/>
                <w:szCs w:val="20"/>
                <w:color w:val="auto"/>
              </w:rPr>
            </w:pPr>
            <w:r>
              <w:rPr>
                <w:rFonts w:ascii="Arial" w:cs="Arial" w:eastAsia="Arial" w:hAnsi="Arial"/>
                <w:sz w:val="17"/>
                <w:szCs w:val="17"/>
                <w:color w:val="auto"/>
              </w:rPr>
              <w:t>(I.R.S. Employer Identification No.)</w:t>
            </w:r>
          </w:p>
        </w:tc>
      </w:tr>
      <w:tr>
        <w:trPr>
          <w:trHeight w:val="203"/>
        </w:trPr>
        <w:tc>
          <w:tcPr>
            <w:tcW w:w="3900" w:type="dxa"/>
            <w:vAlign w:val="bottom"/>
          </w:tcPr>
          <w:p>
            <w:pPr>
              <w:ind w:left="1020"/>
              <w:spacing w:after="0"/>
              <w:rPr>
                <w:sz w:val="20"/>
                <w:szCs w:val="20"/>
                <w:color w:val="auto"/>
              </w:rPr>
            </w:pPr>
            <w:r>
              <w:rPr>
                <w:rFonts w:ascii="Arial" w:cs="Arial" w:eastAsia="Arial" w:hAnsi="Arial"/>
                <w:sz w:val="17"/>
                <w:szCs w:val="17"/>
                <w:color w:val="auto"/>
              </w:rPr>
              <w:t>organization)</w:t>
            </w:r>
          </w:p>
        </w:tc>
        <w:tc>
          <w:tcPr>
            <w:tcW w:w="5280" w:type="dxa"/>
            <w:vAlign w:val="bottom"/>
          </w:tcPr>
          <w:p>
            <w:pPr>
              <w:spacing w:after="0"/>
              <w:rPr>
                <w:sz w:val="17"/>
                <w:szCs w:val="17"/>
                <w:color w:val="auto"/>
              </w:rPr>
            </w:pPr>
          </w:p>
        </w:tc>
      </w:tr>
      <w:tr>
        <w:trPr>
          <w:trHeight w:val="241"/>
        </w:trPr>
        <w:tc>
          <w:tcPr>
            <w:tcW w:w="3900" w:type="dxa"/>
            <w:vAlign w:val="bottom"/>
          </w:tcPr>
          <w:p>
            <w:pPr>
              <w:jc w:val="center"/>
              <w:ind w:right="495"/>
              <w:spacing w:after="0"/>
              <w:rPr>
                <w:sz w:val="20"/>
                <w:szCs w:val="20"/>
                <w:color w:val="auto"/>
              </w:rPr>
            </w:pPr>
            <w:r>
              <w:rPr>
                <w:rFonts w:ascii="Arial" w:cs="Arial" w:eastAsia="Arial" w:hAnsi="Arial"/>
                <w:sz w:val="17"/>
                <w:szCs w:val="17"/>
                <w:b w:val="1"/>
                <w:bCs w:val="1"/>
                <w:color w:val="auto"/>
                <w:w w:val="98"/>
              </w:rPr>
              <w:t>969 Broadway, Suite 200</w:t>
            </w:r>
          </w:p>
        </w:tc>
        <w:tc>
          <w:tcPr>
            <w:tcW w:w="5280" w:type="dxa"/>
            <w:vAlign w:val="bottom"/>
          </w:tcPr>
          <w:p>
            <w:pPr>
              <w:spacing w:after="0"/>
              <w:rPr>
                <w:sz w:val="20"/>
                <w:szCs w:val="20"/>
                <w:color w:val="auto"/>
              </w:rPr>
            </w:pPr>
          </w:p>
        </w:tc>
      </w:tr>
      <w:tr>
        <w:trPr>
          <w:trHeight w:val="406"/>
        </w:trPr>
        <w:tc>
          <w:tcPr>
            <w:tcW w:w="3900" w:type="dxa"/>
            <w:vAlign w:val="bottom"/>
          </w:tcPr>
          <w:p>
            <w:pPr>
              <w:jc w:val="center"/>
              <w:ind w:right="495"/>
              <w:spacing w:after="0"/>
              <w:rPr>
                <w:sz w:val="20"/>
                <w:szCs w:val="20"/>
                <w:color w:val="auto"/>
              </w:rPr>
            </w:pPr>
            <w:r>
              <w:rPr>
                <w:rFonts w:ascii="Arial" w:cs="Arial" w:eastAsia="Arial" w:hAnsi="Arial"/>
                <w:sz w:val="17"/>
                <w:szCs w:val="17"/>
                <w:b w:val="1"/>
                <w:bCs w:val="1"/>
                <w:color w:val="auto"/>
                <w:w w:val="98"/>
              </w:rPr>
              <w:t>Oakland, CA</w:t>
            </w:r>
          </w:p>
        </w:tc>
        <w:tc>
          <w:tcPr>
            <w:tcW w:w="5280" w:type="dxa"/>
            <w:vAlign w:val="bottom"/>
          </w:tcPr>
          <w:p>
            <w:pPr>
              <w:jc w:val="right"/>
              <w:ind w:right="995"/>
              <w:spacing w:after="0"/>
              <w:rPr>
                <w:sz w:val="20"/>
                <w:szCs w:val="20"/>
                <w:color w:val="auto"/>
              </w:rPr>
            </w:pPr>
            <w:r>
              <w:rPr>
                <w:rFonts w:ascii="Arial" w:cs="Arial" w:eastAsia="Arial" w:hAnsi="Arial"/>
                <w:sz w:val="17"/>
                <w:szCs w:val="17"/>
                <w:b w:val="1"/>
                <w:bCs w:val="1"/>
                <w:color w:val="auto"/>
              </w:rPr>
              <w:t>94607</w:t>
            </w:r>
          </w:p>
        </w:tc>
      </w:tr>
      <w:tr>
        <w:trPr>
          <w:trHeight w:val="254"/>
        </w:trPr>
        <w:tc>
          <w:tcPr>
            <w:tcW w:w="3900" w:type="dxa"/>
            <w:vAlign w:val="bottom"/>
          </w:tcPr>
          <w:p>
            <w:pPr>
              <w:jc w:val="center"/>
              <w:ind w:right="495"/>
              <w:spacing w:after="0"/>
              <w:rPr>
                <w:sz w:val="20"/>
                <w:szCs w:val="20"/>
                <w:color w:val="auto"/>
              </w:rPr>
            </w:pPr>
            <w:r>
              <w:rPr>
                <w:rFonts w:ascii="Arial" w:cs="Arial" w:eastAsia="Arial" w:hAnsi="Arial"/>
                <w:sz w:val="17"/>
                <w:szCs w:val="17"/>
                <w:color w:val="auto"/>
                <w:w w:val="99"/>
              </w:rPr>
              <w:t>(Address of Principal Executive Offices)</w:t>
            </w:r>
          </w:p>
        </w:tc>
        <w:tc>
          <w:tcPr>
            <w:tcW w:w="5280" w:type="dxa"/>
            <w:vAlign w:val="bottom"/>
          </w:tcPr>
          <w:p>
            <w:pPr>
              <w:jc w:val="center"/>
              <w:ind w:left="2555"/>
              <w:spacing w:after="0"/>
              <w:rPr>
                <w:sz w:val="20"/>
                <w:szCs w:val="20"/>
                <w:color w:val="auto"/>
              </w:rPr>
            </w:pPr>
            <w:r>
              <w:rPr>
                <w:rFonts w:ascii="Arial" w:cs="Arial" w:eastAsia="Arial" w:hAnsi="Arial"/>
                <w:sz w:val="17"/>
                <w:szCs w:val="17"/>
                <w:color w:val="auto"/>
                <w:w w:val="99"/>
              </w:rPr>
              <w:t>(Zip Code)</w:t>
            </w:r>
          </w:p>
        </w:tc>
      </w:tr>
      <w:tr>
        <w:trPr>
          <w:trHeight w:val="317"/>
        </w:trPr>
        <w:tc>
          <w:tcPr>
            <w:tcW w:w="3900" w:type="dxa"/>
            <w:vAlign w:val="bottom"/>
          </w:tcPr>
          <w:p>
            <w:pPr>
              <w:spacing w:after="0"/>
              <w:rPr>
                <w:sz w:val="24"/>
                <w:szCs w:val="24"/>
                <w:color w:val="auto"/>
              </w:rPr>
            </w:pPr>
          </w:p>
        </w:tc>
        <w:tc>
          <w:tcPr>
            <w:tcW w:w="5280" w:type="dxa"/>
            <w:vAlign w:val="bottom"/>
          </w:tcPr>
          <w:p>
            <w:pPr>
              <w:jc w:val="right"/>
              <w:ind w:right="3455"/>
              <w:spacing w:after="0"/>
              <w:rPr>
                <w:sz w:val="20"/>
                <w:szCs w:val="20"/>
                <w:color w:val="auto"/>
              </w:rPr>
            </w:pPr>
            <w:r>
              <w:rPr>
                <w:rFonts w:ascii="Arial" w:cs="Arial" w:eastAsia="Arial" w:hAnsi="Arial"/>
                <w:sz w:val="17"/>
                <w:szCs w:val="17"/>
                <w:b w:val="1"/>
                <w:bCs w:val="1"/>
                <w:color w:val="auto"/>
              </w:rPr>
              <w:t>(415) 402-5202</w:t>
            </w:r>
          </w:p>
        </w:tc>
      </w:tr>
    </w:tbl>
    <w:p>
      <w:pPr>
        <w:spacing w:after="0" w:line="152" w:lineRule="exact"/>
        <w:rPr>
          <w:sz w:val="24"/>
          <w:szCs w:val="24"/>
          <w:color w:val="auto"/>
        </w:rPr>
      </w:pPr>
    </w:p>
    <w:p>
      <w:pPr>
        <w:jc w:val="center"/>
        <w:ind w:right="-339"/>
        <w:spacing w:after="0"/>
        <w:rPr>
          <w:sz w:val="20"/>
          <w:szCs w:val="20"/>
          <w:color w:val="auto"/>
        </w:rPr>
      </w:pPr>
      <w:r>
        <w:rPr>
          <w:rFonts w:ascii="Arial" w:cs="Arial" w:eastAsia="Arial" w:hAnsi="Arial"/>
          <w:sz w:val="17"/>
          <w:szCs w:val="17"/>
          <w:color w:val="auto"/>
        </w:rPr>
        <w:t>Registrant's telephone number, including area code</w:t>
      </w:r>
    </w:p>
    <w:p>
      <w:pPr>
        <w:spacing w:after="0" w:line="115"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______________________</w:t>
      </w:r>
    </w:p>
    <w:p>
      <w:pPr>
        <w:spacing w:after="0" w:line="167" w:lineRule="exact"/>
        <w:rPr>
          <w:sz w:val="24"/>
          <w:szCs w:val="24"/>
          <w:color w:val="auto"/>
        </w:rPr>
      </w:pPr>
    </w:p>
    <w:p>
      <w:pPr>
        <w:ind w:left="30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66" w:lineRule="exact"/>
        <w:rPr>
          <w:sz w:val="24"/>
          <w:szCs w:val="24"/>
          <w:color w:val="auto"/>
        </w:rPr>
      </w:pPr>
    </w:p>
    <w:tbl>
      <w:tblPr>
        <w:tblLayout w:type="fixed"/>
        <w:tblInd w:w="1370" w:type="dxa"/>
        <w:tblCellMar>
          <w:top w:w="0" w:type="dxa"/>
          <w:left w:w="0" w:type="dxa"/>
          <w:bottom w:w="0" w:type="dxa"/>
          <w:right w:w="0" w:type="dxa"/>
        </w:tblCellMar>
      </w:tblPr>
      <w:tr>
        <w:trPr>
          <w:trHeight w:val="202"/>
        </w:trPr>
        <w:tc>
          <w:tcPr>
            <w:tcW w:w="2960" w:type="dxa"/>
            <w:vAlign w:val="bottom"/>
            <w:tcBorders>
              <w:top w:val="single" w:sz="8" w:color="auto"/>
              <w:left w:val="single" w:sz="8" w:color="auto"/>
              <w:right w:val="single" w:sz="8" w:color="auto"/>
            </w:tcBorders>
          </w:tcPr>
          <w:p>
            <w:pPr>
              <w:spacing w:after="0"/>
              <w:rPr>
                <w:sz w:val="17"/>
                <w:szCs w:val="17"/>
                <w:color w:val="auto"/>
              </w:rPr>
            </w:pPr>
          </w:p>
        </w:tc>
        <w:tc>
          <w:tcPr>
            <w:tcW w:w="2940" w:type="dxa"/>
            <w:vAlign w:val="bottom"/>
            <w:tcBorders>
              <w:top w:val="single" w:sz="8" w:color="auto"/>
              <w:right w:val="single" w:sz="8" w:color="auto"/>
            </w:tcBorders>
          </w:tcPr>
          <w:p>
            <w:pPr>
              <w:spacing w:after="0"/>
              <w:rPr>
                <w:sz w:val="17"/>
                <w:szCs w:val="17"/>
                <w:color w:val="auto"/>
              </w:rPr>
            </w:pPr>
          </w:p>
        </w:tc>
        <w:tc>
          <w:tcPr>
            <w:tcW w:w="2960" w:type="dxa"/>
            <w:vAlign w:val="bottom"/>
            <w:tcBorders>
              <w:top w:val="single" w:sz="8" w:color="auto"/>
              <w:right w:val="single" w:sz="8" w:color="auto"/>
            </w:tcBorders>
          </w:tcPr>
          <w:p>
            <w:pPr>
              <w:jc w:val="center"/>
              <w:ind w:left="195"/>
              <w:spacing w:after="0"/>
              <w:rPr>
                <w:sz w:val="20"/>
                <w:szCs w:val="20"/>
                <w:color w:val="auto"/>
              </w:rPr>
            </w:pPr>
            <w:r>
              <w:rPr>
                <w:rFonts w:ascii="Arial" w:cs="Arial" w:eastAsia="Arial" w:hAnsi="Arial"/>
                <w:sz w:val="17"/>
                <w:szCs w:val="17"/>
                <w:color w:val="auto"/>
                <w:w w:val="99"/>
              </w:rPr>
              <w:t>Name of each exchange on which</w:t>
            </w:r>
          </w:p>
        </w:tc>
        <w:tc>
          <w:tcPr>
            <w:tcW w:w="0" w:type="dxa"/>
            <w:vAlign w:val="bottom"/>
          </w:tcPr>
          <w:p>
            <w:pPr>
              <w:spacing w:after="0"/>
              <w:rPr>
                <w:sz w:val="1"/>
                <w:szCs w:val="1"/>
                <w:color w:val="auto"/>
              </w:rPr>
            </w:pPr>
          </w:p>
        </w:tc>
      </w:tr>
      <w:tr>
        <w:trPr>
          <w:trHeight w:val="203"/>
        </w:trPr>
        <w:tc>
          <w:tcPr>
            <w:tcW w:w="2960" w:type="dxa"/>
            <w:vAlign w:val="bottom"/>
            <w:tcBorders>
              <w:left w:val="single" w:sz="8" w:color="auto"/>
              <w:bottom w:val="single" w:sz="8" w:color="auto"/>
              <w:right w:val="single" w:sz="8" w:color="auto"/>
            </w:tcBorders>
          </w:tcPr>
          <w:p>
            <w:pPr>
              <w:jc w:val="center"/>
              <w:ind w:left="215"/>
              <w:spacing w:after="0"/>
              <w:rPr>
                <w:sz w:val="20"/>
                <w:szCs w:val="20"/>
                <w:color w:val="auto"/>
              </w:rPr>
            </w:pPr>
            <w:r>
              <w:rPr>
                <w:rFonts w:ascii="Arial" w:cs="Arial" w:eastAsia="Arial" w:hAnsi="Arial"/>
                <w:sz w:val="17"/>
                <w:szCs w:val="17"/>
                <w:color w:val="auto"/>
                <w:w w:val="98"/>
              </w:rPr>
              <w:t>Title of each class</w:t>
            </w:r>
          </w:p>
        </w:tc>
        <w:tc>
          <w:tcPr>
            <w:tcW w:w="2940" w:type="dxa"/>
            <w:vAlign w:val="bottom"/>
            <w:tcBorders>
              <w:bottom w:val="single" w:sz="8" w:color="auto"/>
              <w:right w:val="single" w:sz="8" w:color="auto"/>
            </w:tcBorders>
          </w:tcPr>
          <w:p>
            <w:pPr>
              <w:jc w:val="center"/>
              <w:ind w:left="195"/>
              <w:spacing w:after="0"/>
              <w:rPr>
                <w:sz w:val="20"/>
                <w:szCs w:val="20"/>
                <w:color w:val="auto"/>
              </w:rPr>
            </w:pPr>
            <w:r>
              <w:rPr>
                <w:rFonts w:ascii="Arial" w:cs="Arial" w:eastAsia="Arial" w:hAnsi="Arial"/>
                <w:sz w:val="17"/>
                <w:szCs w:val="17"/>
                <w:color w:val="auto"/>
                <w:w w:val="99"/>
              </w:rPr>
              <w:t>Trading Symbol(s)</w:t>
            </w:r>
          </w:p>
        </w:tc>
        <w:tc>
          <w:tcPr>
            <w:tcW w:w="296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95"/>
        </w:trPr>
        <w:tc>
          <w:tcPr>
            <w:tcW w:w="2960" w:type="dxa"/>
            <w:vAlign w:val="bottom"/>
            <w:tcBorders>
              <w:left w:val="single" w:sz="8" w:color="auto"/>
              <w:right w:val="single" w:sz="8" w:color="auto"/>
            </w:tcBorders>
          </w:tcPr>
          <w:p>
            <w:pPr>
              <w:jc w:val="center"/>
              <w:ind w:left="215"/>
              <w:spacing w:after="0"/>
              <w:rPr>
                <w:sz w:val="20"/>
                <w:szCs w:val="20"/>
                <w:color w:val="auto"/>
              </w:rPr>
            </w:pPr>
            <w:r>
              <w:rPr>
                <w:rFonts w:ascii="Arial" w:cs="Arial" w:eastAsia="Arial" w:hAnsi="Arial"/>
                <w:sz w:val="17"/>
                <w:szCs w:val="17"/>
                <w:color w:val="auto"/>
                <w:w w:val="99"/>
              </w:rPr>
              <w:t>Class A common stock, $0.0001</w:t>
            </w:r>
          </w:p>
        </w:tc>
        <w:tc>
          <w:tcPr>
            <w:tcW w:w="2940" w:type="dxa"/>
            <w:vAlign w:val="bottom"/>
            <w:tcBorders>
              <w:right w:val="single" w:sz="8" w:color="auto"/>
            </w:tcBorders>
            <w:vMerge w:val="restart"/>
          </w:tcPr>
          <w:p>
            <w:pPr>
              <w:jc w:val="center"/>
              <w:ind w:left="195"/>
              <w:spacing w:after="0"/>
              <w:rPr>
                <w:sz w:val="20"/>
                <w:szCs w:val="20"/>
                <w:color w:val="auto"/>
              </w:rPr>
            </w:pPr>
            <w:r>
              <w:rPr>
                <w:rFonts w:ascii="Arial" w:cs="Arial" w:eastAsia="Arial" w:hAnsi="Arial"/>
                <w:sz w:val="17"/>
                <w:szCs w:val="17"/>
                <w:color w:val="auto"/>
                <w:w w:val="99"/>
              </w:rPr>
              <w:t>TDUP</w:t>
            </w:r>
          </w:p>
        </w:tc>
        <w:tc>
          <w:tcPr>
            <w:tcW w:w="2960" w:type="dxa"/>
            <w:vAlign w:val="bottom"/>
            <w:tcBorders>
              <w:right w:val="single" w:sz="8" w:color="auto"/>
            </w:tcBorders>
            <w:vMerge w:val="restart"/>
          </w:tcPr>
          <w:p>
            <w:pPr>
              <w:jc w:val="center"/>
              <w:ind w:left="195"/>
              <w:spacing w:after="0"/>
              <w:rPr>
                <w:sz w:val="20"/>
                <w:szCs w:val="20"/>
                <w:color w:val="auto"/>
              </w:rPr>
            </w:pPr>
            <w:r>
              <w:rPr>
                <w:rFonts w:ascii="Arial" w:cs="Arial" w:eastAsia="Arial" w:hAnsi="Arial"/>
                <w:sz w:val="17"/>
                <w:szCs w:val="17"/>
                <w:color w:val="auto"/>
                <w:w w:val="99"/>
              </w:rPr>
              <w:t>The Nasdaq Stock Market LLC</w:t>
            </w: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7"/>
                <w:szCs w:val="17"/>
                <w:color w:val="auto"/>
              </w:rPr>
              <w:t>par value per share</w:t>
            </w:r>
          </w:p>
        </w:tc>
        <w:tc>
          <w:tcPr>
            <w:tcW w:w="2940" w:type="dxa"/>
            <w:vAlign w:val="bottom"/>
            <w:tcBorders>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960" w:type="dxa"/>
            <w:vAlign w:val="bottom"/>
            <w:tcBorders>
              <w:left w:val="single" w:sz="8" w:color="auto"/>
              <w:right w:val="single" w:sz="8" w:color="auto"/>
            </w:tcBorders>
            <w:vMerge w:val="continue"/>
          </w:tcPr>
          <w:p>
            <w:pPr>
              <w:spacing w:after="0"/>
              <w:rPr>
                <w:sz w:val="7"/>
                <w:szCs w:val="7"/>
                <w:color w:val="auto"/>
              </w:rPr>
            </w:pPr>
          </w:p>
        </w:tc>
        <w:tc>
          <w:tcPr>
            <w:tcW w:w="2940" w:type="dxa"/>
            <w:vAlign w:val="bottom"/>
            <w:tcBorders>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6" w:lineRule="exact"/>
        <w:rPr>
          <w:sz w:val="24"/>
          <w:szCs w:val="24"/>
          <w:color w:val="auto"/>
        </w:rPr>
      </w:pPr>
    </w:p>
    <w:p>
      <w:pPr>
        <w:jc w:val="both"/>
        <w:ind w:right="20" w:firstLine="305"/>
        <w:spacing w:after="0" w:line="23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53" w:lineRule="exact"/>
        <w:rPr>
          <w:sz w:val="24"/>
          <w:szCs w:val="24"/>
          <w:color w:val="auto"/>
        </w:rPr>
      </w:pPr>
    </w:p>
    <w:p>
      <w:pPr>
        <w:ind w:right="60" w:firstLine="305"/>
        <w:spacing w:after="0" w:line="23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53" w:lineRule="exact"/>
        <w:rPr>
          <w:sz w:val="24"/>
          <w:szCs w:val="24"/>
          <w:color w:val="auto"/>
        </w:rPr>
      </w:pPr>
    </w:p>
    <w:p>
      <w:pPr>
        <w:jc w:val="both"/>
        <w:ind w:firstLine="305"/>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298"/>
        </w:trPr>
        <w:tc>
          <w:tcPr>
            <w:tcW w:w="30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640" w:type="dxa"/>
            <w:vAlign w:val="bottom"/>
          </w:tcPr>
          <w:p>
            <w:pPr>
              <w:ind w:left="13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20"/>
              <w:spacing w:after="0"/>
              <w:rPr>
                <w:sz w:val="20"/>
                <w:szCs w:val="20"/>
                <w:color w:val="auto"/>
              </w:rPr>
            </w:pPr>
            <w:r>
              <w:rPr>
                <w:rFonts w:ascii="Arial" w:cs="Arial" w:eastAsia="Arial" w:hAnsi="Arial"/>
                <w:sz w:val="17"/>
                <w:szCs w:val="17"/>
                <w:color w:val="auto"/>
              </w:rPr>
              <w:t>Accelerated filer</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2"/>
        </w:trPr>
        <w:tc>
          <w:tcPr>
            <w:tcW w:w="3040" w:type="dxa"/>
            <w:vAlign w:val="bottom"/>
          </w:tcPr>
          <w:p>
            <w:pPr>
              <w:spacing w:after="0"/>
              <w:rPr>
                <w:sz w:val="20"/>
                <w:szCs w:val="20"/>
                <w:color w:val="auto"/>
              </w:rPr>
            </w:pPr>
            <w:r>
              <w:rPr>
                <w:rFonts w:ascii="Arial" w:cs="Arial" w:eastAsia="Arial" w:hAnsi="Arial"/>
                <w:sz w:val="17"/>
                <w:szCs w:val="17"/>
                <w:color w:val="auto"/>
              </w:rPr>
              <w:t>Non-accelerated filer</w:t>
            </w:r>
          </w:p>
        </w:tc>
        <w:tc>
          <w:tcPr>
            <w:tcW w:w="1640" w:type="dxa"/>
            <w:vAlign w:val="bottom"/>
          </w:tcPr>
          <w:p>
            <w:pPr>
              <w:ind w:left="138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120"/>
              <w:spacing w:after="0"/>
              <w:rPr>
                <w:sz w:val="20"/>
                <w:szCs w:val="20"/>
                <w:color w:val="auto"/>
              </w:rPr>
            </w:pPr>
            <w:r>
              <w:rPr>
                <w:rFonts w:ascii="Arial" w:cs="Arial" w:eastAsia="Arial" w:hAnsi="Arial"/>
                <w:sz w:val="17"/>
                <w:szCs w:val="17"/>
                <w:color w:val="auto"/>
              </w:rPr>
              <w:t>Smaller reporting company</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5"/>
        </w:trPr>
        <w:tc>
          <w:tcPr>
            <w:tcW w:w="3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40" w:type="dxa"/>
            <w:vAlign w:val="bottom"/>
          </w:tcPr>
          <w:p>
            <w:pPr>
              <w:ind w:left="120"/>
              <w:spacing w:after="0"/>
              <w:rPr>
                <w:sz w:val="20"/>
                <w:szCs w:val="20"/>
                <w:color w:val="auto"/>
              </w:rPr>
            </w:pPr>
            <w:r>
              <w:rPr>
                <w:rFonts w:ascii="Arial" w:cs="Arial" w:eastAsia="Arial" w:hAnsi="Arial"/>
                <w:sz w:val="17"/>
                <w:szCs w:val="17"/>
                <w:color w:val="auto"/>
              </w:rPr>
              <w:t>Emerging growth company</w:t>
            </w:r>
          </w:p>
        </w:tc>
        <w:tc>
          <w:tcPr>
            <w:tcW w:w="1340" w:type="dxa"/>
            <w:vAlign w:val="bottom"/>
          </w:tcPr>
          <w:p>
            <w:pPr>
              <w:ind w:left="11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4" w:lineRule="exact"/>
        <w:rPr>
          <w:sz w:val="24"/>
          <w:szCs w:val="24"/>
          <w:color w:val="auto"/>
        </w:rPr>
      </w:pPr>
    </w:p>
    <w:p>
      <w:pPr>
        <w:ind w:right="200" w:firstLine="305"/>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20"/>
          </w:cols>
          <w:pgMar w:left="320" w:top="727" w:right="359" w:bottom="0" w:gutter="0" w:footer="0" w:header="0"/>
        </w:sectPr>
      </w:pPr>
    </w:p>
    <w:bookmarkStart w:id="1" w:name="page2"/>
    <w:bookmarkEnd w:id="1"/>
    <w:p>
      <w:pPr>
        <w:ind w:left="300"/>
        <w:spacing w:after="0" w:line="196" w:lineRule="exact"/>
        <w:tabs>
          <w:tab w:leader="none" w:pos="8980" w:val="left"/>
          <w:tab w:leader="none" w:pos="9380" w:val="left"/>
          <w:tab w:leader="none" w:pos="9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397" w:lineRule="exact"/>
        <w:rPr>
          <w:sz w:val="20"/>
          <w:szCs w:val="20"/>
          <w:color w:val="auto"/>
        </w:rPr>
      </w:pPr>
    </w:p>
    <w:p>
      <w:pPr>
        <w:ind w:firstLine="305"/>
        <w:spacing w:after="0" w:line="305" w:lineRule="auto"/>
        <w:rPr>
          <w:sz w:val="20"/>
          <w:szCs w:val="20"/>
          <w:color w:val="auto"/>
        </w:rPr>
      </w:pPr>
      <w:r>
        <w:rPr>
          <w:rFonts w:ascii="Arial" w:cs="Arial" w:eastAsia="Arial" w:hAnsi="Arial"/>
          <w:sz w:val="17"/>
          <w:szCs w:val="17"/>
          <w:color w:val="auto"/>
        </w:rPr>
        <w:t>The registrant had 52,241,001 shares of Class A common stock, $0.0001 par value per share, and 45,251,139 shares of Class B common stock, $0.0001 par value per share, outstanding as of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454025</wp:posOffset>
            </wp:positionV>
            <wp:extent cx="716597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412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136525</wp:posOffset>
            </wp:positionV>
            <wp:extent cx="714057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20"/>
          </w:cols>
          <w:pgMar w:left="320" w:top="463" w:right="459" w:bottom="1440" w:gutter="0" w:footer="0" w:header="0"/>
        </w:sectPr>
      </w:pPr>
    </w:p>
    <w:bookmarkStart w:id="2" w:name="page3"/>
    <w:bookmarkEnd w:id="2"/>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720" w:type="dxa"/>
            <w:vAlign w:val="bottom"/>
            <w:gridSpan w:val="7"/>
          </w:tcPr>
          <w:p>
            <w:pPr>
              <w:ind w:left="140"/>
              <w:spacing w:after="0"/>
              <w:rPr>
                <w:sz w:val="20"/>
                <w:szCs w:val="20"/>
                <w:color w:val="auto"/>
              </w:rPr>
            </w:pPr>
            <w:r>
              <w:rPr>
                <w:rFonts w:ascii="Arial" w:cs="Arial" w:eastAsia="Arial" w:hAnsi="Arial"/>
                <w:sz w:val="17"/>
                <w:szCs w:val="17"/>
                <w:b w:val="1"/>
                <w:bCs w:val="1"/>
                <w:color w:val="auto"/>
              </w:rPr>
              <w:t>TABLE OF CONTENTS</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3"/>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40" w:type="dxa"/>
            <w:vAlign w:val="bottom"/>
            <w:tcBorders>
              <w:bottom w:val="single" w:sz="8" w:color="auto"/>
            </w:tcBorders>
            <w:gridSpan w:val="5"/>
          </w:tcPr>
          <w:p>
            <w:pPr>
              <w:ind w:left="300"/>
              <w:spacing w:after="0"/>
              <w:rPr>
                <w:sz w:val="20"/>
                <w:szCs w:val="20"/>
                <w:color w:val="auto"/>
              </w:rPr>
            </w:pPr>
            <w:r>
              <w:rPr>
                <w:rFonts w:ascii="Arial" w:cs="Arial" w:eastAsia="Arial" w:hAnsi="Arial"/>
                <w:sz w:val="17"/>
                <w:szCs w:val="17"/>
                <w:b w:val="1"/>
                <w:bCs w:val="1"/>
                <w:color w:val="auto"/>
              </w:rPr>
              <w:t>Page</w:t>
            </w:r>
          </w:p>
        </w:tc>
      </w:tr>
      <w:tr>
        <w:trPr>
          <w:trHeight w:val="171"/>
        </w:trPr>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60" w:type="dxa"/>
            <w:vAlign w:val="bottom"/>
            <w:gridSpan w:val="10"/>
          </w:tcPr>
          <w:p>
            <w:pPr>
              <w:jc w:val="center"/>
              <w:ind w:right="3180"/>
              <w:spacing w:after="0" w:line="172" w:lineRule="exact"/>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 FINANCIAL INFORMATION</w:t>
              </w:r>
            </w:hyperlink>
          </w:p>
        </w:tc>
        <w:tc>
          <w:tcPr>
            <w:tcW w:w="560" w:type="dxa"/>
            <w:vAlign w:val="bottom"/>
            <w:gridSpan w:val="4"/>
          </w:tcPr>
          <w:p>
            <w:pPr>
              <w:jc w:val="center"/>
              <w:ind w:left="295"/>
              <w:spacing w:after="0" w:line="172" w:lineRule="exact"/>
              <w:rPr>
                <w:rFonts w:ascii="Arial" w:cs="Arial" w:eastAsia="Arial" w:hAnsi="Arial"/>
                <w:sz w:val="17"/>
                <w:szCs w:val="17"/>
                <w:color w:val="0000FF"/>
              </w:rPr>
            </w:pPr>
            <w:hyperlink w:anchor="page5">
              <w:r>
                <w:rPr>
                  <w:rFonts w:ascii="Arial" w:cs="Arial" w:eastAsia="Arial" w:hAnsi="Arial"/>
                  <w:sz w:val="17"/>
                  <w:szCs w:val="17"/>
                  <w:color w:val="0000FF"/>
                </w:rPr>
                <w:t>1</w:t>
              </w:r>
            </w:hyperlink>
          </w:p>
        </w:tc>
        <w:tc>
          <w:tcPr>
            <w:tcW w:w="380" w:type="dxa"/>
            <w:vAlign w:val="bottom"/>
          </w:tcPr>
          <w:p>
            <w:pPr>
              <w:spacing w:after="0"/>
              <w:rPr>
                <w:sz w:val="14"/>
                <w:szCs w:val="14"/>
                <w:color w:val="auto"/>
              </w:rPr>
            </w:pPr>
          </w:p>
        </w:tc>
      </w:tr>
      <w:tr>
        <w:trPr>
          <w:trHeight w:val="196"/>
        </w:trPr>
        <w:tc>
          <w:tcPr>
            <w:tcW w:w="480" w:type="dxa"/>
            <w:vAlign w:val="bottom"/>
            <w:tcBorders>
              <w:bottom w:val="single" w:sz="8" w:color="0000FF"/>
            </w:tcBorders>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Item 1.</w:t>
              </w:r>
            </w:hyperlink>
          </w:p>
        </w:tc>
        <w:tc>
          <w:tcPr>
            <w:tcW w:w="580" w:type="dxa"/>
            <w:vAlign w:val="bottom"/>
            <w:gridSpan w:val="2"/>
          </w:tcPr>
          <w:p>
            <w:pPr>
              <w:spacing w:after="0"/>
              <w:rPr>
                <w:sz w:val="17"/>
                <w:szCs w:val="17"/>
                <w:color w:val="auto"/>
              </w:rPr>
            </w:pPr>
          </w:p>
        </w:tc>
        <w:tc>
          <w:tcPr>
            <w:tcW w:w="228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6">
              <w:r>
                <w:rPr>
                  <w:rFonts w:ascii="Arial" w:cs="Arial" w:eastAsia="Arial" w:hAnsi="Arial"/>
                  <w:sz w:val="17"/>
                  <w:szCs w:val="17"/>
                  <w:color w:val="0000FF"/>
                  <w:w w:val="89"/>
                </w:rPr>
                <w:t>Financial Statements (Unaudited)</w:t>
              </w:r>
            </w:hyperlink>
          </w:p>
        </w:tc>
        <w:tc>
          <w:tcPr>
            <w:tcW w:w="880" w:type="dxa"/>
            <w:vAlign w:val="bottom"/>
            <w:gridSpan w:val="2"/>
          </w:tcPr>
          <w:p>
            <w:pPr>
              <w:spacing w:after="0"/>
              <w:rPr>
                <w:sz w:val="17"/>
                <w:szCs w:val="17"/>
                <w:color w:val="auto"/>
              </w:rPr>
            </w:pPr>
          </w:p>
        </w:tc>
        <w:tc>
          <w:tcPr>
            <w:tcW w:w="2880" w:type="dxa"/>
            <w:vAlign w:val="bottom"/>
            <w:tcBorders>
              <w:top w:val="single" w:sz="8" w:color="0000FF"/>
            </w:tcBorders>
            <w:gridSpan w:val="7"/>
          </w:tcPr>
          <w:p>
            <w:pPr>
              <w:spacing w:after="0"/>
              <w:rPr>
                <w:sz w:val="17"/>
                <w:szCs w:val="17"/>
                <w:color w:val="auto"/>
              </w:rPr>
            </w:pPr>
          </w:p>
        </w:tc>
        <w:tc>
          <w:tcPr>
            <w:tcW w:w="3180" w:type="dxa"/>
            <w:vAlign w:val="bottom"/>
            <w:gridSpan w:val="3"/>
          </w:tcPr>
          <w:p>
            <w:pPr>
              <w:spacing w:after="0"/>
              <w:rPr>
                <w:sz w:val="17"/>
                <w:szCs w:val="17"/>
                <w:color w:val="auto"/>
              </w:rPr>
            </w:pPr>
          </w:p>
        </w:tc>
        <w:tc>
          <w:tcPr>
            <w:tcW w:w="42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color w:val="0000FF"/>
              </w:rPr>
            </w:pPr>
            <w:hyperlink w:anchor="page6">
              <w:r>
                <w:rPr>
                  <w:rFonts w:ascii="Arial" w:cs="Arial" w:eastAsia="Arial" w:hAnsi="Arial"/>
                  <w:sz w:val="17"/>
                  <w:szCs w:val="17"/>
                  <w:color w:val="0000FF"/>
                </w:rPr>
                <w:t>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Balance Sheets</w:t>
              </w:r>
            </w:hyperlink>
          </w:p>
        </w:tc>
        <w:tc>
          <w:tcPr>
            <w:tcW w:w="560" w:type="dxa"/>
            <w:vAlign w:val="bottom"/>
            <w:gridSpan w:val="4"/>
          </w:tcPr>
          <w:p>
            <w:pPr>
              <w:jc w:val="center"/>
              <w:ind w:left="295"/>
              <w:spacing w:after="0"/>
              <w:rPr>
                <w:rFonts w:ascii="Arial" w:cs="Arial" w:eastAsia="Arial" w:hAnsi="Arial"/>
                <w:sz w:val="17"/>
                <w:szCs w:val="17"/>
                <w:color w:val="0000FF"/>
              </w:rPr>
            </w:pPr>
            <w:hyperlink w:anchor="page6">
              <w:r>
                <w:rPr>
                  <w:rFonts w:ascii="Arial" w:cs="Arial" w:eastAsia="Arial" w:hAnsi="Arial"/>
                  <w:sz w:val="17"/>
                  <w:szCs w:val="17"/>
                  <w:color w:val="0000FF"/>
                </w:rPr>
                <w:t>1</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0" w:type="dxa"/>
            <w:vAlign w:val="bottom"/>
            <w:tcBorders>
              <w:bottom w:val="single" w:sz="8" w:color="0000FF"/>
            </w:tcBorders>
            <w:gridSpan w:val="11"/>
          </w:tcPr>
          <w:p>
            <w:pPr>
              <w:spacing w:after="0"/>
              <w:rPr>
                <w:rFonts w:ascii="Arial" w:cs="Arial" w:eastAsia="Arial" w:hAnsi="Arial"/>
                <w:sz w:val="17"/>
                <w:szCs w:val="17"/>
                <w:color w:val="0000FF"/>
                <w:w w:val="89"/>
              </w:rPr>
            </w:pPr>
            <w:hyperlink w:anchor="page6">
              <w:r>
                <w:rPr>
                  <w:rFonts w:ascii="Arial" w:cs="Arial" w:eastAsia="Arial" w:hAnsi="Arial"/>
                  <w:sz w:val="17"/>
                  <w:szCs w:val="17"/>
                  <w:color w:val="0000FF"/>
                  <w:w w:val="89"/>
                </w:rPr>
                <w:t>Condensed Consolidated Statements of Operations</w:t>
              </w:r>
            </w:hyperlink>
          </w:p>
        </w:tc>
        <w:tc>
          <w:tcPr>
            <w:tcW w:w="5720" w:type="dxa"/>
            <w:vAlign w:val="bottom"/>
            <w:gridSpan w:val="7"/>
          </w:tcPr>
          <w:p>
            <w:pPr>
              <w:spacing w:after="0"/>
              <w:rPr>
                <w:sz w:val="17"/>
                <w:szCs w:val="17"/>
                <w:color w:val="auto"/>
              </w:rPr>
            </w:pPr>
          </w:p>
        </w:tc>
        <w:tc>
          <w:tcPr>
            <w:tcW w:w="42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rPr>
            </w:pPr>
            <w:hyperlink w:anchor="page6">
              <w:r>
                <w:rPr>
                  <w:rFonts w:ascii="Arial" w:cs="Arial" w:eastAsia="Arial" w:hAnsi="Arial"/>
                  <w:sz w:val="17"/>
                  <w:szCs w:val="17"/>
                  <w:color w:val="0000FF"/>
                </w:rPr>
                <w:t>2</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Convertible Preferred Stock and Stockholders’ Equity</w:t>
              </w:r>
            </w:hyperlink>
          </w:p>
        </w:tc>
        <w:tc>
          <w:tcPr>
            <w:tcW w:w="560" w:type="dxa"/>
            <w:vAlign w:val="bottom"/>
            <w:gridSpan w:val="4"/>
          </w:tcPr>
          <w:p>
            <w:pPr>
              <w:jc w:val="center"/>
              <w:ind w:left="295"/>
              <w:spacing w:after="0"/>
              <w:rPr>
                <w:rFonts w:ascii="Arial" w:cs="Arial" w:eastAsia="Arial" w:hAnsi="Arial"/>
                <w:sz w:val="17"/>
                <w:szCs w:val="17"/>
                <w:color w:val="0000FF"/>
              </w:rPr>
            </w:pPr>
            <w:hyperlink w:anchor="page7">
              <w:r>
                <w:rPr>
                  <w:rFonts w:ascii="Arial" w:cs="Arial" w:eastAsia="Arial" w:hAnsi="Arial"/>
                  <w:sz w:val="17"/>
                  <w:szCs w:val="17"/>
                  <w:color w:val="0000FF"/>
                </w:rPr>
                <w:t>3</w:t>
              </w:r>
            </w:hyperlink>
          </w:p>
        </w:tc>
        <w:tc>
          <w:tcPr>
            <w:tcW w:w="3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88"/>
              </w:rPr>
            </w:pPr>
            <w:hyperlink w:anchor="page10">
              <w:r>
                <w:rPr>
                  <w:rFonts w:ascii="Arial" w:cs="Arial" w:eastAsia="Arial" w:hAnsi="Arial"/>
                  <w:sz w:val="17"/>
                  <w:szCs w:val="17"/>
                  <w:color w:val="0000FF"/>
                  <w:w w:val="88"/>
                </w:rPr>
                <w:t>Condensed Consolidated Statements of Cash Flows</w:t>
              </w:r>
            </w:hyperlink>
          </w:p>
        </w:tc>
        <w:tc>
          <w:tcPr>
            <w:tcW w:w="2860" w:type="dxa"/>
            <w:vAlign w:val="bottom"/>
            <w:tcBorders>
              <w:top w:val="single" w:sz="8" w:color="0000FF"/>
            </w:tcBorders>
            <w:gridSpan w:val="6"/>
          </w:tcPr>
          <w:p>
            <w:pPr>
              <w:spacing w:after="0"/>
              <w:rPr>
                <w:sz w:val="17"/>
                <w:szCs w:val="17"/>
                <w:color w:val="auto"/>
              </w:rPr>
            </w:pPr>
          </w:p>
        </w:tc>
        <w:tc>
          <w:tcPr>
            <w:tcW w:w="286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color w:val="0000FF"/>
              </w:rPr>
            </w:pPr>
            <w:hyperlink w:anchor="page10">
              <w:r>
                <w:rPr>
                  <w:rFonts w:ascii="Arial" w:cs="Arial" w:eastAsia="Arial" w:hAnsi="Arial"/>
                  <w:sz w:val="17"/>
                  <w:szCs w:val="17"/>
                  <w:color w:val="0000FF"/>
                </w:rPr>
                <w:t>6</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gridSpan w:val="18"/>
          </w:tcPr>
          <w:p>
            <w:pPr>
              <w:spacing w:after="0"/>
              <w:rPr>
                <w:rFonts w:ascii="Arial" w:cs="Arial" w:eastAsia="Arial" w:hAnsi="Arial"/>
                <w:sz w:val="17"/>
                <w:szCs w:val="17"/>
                <w:color w:val="0000FF"/>
              </w:rPr>
            </w:pPr>
            <w:hyperlink w:anchor="page12">
              <w:r>
                <w:rPr>
                  <w:rFonts w:ascii="Arial" w:cs="Arial" w:eastAsia="Arial" w:hAnsi="Arial"/>
                  <w:sz w:val="17"/>
                  <w:szCs w:val="17"/>
                  <w:color w:val="0000FF"/>
                </w:rPr>
                <w:t>Notes to Unaudited Condensed Consolidated Financial Statements</w:t>
              </w:r>
            </w:hyperlink>
          </w:p>
        </w:tc>
        <w:tc>
          <w:tcPr>
            <w:tcW w:w="560" w:type="dxa"/>
            <w:vAlign w:val="bottom"/>
            <w:gridSpan w:val="4"/>
          </w:tcPr>
          <w:p>
            <w:pPr>
              <w:jc w:val="center"/>
              <w:ind w:left="295"/>
              <w:spacing w:after="0"/>
              <w:rPr>
                <w:rFonts w:ascii="Arial" w:cs="Arial" w:eastAsia="Arial" w:hAnsi="Arial"/>
                <w:sz w:val="17"/>
                <w:szCs w:val="17"/>
                <w:color w:val="0000FF"/>
              </w:rPr>
            </w:pPr>
            <w:hyperlink w:anchor="page12">
              <w:r>
                <w:rPr>
                  <w:rFonts w:ascii="Arial" w:cs="Arial" w:eastAsia="Arial" w:hAnsi="Arial"/>
                  <w:sz w:val="17"/>
                  <w:szCs w:val="17"/>
                  <w:color w:val="0000FF"/>
                </w:rPr>
                <w:t>8</w:t>
              </w:r>
            </w:hyperlink>
          </w:p>
        </w:tc>
        <w:tc>
          <w:tcPr>
            <w:tcW w:w="3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80" w:type="dxa"/>
            <w:vAlign w:val="bottom"/>
            <w:tcBorders>
              <w:bottom w:val="single" w:sz="8" w:color="0000FF"/>
            </w:tcBorders>
          </w:tcPr>
          <w:p>
            <w:pPr>
              <w:spacing w:after="0"/>
              <w:rPr>
                <w:rFonts w:ascii="Arial" w:cs="Arial" w:eastAsia="Arial" w:hAnsi="Arial"/>
                <w:sz w:val="17"/>
                <w:szCs w:val="17"/>
                <w:color w:val="0000FF"/>
                <w:w w:val="88"/>
              </w:rPr>
            </w:pPr>
            <w:hyperlink w:anchor="page22">
              <w:r>
                <w:rPr>
                  <w:rFonts w:ascii="Arial" w:cs="Arial" w:eastAsia="Arial" w:hAnsi="Arial"/>
                  <w:sz w:val="17"/>
                  <w:szCs w:val="17"/>
                  <w:color w:val="0000FF"/>
                  <w:w w:val="88"/>
                </w:rPr>
                <w:t>Item 2.</w:t>
              </w:r>
            </w:hyperlink>
          </w:p>
        </w:tc>
        <w:tc>
          <w:tcPr>
            <w:tcW w:w="580" w:type="dxa"/>
            <w:vAlign w:val="bottom"/>
            <w:gridSpan w:val="2"/>
          </w:tcPr>
          <w:p>
            <w:pPr>
              <w:spacing w:after="0"/>
              <w:rPr>
                <w:sz w:val="17"/>
                <w:szCs w:val="17"/>
                <w:color w:val="auto"/>
              </w:rPr>
            </w:pPr>
          </w:p>
        </w:tc>
        <w:tc>
          <w:tcPr>
            <w:tcW w:w="6060" w:type="dxa"/>
            <w:vAlign w:val="bottom"/>
            <w:tcBorders>
              <w:bottom w:val="single" w:sz="8" w:color="0000FF"/>
            </w:tcBorders>
            <w:gridSpan w:val="16"/>
          </w:tcPr>
          <w:p>
            <w:pPr>
              <w:spacing w:after="0"/>
              <w:rPr>
                <w:rFonts w:ascii="Arial" w:cs="Arial" w:eastAsia="Arial" w:hAnsi="Arial"/>
                <w:sz w:val="17"/>
                <w:szCs w:val="17"/>
                <w:color w:val="0000FF"/>
                <w:w w:val="90"/>
              </w:rPr>
            </w:pPr>
            <w:hyperlink w:anchor="page22">
              <w:r>
                <w:rPr>
                  <w:rFonts w:ascii="Arial" w:cs="Arial" w:eastAsia="Arial" w:hAnsi="Arial"/>
                  <w:sz w:val="17"/>
                  <w:szCs w:val="17"/>
                  <w:color w:val="0000FF"/>
                  <w:w w:val="90"/>
                </w:rPr>
                <w:t>Management's Discussion and Analysis of Financial Condition and Results of Operations</w:t>
              </w:r>
            </w:hyperlink>
          </w:p>
        </w:tc>
        <w:tc>
          <w:tcPr>
            <w:tcW w:w="31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7"/>
                <w:szCs w:val="17"/>
                <w:color w:val="0000FF"/>
                <w:w w:val="94"/>
              </w:rPr>
            </w:pPr>
            <w:hyperlink w:anchor="page22">
              <w:r>
                <w:rPr>
                  <w:rFonts w:ascii="Arial" w:cs="Arial" w:eastAsia="Arial" w:hAnsi="Arial"/>
                  <w:sz w:val="17"/>
                  <w:szCs w:val="17"/>
                  <w:color w:val="0000FF"/>
                  <w:w w:val="94"/>
                </w:rPr>
                <w:t>18</w:t>
              </w:r>
            </w:hyperlink>
          </w:p>
        </w:tc>
        <w:tc>
          <w:tcPr>
            <w:tcW w:w="380" w:type="dxa"/>
            <w:vAlign w:val="bottom"/>
          </w:tcPr>
          <w:p>
            <w:pPr>
              <w:spacing w:after="0"/>
              <w:rPr>
                <w:sz w:val="17"/>
                <w:szCs w:val="17"/>
                <w:color w:val="auto"/>
              </w:rPr>
            </w:pPr>
          </w:p>
        </w:tc>
      </w:tr>
      <w:tr>
        <w:trPr>
          <w:trHeight w:val="196"/>
        </w:trPr>
        <w:tc>
          <w:tcPr>
            <w:tcW w:w="480" w:type="dxa"/>
            <w:vAlign w:val="bottom"/>
          </w:tcPr>
          <w:p>
            <w:pPr>
              <w:spacing w:after="0"/>
              <w:rPr>
                <w:rFonts w:ascii="Arial" w:cs="Arial" w:eastAsia="Arial" w:hAnsi="Arial"/>
                <w:sz w:val="17"/>
                <w:szCs w:val="17"/>
                <w:color w:val="0000FF"/>
                <w:w w:val="88"/>
              </w:rPr>
            </w:pPr>
            <w:hyperlink w:anchor="page39">
              <w:r>
                <w:rPr>
                  <w:rFonts w:ascii="Arial" w:cs="Arial" w:eastAsia="Arial" w:hAnsi="Arial"/>
                  <w:sz w:val="17"/>
                  <w:szCs w:val="17"/>
                  <w:color w:val="0000FF"/>
                  <w:w w:val="88"/>
                </w:rPr>
                <w:t>Item 3.</w:t>
              </w:r>
            </w:hyperlink>
          </w:p>
        </w:tc>
        <w:tc>
          <w:tcPr>
            <w:tcW w:w="580" w:type="dxa"/>
            <w:vAlign w:val="bottom"/>
            <w:gridSpan w:val="2"/>
          </w:tcPr>
          <w:p>
            <w:pPr>
              <w:spacing w:after="0"/>
              <w:rPr>
                <w:sz w:val="17"/>
                <w:szCs w:val="17"/>
                <w:color w:val="auto"/>
              </w:rPr>
            </w:pPr>
          </w:p>
        </w:tc>
        <w:tc>
          <w:tcPr>
            <w:tcW w:w="9220" w:type="dxa"/>
            <w:vAlign w:val="bottom"/>
            <w:gridSpan w:val="18"/>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Quantitative and Qualitative Disclosures About Market Risk</w:t>
              </w:r>
            </w:hyperlink>
          </w:p>
        </w:tc>
        <w:tc>
          <w:tcPr>
            <w:tcW w:w="560" w:type="dxa"/>
            <w:vAlign w:val="bottom"/>
            <w:gridSpan w:val="4"/>
          </w:tcPr>
          <w:p>
            <w:pPr>
              <w:jc w:val="center"/>
              <w:ind w:left="295"/>
              <w:spacing w:after="0"/>
              <w:rPr>
                <w:rFonts w:ascii="Arial" w:cs="Arial" w:eastAsia="Arial" w:hAnsi="Arial"/>
                <w:sz w:val="17"/>
                <w:szCs w:val="17"/>
                <w:color w:val="0000FF"/>
                <w:w w:val="94"/>
              </w:rPr>
            </w:pPr>
            <w:hyperlink w:anchor="page39">
              <w:r>
                <w:rPr>
                  <w:rFonts w:ascii="Arial" w:cs="Arial" w:eastAsia="Arial" w:hAnsi="Arial"/>
                  <w:sz w:val="17"/>
                  <w:szCs w:val="17"/>
                  <w:color w:val="0000FF"/>
                  <w:w w:val="94"/>
                </w:rPr>
                <w:t>35</w:t>
              </w:r>
            </w:hyperlink>
          </w:p>
        </w:tc>
        <w:tc>
          <w:tcPr>
            <w:tcW w:w="380" w:type="dxa"/>
            <w:vAlign w:val="bottom"/>
          </w:tcPr>
          <w:p>
            <w:pPr>
              <w:spacing w:after="0"/>
              <w:rPr>
                <w:sz w:val="17"/>
                <w:szCs w:val="17"/>
                <w:color w:val="auto"/>
              </w:rPr>
            </w:pPr>
          </w:p>
        </w:tc>
      </w:tr>
      <w:tr>
        <w:trPr>
          <w:trHeight w:val="196"/>
        </w:trPr>
        <w:tc>
          <w:tcPr>
            <w:tcW w:w="480" w:type="dxa"/>
            <w:vAlign w:val="bottom"/>
            <w:tcBorders>
              <w:top w:val="single" w:sz="8" w:color="0000FF"/>
            </w:tcBorders>
          </w:tcPr>
          <w:p>
            <w:pPr>
              <w:spacing w:after="0"/>
              <w:rPr>
                <w:rFonts w:ascii="Arial" w:cs="Arial" w:eastAsia="Arial" w:hAnsi="Arial"/>
                <w:sz w:val="17"/>
                <w:szCs w:val="17"/>
                <w:color w:val="0000FF"/>
                <w:w w:val="88"/>
              </w:rPr>
            </w:pPr>
            <w:hyperlink w:anchor="page40">
              <w:r>
                <w:rPr>
                  <w:rFonts w:ascii="Arial" w:cs="Arial" w:eastAsia="Arial" w:hAnsi="Arial"/>
                  <w:sz w:val="17"/>
                  <w:szCs w:val="17"/>
                  <w:color w:val="0000FF"/>
                  <w:w w:val="88"/>
                </w:rPr>
                <w:t>Item 4.</w:t>
              </w:r>
            </w:hyperlink>
          </w:p>
        </w:tc>
        <w:tc>
          <w:tcPr>
            <w:tcW w:w="580" w:type="dxa"/>
            <w:vAlign w:val="bottom"/>
            <w:gridSpan w:val="2"/>
          </w:tcPr>
          <w:p>
            <w:pPr>
              <w:spacing w:after="0"/>
              <w:rPr>
                <w:sz w:val="17"/>
                <w:szCs w:val="17"/>
                <w:color w:val="auto"/>
              </w:rPr>
            </w:pPr>
          </w:p>
        </w:tc>
        <w:tc>
          <w:tcPr>
            <w:tcW w:w="4100" w:type="dxa"/>
            <w:vAlign w:val="bottom"/>
            <w:tcBorders>
              <w:top w:val="single" w:sz="8" w:color="0000FF"/>
            </w:tcBorders>
            <w:gridSpan w:val="12"/>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Controls and Procedures</w:t>
              </w:r>
            </w:hyperlink>
          </w:p>
        </w:tc>
        <w:tc>
          <w:tcPr>
            <w:tcW w:w="512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36</w:t>
              </w:r>
            </w:hyperlink>
          </w:p>
        </w:tc>
        <w:tc>
          <w:tcPr>
            <w:tcW w:w="380" w:type="dxa"/>
            <w:vAlign w:val="bottom"/>
          </w:tcPr>
          <w:p>
            <w:pPr>
              <w:spacing w:after="0"/>
              <w:rPr>
                <w:sz w:val="17"/>
                <w:szCs w:val="17"/>
                <w:color w:val="auto"/>
              </w:rPr>
            </w:pPr>
          </w:p>
        </w:tc>
      </w:tr>
      <w:tr>
        <w:trPr>
          <w:trHeight w:val="196"/>
        </w:trPr>
        <w:tc>
          <w:tcPr>
            <w:tcW w:w="4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9"/>
          </w:tcPr>
          <w:p>
            <w:pPr>
              <w:jc w:val="center"/>
              <w:ind w:right="3320"/>
              <w:spacing w:after="0"/>
              <w:rPr>
                <w:rFonts w:ascii="Arial" w:cs="Arial" w:eastAsia="Arial" w:hAnsi="Arial"/>
                <w:sz w:val="17"/>
                <w:szCs w:val="17"/>
                <w:b w:val="1"/>
                <w:bCs w:val="1"/>
                <w:color w:val="0000FF"/>
              </w:rPr>
            </w:pPr>
            <w:hyperlink w:anchor="page42">
              <w:r>
                <w:rPr>
                  <w:rFonts w:ascii="Arial" w:cs="Arial" w:eastAsia="Arial" w:hAnsi="Arial"/>
                  <w:sz w:val="17"/>
                  <w:szCs w:val="17"/>
                  <w:b w:val="1"/>
                  <w:bCs w:val="1"/>
                  <w:color w:val="0000FF"/>
                </w:rPr>
                <w:t>PART II. OTHER INFORMATION</w:t>
              </w:r>
            </w:hyperlink>
          </w:p>
        </w:tc>
        <w:tc>
          <w:tcPr>
            <w:tcW w:w="38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rFonts w:ascii="Arial" w:cs="Arial" w:eastAsia="Arial" w:hAnsi="Arial"/>
                <w:sz w:val="17"/>
                <w:szCs w:val="17"/>
                <w:color w:val="0000FF"/>
                <w:w w:val="94"/>
              </w:rPr>
            </w:pPr>
            <w:hyperlink w:anchor="page42">
              <w:r>
                <w:rPr>
                  <w:rFonts w:ascii="Arial" w:cs="Arial" w:eastAsia="Arial" w:hAnsi="Arial"/>
                  <w:sz w:val="17"/>
                  <w:szCs w:val="17"/>
                  <w:color w:val="0000FF"/>
                  <w:w w:val="94"/>
                </w:rPr>
                <w:t>38</w:t>
              </w:r>
            </w:hyperlink>
          </w:p>
        </w:tc>
        <w:tc>
          <w:tcPr>
            <w:tcW w:w="380" w:type="dxa"/>
            <w:vAlign w:val="bottom"/>
          </w:tcPr>
          <w:p>
            <w:pPr>
              <w:spacing w:after="0"/>
              <w:rPr>
                <w:sz w:val="17"/>
                <w:szCs w:val="17"/>
                <w:color w:val="auto"/>
              </w:rPr>
            </w:pPr>
          </w:p>
        </w:tc>
      </w:tr>
      <w:tr>
        <w:trPr>
          <w:trHeight w:val="196"/>
        </w:trPr>
        <w:tc>
          <w:tcPr>
            <w:tcW w:w="480" w:type="dxa"/>
            <w:vAlign w:val="bottom"/>
            <w:tcBorders>
              <w:bottom w:val="single" w:sz="8" w:color="0000FF"/>
            </w:tcBorders>
          </w:tcPr>
          <w:p>
            <w:pPr>
              <w:spacing w:after="0"/>
              <w:rPr>
                <w:rFonts w:ascii="Arial" w:cs="Arial" w:eastAsia="Arial" w:hAnsi="Arial"/>
                <w:sz w:val="17"/>
                <w:szCs w:val="17"/>
                <w:color w:val="0000FF"/>
                <w:w w:val="88"/>
              </w:rPr>
            </w:pPr>
            <w:hyperlink w:anchor="page43">
              <w:r>
                <w:rPr>
                  <w:rFonts w:ascii="Arial" w:cs="Arial" w:eastAsia="Arial" w:hAnsi="Arial"/>
                  <w:sz w:val="17"/>
                  <w:szCs w:val="17"/>
                  <w:color w:val="0000FF"/>
                  <w:w w:val="88"/>
                </w:rPr>
                <w:t>Item 1.</w:t>
              </w:r>
            </w:hyperlink>
          </w:p>
        </w:tc>
        <w:tc>
          <w:tcPr>
            <w:tcW w:w="580" w:type="dxa"/>
            <w:vAlign w:val="bottom"/>
            <w:gridSpan w:val="2"/>
          </w:tcPr>
          <w:p>
            <w:pPr>
              <w:spacing w:after="0"/>
              <w:rPr>
                <w:sz w:val="17"/>
                <w:szCs w:val="17"/>
                <w:color w:val="auto"/>
              </w:rPr>
            </w:pPr>
          </w:p>
        </w:tc>
        <w:tc>
          <w:tcPr>
            <w:tcW w:w="12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43">
              <w:r>
                <w:rPr>
                  <w:rFonts w:ascii="Arial" w:cs="Arial" w:eastAsia="Arial" w:hAnsi="Arial"/>
                  <w:sz w:val="17"/>
                  <w:szCs w:val="17"/>
                  <w:color w:val="0000FF"/>
                  <w:w w:val="88"/>
                </w:rPr>
                <w:t>Legal Proceedings</w:t>
              </w:r>
            </w:hyperlink>
          </w:p>
        </w:tc>
        <w:tc>
          <w:tcPr>
            <w:tcW w:w="2040" w:type="dxa"/>
            <w:vAlign w:val="bottom"/>
            <w:gridSpan w:val="5"/>
          </w:tcPr>
          <w:p>
            <w:pPr>
              <w:spacing w:after="0"/>
              <w:rPr>
                <w:sz w:val="17"/>
                <w:szCs w:val="17"/>
                <w:color w:val="auto"/>
              </w:rPr>
            </w:pPr>
          </w:p>
        </w:tc>
        <w:tc>
          <w:tcPr>
            <w:tcW w:w="2600" w:type="dxa"/>
            <w:vAlign w:val="bottom"/>
            <w:tcBorders>
              <w:top w:val="single" w:sz="8" w:color="0000FF"/>
            </w:tcBorders>
            <w:gridSpan w:val="5"/>
          </w:tcPr>
          <w:p>
            <w:pPr>
              <w:spacing w:after="0"/>
              <w:rPr>
                <w:sz w:val="17"/>
                <w:szCs w:val="17"/>
                <w:color w:val="auto"/>
              </w:rPr>
            </w:pPr>
          </w:p>
        </w:tc>
        <w:tc>
          <w:tcPr>
            <w:tcW w:w="33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7"/>
                <w:szCs w:val="17"/>
                <w:color w:val="0000FF"/>
                <w:w w:val="94"/>
              </w:rPr>
            </w:pPr>
            <w:hyperlink w:anchor="page43">
              <w:r>
                <w:rPr>
                  <w:rFonts w:ascii="Arial" w:cs="Arial" w:eastAsia="Arial" w:hAnsi="Arial"/>
                  <w:sz w:val="17"/>
                  <w:szCs w:val="17"/>
                  <w:color w:val="0000FF"/>
                  <w:w w:val="94"/>
                </w:rPr>
                <w:t>38</w:t>
              </w:r>
            </w:hyperlink>
          </w:p>
        </w:tc>
        <w:tc>
          <w:tcPr>
            <w:tcW w:w="380" w:type="dxa"/>
            <w:vAlign w:val="bottom"/>
          </w:tcPr>
          <w:p>
            <w:pPr>
              <w:spacing w:after="0"/>
              <w:rPr>
                <w:sz w:val="17"/>
                <w:szCs w:val="17"/>
                <w:color w:val="auto"/>
              </w:rPr>
            </w:pPr>
          </w:p>
        </w:tc>
      </w:tr>
      <w:tr>
        <w:trPr>
          <w:trHeight w:val="196"/>
        </w:trPr>
        <w:tc>
          <w:tcPr>
            <w:tcW w:w="60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43">
              <w:r>
                <w:rPr>
                  <w:rFonts w:ascii="Arial" w:cs="Arial" w:eastAsia="Arial" w:hAnsi="Arial"/>
                  <w:sz w:val="17"/>
                  <w:szCs w:val="17"/>
                  <w:color w:val="0000FF"/>
                  <w:w w:val="91"/>
                </w:rPr>
                <w:t>Item 1A.</w:t>
              </w:r>
            </w:hyperlink>
          </w:p>
        </w:tc>
        <w:tc>
          <w:tcPr>
            <w:tcW w:w="460" w:type="dxa"/>
            <w:vAlign w:val="bottom"/>
          </w:tcPr>
          <w:p>
            <w:pPr>
              <w:spacing w:after="0"/>
              <w:rPr>
                <w:sz w:val="17"/>
                <w:szCs w:val="17"/>
                <w:color w:val="auto"/>
              </w:rPr>
            </w:pPr>
          </w:p>
        </w:tc>
        <w:tc>
          <w:tcPr>
            <w:tcW w:w="860" w:type="dxa"/>
            <w:vAlign w:val="bottom"/>
            <w:tcBorders>
              <w:bottom w:val="single" w:sz="8" w:color="0000FF"/>
            </w:tcBorders>
            <w:gridSpan w:val="3"/>
          </w:tcPr>
          <w:p>
            <w:pPr>
              <w:spacing w:after="0"/>
              <w:rPr>
                <w:rFonts w:ascii="Arial" w:cs="Arial" w:eastAsia="Arial" w:hAnsi="Arial"/>
                <w:sz w:val="17"/>
                <w:szCs w:val="17"/>
                <w:color w:val="0000FF"/>
                <w:w w:val="88"/>
              </w:rPr>
            </w:pPr>
            <w:hyperlink w:anchor="page43">
              <w:r>
                <w:rPr>
                  <w:rFonts w:ascii="Arial" w:cs="Arial" w:eastAsia="Arial" w:hAnsi="Arial"/>
                  <w:sz w:val="17"/>
                  <w:szCs w:val="17"/>
                  <w:color w:val="0000FF"/>
                  <w:w w:val="88"/>
                </w:rPr>
                <w:t>Risk Factors</w:t>
              </w:r>
            </w:hyperlink>
          </w:p>
        </w:tc>
        <w:tc>
          <w:tcPr>
            <w:tcW w:w="836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7"/>
                <w:szCs w:val="17"/>
                <w:color w:val="0000FF"/>
                <w:w w:val="94"/>
              </w:rPr>
            </w:pPr>
            <w:hyperlink w:anchor="page43">
              <w:r>
                <w:rPr>
                  <w:rFonts w:ascii="Arial" w:cs="Arial" w:eastAsia="Arial" w:hAnsi="Arial"/>
                  <w:sz w:val="17"/>
                  <w:szCs w:val="17"/>
                  <w:color w:val="0000FF"/>
                  <w:w w:val="94"/>
                </w:rPr>
                <w:t>39</w:t>
              </w:r>
            </w:hyperlink>
          </w:p>
        </w:tc>
        <w:tc>
          <w:tcPr>
            <w:tcW w:w="380" w:type="dxa"/>
            <w:vAlign w:val="bottom"/>
          </w:tcPr>
          <w:p>
            <w:pPr>
              <w:spacing w:after="0"/>
              <w:rPr>
                <w:sz w:val="17"/>
                <w:szCs w:val="17"/>
                <w:color w:val="auto"/>
              </w:rPr>
            </w:pPr>
          </w:p>
        </w:tc>
      </w:tr>
      <w:tr>
        <w:trPr>
          <w:trHeight w:val="196"/>
        </w:trPr>
        <w:tc>
          <w:tcPr>
            <w:tcW w:w="480" w:type="dxa"/>
            <w:vAlign w:val="bottom"/>
            <w:tcBorders>
              <w:bottom w:val="single" w:sz="8" w:color="0000FF"/>
            </w:tcBorders>
          </w:tcPr>
          <w:p>
            <w:pPr>
              <w:spacing w:after="0"/>
              <w:rPr>
                <w:rFonts w:ascii="Arial" w:cs="Arial" w:eastAsia="Arial" w:hAnsi="Arial"/>
                <w:sz w:val="17"/>
                <w:szCs w:val="17"/>
                <w:color w:val="0000FF"/>
                <w:w w:val="88"/>
              </w:rPr>
            </w:pPr>
            <w:hyperlink w:anchor="page83">
              <w:r>
                <w:rPr>
                  <w:rFonts w:ascii="Arial" w:cs="Arial" w:eastAsia="Arial" w:hAnsi="Arial"/>
                  <w:sz w:val="17"/>
                  <w:szCs w:val="17"/>
                  <w:color w:val="0000FF"/>
                  <w:w w:val="88"/>
                </w:rPr>
                <w:t>Item 2.</w:t>
              </w:r>
            </w:hyperlink>
          </w:p>
        </w:tc>
        <w:tc>
          <w:tcPr>
            <w:tcW w:w="580" w:type="dxa"/>
            <w:vAlign w:val="bottom"/>
            <w:gridSpan w:val="2"/>
          </w:tcPr>
          <w:p>
            <w:pPr>
              <w:spacing w:after="0"/>
              <w:rPr>
                <w:sz w:val="17"/>
                <w:szCs w:val="17"/>
                <w:color w:val="auto"/>
              </w:rPr>
            </w:pPr>
          </w:p>
        </w:tc>
        <w:tc>
          <w:tcPr>
            <w:tcW w:w="4100" w:type="dxa"/>
            <w:vAlign w:val="bottom"/>
            <w:tcBorders>
              <w:bottom w:val="single" w:sz="8" w:color="0000FF"/>
            </w:tcBorders>
            <w:gridSpan w:val="12"/>
          </w:tcPr>
          <w:p>
            <w:pPr>
              <w:spacing w:after="0"/>
              <w:rPr>
                <w:rFonts w:ascii="Arial" w:cs="Arial" w:eastAsia="Arial" w:hAnsi="Arial"/>
                <w:sz w:val="17"/>
                <w:szCs w:val="17"/>
                <w:color w:val="0000FF"/>
                <w:w w:val="89"/>
              </w:rPr>
            </w:pPr>
            <w:hyperlink w:anchor="page83">
              <w:r>
                <w:rPr>
                  <w:rFonts w:ascii="Arial" w:cs="Arial" w:eastAsia="Arial" w:hAnsi="Arial"/>
                  <w:sz w:val="17"/>
                  <w:szCs w:val="17"/>
                  <w:color w:val="0000FF"/>
                  <w:w w:val="89"/>
                </w:rPr>
                <w:t>Unregistered Sales of Equity Securities and Use of Proceeds</w:t>
              </w:r>
            </w:hyperlink>
          </w:p>
        </w:tc>
        <w:tc>
          <w:tcPr>
            <w:tcW w:w="512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7"/>
                <w:szCs w:val="17"/>
                <w:color w:val="0000FF"/>
                <w:w w:val="94"/>
              </w:rPr>
            </w:pPr>
            <w:hyperlink w:anchor="page83">
              <w:r>
                <w:rPr>
                  <w:rFonts w:ascii="Arial" w:cs="Arial" w:eastAsia="Arial" w:hAnsi="Arial"/>
                  <w:sz w:val="17"/>
                  <w:szCs w:val="17"/>
                  <w:color w:val="0000FF"/>
                  <w:w w:val="94"/>
                </w:rPr>
                <w:t>79</w:t>
              </w:r>
            </w:hyperlink>
          </w:p>
        </w:tc>
        <w:tc>
          <w:tcPr>
            <w:tcW w:w="380" w:type="dxa"/>
            <w:vAlign w:val="bottom"/>
          </w:tcPr>
          <w:p>
            <w:pPr>
              <w:spacing w:after="0"/>
              <w:rPr>
                <w:sz w:val="17"/>
                <w:szCs w:val="17"/>
                <w:color w:val="auto"/>
              </w:rPr>
            </w:pPr>
          </w:p>
        </w:tc>
      </w:tr>
      <w:tr>
        <w:trPr>
          <w:trHeight w:val="196"/>
        </w:trPr>
        <w:tc>
          <w:tcPr>
            <w:tcW w:w="480" w:type="dxa"/>
            <w:vAlign w:val="bottom"/>
          </w:tcPr>
          <w:p>
            <w:pPr>
              <w:spacing w:after="0"/>
              <w:rPr>
                <w:rFonts w:ascii="Arial" w:cs="Arial" w:eastAsia="Arial" w:hAnsi="Arial"/>
                <w:sz w:val="17"/>
                <w:szCs w:val="17"/>
                <w:color w:val="0000FF"/>
                <w:w w:val="88"/>
              </w:rPr>
            </w:pPr>
            <w:hyperlink w:anchor="page84">
              <w:r>
                <w:rPr>
                  <w:rFonts w:ascii="Arial" w:cs="Arial" w:eastAsia="Arial" w:hAnsi="Arial"/>
                  <w:sz w:val="17"/>
                  <w:szCs w:val="17"/>
                  <w:color w:val="0000FF"/>
                  <w:w w:val="88"/>
                </w:rPr>
                <w:t>Item 6.</w:t>
              </w:r>
            </w:hyperlink>
          </w:p>
        </w:tc>
        <w:tc>
          <w:tcPr>
            <w:tcW w:w="580" w:type="dxa"/>
            <w:vAlign w:val="bottom"/>
            <w:gridSpan w:val="2"/>
          </w:tcPr>
          <w:p>
            <w:pPr>
              <w:spacing w:after="0"/>
              <w:rPr>
                <w:sz w:val="17"/>
                <w:szCs w:val="17"/>
                <w:color w:val="auto"/>
              </w:rPr>
            </w:pPr>
          </w:p>
        </w:tc>
        <w:tc>
          <w:tcPr>
            <w:tcW w:w="9220" w:type="dxa"/>
            <w:vAlign w:val="bottom"/>
            <w:gridSpan w:val="18"/>
          </w:tcPr>
          <w:p>
            <w:pPr>
              <w:spacing w:after="0"/>
              <w:rPr>
                <w:rFonts w:ascii="Arial" w:cs="Arial" w:eastAsia="Arial" w:hAnsi="Arial"/>
                <w:sz w:val="17"/>
                <w:szCs w:val="17"/>
                <w:color w:val="0000FF"/>
              </w:rPr>
            </w:pPr>
            <w:hyperlink w:anchor="page84">
              <w:r>
                <w:rPr>
                  <w:rFonts w:ascii="Arial" w:cs="Arial" w:eastAsia="Arial" w:hAnsi="Arial"/>
                  <w:sz w:val="17"/>
                  <w:szCs w:val="17"/>
                  <w:color w:val="0000FF"/>
                </w:rPr>
                <w:t>Exhibits</w:t>
              </w:r>
            </w:hyperlink>
          </w:p>
        </w:tc>
        <w:tc>
          <w:tcPr>
            <w:tcW w:w="560" w:type="dxa"/>
            <w:vAlign w:val="bottom"/>
            <w:gridSpan w:val="4"/>
          </w:tcPr>
          <w:p>
            <w:pPr>
              <w:jc w:val="center"/>
              <w:ind w:left="295"/>
              <w:spacing w:after="0"/>
              <w:rPr>
                <w:rFonts w:ascii="Arial" w:cs="Arial" w:eastAsia="Arial" w:hAnsi="Arial"/>
                <w:sz w:val="17"/>
                <w:szCs w:val="17"/>
                <w:color w:val="0000FF"/>
                <w:w w:val="94"/>
              </w:rPr>
            </w:pPr>
            <w:hyperlink w:anchor="page84">
              <w:r>
                <w:rPr>
                  <w:rFonts w:ascii="Arial" w:cs="Arial" w:eastAsia="Arial" w:hAnsi="Arial"/>
                  <w:sz w:val="17"/>
                  <w:szCs w:val="17"/>
                  <w:color w:val="0000FF"/>
                  <w:w w:val="94"/>
                </w:rPr>
                <w:t>80</w:t>
              </w:r>
            </w:hyperlink>
          </w:p>
        </w:tc>
        <w:tc>
          <w:tcPr>
            <w:tcW w:w="3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bottom w:val="single" w:sz="8" w:color="0000FF"/>
            </w:tcBorders>
            <w:gridSpan w:val="2"/>
          </w:tcPr>
          <w:p>
            <w:pPr>
              <w:spacing w:after="0"/>
              <w:rPr>
                <w:rFonts w:ascii="Arial" w:cs="Arial" w:eastAsia="Arial" w:hAnsi="Arial"/>
                <w:sz w:val="17"/>
                <w:szCs w:val="17"/>
                <w:color w:val="0000FF"/>
                <w:w w:val="86"/>
              </w:rPr>
            </w:pPr>
            <w:hyperlink w:anchor="page86">
              <w:r>
                <w:rPr>
                  <w:rFonts w:ascii="Arial" w:cs="Arial" w:eastAsia="Arial" w:hAnsi="Arial"/>
                  <w:sz w:val="17"/>
                  <w:szCs w:val="17"/>
                  <w:color w:val="0000FF"/>
                  <w:w w:val="86"/>
                </w:rPr>
                <w:t>Signatures</w:t>
              </w:r>
            </w:hyperlink>
          </w:p>
        </w:tc>
        <w:tc>
          <w:tcPr>
            <w:tcW w:w="8500" w:type="dxa"/>
            <w:vAlign w:val="bottom"/>
            <w:gridSpan w:val="16"/>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7"/>
                <w:szCs w:val="17"/>
                <w:color w:val="0000FF"/>
                <w:w w:val="94"/>
              </w:rPr>
            </w:pPr>
            <w:hyperlink w:anchor="page86">
              <w:r>
                <w:rPr>
                  <w:rFonts w:ascii="Arial" w:cs="Arial" w:eastAsia="Arial" w:hAnsi="Arial"/>
                  <w:sz w:val="17"/>
                  <w:szCs w:val="17"/>
                  <w:color w:val="0000FF"/>
                  <w:w w:val="94"/>
                </w:rPr>
                <w:t>82</w:t>
              </w:r>
            </w:hyperlink>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153670</wp:posOffset>
            </wp:positionV>
            <wp:extent cx="716597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48" w:lineRule="exact"/>
        <w:rPr>
          <w:sz w:val="20"/>
          <w:szCs w:val="20"/>
          <w:color w:val="auto"/>
        </w:rPr>
      </w:pPr>
    </w:p>
    <w:p>
      <w:pPr>
        <w:ind w:left="620" w:hanging="314"/>
        <w:spacing w:after="0" w:line="25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revenue, cost of revenue and operating expenses and our ability to achieve and maintain future profitability;</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sufficiency of our cash, cash equivalents and capital resources to meet our liquidity needs;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or sustain our growth and to effectively expand our operations;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strategies, plans, objectives and goals, including our expectations regarding future infrastructure investments;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buyers and sellers and the continued impact of network effects as we scale our platform;</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generate revenue from new RaaS offerings that are our future sources of revenue;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trends in our key financial and operating metrics;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estimated market opportunity;</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and industry trends, projected growth or trend analysis;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laws and regulations;</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and recovery therefrom on U.S. and global economies, our business, results of operations, financial condition, demand for secondhand items, sales cycles and buyer and seller retention;</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remediate our material weakness in our internal control over financial reporting;</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integrate and realize the benefits of our past or future strategic acquisitions or investments; 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increased expenses associated with being a public company.</w:t>
      </w:r>
    </w:p>
    <w:p>
      <w:pPr>
        <w:spacing w:after="0" w:line="16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You should not rely upon forward-looking statements as predictions of future events. The outcome of the events described in these forward-looking statements is subject to risks, uncertainties and other factors described in the section titled “Risk Factors” and elsewhere in this Quarterly Report on Form 10-Q.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6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Unless otherwise indicated or unless the context requires otherwise, all references in this document to “thredUP”, “the Company”, “we”, “us”, “our”, or similar references are to ThredUp Inc.</w:t>
      </w:r>
    </w:p>
    <w:p>
      <w:pPr>
        <w:spacing w:after="0" w:line="13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based primarily on items processed, items sold and the capacity of our distribution centers.</w:t>
      </w:r>
    </w:p>
    <w:p>
      <w:pPr>
        <w:spacing w:after="0" w:line="13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PART I. FINANCIAL INFORMATION.</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9"/>
        </w:trPr>
        <w:tc>
          <w:tcPr>
            <w:tcW w:w="77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77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64,485</w:t>
            </w:r>
          </w:p>
        </w:tc>
        <w:tc>
          <w:tcPr>
            <w:tcW w:w="0" w:type="dxa"/>
            <w:vAlign w:val="bottom"/>
          </w:tcPr>
          <w:p>
            <w:pPr>
              <w:spacing w:after="0"/>
              <w:rPr>
                <w:sz w:val="1"/>
                <w:szCs w:val="1"/>
                <w:color w:val="auto"/>
              </w:rPr>
            </w:pPr>
          </w:p>
        </w:tc>
      </w:tr>
      <w:tr>
        <w:trPr>
          <w:trHeight w:val="178"/>
        </w:trPr>
        <w:tc>
          <w:tcPr>
            <w:tcW w:w="776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100,762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78"/>
        </w:trPr>
        <w:tc>
          <w:tcPr>
            <w:tcW w:w="77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70"/>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275,448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75,159</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23,656</w:t>
            </w:r>
          </w:p>
        </w:tc>
        <w:tc>
          <w:tcPr>
            <w:tcW w:w="0" w:type="dxa"/>
            <w:vAlign w:val="bottom"/>
          </w:tcPr>
          <w:p>
            <w:pPr>
              <w:spacing w:after="0"/>
              <w:rPr>
                <w:sz w:val="1"/>
                <w:szCs w:val="1"/>
                <w:color w:val="auto"/>
              </w:rPr>
            </w:pP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49,451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41,131</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0" w:type="dxa"/>
            <w:vAlign w:val="bottom"/>
          </w:tcPr>
          <w:p>
            <w:pPr>
              <w:spacing w:after="0"/>
              <w:rPr>
                <w:sz w:val="1"/>
                <w:szCs w:val="1"/>
                <w:color w:val="auto"/>
              </w:rPr>
            </w:pPr>
          </w:p>
        </w:tc>
      </w:tr>
      <w:tr>
        <w:trPr>
          <w:trHeight w:val="170"/>
        </w:trPr>
        <w:tc>
          <w:tcPr>
            <w:tcW w:w="776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350,218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0" w:type="dxa"/>
            <w:vAlign w:val="bottom"/>
          </w:tcPr>
          <w:p>
            <w:pPr>
              <w:spacing w:after="0"/>
              <w:rPr>
                <w:sz w:val="1"/>
                <w:szCs w:val="1"/>
                <w:color w:val="auto"/>
              </w:rPr>
            </w:pPr>
          </w:p>
        </w:tc>
      </w:tr>
      <w:tr>
        <w:trPr>
          <w:trHeight w:val="178"/>
        </w:trPr>
        <w:tc>
          <w:tcPr>
            <w:tcW w:w="7760" w:type="dxa"/>
            <w:vAlign w:val="bottom"/>
          </w:tcPr>
          <w:p>
            <w:pPr>
              <w:ind w:left="22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46,427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32,541</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Seller payable</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13,724</w:t>
            </w:r>
          </w:p>
        </w:tc>
        <w:tc>
          <w:tcPr>
            <w:tcW w:w="0" w:type="dxa"/>
            <w:vAlign w:val="bottom"/>
          </w:tcPr>
          <w:p>
            <w:pPr>
              <w:spacing w:after="0"/>
              <w:rPr>
                <w:sz w:val="1"/>
                <w:szCs w:val="1"/>
                <w:color w:val="auto"/>
              </w:rPr>
            </w:pPr>
          </w:p>
        </w:tc>
      </w:tr>
      <w:tr>
        <w:trPr>
          <w:trHeight w:val="178"/>
        </w:trPr>
        <w:tc>
          <w:tcPr>
            <w:tcW w:w="7760" w:type="dxa"/>
            <w:vAlign w:val="bottom"/>
          </w:tcPr>
          <w:p>
            <w:pPr>
              <w:ind w:left="220"/>
              <w:spacing w:after="0"/>
              <w:rPr>
                <w:sz w:val="20"/>
                <w:szCs w:val="20"/>
                <w:color w:val="auto"/>
              </w:rPr>
            </w:pPr>
            <w:r>
              <w:rPr>
                <w:rFonts w:ascii="Arial" w:cs="Arial" w:eastAsia="Arial" w:hAnsi="Arial"/>
                <w:sz w:val="14"/>
                <w:szCs w:val="14"/>
                <w:color w:val="auto"/>
              </w:rPr>
              <w:t>Operating lease liabilities, current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70"/>
        </w:trPr>
        <w:tc>
          <w:tcPr>
            <w:tcW w:w="776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83,654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62,564</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21,574</w:t>
            </w:r>
          </w:p>
        </w:tc>
        <w:tc>
          <w:tcPr>
            <w:tcW w:w="0" w:type="dxa"/>
            <w:vAlign w:val="bottom"/>
          </w:tcPr>
          <w:p>
            <w:pPr>
              <w:spacing w:after="0"/>
              <w:rPr>
                <w:sz w:val="1"/>
                <w:szCs w:val="1"/>
                <w:color w:val="auto"/>
              </w:rPr>
            </w:pPr>
          </w:p>
        </w:tc>
      </w:tr>
      <w:tr>
        <w:trPr>
          <w:trHeight w:val="178"/>
        </w:trPr>
        <w:tc>
          <w:tcPr>
            <w:tcW w:w="77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29,478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31,190</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70"/>
        </w:trPr>
        <w:tc>
          <w:tcPr>
            <w:tcW w:w="77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134,544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118,047</w:t>
            </w:r>
          </w:p>
        </w:tc>
        <w:tc>
          <w:tcPr>
            <w:tcW w:w="0" w:type="dxa"/>
            <w:vAlign w:val="bottom"/>
          </w:tcPr>
          <w:p>
            <w:pPr>
              <w:spacing w:after="0"/>
              <w:rPr>
                <w:sz w:val="1"/>
                <w:szCs w:val="1"/>
                <w:color w:val="auto"/>
              </w:rPr>
            </w:pPr>
          </w:p>
        </w:tc>
      </w:tr>
      <w:tr>
        <w:trPr>
          <w:trHeight w:val="158"/>
        </w:trPr>
        <w:tc>
          <w:tcPr>
            <w:tcW w:w="77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Commitments and contingencies (Note 10)</w:t>
            </w: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60" w:type="dxa"/>
            <w:vAlign w:val="bottom"/>
          </w:tcPr>
          <w:p>
            <w:pPr>
              <w:ind w:left="60"/>
              <w:spacing w:after="0" w:line="144" w:lineRule="exact"/>
              <w:rPr>
                <w:sz w:val="20"/>
                <w:szCs w:val="20"/>
                <w:color w:val="auto"/>
              </w:rPr>
            </w:pPr>
            <w:r>
              <w:rPr>
                <w:rFonts w:ascii="Arial" w:cs="Arial" w:eastAsia="Arial" w:hAnsi="Arial"/>
                <w:sz w:val="14"/>
                <w:szCs w:val="14"/>
                <w:color w:val="auto"/>
                <w:w w:val="98"/>
              </w:rPr>
              <w:t>Convertible preferred stock: $0.0001 par value; 100,000,000 and 68,139,958 shares authorized as of September 30, 2021 and</w:t>
            </w:r>
          </w:p>
        </w:tc>
        <w:tc>
          <w:tcPr>
            <w:tcW w:w="240" w:type="dxa"/>
            <w:vAlign w:val="bottom"/>
          </w:tcPr>
          <w:p>
            <w:pPr>
              <w:spacing w:after="0"/>
              <w:rPr>
                <w:sz w:val="12"/>
                <w:szCs w:val="12"/>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27"/>
        </w:trPr>
        <w:tc>
          <w:tcPr>
            <w:tcW w:w="7760" w:type="dxa"/>
            <w:vAlign w:val="bottom"/>
          </w:tcPr>
          <w:p>
            <w:pPr>
              <w:ind w:left="220"/>
              <w:spacing w:after="0" w:line="127" w:lineRule="exact"/>
              <w:rPr>
                <w:sz w:val="20"/>
                <w:szCs w:val="20"/>
                <w:color w:val="auto"/>
              </w:rPr>
            </w:pPr>
            <w:r>
              <w:rPr>
                <w:rFonts w:ascii="Arial" w:cs="Arial" w:eastAsia="Arial" w:hAnsi="Arial"/>
                <w:sz w:val="14"/>
                <w:szCs w:val="14"/>
                <w:color w:val="auto"/>
                <w:w w:val="96"/>
              </w:rPr>
              <w:t>December 31, 2020, respectively; 0 and 65,970,938 shares issued and outstanding as of September 30, 2021 and December</w:t>
            </w:r>
          </w:p>
        </w:tc>
        <w:tc>
          <w:tcPr>
            <w:tcW w:w="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tcPr>
          <w:p>
            <w:pPr>
              <w:ind w:left="220"/>
              <w:spacing w:after="0"/>
              <w:rPr>
                <w:sz w:val="20"/>
                <w:szCs w:val="20"/>
                <w:color w:val="auto"/>
              </w:rPr>
            </w:pPr>
            <w:r>
              <w:rPr>
                <w:rFonts w:ascii="Arial" w:cs="Arial" w:eastAsia="Arial" w:hAnsi="Arial"/>
                <w:sz w:val="14"/>
                <w:szCs w:val="14"/>
                <w:color w:val="auto"/>
              </w:rPr>
              <w:t>31, 2020, respectively</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760" w:type="dxa"/>
            <w:vAlign w:val="bottom"/>
          </w:tcPr>
          <w:p>
            <w:pPr>
              <w:ind w:left="120"/>
              <w:spacing w:after="0" w:line="144" w:lineRule="exact"/>
              <w:rPr>
                <w:sz w:val="20"/>
                <w:szCs w:val="20"/>
                <w:color w:val="auto"/>
              </w:rPr>
            </w:pPr>
            <w:r>
              <w:rPr>
                <w:rFonts w:ascii="Arial" w:cs="Arial" w:eastAsia="Arial" w:hAnsi="Arial"/>
                <w:sz w:val="14"/>
                <w:szCs w:val="14"/>
                <w:color w:val="auto"/>
              </w:rPr>
              <w:t>Class A and B common stock, $0.0001 par value; 1,120,000,000 and 110,000,000 shares authorized as of September 30,</w:t>
            </w: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7"/>
        </w:trPr>
        <w:tc>
          <w:tcPr>
            <w:tcW w:w="7760" w:type="dxa"/>
            <w:vAlign w:val="bottom"/>
          </w:tcPr>
          <w:p>
            <w:pPr>
              <w:ind w:left="280"/>
              <w:spacing w:after="0" w:line="127" w:lineRule="exact"/>
              <w:rPr>
                <w:sz w:val="20"/>
                <w:szCs w:val="20"/>
                <w:color w:val="auto"/>
              </w:rPr>
            </w:pPr>
            <w:r>
              <w:rPr>
                <w:rFonts w:ascii="Arial" w:cs="Arial" w:eastAsia="Arial" w:hAnsi="Arial"/>
                <w:sz w:val="14"/>
                <w:szCs w:val="14"/>
                <w:color w:val="auto"/>
                <w:w w:val="96"/>
              </w:rPr>
              <w:t>2021 and December 31, 2020, respectively; 97,328,041 and 12,889,760 shares issued and outstanding as of September 30,</w:t>
            </w: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60" w:type="dxa"/>
            <w:vAlign w:val="bottom"/>
          </w:tcPr>
          <w:p>
            <w:pPr>
              <w:ind w:left="280"/>
              <w:spacing w:after="0"/>
              <w:rPr>
                <w:sz w:val="20"/>
                <w:szCs w:val="20"/>
                <w:color w:val="auto"/>
              </w:rPr>
            </w:pPr>
            <w:r>
              <w:rPr>
                <w:rFonts w:ascii="Arial" w:cs="Arial" w:eastAsia="Arial" w:hAnsi="Arial"/>
                <w:sz w:val="14"/>
                <w:szCs w:val="14"/>
                <w:color w:val="auto"/>
              </w:rPr>
              <w:t>2021 and December 31, 2020, respectively</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29,989</w:t>
            </w:r>
          </w:p>
        </w:tc>
        <w:tc>
          <w:tcPr>
            <w:tcW w:w="0" w:type="dxa"/>
            <w:vAlign w:val="bottom"/>
          </w:tcPr>
          <w:p>
            <w:pPr>
              <w:spacing w:after="0"/>
              <w:rPr>
                <w:sz w:val="1"/>
                <w:szCs w:val="1"/>
                <w:color w:val="auto"/>
              </w:rPr>
            </w:pPr>
          </w:p>
        </w:tc>
      </w:tr>
      <w:tr>
        <w:trPr>
          <w:trHeight w:val="178"/>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0" w:type="dxa"/>
            <w:vAlign w:val="bottom"/>
          </w:tcPr>
          <w:p>
            <w:pPr>
              <w:spacing w:after="0"/>
              <w:rPr>
                <w:sz w:val="1"/>
                <w:szCs w:val="1"/>
                <w:color w:val="auto"/>
              </w:rPr>
            </w:pPr>
          </w:p>
        </w:tc>
      </w:tr>
      <w:tr>
        <w:trPr>
          <w:trHeight w:val="170"/>
        </w:trPr>
        <w:tc>
          <w:tcPr>
            <w:tcW w:w="776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215,674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195"/>
        </w:trPr>
        <w:tc>
          <w:tcPr>
            <w:tcW w:w="7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350,218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142,911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80" w:type="dxa"/>
            <w:vAlign w:val="bottom"/>
          </w:tcPr>
          <w:p>
            <w:pPr>
              <w:spacing w:after="0"/>
              <w:rPr>
                <w:sz w:val="17"/>
                <w:szCs w:val="17"/>
                <w:color w:val="auto"/>
              </w:rPr>
            </w:pPr>
          </w:p>
        </w:tc>
        <w:tc>
          <w:tcPr>
            <w:tcW w:w="2760" w:type="dxa"/>
            <w:vAlign w:val="bottom"/>
            <w:gridSpan w:val="6"/>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20" w:type="dxa"/>
            <w:vAlign w:val="bottom"/>
          </w:tcPr>
          <w:p>
            <w:pPr>
              <w:spacing w:after="0"/>
              <w:rPr>
                <w:sz w:val="17"/>
                <w:szCs w:val="17"/>
                <w:color w:val="auto"/>
              </w:rPr>
            </w:pPr>
          </w:p>
        </w:tc>
        <w:tc>
          <w:tcPr>
            <w:tcW w:w="2680" w:type="dxa"/>
            <w:vAlign w:val="bottom"/>
            <w:gridSpan w:val="4"/>
          </w:tcPr>
          <w:p>
            <w:pPr>
              <w:jc w:val="right"/>
              <w:ind w:right="64"/>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96"/>
        </w:trPr>
        <w:tc>
          <w:tcPr>
            <w:tcW w:w="5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7"/>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8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48,071</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33,657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141,356</w:t>
            </w:r>
          </w:p>
        </w:tc>
        <w:tc>
          <w:tcPr>
            <w:tcW w:w="80" w:type="dxa"/>
            <w:vAlign w:val="bottom"/>
          </w:tcPr>
          <w:p>
            <w:pPr>
              <w:spacing w:after="0"/>
              <w:rPr>
                <w:sz w:val="17"/>
                <w:szCs w:val="17"/>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103,885</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13,275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37,557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38,697</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46,932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178,913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142,582</w:t>
            </w:r>
          </w:p>
        </w:tc>
        <w:tc>
          <w:tcPr>
            <w:tcW w:w="0" w:type="dxa"/>
            <w:vAlign w:val="bottom"/>
          </w:tcPr>
          <w:p>
            <w:pPr>
              <w:spacing w:after="0"/>
              <w:rPr>
                <w:sz w:val="1"/>
                <w:szCs w:val="1"/>
                <w:color w:val="auto"/>
              </w:rPr>
            </w:pPr>
          </w:p>
        </w:tc>
      </w:tr>
      <w:tr>
        <w:trPr>
          <w:trHeight w:val="186"/>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80" w:type="dxa"/>
            <w:vAlign w:val="bottom"/>
          </w:tcPr>
          <w:p>
            <w:pPr>
              <w:ind w:left="220"/>
              <w:spacing w:after="0"/>
              <w:rPr>
                <w:sz w:val="20"/>
                <w:szCs w:val="20"/>
                <w:color w:val="auto"/>
              </w:rPr>
            </w:pPr>
            <w:r>
              <w:rPr>
                <w:rFonts w:ascii="Arial" w:cs="Arial" w:eastAsia="Arial" w:hAnsi="Arial"/>
                <w:sz w:val="15"/>
                <w:szCs w:val="15"/>
                <w:color w:val="auto"/>
              </w:rPr>
              <w:t>Consignment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7,984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31,599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25,097</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Product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6,172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17,370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19,072</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cost of revenue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14,156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48,969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44,169</w:t>
            </w: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46,094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32,776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129,944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98,413</w:t>
            </w:r>
          </w:p>
        </w:tc>
        <w:tc>
          <w:tcPr>
            <w:tcW w:w="0" w:type="dxa"/>
            <w:vAlign w:val="bottom"/>
          </w:tcPr>
          <w:p>
            <w:pPr>
              <w:spacing w:after="0"/>
              <w:rPr>
                <w:sz w:val="1"/>
                <w:szCs w:val="1"/>
                <w:color w:val="auto"/>
              </w:rPr>
            </w:pPr>
          </w:p>
        </w:tc>
      </w:tr>
      <w:tr>
        <w:trPr>
          <w:trHeight w:val="180"/>
        </w:trPr>
        <w:tc>
          <w:tcPr>
            <w:tcW w:w="56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Operations, product and technology</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25,856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91,455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73,480</w:t>
            </w:r>
          </w:p>
        </w:tc>
        <w:tc>
          <w:tcPr>
            <w:tcW w:w="0" w:type="dxa"/>
            <w:vAlign w:val="bottom"/>
          </w:tcPr>
          <w:p>
            <w:pPr>
              <w:spacing w:after="0"/>
              <w:rPr>
                <w:sz w:val="1"/>
                <w:szCs w:val="1"/>
                <w:color w:val="auto"/>
              </w:rPr>
            </w:pPr>
          </w:p>
        </w:tc>
      </w:tr>
      <w:tr>
        <w:trPr>
          <w:trHeight w:val="200"/>
        </w:trPr>
        <w:tc>
          <w:tcPr>
            <w:tcW w:w="5680" w:type="dxa"/>
            <w:vAlign w:val="bottom"/>
          </w:tcPr>
          <w:p>
            <w:pPr>
              <w:ind w:left="220"/>
              <w:spacing w:after="0"/>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10,614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48,344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34,513</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Sales, general and administrative</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12,569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6,891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34,206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20,762</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61,591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43,361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174,005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128,755</w:t>
            </w: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loss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(44,061)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(30,342)</w:t>
            </w:r>
          </w:p>
        </w:tc>
        <w:tc>
          <w:tcPr>
            <w:tcW w:w="0" w:type="dxa"/>
            <w:vAlign w:val="bottom"/>
          </w:tcPr>
          <w:p>
            <w:pPr>
              <w:spacing w:after="0"/>
              <w:rPr>
                <w:sz w:val="1"/>
                <w:szCs w:val="1"/>
                <w:color w:val="auto"/>
              </w:rPr>
            </w:pPr>
          </w:p>
        </w:tc>
      </w:tr>
      <w:tr>
        <w:trPr>
          <w:trHeight w:val="200"/>
        </w:trPr>
        <w:tc>
          <w:tcPr>
            <w:tcW w:w="56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(865)</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income,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96"/>
        </w:trPr>
        <w:tc>
          <w:tcPr>
            <w:tcW w:w="5680" w:type="dxa"/>
            <w:vAlign w:val="bottom"/>
          </w:tcPr>
          <w:p>
            <w:pPr>
              <w:ind w:left="420"/>
              <w:spacing w:after="0"/>
              <w:rPr>
                <w:sz w:val="20"/>
                <w:szCs w:val="20"/>
                <w:color w:val="auto"/>
              </w:rPr>
            </w:pPr>
            <w:r>
              <w:rPr>
                <w:rFonts w:ascii="Arial" w:cs="Arial" w:eastAsia="Arial" w:hAnsi="Arial"/>
                <w:sz w:val="15"/>
                <w:szCs w:val="15"/>
                <w:color w:val="auto"/>
              </w:rPr>
              <w:t>Loss before provision for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(14,698)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(11,004)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(45,208)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(30,876)</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680" w:type="dxa"/>
            <w:vAlign w:val="bottom"/>
          </w:tcPr>
          <w:p>
            <w:pPr>
              <w:ind w:left="420"/>
              <w:spacing w:after="0"/>
              <w:rPr>
                <w:sz w:val="20"/>
                <w:szCs w:val="20"/>
                <w:color w:val="auto"/>
              </w:rPr>
            </w:pPr>
            <w:r>
              <w:rPr>
                <w:rFonts w:ascii="Arial" w:cs="Arial" w:eastAsia="Arial" w:hAnsi="Arial"/>
                <w:sz w:val="15"/>
                <w:szCs w:val="15"/>
                <w:color w:val="auto"/>
              </w:rPr>
              <w:t>Net loss</w:t>
            </w: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(14,715)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(11,004)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(45,265)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(30,876)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5"/>
                <w:szCs w:val="15"/>
                <w:color w:val="auto"/>
              </w:rPr>
              <w:t>Weighted-average shares used in computing net loss per share attributable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96,348,658</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11,810,075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70,112,601</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11,144,362</w:t>
            </w: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line="164" w:lineRule="exact"/>
              <w:rPr>
                <w:sz w:val="20"/>
                <w:szCs w:val="20"/>
                <w:color w:val="auto"/>
              </w:rPr>
            </w:pPr>
            <w:r>
              <w:rPr>
                <w:rFonts w:ascii="Arial" w:cs="Arial" w:eastAsia="Arial" w:hAnsi="Arial"/>
                <w:sz w:val="15"/>
                <w:szCs w:val="15"/>
                <w:color w:val="auto"/>
              </w:rPr>
              <w:t>common stockholders, basic and diluted</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 thousands, except share amounts)</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3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5"/>
                <w:szCs w:val="15"/>
                <w:b w:val="1"/>
                <w:bCs w:val="1"/>
                <w:color w:val="auto"/>
              </w:rPr>
              <w:t>Convertible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rPr>
              <w:t>Accumulated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232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5"/>
                <w:szCs w:val="15"/>
                <w:b w:val="1"/>
                <w:bCs w:val="1"/>
                <w:color w:val="auto"/>
              </w:rPr>
              <w:t>Preferred Stock</w:t>
            </w:r>
          </w:p>
        </w:tc>
        <w:tc>
          <w:tcPr>
            <w:tcW w:w="60" w:type="dxa"/>
            <w:vAlign w:val="bottom"/>
          </w:tcPr>
          <w:p>
            <w:pPr>
              <w:spacing w:after="0"/>
              <w:rPr>
                <w:sz w:val="8"/>
                <w:szCs w:val="8"/>
                <w:color w:val="auto"/>
              </w:rPr>
            </w:pPr>
          </w:p>
        </w:tc>
        <w:tc>
          <w:tcPr>
            <w:tcW w:w="1920" w:type="dxa"/>
            <w:vAlign w:val="bottom"/>
            <w:gridSpan w:val="5"/>
            <w:vMerge w:val="restart"/>
          </w:tcPr>
          <w:p>
            <w:pPr>
              <w:ind w:left="360"/>
              <w:spacing w:after="0"/>
              <w:rPr>
                <w:sz w:val="20"/>
                <w:szCs w:val="20"/>
                <w:color w:val="auto"/>
              </w:rPr>
            </w:pPr>
            <w:r>
              <w:rPr>
                <w:rFonts w:ascii="Arial" w:cs="Arial" w:eastAsia="Arial" w:hAnsi="Arial"/>
                <w:sz w:val="15"/>
                <w:szCs w:val="15"/>
                <w:b w:val="1"/>
                <w:bCs w:val="1"/>
                <w:color w:val="auto"/>
              </w:rPr>
              <w:t>Common Stock</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2320" w:type="dxa"/>
            <w:vAlign w:val="bottom"/>
            <w:tcBorders>
              <w:right w:val="single" w:sz="8" w:color="auto"/>
            </w:tcBorders>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960" w:type="dxa"/>
            <w:vAlign w:val="bottom"/>
            <w:gridSpan w:val="2"/>
            <w:vMerge w:val="restart"/>
          </w:tcPr>
          <w:p>
            <w:pPr>
              <w:jc w:val="center"/>
              <w:ind w:right="60"/>
              <w:spacing w:after="0" w:line="152" w:lineRule="exact"/>
              <w:rPr>
                <w:sz w:val="20"/>
                <w:szCs w:val="20"/>
                <w:color w:val="auto"/>
              </w:rPr>
            </w:pPr>
            <w:r>
              <w:rPr>
                <w:rFonts w:ascii="Arial" w:cs="Arial" w:eastAsia="Arial" w:hAnsi="Arial"/>
                <w:sz w:val="15"/>
                <w:szCs w:val="15"/>
                <w:b w:val="1"/>
                <w:bCs w:val="1"/>
                <w:color w:val="auto"/>
              </w:rPr>
              <w:t>Additional</w:t>
            </w:r>
          </w:p>
        </w:tc>
        <w:tc>
          <w:tcPr>
            <w:tcW w:w="120" w:type="dxa"/>
            <w:vAlign w:val="bottom"/>
          </w:tcPr>
          <w:p>
            <w:pPr>
              <w:spacing w:after="0"/>
              <w:rPr>
                <w:sz w:val="8"/>
                <w:szCs w:val="8"/>
                <w:color w:val="auto"/>
              </w:rPr>
            </w:pPr>
          </w:p>
        </w:tc>
        <w:tc>
          <w:tcPr>
            <w:tcW w:w="1220" w:type="dxa"/>
            <w:vAlign w:val="bottom"/>
            <w:gridSpan w:val="2"/>
            <w:vMerge w:val="restart"/>
          </w:tcPr>
          <w:p>
            <w:pPr>
              <w:jc w:val="center"/>
              <w:ind w:right="180"/>
              <w:spacing w:after="0" w:line="152" w:lineRule="exact"/>
              <w:rPr>
                <w:sz w:val="20"/>
                <w:szCs w:val="20"/>
                <w:color w:val="auto"/>
              </w:rPr>
            </w:pPr>
            <w:r>
              <w:rPr>
                <w:rFonts w:ascii="Arial" w:cs="Arial" w:eastAsia="Arial" w:hAnsi="Arial"/>
                <w:sz w:val="15"/>
                <w:szCs w:val="15"/>
                <w:b w:val="1"/>
                <w:bCs w:val="1"/>
                <w:color w:val="auto"/>
                <w:w w:val="99"/>
              </w:rPr>
              <w:t>Other</w:t>
            </w: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center"/>
              <w:ind w:right="164"/>
              <w:spacing w:after="0" w:line="15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rPr>
              <w:t>Accumulated</w:t>
            </w:r>
          </w:p>
        </w:tc>
        <w:tc>
          <w:tcPr>
            <w:tcW w:w="2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240" w:type="dxa"/>
            <w:vAlign w:val="bottom"/>
          </w:tcPr>
          <w:p>
            <w:pPr>
              <w:spacing w:after="0"/>
              <w:rPr>
                <w:sz w:val="13"/>
                <w:szCs w:val="13"/>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3"/>
                <w:szCs w:val="13"/>
                <w:color w:val="auto"/>
              </w:rPr>
            </w:pPr>
          </w:p>
        </w:tc>
        <w:tc>
          <w:tcPr>
            <w:tcW w:w="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3"/>
                <w:szCs w:val="1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2"/>
          </w:tcPr>
          <w:p>
            <w:pPr>
              <w:jc w:val="center"/>
              <w:ind w:right="60"/>
              <w:spacing w:after="0" w:line="152" w:lineRule="exact"/>
              <w:rPr>
                <w:sz w:val="20"/>
                <w:szCs w:val="20"/>
                <w:color w:val="auto"/>
              </w:rPr>
            </w:pPr>
            <w:r>
              <w:rPr>
                <w:rFonts w:ascii="Arial" w:cs="Arial" w:eastAsia="Arial" w:hAnsi="Arial"/>
                <w:sz w:val="15"/>
                <w:szCs w:val="15"/>
                <w:b w:val="1"/>
                <w:bCs w:val="1"/>
                <w:color w:val="auto"/>
                <w:w w:val="99"/>
              </w:rPr>
              <w:t>Paid-in</w:t>
            </w:r>
          </w:p>
        </w:tc>
        <w:tc>
          <w:tcPr>
            <w:tcW w:w="1340" w:type="dxa"/>
            <w:vAlign w:val="bottom"/>
            <w:gridSpan w:val="3"/>
          </w:tcPr>
          <w:p>
            <w:pPr>
              <w:jc w:val="center"/>
              <w:ind w:right="80"/>
              <w:spacing w:after="0" w:line="152" w:lineRule="exact"/>
              <w:rPr>
                <w:sz w:val="20"/>
                <w:szCs w:val="20"/>
                <w:color w:val="auto"/>
              </w:rPr>
            </w:pPr>
            <w:r>
              <w:rPr>
                <w:rFonts w:ascii="Arial" w:cs="Arial" w:eastAsia="Arial" w:hAnsi="Arial"/>
                <w:sz w:val="15"/>
                <w:szCs w:val="15"/>
                <w:b w:val="1"/>
                <w:bCs w:val="1"/>
                <w:color w:val="auto"/>
              </w:rPr>
              <w:t>Comprehensive</w:t>
            </w:r>
          </w:p>
        </w:tc>
        <w:tc>
          <w:tcPr>
            <w:tcW w:w="1180" w:type="dxa"/>
            <w:vAlign w:val="bottom"/>
            <w:gridSpan w:val="3"/>
            <w:vMerge w:val="continue"/>
          </w:tcPr>
          <w:p>
            <w:pPr>
              <w:spacing w:after="0"/>
              <w:rPr>
                <w:sz w:val="13"/>
                <w:szCs w:val="13"/>
                <w:color w:val="auto"/>
              </w:rPr>
            </w:pPr>
          </w:p>
        </w:tc>
        <w:tc>
          <w:tcPr>
            <w:tcW w:w="112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9"/>
              </w:rPr>
              <w:t>Capital</w:t>
            </w: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Loss</w:t>
            </w:r>
          </w:p>
        </w:tc>
        <w:tc>
          <w:tcPr>
            <w:tcW w:w="22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Deficit</w:t>
            </w: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rPr>
              <w:t>Equity (Deficit)</w:t>
            </w:r>
          </w:p>
        </w:tc>
        <w:tc>
          <w:tcPr>
            <w:tcW w:w="0" w:type="dxa"/>
            <w:vAlign w:val="bottom"/>
          </w:tcPr>
          <w:p>
            <w:pPr>
              <w:spacing w:after="0"/>
              <w:rPr>
                <w:sz w:val="1"/>
                <w:szCs w:val="1"/>
                <w:color w:val="auto"/>
              </w:rPr>
            </w:pPr>
          </w:p>
        </w:tc>
      </w:tr>
      <w:tr>
        <w:trPr>
          <w:trHeight w:val="134"/>
        </w:trPr>
        <w:tc>
          <w:tcPr>
            <w:tcW w:w="224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5"/>
                <w:szCs w:val="15"/>
                <w:b w:val="1"/>
                <w:bCs w:val="1"/>
                <w:color w:val="auto"/>
              </w:rPr>
              <w:t>Balance as of December 31,</w:t>
            </w:r>
          </w:p>
        </w:tc>
        <w:tc>
          <w:tcPr>
            <w:tcW w:w="1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2020</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65,970,938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247,041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12,889,760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29,989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(252,167)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(222,177)</w:t>
            </w:r>
          </w:p>
        </w:tc>
        <w:tc>
          <w:tcPr>
            <w:tcW w:w="0" w:type="dxa"/>
            <w:vAlign w:val="bottom"/>
          </w:tcPr>
          <w:p>
            <w:pPr>
              <w:spacing w:after="0"/>
              <w:rPr>
                <w:sz w:val="1"/>
                <w:szCs w:val="1"/>
                <w:color w:val="auto"/>
              </w:rPr>
            </w:pPr>
          </w:p>
        </w:tc>
      </w:tr>
      <w:tr>
        <w:trPr>
          <w:trHeight w:val="200"/>
        </w:trPr>
        <w:tc>
          <w:tcPr>
            <w:tcW w:w="2240" w:type="dxa"/>
            <w:vAlign w:val="bottom"/>
          </w:tcPr>
          <w:p>
            <w:pPr>
              <w:ind w:left="220"/>
              <w:spacing w:after="0"/>
              <w:rPr>
                <w:sz w:val="20"/>
                <w:szCs w:val="20"/>
                <w:color w:val="auto"/>
              </w:rPr>
            </w:pPr>
            <w:r>
              <w:rPr>
                <w:rFonts w:ascii="Arial" w:cs="Arial" w:eastAsia="Arial" w:hAnsi="Arial"/>
                <w:sz w:val="15"/>
                <w:szCs w:val="15"/>
                <w:color w:val="auto"/>
              </w:rPr>
              <w:t>Exercise of stock options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1,458,159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1,875</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w:t>
            </w:r>
          </w:p>
        </w:tc>
        <w:tc>
          <w:tcPr>
            <w:tcW w:w="0" w:type="dxa"/>
            <w:vAlign w:val="bottom"/>
          </w:tcPr>
          <w:p>
            <w:pPr>
              <w:spacing w:after="0"/>
              <w:rPr>
                <w:sz w:val="1"/>
                <w:szCs w:val="1"/>
                <w:color w:val="auto"/>
              </w:rPr>
            </w:pPr>
          </w:p>
        </w:tc>
      </w:tr>
      <w:tr>
        <w:trPr>
          <w:trHeight w:val="167"/>
        </w:trPr>
        <w:tc>
          <w:tcPr>
            <w:tcW w:w="2240" w:type="dxa"/>
            <w:vAlign w:val="bottom"/>
          </w:tcPr>
          <w:p>
            <w:pPr>
              <w:ind w:left="220"/>
              <w:spacing w:after="0" w:line="167" w:lineRule="exact"/>
              <w:rPr>
                <w:sz w:val="20"/>
                <w:szCs w:val="20"/>
                <w:color w:val="auto"/>
              </w:rPr>
            </w:pPr>
            <w:r>
              <w:rPr>
                <w:rFonts w:ascii="Arial" w:cs="Arial" w:eastAsia="Arial" w:hAnsi="Arial"/>
                <w:sz w:val="15"/>
                <w:szCs w:val="15"/>
                <w:color w:val="auto"/>
              </w:rPr>
              <w:t>Conversion of preferred</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220"/>
              <w:spacing w:after="0" w:line="152" w:lineRule="exact"/>
              <w:rPr>
                <w:sz w:val="20"/>
                <w:szCs w:val="20"/>
                <w:color w:val="auto"/>
              </w:rPr>
            </w:pPr>
            <w:r>
              <w:rPr>
                <w:rFonts w:ascii="Arial" w:cs="Arial" w:eastAsia="Arial" w:hAnsi="Arial"/>
                <w:sz w:val="15"/>
                <w:szCs w:val="15"/>
                <w:color w:val="auto"/>
              </w:rPr>
              <w:t>stock warrants to Class B</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20"/>
              <w:spacing w:after="0"/>
              <w:rPr>
                <w:sz w:val="20"/>
                <w:szCs w:val="20"/>
                <w:color w:val="auto"/>
              </w:rPr>
            </w:pPr>
            <w:r>
              <w:rPr>
                <w:rFonts w:ascii="Arial" w:cs="Arial" w:eastAsia="Arial" w:hAnsi="Arial"/>
                <w:sz w:val="15"/>
                <w:szCs w:val="15"/>
                <w:color w:val="auto"/>
              </w:rPr>
              <w:t>common stock warrants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Preferred stock conversion to</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Class B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0" w:type="dxa"/>
            <w:vAlign w:val="bottom"/>
          </w:tcPr>
          <w:p>
            <w:pPr>
              <w:spacing w:after="0"/>
              <w:rPr>
                <w:sz w:val="1"/>
                <w:szCs w:val="1"/>
                <w:color w:val="auto"/>
              </w:rPr>
            </w:pPr>
          </w:p>
        </w:tc>
      </w:tr>
      <w:tr>
        <w:trPr>
          <w:trHeight w:val="167"/>
        </w:trPr>
        <w:tc>
          <w:tcPr>
            <w:tcW w:w="2240" w:type="dxa"/>
            <w:vAlign w:val="bottom"/>
          </w:tcPr>
          <w:p>
            <w:pPr>
              <w:ind w:left="220"/>
              <w:spacing w:after="0" w:line="167" w:lineRule="exact"/>
              <w:rPr>
                <w:sz w:val="20"/>
                <w:szCs w:val="20"/>
                <w:color w:val="auto"/>
              </w:rPr>
            </w:pPr>
            <w:r>
              <w:rPr>
                <w:rFonts w:ascii="Arial" w:cs="Arial" w:eastAsia="Arial" w:hAnsi="Arial"/>
                <w:sz w:val="15"/>
                <w:szCs w:val="15"/>
                <w:color w:val="auto"/>
              </w:rPr>
              <w:t>Sale of Class A common</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220"/>
              <w:spacing w:after="0" w:line="152" w:lineRule="exact"/>
              <w:rPr>
                <w:sz w:val="20"/>
                <w:szCs w:val="20"/>
                <w:color w:val="auto"/>
              </w:rPr>
            </w:pPr>
            <w:r>
              <w:rPr>
                <w:rFonts w:ascii="Arial" w:cs="Arial" w:eastAsia="Arial" w:hAnsi="Arial"/>
                <w:sz w:val="15"/>
                <w:szCs w:val="15"/>
                <w:color w:val="auto"/>
              </w:rPr>
              <w:t>stock upon initial public</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220"/>
              <w:spacing w:after="0" w:line="152" w:lineRule="exact"/>
              <w:rPr>
                <w:sz w:val="20"/>
                <w:szCs w:val="20"/>
                <w:color w:val="auto"/>
              </w:rPr>
            </w:pPr>
            <w:r>
              <w:rPr>
                <w:rFonts w:ascii="Arial" w:cs="Arial" w:eastAsia="Arial" w:hAnsi="Arial"/>
                <w:sz w:val="15"/>
                <w:szCs w:val="15"/>
                <w:color w:val="auto"/>
              </w:rPr>
              <w:t>offering, net of issuance</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20"/>
              <w:spacing w:after="0"/>
              <w:rPr>
                <w:sz w:val="20"/>
                <w:szCs w:val="20"/>
                <w:color w:val="auto"/>
              </w:rPr>
            </w:pPr>
            <w:r>
              <w:rPr>
                <w:rFonts w:ascii="Arial" w:cs="Arial" w:eastAsia="Arial" w:hAnsi="Arial"/>
                <w:sz w:val="15"/>
                <w:szCs w:val="15"/>
                <w:color w:val="auto"/>
              </w:rPr>
              <w:t>costs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13,800,000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175,533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175,534</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Cashless exercise of</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warrant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(16,171)</w:t>
            </w: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94,143,694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724"/>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(268,338)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191,427</w:t>
            </w:r>
          </w:p>
        </w:tc>
        <w:tc>
          <w:tcPr>
            <w:tcW w:w="0" w:type="dxa"/>
            <w:vAlign w:val="bottom"/>
          </w:tcPr>
          <w:p>
            <w:pPr>
              <w:spacing w:after="0"/>
              <w:rPr>
                <w:sz w:val="1"/>
                <w:szCs w:val="1"/>
                <w:color w:val="auto"/>
              </w:rPr>
            </w:pPr>
          </w:p>
        </w:tc>
      </w:tr>
      <w:tr>
        <w:trPr>
          <w:trHeight w:val="200"/>
        </w:trPr>
        <w:tc>
          <w:tcPr>
            <w:tcW w:w="2240" w:type="dxa"/>
            <w:vAlign w:val="bottom"/>
          </w:tcPr>
          <w:p>
            <w:pPr>
              <w:ind w:left="220"/>
              <w:spacing w:after="0"/>
              <w:rPr>
                <w:sz w:val="20"/>
                <w:szCs w:val="20"/>
                <w:color w:val="auto"/>
              </w:rPr>
            </w:pPr>
            <w:r>
              <w:rPr>
                <w:rFonts w:ascii="Arial" w:cs="Arial" w:eastAsia="Arial" w:hAnsi="Arial"/>
                <w:sz w:val="15"/>
                <w:szCs w:val="15"/>
                <w:color w:val="auto"/>
              </w:rPr>
              <w:t>Exercise of stock options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525,670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959</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c>
          <w:tcPr>
            <w:tcW w:w="0" w:type="dxa"/>
            <w:vAlign w:val="bottom"/>
          </w:tcPr>
          <w:p>
            <w:pPr>
              <w:spacing w:after="0"/>
              <w:rPr>
                <w:sz w:val="1"/>
                <w:szCs w:val="1"/>
                <w:color w:val="auto"/>
              </w:rPr>
            </w:pPr>
          </w:p>
        </w:tc>
      </w:tr>
      <w:tr>
        <w:trPr>
          <w:trHeight w:val="167"/>
        </w:trPr>
        <w:tc>
          <w:tcPr>
            <w:tcW w:w="2240" w:type="dxa"/>
            <w:vAlign w:val="bottom"/>
          </w:tcPr>
          <w:p>
            <w:pPr>
              <w:ind w:left="220"/>
              <w:spacing w:after="0" w:line="167" w:lineRule="exact"/>
              <w:rPr>
                <w:sz w:val="20"/>
                <w:szCs w:val="20"/>
                <w:color w:val="auto"/>
              </w:rPr>
            </w:pPr>
            <w:r>
              <w:rPr>
                <w:rFonts w:ascii="Arial" w:cs="Arial" w:eastAsia="Arial" w:hAnsi="Arial"/>
                <w:sz w:val="15"/>
                <w:szCs w:val="15"/>
                <w:color w:val="auto"/>
              </w:rPr>
              <w:t>Cashless exercise of</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20"/>
              <w:spacing w:after="0"/>
              <w:rPr>
                <w:sz w:val="20"/>
                <w:szCs w:val="20"/>
                <w:color w:val="auto"/>
              </w:rPr>
            </w:pPr>
            <w:r>
              <w:rPr>
                <w:rFonts w:ascii="Arial" w:cs="Arial" w:eastAsia="Arial" w:hAnsi="Arial"/>
                <w:sz w:val="15"/>
                <w:szCs w:val="15"/>
                <w:color w:val="auto"/>
              </w:rPr>
              <w:t>common stock warrant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103,806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Issuance of common stock to</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settle restricted stock units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240" w:type="dxa"/>
            <w:vAlign w:val="bottom"/>
          </w:tcPr>
          <w:p>
            <w:pPr>
              <w:ind w:left="220"/>
              <w:spacing w:after="0" w:line="167" w:lineRule="exact"/>
              <w:rPr>
                <w:sz w:val="20"/>
                <w:szCs w:val="20"/>
                <w:color w:val="auto"/>
              </w:rPr>
            </w:pPr>
            <w:r>
              <w:rPr>
                <w:rFonts w:ascii="Arial" w:cs="Arial" w:eastAsia="Arial" w:hAnsi="Arial"/>
                <w:sz w:val="15"/>
                <w:szCs w:val="15"/>
                <w:color w:val="auto"/>
              </w:rPr>
              <w:t>Withholding taxes for the net</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220"/>
              <w:spacing w:after="0" w:line="152" w:lineRule="exact"/>
              <w:rPr>
                <w:sz w:val="20"/>
                <w:szCs w:val="20"/>
                <w:color w:val="auto"/>
              </w:rPr>
            </w:pPr>
            <w:r>
              <w:rPr>
                <w:rFonts w:ascii="Arial" w:cs="Arial" w:eastAsia="Arial" w:hAnsi="Arial"/>
                <w:sz w:val="15"/>
                <w:szCs w:val="15"/>
                <w:color w:val="auto"/>
              </w:rPr>
              <w:t>share settlement of restricted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40" w:type="dxa"/>
            <w:vAlign w:val="bottom"/>
          </w:tcPr>
          <w:p>
            <w:pPr>
              <w:ind w:left="220"/>
              <w:spacing w:after="0"/>
              <w:rPr>
                <w:sz w:val="20"/>
                <w:szCs w:val="20"/>
                <w:color w:val="auto"/>
              </w:rPr>
            </w:pPr>
            <w:r>
              <w:rPr>
                <w:rFonts w:ascii="Arial" w:cs="Arial" w:eastAsia="Arial" w:hAnsi="Arial"/>
                <w:sz w:val="15"/>
                <w:szCs w:val="15"/>
                <w:color w:val="auto"/>
              </w:rPr>
              <w:t>stock units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comprehensive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764"/>
              <w:spacing w:after="0"/>
              <w:rPr>
                <w:sz w:val="20"/>
                <w:szCs w:val="20"/>
                <w:color w:val="auto"/>
              </w:rPr>
            </w:pPr>
            <w:r>
              <w:rPr>
                <w:rFonts w:ascii="Arial" w:cs="Arial" w:eastAsia="Arial" w:hAnsi="Arial"/>
                <w:sz w:val="15"/>
                <w:szCs w:val="15"/>
                <w:color w:val="auto"/>
                <w:w w:val="97"/>
              </w:rPr>
              <w:t>(36)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(14,379)</w:t>
            </w: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94,780,166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764"/>
              <w:spacing w:after="0"/>
              <w:rPr>
                <w:sz w:val="20"/>
                <w:szCs w:val="20"/>
                <w:color w:val="auto"/>
              </w:rPr>
            </w:pPr>
            <w:r>
              <w:rPr>
                <w:rFonts w:ascii="Arial" w:cs="Arial" w:eastAsia="Arial" w:hAnsi="Arial"/>
                <w:sz w:val="15"/>
                <w:szCs w:val="15"/>
                <w:color w:val="auto"/>
                <w:w w:val="97"/>
              </w:rPr>
              <w:t>(36)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(282,717)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180,838</w:t>
            </w:r>
          </w:p>
        </w:tc>
        <w:tc>
          <w:tcPr>
            <w:tcW w:w="0" w:type="dxa"/>
            <w:vAlign w:val="bottom"/>
          </w:tcPr>
          <w:p>
            <w:pPr>
              <w:spacing w:after="0"/>
              <w:rPr>
                <w:sz w:val="1"/>
                <w:szCs w:val="1"/>
                <w:color w:val="auto"/>
              </w:rPr>
            </w:pPr>
          </w:p>
        </w:tc>
      </w:tr>
      <w:tr>
        <w:trPr>
          <w:trHeight w:val="200"/>
        </w:trPr>
        <w:tc>
          <w:tcPr>
            <w:tcW w:w="2240" w:type="dxa"/>
            <w:vAlign w:val="bottom"/>
          </w:tcPr>
          <w:p>
            <w:pPr>
              <w:ind w:left="220"/>
              <w:spacing w:after="0"/>
              <w:rPr>
                <w:sz w:val="20"/>
                <w:szCs w:val="20"/>
                <w:color w:val="auto"/>
              </w:rPr>
            </w:pPr>
            <w:r>
              <w:rPr>
                <w:rFonts w:ascii="Arial" w:cs="Arial" w:eastAsia="Arial" w:hAnsi="Arial"/>
                <w:sz w:val="15"/>
                <w:szCs w:val="15"/>
                <w:color w:val="auto"/>
              </w:rPr>
              <w:t>Exercise of stock options</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534,025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1,023</w:t>
            </w:r>
          </w:p>
        </w:tc>
        <w:tc>
          <w:tcPr>
            <w:tcW w:w="0" w:type="dxa"/>
            <w:vAlign w:val="bottom"/>
          </w:tcPr>
          <w:p>
            <w:pPr>
              <w:spacing w:after="0"/>
              <w:rPr>
                <w:sz w:val="1"/>
                <w:szCs w:val="1"/>
                <w:color w:val="auto"/>
              </w:rPr>
            </w:pPr>
          </w:p>
        </w:tc>
      </w:tr>
      <w:tr>
        <w:trPr>
          <w:trHeight w:val="206"/>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70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153670</wp:posOffset>
            </wp:positionV>
            <wp:extent cx="716597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400" w:top="1440" w:right="359" w:bottom="1440" w:gutter="0" w:footer="0" w:header="0"/>
        </w:sectPr>
      </w:pPr>
    </w:p>
    <w:bookmarkStart w:id="8" w:name="page9"/>
    <w:bookmarkEnd w:id="8"/>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ind w:left="220"/>
              <w:spacing w:after="0"/>
              <w:rPr>
                <w:sz w:val="20"/>
                <w:szCs w:val="20"/>
                <w:color w:val="auto"/>
              </w:rPr>
            </w:pPr>
            <w:r>
              <w:rPr>
                <w:rFonts w:ascii="Arial" w:cs="Arial" w:eastAsia="Arial" w:hAnsi="Arial"/>
                <w:sz w:val="15"/>
                <w:szCs w:val="15"/>
                <w:color w:val="auto"/>
              </w:rPr>
              <w:t>Issuance of Class A common</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00" w:type="dxa"/>
            <w:vAlign w:val="bottom"/>
          </w:tcPr>
          <w:p>
            <w:pPr>
              <w:ind w:left="220"/>
              <w:spacing w:after="0" w:line="152" w:lineRule="exact"/>
              <w:rPr>
                <w:sz w:val="20"/>
                <w:szCs w:val="20"/>
                <w:color w:val="auto"/>
              </w:rPr>
            </w:pPr>
            <w:r>
              <w:rPr>
                <w:rFonts w:ascii="Arial" w:cs="Arial" w:eastAsia="Arial" w:hAnsi="Arial"/>
                <w:sz w:val="15"/>
                <w:szCs w:val="15"/>
                <w:color w:val="auto"/>
              </w:rPr>
              <w:t>stock upon closing of follow-</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00" w:type="dxa"/>
            <w:vAlign w:val="bottom"/>
          </w:tcPr>
          <w:p>
            <w:pPr>
              <w:ind w:left="220"/>
              <w:spacing w:after="0"/>
              <w:rPr>
                <w:sz w:val="20"/>
                <w:szCs w:val="20"/>
                <w:color w:val="auto"/>
              </w:rPr>
            </w:pPr>
            <w:r>
              <w:rPr>
                <w:rFonts w:ascii="Arial" w:cs="Arial" w:eastAsia="Arial" w:hAnsi="Arial"/>
                <w:sz w:val="15"/>
                <w:szCs w:val="15"/>
                <w:color w:val="auto"/>
              </w:rPr>
              <w:t>on offering</w:t>
            </w:r>
          </w:p>
        </w:tc>
        <w:tc>
          <w:tcPr>
            <w:tcW w:w="1640" w:type="dxa"/>
            <w:vAlign w:val="bottom"/>
            <w:gridSpan w:val="3"/>
          </w:tcPr>
          <w:p>
            <w:pPr>
              <w:ind w:left="90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gridSpan w:val="2"/>
          </w:tcPr>
          <w:p>
            <w:pPr>
              <w:ind w:left="3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2,000,000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45,524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45,525</w:t>
            </w:r>
          </w:p>
        </w:tc>
        <w:tc>
          <w:tcPr>
            <w:tcW w:w="0" w:type="dxa"/>
            <w:vAlign w:val="bottom"/>
          </w:tcPr>
          <w:p>
            <w:pPr>
              <w:spacing w:after="0"/>
              <w:rPr>
                <w:sz w:val="1"/>
                <w:szCs w:val="1"/>
                <w:color w:val="auto"/>
              </w:rPr>
            </w:pPr>
          </w:p>
        </w:tc>
      </w:tr>
      <w:tr>
        <w:trPr>
          <w:trHeight w:val="170"/>
        </w:trPr>
        <w:tc>
          <w:tcPr>
            <w:tcW w:w="230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Issuance of common stock to</w:t>
            </w: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settle restricted stock units</w:t>
            </w:r>
          </w:p>
        </w:tc>
        <w:tc>
          <w:tcPr>
            <w:tcW w:w="164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30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640" w:type="dxa"/>
            <w:vAlign w:val="bottom"/>
            <w:gridSpan w:val="3"/>
          </w:tcPr>
          <w:p>
            <w:pPr>
              <w:ind w:left="90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auto"/>
            </w:tcBorders>
            <w:gridSpan w:val="2"/>
          </w:tcPr>
          <w:p>
            <w:pPr>
              <w:ind w:left="3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(14,715)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(14,715)</w:t>
            </w:r>
          </w:p>
        </w:tc>
        <w:tc>
          <w:tcPr>
            <w:tcW w:w="0" w:type="dxa"/>
            <w:vAlign w:val="bottom"/>
          </w:tcPr>
          <w:p>
            <w:pPr>
              <w:spacing w:after="0"/>
              <w:rPr>
                <w:sz w:val="1"/>
                <w:szCs w:val="1"/>
                <w:color w:val="auto"/>
              </w:rPr>
            </w:pPr>
          </w:p>
        </w:tc>
      </w:tr>
      <w:tr>
        <w:trPr>
          <w:trHeight w:val="132"/>
        </w:trPr>
        <w:tc>
          <w:tcPr>
            <w:tcW w:w="2300" w:type="dxa"/>
            <w:vAlign w:val="bottom"/>
          </w:tcPr>
          <w:p>
            <w:pPr>
              <w:ind w:left="20"/>
              <w:spacing w:after="0" w:line="133" w:lineRule="exact"/>
              <w:rPr>
                <w:sz w:val="20"/>
                <w:szCs w:val="20"/>
                <w:color w:val="auto"/>
              </w:rPr>
            </w:pPr>
            <w:r>
              <w:rPr>
                <w:rFonts w:ascii="Arial" w:cs="Arial" w:eastAsia="Arial" w:hAnsi="Arial"/>
                <w:sz w:val="15"/>
                <w:szCs w:val="15"/>
                <w:b w:val="1"/>
                <w:bCs w:val="1"/>
                <w:color w:val="auto"/>
              </w:rPr>
              <w:t>Balance as of September 30,</w:t>
            </w:r>
          </w:p>
        </w:tc>
        <w:tc>
          <w:tcPr>
            <w:tcW w:w="1640" w:type="dxa"/>
            <w:vAlign w:val="bottom"/>
            <w:gridSpan w:val="3"/>
            <w:vMerge w:val="restart"/>
          </w:tcPr>
          <w:p>
            <w:pPr>
              <w:ind w:left="900"/>
              <w:spacing w:after="0"/>
              <w:rPr>
                <w:sz w:val="20"/>
                <w:szCs w:val="20"/>
                <w:color w:val="auto"/>
              </w:rPr>
            </w:pPr>
            <w:r>
              <w:rPr>
                <w:rFonts w:ascii="Arial" w:cs="Arial" w:eastAsia="Arial" w:hAnsi="Arial"/>
                <w:sz w:val="15"/>
                <w:szCs w:val="15"/>
                <w:color w:val="auto"/>
              </w:rPr>
              <w:t>—  $</w:t>
            </w:r>
          </w:p>
        </w:tc>
        <w:tc>
          <w:tcPr>
            <w:tcW w:w="68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97,328,041</w:t>
            </w:r>
          </w:p>
        </w:tc>
        <w:tc>
          <w:tcPr>
            <w:tcW w:w="80" w:type="dxa"/>
            <w:vAlign w:val="bottom"/>
          </w:tcPr>
          <w:p>
            <w:pPr>
              <w:spacing w:after="0"/>
              <w:rPr>
                <w:sz w:val="11"/>
                <w:szCs w:val="11"/>
                <w:color w:val="auto"/>
              </w:rPr>
            </w:pPr>
          </w:p>
        </w:tc>
        <w:tc>
          <w:tcPr>
            <w:tcW w:w="340" w:type="dxa"/>
            <w:vAlign w:val="bottom"/>
            <w:vMerge w:val="restart"/>
          </w:tcPr>
          <w:p>
            <w:pPr>
              <w:jc w:val="right"/>
              <w:ind w:right="164"/>
              <w:spacing w:after="0"/>
              <w:rPr>
                <w:sz w:val="20"/>
                <w:szCs w:val="20"/>
                <w:color w:val="auto"/>
              </w:rPr>
            </w:pPr>
            <w:r>
              <w:rPr>
                <w:rFonts w:ascii="Arial" w:cs="Arial" w:eastAsia="Arial" w:hAnsi="Arial"/>
                <w:sz w:val="15"/>
                <w:szCs w:val="15"/>
                <w:color w:val="auto"/>
                <w:w w:val="95"/>
              </w:rPr>
              <w:t>$</w:t>
            </w: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  513,124</w:t>
            </w:r>
          </w:p>
        </w:tc>
        <w:tc>
          <w:tcPr>
            <w:tcW w:w="80" w:type="dxa"/>
            <w:vAlign w:val="bottom"/>
          </w:tcPr>
          <w:p>
            <w:pPr>
              <w:spacing w:after="0"/>
              <w:rPr>
                <w:sz w:val="11"/>
                <w:szCs w:val="11"/>
                <w:color w:val="auto"/>
              </w:rPr>
            </w:pPr>
          </w:p>
        </w:tc>
        <w:tc>
          <w:tcPr>
            <w:tcW w:w="520" w:type="dxa"/>
            <w:vAlign w:val="bottom"/>
            <w:vMerge w:val="restart"/>
          </w:tcPr>
          <w:p>
            <w:pPr>
              <w:jc w:val="right"/>
              <w:ind w:right="344"/>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(28)</w:t>
            </w:r>
          </w:p>
        </w:tc>
        <w:tc>
          <w:tcPr>
            <w:tcW w:w="60" w:type="dxa"/>
            <w:vAlign w:val="bottom"/>
          </w:tcPr>
          <w:p>
            <w:pPr>
              <w:spacing w:after="0"/>
              <w:rPr>
                <w:sz w:val="11"/>
                <w:szCs w:val="11"/>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(297,432)</w:t>
            </w:r>
          </w:p>
        </w:tc>
        <w:tc>
          <w:tcPr>
            <w:tcW w:w="80" w:type="dxa"/>
            <w:vAlign w:val="bottom"/>
          </w:tcPr>
          <w:p>
            <w:pPr>
              <w:spacing w:after="0"/>
              <w:rPr>
                <w:sz w:val="11"/>
                <w:szCs w:val="11"/>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215,674</w:t>
            </w: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rPr>
                <w:sz w:val="20"/>
                <w:szCs w:val="20"/>
                <w:color w:val="auto"/>
              </w:rPr>
            </w:pPr>
            <w:r>
              <w:rPr>
                <w:rFonts w:ascii="Arial" w:cs="Arial" w:eastAsia="Arial" w:hAnsi="Arial"/>
                <w:sz w:val="15"/>
                <w:szCs w:val="15"/>
                <w:b w:val="1"/>
                <w:bCs w:val="1"/>
                <w:color w:val="auto"/>
              </w:rPr>
              <w:t>2021</w:t>
            </w:r>
          </w:p>
        </w:tc>
        <w:tc>
          <w:tcPr>
            <w:tcW w:w="1640" w:type="dxa"/>
            <w:vAlign w:val="bottom"/>
            <w:gridSpan w:val="3"/>
            <w:vMerge w:val="continue"/>
          </w:tcPr>
          <w:p>
            <w:pPr>
              <w:spacing w:after="0"/>
              <w:rPr>
                <w:sz w:val="17"/>
                <w:szCs w:val="17"/>
                <w:color w:val="auto"/>
              </w:rPr>
            </w:pPr>
          </w:p>
        </w:tc>
        <w:tc>
          <w:tcPr>
            <w:tcW w:w="680" w:type="dxa"/>
            <w:vAlign w:val="bottom"/>
            <w:tcBorders>
              <w:right w:val="single" w:sz="8" w:color="auto"/>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153670</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400" w:top="1440" w:right="359" w:bottom="1440" w:gutter="0" w:footer="0" w:header="0"/>
        </w:sectPr>
      </w:pPr>
    </w:p>
    <w:bookmarkStart w:id="9" w:name="page10"/>
    <w:bookmarkEnd w:id="9"/>
    <w:p>
      <w:pPr>
        <w:spacing w:after="0" w:line="50"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ThredUp Inc.</w:t>
      </w:r>
    </w:p>
    <w:p>
      <w:pPr>
        <w:spacing w:after="0" w:line="16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080" w:type="dxa"/>
            <w:vAlign w:val="bottom"/>
            <w:tcBorders>
              <w:right w:val="single" w:sz="8" w:color="auto"/>
            </w:tcBorders>
            <w:gridSpan w:val="5"/>
            <w:vMerge w:val="restart"/>
          </w:tcPr>
          <w:p>
            <w:pPr>
              <w:ind w:left="580"/>
              <w:spacing w:after="0"/>
              <w:rPr>
                <w:sz w:val="20"/>
                <w:szCs w:val="20"/>
                <w:color w:val="auto"/>
              </w:rPr>
            </w:pPr>
            <w:r>
              <w:rPr>
                <w:rFonts w:ascii="Arial" w:cs="Arial" w:eastAsia="Arial" w:hAnsi="Arial"/>
                <w:sz w:val="15"/>
                <w:szCs w:val="15"/>
                <w:b w:val="1"/>
                <w:bCs w:val="1"/>
                <w:color w:val="auto"/>
              </w:rPr>
              <w:t>Convertible</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89"/>
        </w:trPr>
        <w:tc>
          <w:tcPr>
            <w:tcW w:w="3440" w:type="dxa"/>
            <w:vAlign w:val="bottom"/>
          </w:tcPr>
          <w:p>
            <w:pPr>
              <w:spacing w:after="0"/>
              <w:rPr>
                <w:sz w:val="7"/>
                <w:szCs w:val="7"/>
                <w:color w:val="auto"/>
              </w:rPr>
            </w:pPr>
          </w:p>
        </w:tc>
        <w:tc>
          <w:tcPr>
            <w:tcW w:w="20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right="80"/>
              <w:spacing w:after="0" w:line="152" w:lineRule="exact"/>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spacing w:after="0" w:line="152"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980" w:type="dxa"/>
            <w:vAlign w:val="bottom"/>
            <w:gridSpan w:val="4"/>
            <w:vMerge w:val="restart"/>
          </w:tcPr>
          <w:p>
            <w:pPr>
              <w:jc w:val="right"/>
              <w:ind w:right="344"/>
              <w:spacing w:after="0"/>
              <w:rPr>
                <w:sz w:val="20"/>
                <w:szCs w:val="20"/>
                <w:color w:val="auto"/>
              </w:rPr>
            </w:pPr>
            <w:r>
              <w:rPr>
                <w:rFonts w:ascii="Arial" w:cs="Arial" w:eastAsia="Arial" w:hAnsi="Arial"/>
                <w:sz w:val="15"/>
                <w:szCs w:val="15"/>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gridSpan w:val="3"/>
            <w:vMerge w:val="restart"/>
          </w:tcPr>
          <w:p>
            <w:pPr>
              <w:jc w:val="right"/>
              <w:ind w:right="20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33"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5"/>
                <w:szCs w:val="15"/>
                <w:b w:val="1"/>
                <w:bCs w:val="1"/>
                <w:color w:val="auto"/>
              </w:rPr>
              <w:t>Accumulated</w:t>
            </w:r>
          </w:p>
        </w:tc>
        <w:tc>
          <w:tcPr>
            <w:tcW w:w="200" w:type="dxa"/>
            <w:vAlign w:val="bottom"/>
          </w:tcPr>
          <w:p>
            <w:pPr>
              <w:spacing w:after="0"/>
              <w:rPr>
                <w:sz w:val="12"/>
                <w:szCs w:val="12"/>
                <w:color w:val="auto"/>
              </w:rPr>
            </w:pPr>
          </w:p>
        </w:tc>
        <w:tc>
          <w:tcPr>
            <w:tcW w:w="980" w:type="dxa"/>
            <w:vAlign w:val="bottom"/>
          </w:tcPr>
          <w:p>
            <w:pPr>
              <w:jc w:val="center"/>
              <w:ind w:right="124"/>
              <w:spacing w:after="0" w:line="133" w:lineRule="exact"/>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65,928,261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246,905</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10,647,380</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4"/>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20,483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(203,725)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(183,241)</w:t>
            </w:r>
          </w:p>
        </w:tc>
        <w:tc>
          <w:tcPr>
            <w:tcW w:w="0" w:type="dxa"/>
            <w:vAlign w:val="bottom"/>
          </w:tcPr>
          <w:p>
            <w:pPr>
              <w:spacing w:after="0"/>
              <w:rPr>
                <w:sz w:val="1"/>
                <w:szCs w:val="1"/>
                <w:color w:val="auto"/>
              </w:rPr>
            </w:pPr>
          </w:p>
        </w:tc>
      </w:tr>
      <w:tr>
        <w:trPr>
          <w:trHeight w:val="200"/>
        </w:trPr>
        <w:tc>
          <w:tcPr>
            <w:tcW w:w="3440" w:type="dxa"/>
            <w:vAlign w:val="bottom"/>
          </w:tcPr>
          <w:p>
            <w:pPr>
              <w:ind w:left="240"/>
              <w:spacing w:after="0"/>
              <w:rPr>
                <w:sz w:val="20"/>
                <w:szCs w:val="20"/>
                <w:color w:val="auto"/>
              </w:rPr>
            </w:pPr>
            <w:r>
              <w:rPr>
                <w:rFonts w:ascii="Arial" w:cs="Arial" w:eastAsia="Arial" w:hAnsi="Arial"/>
                <w:sz w:val="15"/>
                <w:szCs w:val="15"/>
                <w:color w:val="auto"/>
              </w:rPr>
              <w:t>ASC 842 adoption (eff. January 1, 2020)</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(565)</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118,685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0"/>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(13,215)</w:t>
            </w:r>
          </w:p>
        </w:tc>
        <w:tc>
          <w:tcPr>
            <w:tcW w:w="0" w:type="dxa"/>
            <w:vAlign w:val="bottom"/>
          </w:tcPr>
          <w:p>
            <w:pPr>
              <w:spacing w:after="0"/>
              <w:rPr>
                <w:sz w:val="1"/>
                <w:szCs w:val="1"/>
                <w:color w:val="auto"/>
              </w:rPr>
            </w:pPr>
          </w:p>
        </w:tc>
      </w:tr>
      <w:tr>
        <w:trPr>
          <w:trHeight w:val="192"/>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65,928,261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246,905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10,766,065</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21,935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(217,505)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(195,569)</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193,030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0"/>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1,966</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(6,657)</w:t>
            </w:r>
          </w:p>
        </w:tc>
        <w:tc>
          <w:tcPr>
            <w:tcW w:w="0" w:type="dxa"/>
            <w:vAlign w:val="bottom"/>
          </w:tcPr>
          <w:p>
            <w:pPr>
              <w:spacing w:after="0"/>
              <w:rPr>
                <w:sz w:val="1"/>
                <w:szCs w:val="1"/>
                <w:color w:val="auto"/>
              </w:rPr>
            </w:pPr>
          </w:p>
        </w:tc>
      </w:tr>
      <w:tr>
        <w:trPr>
          <w:trHeight w:val="192"/>
        </w:trPr>
        <w:tc>
          <w:tcPr>
            <w:tcW w:w="34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65,928,261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246,905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10,959,095</w:t>
            </w: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24,133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(224,162)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(200,028)</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1,729,601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0" w:type="dxa"/>
            <w:vAlign w:val="bottom"/>
          </w:tcPr>
          <w:p>
            <w:pPr>
              <w:spacing w:after="0"/>
              <w:rPr>
                <w:sz w:val="1"/>
                <w:szCs w:val="1"/>
                <w:color w:val="auto"/>
              </w:rPr>
            </w:pPr>
          </w:p>
        </w:tc>
      </w:tr>
      <w:tr>
        <w:trPr>
          <w:trHeight w:val="200"/>
        </w:trPr>
        <w:tc>
          <w:tcPr>
            <w:tcW w:w="344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1,649</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Stock - Series C - Warrant Exercise</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440" w:type="dxa"/>
            <w:vAlign w:val="bottom"/>
          </w:tcPr>
          <w:p>
            <w:pPr>
              <w:ind w:left="220"/>
              <w:spacing w:after="0"/>
              <w:rPr>
                <w:sz w:val="20"/>
                <w:szCs w:val="20"/>
                <w:color w:val="auto"/>
              </w:rPr>
            </w:pPr>
            <w:r>
              <w:rPr>
                <w:rFonts w:ascii="Arial" w:cs="Arial" w:eastAsia="Arial" w:hAnsi="Arial"/>
                <w:sz w:val="15"/>
                <w:szCs w:val="15"/>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(11,004)</w:t>
            </w: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65,970,938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247,041</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12,688,696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(235,166)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(207,815)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p>
      <w:pPr>
        <w:ind w:left="7920"/>
        <w:spacing w:after="0"/>
        <w:rPr>
          <w:sz w:val="20"/>
          <w:szCs w:val="20"/>
          <w:color w:val="auto"/>
        </w:rPr>
      </w:pPr>
      <w:r>
        <w:rPr>
          <w:rFonts w:ascii="Arial" w:cs="Arial" w:eastAsia="Arial" w:hAnsi="Arial"/>
          <w:sz w:val="15"/>
          <w:szCs w:val="15"/>
          <w:b w:val="1"/>
          <w:bCs w:val="1"/>
          <w:color w:val="auto"/>
        </w:rPr>
        <w:t>Nine months ended</w:t>
      </w:r>
    </w:p>
    <w:p>
      <w:pPr>
        <w:ind w:left="8140"/>
        <w:spacing w:after="0"/>
        <w:rPr>
          <w:sz w:val="20"/>
          <w:szCs w:val="20"/>
          <w:color w:val="auto"/>
        </w:rPr>
      </w:pPr>
      <w:r>
        <w:rPr>
          <w:rFonts w:ascii="Arial" w:cs="Arial" w:eastAsia="Arial" w:hAnsi="Arial"/>
          <w:sz w:val="15"/>
          <w:szCs w:val="15"/>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60" w:type="dxa"/>
            <w:vAlign w:val="bottom"/>
            <w:tcBorders>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2021</w:t>
            </w: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ind w:right="1023"/>
              <w:spacing w:after="0"/>
              <w:rPr>
                <w:sz w:val="20"/>
                <w:szCs w:val="20"/>
                <w:color w:val="auto"/>
              </w:rPr>
            </w:pPr>
            <w:r>
              <w:rPr>
                <w:rFonts w:ascii="Arial" w:cs="Arial" w:eastAsia="Arial" w:hAnsi="Arial"/>
                <w:sz w:val="15"/>
                <w:szCs w:val="15"/>
                <w:b w:val="1"/>
                <w:bCs w:val="1"/>
                <w:color w:val="auto"/>
              </w:rPr>
              <w:t>2020</w:t>
            </w:r>
          </w:p>
        </w:tc>
      </w:tr>
      <w:tr>
        <w:trPr>
          <w:trHeight w:val="18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00"/>
        </w:trPr>
        <w:tc>
          <w:tcPr>
            <w:tcW w:w="6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660" w:type="dxa"/>
            <w:vAlign w:val="bottom"/>
          </w:tcPr>
          <w:p>
            <w:pPr>
              <w:jc w:val="right"/>
              <w:ind w:right="14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(45,265)</w:t>
            </w:r>
          </w:p>
        </w:tc>
        <w:tc>
          <w:tcPr>
            <w:tcW w:w="100" w:type="dxa"/>
            <w:vAlign w:val="bottom"/>
          </w:tcPr>
          <w:p>
            <w:pPr>
              <w:spacing w:after="0"/>
              <w:rPr>
                <w:sz w:val="17"/>
                <w:szCs w:val="17"/>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1940" w:type="dxa"/>
            <w:vAlign w:val="bottom"/>
          </w:tcPr>
          <w:p>
            <w:pPr>
              <w:jc w:val="right"/>
              <w:spacing w:after="0"/>
              <w:rPr>
                <w:sz w:val="20"/>
                <w:szCs w:val="20"/>
                <w:color w:val="auto"/>
              </w:rPr>
            </w:pPr>
            <w:r>
              <w:rPr>
                <w:rFonts w:ascii="Arial" w:cs="Arial" w:eastAsia="Arial" w:hAnsi="Arial"/>
                <w:sz w:val="15"/>
                <w:szCs w:val="15"/>
                <w:color w:val="auto"/>
              </w:rPr>
              <w:t>(30,876)</w:t>
            </w:r>
          </w:p>
        </w:tc>
      </w:tr>
      <w:tr>
        <w:trPr>
          <w:trHeight w:val="206"/>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0"/>
        </w:trPr>
        <w:tc>
          <w:tcPr>
            <w:tcW w:w="6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6,147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3,868</w:t>
            </w:r>
          </w:p>
        </w:tc>
      </w:tr>
      <w:tr>
        <w:trPr>
          <w:trHeight w:val="206"/>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5,057</w:t>
            </w:r>
          </w:p>
        </w:tc>
      </w:tr>
      <w:tr>
        <w:trPr>
          <w:trHeight w:val="200"/>
        </w:trPr>
        <w:tc>
          <w:tcPr>
            <w:tcW w:w="6060" w:type="dxa"/>
            <w:vAlign w:val="bottom"/>
          </w:tcPr>
          <w:p>
            <w:pPr>
              <w:ind w:left="220"/>
              <w:spacing w:after="0"/>
              <w:rPr>
                <w:sz w:val="20"/>
                <w:szCs w:val="20"/>
                <w:color w:val="auto"/>
              </w:rPr>
            </w:pPr>
            <w:r>
              <w:rPr>
                <w:rFonts w:ascii="Arial" w:cs="Arial" w:eastAsia="Arial" w:hAnsi="Arial"/>
                <w:sz w:val="15"/>
                <w:szCs w:val="15"/>
                <w:color w:val="auto"/>
              </w:rPr>
              <w:t>Reduction in the carrying amount of right-of-use assets</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3,201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2,882</w:t>
            </w:r>
          </w:p>
        </w:tc>
      </w:tr>
      <w:tr>
        <w:trPr>
          <w:trHeight w:val="206"/>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fair value of convertible preferred stock warrants and others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200"/>
        </w:trPr>
        <w:tc>
          <w:tcPr>
            <w:tcW w:w="60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6"/>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Accounts receivable, net</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w:t>
            </w:r>
          </w:p>
        </w:tc>
      </w:tr>
      <w:tr>
        <w:trPr>
          <w:trHeight w:val="200"/>
        </w:trPr>
        <w:tc>
          <w:tcPr>
            <w:tcW w:w="6060" w:type="dxa"/>
            <w:vAlign w:val="bottom"/>
          </w:tcPr>
          <w:p>
            <w:pPr>
              <w:ind w:left="420"/>
              <w:spacing w:after="0"/>
              <w:rPr>
                <w:sz w:val="20"/>
                <w:szCs w:val="20"/>
                <w:color w:val="auto"/>
              </w:rPr>
            </w:pPr>
            <w:r>
              <w:rPr>
                <w:rFonts w:ascii="Arial" w:cs="Arial" w:eastAsia="Arial" w:hAnsi="Arial"/>
                <w:sz w:val="15"/>
                <w:szCs w:val="15"/>
                <w:color w:val="auto"/>
              </w:rPr>
              <w:t>Inventory, net</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06"/>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Other current and non-current assets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200"/>
        </w:trPr>
        <w:tc>
          <w:tcPr>
            <w:tcW w:w="6060" w:type="dxa"/>
            <w:vAlign w:val="bottom"/>
          </w:tcPr>
          <w:p>
            <w:pPr>
              <w:ind w:left="420"/>
              <w:spacing w:after="0"/>
              <w:rPr>
                <w:sz w:val="20"/>
                <w:szCs w:val="20"/>
                <w:color w:val="auto"/>
              </w:rPr>
            </w:pPr>
            <w:r>
              <w:rPr>
                <w:rFonts w:ascii="Arial" w:cs="Arial" w:eastAsia="Arial" w:hAnsi="Arial"/>
                <w:sz w:val="15"/>
                <w:szCs w:val="15"/>
                <w:color w:val="auto"/>
              </w:rPr>
              <w:t>Accounts payable</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6,029</w:t>
            </w:r>
          </w:p>
        </w:tc>
      </w:tr>
      <w:tr>
        <w:trPr>
          <w:trHeight w:val="206"/>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and other current liabilities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4,252</w:t>
            </w:r>
          </w:p>
        </w:tc>
      </w:tr>
      <w:tr>
        <w:trPr>
          <w:trHeight w:val="200"/>
        </w:trPr>
        <w:tc>
          <w:tcPr>
            <w:tcW w:w="6060" w:type="dxa"/>
            <w:vAlign w:val="bottom"/>
          </w:tcPr>
          <w:p>
            <w:pPr>
              <w:ind w:left="420"/>
              <w:spacing w:after="0"/>
              <w:rPr>
                <w:sz w:val="20"/>
                <w:szCs w:val="20"/>
                <w:color w:val="auto"/>
              </w:rPr>
            </w:pPr>
            <w:r>
              <w:rPr>
                <w:rFonts w:ascii="Arial" w:cs="Arial" w:eastAsia="Arial" w:hAnsi="Arial"/>
                <w:sz w:val="15"/>
                <w:szCs w:val="15"/>
                <w:color w:val="auto"/>
              </w:rPr>
              <w:t>Seller payable</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4,582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4,023</w:t>
            </w:r>
          </w:p>
        </w:tc>
      </w:tr>
      <w:tr>
        <w:trPr>
          <w:trHeight w:val="206"/>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lease liabilities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(2,851)</w:t>
            </w:r>
          </w:p>
        </w:tc>
      </w:tr>
      <w:tr>
        <w:trPr>
          <w:trHeight w:val="200"/>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Other non-current liabilities</w:t>
            </w:r>
          </w:p>
        </w:tc>
        <w:tc>
          <w:tcPr>
            <w:tcW w:w="1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w:t>
            </w:r>
          </w:p>
        </w:tc>
      </w:tr>
      <w:tr>
        <w:trPr>
          <w:trHeight w:val="199"/>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cash used in operating activities</w:t>
            </w:r>
          </w:p>
        </w:tc>
        <w:tc>
          <w:tcPr>
            <w:tcW w:w="16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(14,132)</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(4,863)</w:t>
            </w:r>
          </w:p>
        </w:tc>
      </w:tr>
      <w:tr>
        <w:trPr>
          <w:trHeight w:val="181"/>
        </w:trPr>
        <w:tc>
          <w:tcPr>
            <w:tcW w:w="60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5"/>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marketable securities</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(102,715)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5"/>
        </w:trPr>
        <w:tc>
          <w:tcPr>
            <w:tcW w:w="6060" w:type="dxa"/>
            <w:vAlign w:val="bottom"/>
          </w:tcPr>
          <w:p>
            <w:pPr>
              <w:ind w:left="220"/>
              <w:spacing w:after="0"/>
              <w:rPr>
                <w:sz w:val="20"/>
                <w:szCs w:val="20"/>
                <w:color w:val="auto"/>
              </w:rPr>
            </w:pPr>
            <w:r>
              <w:rPr>
                <w:rFonts w:ascii="Arial" w:cs="Arial" w:eastAsia="Arial" w:hAnsi="Arial"/>
                <w:sz w:val="15"/>
                <w:szCs w:val="15"/>
                <w:color w:val="auto"/>
              </w:rPr>
              <w:t>Maturities of marketable securities</w:t>
            </w:r>
          </w:p>
        </w:tc>
        <w:tc>
          <w:tcPr>
            <w:tcW w:w="1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 of property and equipment</w:t>
            </w:r>
          </w:p>
        </w:tc>
        <w:tc>
          <w:tcPr>
            <w:tcW w:w="16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(15,207)</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(14,359)</w:t>
            </w:r>
          </w:p>
        </w:tc>
      </w:tr>
      <w:tr>
        <w:trPr>
          <w:trHeight w:val="196"/>
        </w:trPr>
        <w:tc>
          <w:tcPr>
            <w:tcW w:w="606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Net cash used in investing activities</w:t>
            </w:r>
          </w:p>
        </w:tc>
        <w:tc>
          <w:tcPr>
            <w:tcW w:w="1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(116,322)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(14,359)</w:t>
            </w:r>
          </w:p>
        </w:tc>
      </w:tr>
      <w:tr>
        <w:trPr>
          <w:trHeight w:val="186"/>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00"/>
        </w:trPr>
        <w:tc>
          <w:tcPr>
            <w:tcW w:w="6060" w:type="dxa"/>
            <w:vAlign w:val="bottom"/>
          </w:tcPr>
          <w:p>
            <w:pPr>
              <w:ind w:left="220"/>
              <w:spacing w:after="0"/>
              <w:rPr>
                <w:sz w:val="20"/>
                <w:szCs w:val="20"/>
                <w:color w:val="auto"/>
              </w:rPr>
            </w:pPr>
            <w:r>
              <w:rPr>
                <w:rFonts w:ascii="Arial" w:cs="Arial" w:eastAsia="Arial" w:hAnsi="Arial"/>
                <w:sz w:val="15"/>
                <w:szCs w:val="15"/>
                <w:color w:val="auto"/>
              </w:rPr>
              <w:t>Proceeds from debt issuance, net of issuance costs</w:t>
            </w:r>
          </w:p>
        </w:tc>
        <w:tc>
          <w:tcPr>
            <w:tcW w:w="1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4,625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13,427</w:t>
            </w:r>
          </w:p>
        </w:tc>
      </w:tr>
      <w:tr>
        <w:trPr>
          <w:trHeight w:val="206"/>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debt</w:t>
            </w:r>
          </w:p>
        </w:tc>
        <w:tc>
          <w:tcPr>
            <w:tcW w:w="1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r>
      <w:tr>
        <w:trPr>
          <w:trHeight w:val="167"/>
        </w:trPr>
        <w:tc>
          <w:tcPr>
            <w:tcW w:w="6060" w:type="dxa"/>
            <w:vAlign w:val="bottom"/>
          </w:tcPr>
          <w:p>
            <w:pPr>
              <w:ind w:left="220"/>
              <w:spacing w:after="0" w:line="167" w:lineRule="exact"/>
              <w:rPr>
                <w:sz w:val="20"/>
                <w:szCs w:val="20"/>
                <w:color w:val="auto"/>
              </w:rPr>
            </w:pPr>
            <w:r>
              <w:rPr>
                <w:rFonts w:ascii="Arial" w:cs="Arial" w:eastAsia="Arial" w:hAnsi="Arial"/>
                <w:sz w:val="15"/>
                <w:szCs w:val="15"/>
                <w:color w:val="auto"/>
              </w:rPr>
              <w:t>Proceeds from issuance of Class A common stock upon initial public offering and the</w:t>
            </w:r>
          </w:p>
        </w:tc>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5"/>
        </w:trPr>
        <w:tc>
          <w:tcPr>
            <w:tcW w:w="6060" w:type="dxa"/>
            <w:vAlign w:val="bottom"/>
          </w:tcPr>
          <w:p>
            <w:pPr>
              <w:ind w:left="380"/>
              <w:spacing w:after="0"/>
              <w:rPr>
                <w:sz w:val="20"/>
                <w:szCs w:val="20"/>
                <w:color w:val="auto"/>
              </w:rPr>
            </w:pPr>
            <w:r>
              <w:rPr>
                <w:rFonts w:ascii="Arial" w:cs="Arial" w:eastAsia="Arial" w:hAnsi="Arial"/>
                <w:sz w:val="15"/>
                <w:szCs w:val="15"/>
                <w:color w:val="auto"/>
              </w:rPr>
              <w:t>follow-on offering, net of underwriting discounts and commissions</w:t>
            </w:r>
          </w:p>
        </w:tc>
        <w:tc>
          <w:tcPr>
            <w:tcW w:w="1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226,905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0"/>
        </w:trPr>
        <w:tc>
          <w:tcPr>
            <w:tcW w:w="6060" w:type="dxa"/>
            <w:vAlign w:val="bottom"/>
            <w:shd w:val="clear" w:color="auto" w:fill="CCEEFF"/>
          </w:tcPr>
          <w:p>
            <w:pPr>
              <w:ind w:left="220"/>
              <w:spacing w:after="0" w:line="170" w:lineRule="exact"/>
              <w:rPr>
                <w:sz w:val="20"/>
                <w:szCs w:val="20"/>
                <w:color w:val="auto"/>
              </w:rPr>
            </w:pPr>
            <w:r>
              <w:rPr>
                <w:rFonts w:ascii="Arial" w:cs="Arial" w:eastAsia="Arial" w:hAnsi="Arial"/>
                <w:sz w:val="15"/>
                <w:szCs w:val="15"/>
                <w:color w:val="auto"/>
              </w:rPr>
              <w:t>Proceeds from exercise of common stock options and withholding taxes for the net</w:t>
            </w:r>
          </w:p>
        </w:tc>
        <w:tc>
          <w:tcPr>
            <w:tcW w:w="1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189"/>
        </w:trPr>
        <w:tc>
          <w:tcPr>
            <w:tcW w:w="6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settlement of restricted stock units</w:t>
            </w:r>
          </w:p>
        </w:tc>
        <w:tc>
          <w:tcPr>
            <w:tcW w:w="16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Payment of costs for the initial public offering and the follow-on offering</w:t>
            </w: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w:t>
            </w:r>
          </w:p>
        </w:tc>
      </w:tr>
      <w:tr>
        <w:trPr>
          <w:trHeight w:val="196"/>
        </w:trPr>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cash provided by financing activities</w:t>
            </w:r>
          </w:p>
        </w:tc>
        <w:tc>
          <w:tcPr>
            <w:tcW w:w="10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229,032</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13,396</w:t>
            </w:r>
          </w:p>
        </w:tc>
      </w:tr>
      <w:tr>
        <w:trPr>
          <w:trHeight w:val="196"/>
        </w:trPr>
        <w:tc>
          <w:tcPr>
            <w:tcW w:w="6060" w:type="dxa"/>
            <w:vAlign w:val="bottom"/>
          </w:tcPr>
          <w:p>
            <w:pPr>
              <w:ind w:left="4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10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98,578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(5,826)</w:t>
            </w:r>
          </w:p>
        </w:tc>
      </w:tr>
      <w:tr>
        <w:trPr>
          <w:trHeight w:val="206"/>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10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Beginning of period</w:t>
            </w:r>
          </w:p>
        </w:tc>
        <w:tc>
          <w:tcPr>
            <w:tcW w:w="10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67,539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87,853</w:t>
            </w: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 of period</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166,117</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82,027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600" w:hanging="598"/>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Business</w:t>
      </w:r>
    </w:p>
    <w:p>
      <w:pPr>
        <w:spacing w:after="0" w:line="180" w:lineRule="exact"/>
        <w:rPr>
          <w:sz w:val="20"/>
          <w:szCs w:val="20"/>
          <w:color w:val="auto"/>
        </w:rPr>
      </w:pPr>
    </w:p>
    <w:p>
      <w:pPr>
        <w:jc w:val="both"/>
        <w:ind w:firstLine="305"/>
        <w:spacing w:after="0" w:line="277" w:lineRule="auto"/>
        <w:rPr>
          <w:sz w:val="20"/>
          <w:szCs w:val="20"/>
          <w:color w:val="auto"/>
        </w:rPr>
      </w:pPr>
      <w:r>
        <w:rPr>
          <w:rFonts w:ascii="Arial" w:cs="Arial" w:eastAsia="Arial" w:hAnsi="Arial"/>
          <w:sz w:val="16"/>
          <w:szCs w:val="16"/>
          <w:color w:val="auto"/>
        </w:rPr>
        <w:t>ThredUp Inc. (“ThredUp” or “Company”) was formed as a corporation in the State of Delaware in January 2009. ThredUp is a large resale platform that enables consumers to buy and sell secondhand women’s and kid’s apparel, shoes and accessories. The Company conducts its marketing and administrative functions from Oakland, California and Scottsdale, Arizona and operates its fulfillment centers in Pennsylvania, Georgia and Arizona.</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7" w:lineRule="exact"/>
        <w:rPr>
          <w:sz w:val="20"/>
          <w:szCs w:val="20"/>
          <w:color w:val="auto"/>
        </w:rPr>
      </w:pPr>
    </w:p>
    <w:p>
      <w:pPr>
        <w:jc w:val="both"/>
        <w:ind w:firstLine="305"/>
        <w:spacing w:after="0" w:line="225"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on March 25, 2021 by the Securities and Exchange Commission (“SEC”), and the Company’s Class A common stock began trading on the Nasdaq Global Select Market on March 26, 2021. Upon the closing of the IPO, the Company sold 13,800,000 shares of Class A common stock to the public at a price of $14.00 per share. The aggregate net proceeds were $175.5 million after deducting offering costs, underwriting discounts and commissions of $17.7 million.</w:t>
      </w:r>
    </w:p>
    <w:p>
      <w:pPr>
        <w:spacing w:after="0" w:line="206" w:lineRule="exact"/>
        <w:rPr>
          <w:sz w:val="20"/>
          <w:szCs w:val="20"/>
          <w:color w:val="auto"/>
        </w:rPr>
      </w:pPr>
    </w:p>
    <w:p>
      <w:pPr>
        <w:jc w:val="both"/>
        <w:ind w:firstLine="305"/>
        <w:spacing w:after="0" w:line="228" w:lineRule="auto"/>
        <w:rPr>
          <w:sz w:val="20"/>
          <w:szCs w:val="20"/>
          <w:color w:val="auto"/>
        </w:rPr>
      </w:pPr>
      <w:r>
        <w:rPr>
          <w:rFonts w:ascii="Arial" w:cs="Arial" w:eastAsia="Arial" w:hAnsi="Arial"/>
          <w:sz w:val="17"/>
          <w:szCs w:val="17"/>
          <w:color w:val="auto"/>
        </w:rPr>
        <w:t>Immediately prior to the completion of the IPO, the Company filed its Amended and Restated Certificate of Incorporation, which authorized a total of 1,000,000,000 shares of Class A common stock, 120,000,000 shares of Class B common stock and 100,000,000 shares of undesignated preferred stock.</w:t>
      </w:r>
    </w:p>
    <w:p>
      <w:pPr>
        <w:spacing w:after="0" w:line="204" w:lineRule="exact"/>
        <w:rPr>
          <w:sz w:val="20"/>
          <w:szCs w:val="20"/>
          <w:color w:val="auto"/>
        </w:rPr>
      </w:pPr>
    </w:p>
    <w:p>
      <w:pPr>
        <w:jc w:val="both"/>
        <w:ind w:firstLine="305"/>
        <w:spacing w:after="0" w:line="224" w:lineRule="auto"/>
        <w:rPr>
          <w:sz w:val="20"/>
          <w:szCs w:val="20"/>
          <w:color w:val="auto"/>
        </w:rPr>
      </w:pPr>
      <w:r>
        <w:rPr>
          <w:rFonts w:ascii="Arial" w:cs="Arial" w:eastAsia="Arial" w:hAnsi="Arial"/>
          <w:sz w:val="17"/>
          <w:szCs w:val="17"/>
          <w:color w:val="auto"/>
        </w:rPr>
        <w:t>Immediately prior to the completion of the IPO, 65,970,938 shares of the convertible preferred stock then outstanding were converted into an equivalent number of shares of Class B common stock. The Company reclassified the convertible preferred stock to Class B common stock and additional paid-in capital upon the conversion in the three months ended March 31, 2021. 12,889,760 shares of the outstanding historical common stock were reclassified into an equivalent number of shares of Class B common stock. 164,973 shares of the convertible preferred stock warrants were converted to an equivalent number of shares of Class B common stock warrants.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67" w:lineRule="exact"/>
        <w:rPr>
          <w:sz w:val="20"/>
          <w:szCs w:val="20"/>
          <w:color w:val="auto"/>
        </w:rPr>
      </w:pPr>
    </w:p>
    <w:p>
      <w:pPr>
        <w:jc w:val="both"/>
        <w:ind w:firstLine="305"/>
        <w:spacing w:after="0" w:line="228" w:lineRule="auto"/>
        <w:rPr>
          <w:sz w:val="20"/>
          <w:szCs w:val="20"/>
          <w:color w:val="auto"/>
        </w:rPr>
      </w:pPr>
      <w:r>
        <w:rPr>
          <w:rFonts w:ascii="Arial" w:cs="Arial" w:eastAsia="Arial" w:hAnsi="Arial"/>
          <w:sz w:val="17"/>
          <w:szCs w:val="17"/>
          <w:color w:val="auto"/>
        </w:rPr>
        <w:t>On August 2, 2021, the Company issued and sold 2,000,000 shares of Class A common stock at a price of $ 24.25 per share in a registered public offering. The aggregate net proceeds were $45.5 million, after deducting $3.3 million of underwriting discounts and commissions and offering costs. Refer to Note 8, Common Stock and Common Stock Warrants for more details.</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Acquisition of Remix Global AD (“Remix”)</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On July 24, 2021, the Company entered into Share Purchase Agreements with the shareholders of Remix, a fashion resale company headquartered in Sofia, Bulgaria, to purchase 100% of the outstanding equity interests of Remix and its subsidiary (the “Remix Acquisition”). Upon the closing of the Remix Acquisition on October 7, 2021, the Company paid approximately $19.2 million in cash (including the repayment of approximately $12.1 million in outstanding debt of Remix). Shortly after the closing, the company paid approximately $6.2 million of other Remix liabilities. Subject to customary purchase price adjustments, the Company will also pay approximately $3.5 million in the form of 130,597 shares of newly-issued Class A common stock to be issued 18 months following the closing of the Remix Acquisition. With this acquisition, the Company adds a complementary operational infrastructure and an experienced management team to enable its expansion into Europe.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180" w:lineRule="exact"/>
        <w:rPr>
          <w:sz w:val="20"/>
          <w:szCs w:val="20"/>
          <w:color w:val="auto"/>
        </w:rPr>
      </w:pPr>
    </w:p>
    <w:p>
      <w:pPr>
        <w:jc w:val="both"/>
        <w:ind w:firstLine="305"/>
        <w:spacing w:after="0" w:line="23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generally accepted accounting principles (“GAAP”) in the United States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jc w:val="both"/>
        <w:spacing w:after="0" w:line="197" w:lineRule="exact"/>
        <w:rPr>
          <w:sz w:val="20"/>
          <w:szCs w:val="20"/>
          <w:color w:val="auto"/>
        </w:rPr>
      </w:pPr>
      <w:r>
        <w:rPr>
          <w:rFonts w:ascii="Arial" w:cs="Arial" w:eastAsia="Arial" w:hAnsi="Arial"/>
          <w:sz w:val="17"/>
          <w:szCs w:val="17"/>
          <w:color w:val="auto"/>
        </w:rPr>
        <w:t>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S-X. As permitted under those rules, certain footnotes or other financial information can be condensed or omitted.</w:t>
      </w:r>
    </w:p>
    <w:p>
      <w:pPr>
        <w:spacing w:after="0" w:line="217" w:lineRule="exact"/>
        <w:rPr>
          <w:sz w:val="20"/>
          <w:szCs w:val="20"/>
          <w:color w:val="auto"/>
        </w:rPr>
      </w:pPr>
    </w:p>
    <w:p>
      <w:pPr>
        <w:jc w:val="both"/>
        <w:ind w:firstLine="305"/>
        <w:spacing w:after="0" w:line="23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allowance for bad debts, breakage on loyalty points and rewards, valuation of inventory, warrants, stock-based compensation, valuation of right-of-use assets and income taxes. In the opinion of management, the accompanying unaudited condensed consolidated financial statements reflect all normal and recurring adjustments necessary to present fairly the financial position of the Company as of September 30, 2021, and the results of operations and cash flows for the interim periods presented.</w:t>
      </w:r>
    </w:p>
    <w:p>
      <w:pPr>
        <w:spacing w:after="0" w:line="221" w:lineRule="exact"/>
        <w:rPr>
          <w:sz w:val="20"/>
          <w:szCs w:val="20"/>
          <w:color w:val="auto"/>
        </w:rPr>
      </w:pPr>
    </w:p>
    <w:p>
      <w:pPr>
        <w:jc w:val="both"/>
        <w:ind w:firstLine="305"/>
        <w:spacing w:after="0" w:line="243" w:lineRule="auto"/>
        <w:rPr>
          <w:sz w:val="20"/>
          <w:szCs w:val="20"/>
          <w:color w:val="auto"/>
        </w:rPr>
      </w:pPr>
      <w:r>
        <w:rPr>
          <w:rFonts w:ascii="Arial" w:cs="Arial" w:eastAsia="Arial" w:hAnsi="Arial"/>
          <w:sz w:val="17"/>
          <w:szCs w:val="17"/>
          <w:color w:val="auto"/>
        </w:rPr>
        <w:t>The Company has not included the Statements of Other Comprehensive Income (Loss) for the three and nine months ended September 30, 2021 as the components of other comprehensive income (loss) for these periods have been immaterial.</w:t>
      </w:r>
    </w:p>
    <w:p>
      <w:pPr>
        <w:spacing w:after="0" w:line="200" w:lineRule="exact"/>
        <w:rPr>
          <w:sz w:val="20"/>
          <w:szCs w:val="20"/>
          <w:color w:val="auto"/>
        </w:rPr>
      </w:pPr>
    </w:p>
    <w:p>
      <w:pPr>
        <w:spacing w:after="0" w:line="242"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The accompanying condensed consolidated financial statements and related financial information should be read in conjunction with the Company’s audited consolidated financial statements and related notes for the year ended December 31, 2020 included in the final prospectus for the IPO dated March 25, 2021.</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43"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never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4" w:name="page15"/>
    <w:bookmarkEnd w:id="14"/>
    <w:p>
      <w:pPr>
        <w:jc w:val="center"/>
        <w:ind w:right="100"/>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Revenue from Loyalty Reward Redemption or Expiration</w:t>
      </w:r>
    </w:p>
    <w:p>
      <w:pPr>
        <w:spacing w:after="0" w:line="178" w:lineRule="exact"/>
        <w:rPr>
          <w:sz w:val="20"/>
          <w:szCs w:val="20"/>
          <w:color w:val="auto"/>
        </w:rPr>
      </w:pPr>
    </w:p>
    <w:p>
      <w:pPr>
        <w:jc w:val="both"/>
        <w:ind w:right="100" w:firstLine="305"/>
        <w:spacing w:after="0" w:line="258" w:lineRule="auto"/>
        <w:rPr>
          <w:sz w:val="20"/>
          <w:szCs w:val="20"/>
          <w:color w:val="auto"/>
        </w:rPr>
      </w:pPr>
      <w:r>
        <w:rPr>
          <w:rFonts w:ascii="Arial" w:cs="Arial" w:eastAsia="Arial" w:hAnsi="Arial"/>
          <w:sz w:val="17"/>
          <w:szCs w:val="17"/>
          <w:color w:val="auto"/>
        </w:rPr>
        <w:t>Revenue recognized from loyalty reward redemption or expiration was $3.6 million and $2.3 million for the three months ended September 30, 2021 and 2020, respectively, and $10.3 million and $3.8 million for the nine months ended September 30, 2021 and 2020, respectively.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80" w:lineRule="exact"/>
        <w:rPr>
          <w:sz w:val="20"/>
          <w:szCs w:val="20"/>
          <w:color w:val="auto"/>
        </w:rPr>
      </w:pPr>
    </w:p>
    <w:p>
      <w:pPr>
        <w:jc w:val="both"/>
        <w:ind w:right="100" w:firstLine="305"/>
        <w:spacing w:after="0" w:line="25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to the amounts shown in the condensed consolidated statements of cash flows (in thousands):</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7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160,912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64,48</w:t>
            </w:r>
          </w:p>
        </w:tc>
      </w:tr>
      <w:tr>
        <w:trPr>
          <w:trHeight w:val="215"/>
        </w:trPr>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Restricted cash, current and non-current</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5,205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r>
      <w:tr>
        <w:trPr>
          <w:trHeight w:val="23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166,117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100" w:firstLine="305"/>
        <w:spacing w:after="0" w:line="258" w:lineRule="auto"/>
        <w:rPr>
          <w:sz w:val="20"/>
          <w:szCs w:val="20"/>
          <w:color w:val="auto"/>
        </w:rPr>
      </w:pPr>
      <w:r>
        <w:rPr>
          <w:rFonts w:ascii="Arial" w:cs="Arial" w:eastAsia="Arial" w:hAnsi="Arial"/>
          <w:sz w:val="17"/>
          <w:szCs w:val="17"/>
          <w:color w:val="auto"/>
        </w:rPr>
        <w:t>Restricted cash, non-current of $4.4 million and $2.7 million is included in the other assets in the condensed consolidated balance sheets statements as of September 30, 2021 and December 31, 2020, respectively.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80" w:lineRule="exact"/>
        <w:rPr>
          <w:sz w:val="20"/>
          <w:szCs w:val="20"/>
          <w:color w:val="auto"/>
        </w:rPr>
      </w:pPr>
    </w:p>
    <w:p>
      <w:pPr>
        <w:jc w:val="both"/>
        <w:ind w:right="100" w:firstLine="305"/>
        <w:spacing w:after="0" w:line="251" w:lineRule="auto"/>
        <w:rPr>
          <w:sz w:val="20"/>
          <w:szCs w:val="20"/>
          <w:color w:val="auto"/>
        </w:rPr>
      </w:pPr>
      <w:r>
        <w:rPr>
          <w:rFonts w:ascii="Arial" w:cs="Arial" w:eastAsia="Arial" w:hAnsi="Arial"/>
          <w:sz w:val="17"/>
          <w:szCs w:val="17"/>
          <w:color w:val="auto"/>
        </w:rPr>
        <w:t>The Company follows the two-class method when computing net loss per common share when shares issued meet the definition of participating securities. 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5" w:lineRule="exact"/>
        <w:rPr>
          <w:sz w:val="20"/>
          <w:szCs w:val="20"/>
          <w:color w:val="auto"/>
        </w:rPr>
      </w:pPr>
    </w:p>
    <w:p>
      <w:pPr>
        <w:jc w:val="both"/>
        <w:ind w:right="100" w:firstLine="305"/>
        <w:spacing w:after="0" w:line="254" w:lineRule="auto"/>
        <w:rPr>
          <w:sz w:val="20"/>
          <w:szCs w:val="20"/>
          <w:color w:val="auto"/>
        </w:rPr>
      </w:pPr>
      <w:r>
        <w:rPr>
          <w:rFonts w:ascii="Arial" w:cs="Arial" w:eastAsia="Arial" w:hAnsi="Arial"/>
          <w:sz w:val="17"/>
          <w:szCs w:val="17"/>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80" w:lineRule="exact"/>
        <w:rPr>
          <w:sz w:val="20"/>
          <w:szCs w:val="20"/>
          <w:color w:val="auto"/>
        </w:rPr>
      </w:pPr>
    </w:p>
    <w:p>
      <w:pPr>
        <w:jc w:val="both"/>
        <w:ind w:right="100" w:firstLine="305"/>
        <w:spacing w:after="0" w:line="251" w:lineRule="auto"/>
        <w:rPr>
          <w:sz w:val="20"/>
          <w:szCs w:val="20"/>
          <w:color w:val="auto"/>
        </w:rPr>
      </w:pPr>
      <w:r>
        <w:rPr>
          <w:rFonts w:ascii="Arial" w:cs="Arial" w:eastAsia="Arial" w:hAnsi="Arial"/>
          <w:sz w:val="17"/>
          <w:szCs w:val="17"/>
          <w:color w:val="auto"/>
        </w:rPr>
        <w:t>The Company invests its excess cash in investment grade, short to intermediate-term, fixed income securities and recognizes the transaction on the trade-date.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reviewed periodically to identify possible other-than-temporary impairments. Realized gains or losses and other-than-temporary impairments, if any, on available-for sale securities are reported in other income, net as incurred.</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80" w:lineRule="exact"/>
        <w:rPr>
          <w:sz w:val="20"/>
          <w:szCs w:val="20"/>
          <w:color w:val="auto"/>
        </w:rPr>
      </w:pPr>
    </w:p>
    <w:p>
      <w:pPr>
        <w:jc w:val="both"/>
        <w:ind w:right="100" w:firstLine="381"/>
        <w:spacing w:after="0" w:line="254" w:lineRule="auto"/>
        <w:rPr>
          <w:sz w:val="20"/>
          <w:szCs w:val="20"/>
          <w:color w:val="auto"/>
        </w:rPr>
      </w:pPr>
      <w:r>
        <w:rPr>
          <w:rFonts w:ascii="Arial" w:cs="Arial" w:eastAsia="Arial" w:hAnsi="Arial"/>
          <w:sz w:val="17"/>
          <w:szCs w:val="17"/>
          <w:color w:val="auto"/>
        </w:rPr>
        <w:t>Fair value accounting is applied for all financial assets and liabilities that are recognized or disclosed at fair value in the consolidated financial statements on a recurring basis (at least annually). As of September 30, 2021 and December 31, 2020, the carrying amount of accounts receivable, other current assets, other assets, accounts payable, seller payable and accrued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65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approximated their estimated fair value due to their relatively short maturities. Management believes the terms of its long-term debt reflect current market conditions for an instrument with similar terms and maturity, therefore the carrying value of the Company’s debt approximated its fair value.</w:t>
      </w:r>
    </w:p>
    <w:p>
      <w:pPr>
        <w:spacing w:after="0" w:line="13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6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Level 2—Inputs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41" w:lineRule="exact"/>
        <w:rPr>
          <w:sz w:val="20"/>
          <w:szCs w:val="20"/>
          <w:color w:val="auto"/>
        </w:rPr>
      </w:pPr>
    </w:p>
    <w:p>
      <w:pPr>
        <w:ind w:left="300" w:right="240"/>
        <w:spacing w:after="0" w:line="425" w:lineRule="auto"/>
        <w:rPr>
          <w:sz w:val="20"/>
          <w:szCs w:val="20"/>
          <w:color w:val="auto"/>
        </w:rPr>
      </w:pPr>
      <w:r>
        <w:rPr>
          <w:rFonts w:ascii="Arial" w:cs="Arial" w:eastAsia="Arial" w:hAnsi="Arial"/>
          <w:sz w:val="17"/>
          <w:szCs w:val="17"/>
          <w:color w:val="auto"/>
        </w:rPr>
        <w:t xml:space="preserve">Level 3—Unobservable inputs that are supported by little or no market activity and that are significant to the fair value of the assets or liabilities. </w:t>
      </w:r>
      <w:r>
        <w:rPr>
          <w:rFonts w:ascii="Arial" w:cs="Arial" w:eastAsia="Arial" w:hAnsi="Arial"/>
          <w:sz w:val="17"/>
          <w:szCs w:val="17"/>
          <w:b w:val="1"/>
          <w:bCs w:val="1"/>
          <w:i w:val="1"/>
          <w:iCs w:val="1"/>
          <w:color w:val="auto"/>
        </w:rPr>
        <w:t>Accounting Pronouncements Recently Adopted</w:t>
      </w:r>
    </w:p>
    <w:p>
      <w:pPr>
        <w:jc w:val="both"/>
        <w:ind w:firstLine="305"/>
        <w:spacing w:after="0" w:line="259" w:lineRule="auto"/>
        <w:rPr>
          <w:sz w:val="20"/>
          <w:szCs w:val="20"/>
          <w:color w:val="auto"/>
        </w:rPr>
      </w:pPr>
      <w:r>
        <w:rPr>
          <w:rFonts w:ascii="Arial" w:cs="Arial" w:eastAsia="Arial" w:hAnsi="Arial"/>
          <w:sz w:val="17"/>
          <w:szCs w:val="17"/>
          <w:color w:val="auto"/>
        </w:rPr>
        <w:t xml:space="preserve">In August 2018, the Financial Accounting Standards Board (“FASB”) issued ASU No. 2018-15, </w:t>
      </w:r>
      <w:r>
        <w:rPr>
          <w:rFonts w:ascii="Arial" w:cs="Arial" w:eastAsia="Arial" w:hAnsi="Arial"/>
          <w:sz w:val="17"/>
          <w:szCs w:val="17"/>
          <w:i w:val="1"/>
          <w:iCs w:val="1"/>
          <w:color w:val="auto"/>
        </w:rPr>
        <w:t>Intangibles—Goodwill and Other—Internal-use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Implementation Costs Incurred in a Cloud Computing Arrangement that is a Service Contract. </w:t>
      </w:r>
      <w:r>
        <w:rPr>
          <w:rFonts w:ascii="Arial" w:cs="Arial" w:eastAsia="Arial" w:hAnsi="Arial"/>
          <w:sz w:val="17"/>
          <w:szCs w:val="17"/>
          <w:color w:val="auto"/>
        </w:rPr>
        <w:t>The Company adopted ASU 2018-15 as of January 1, 2021. The adoption of ASU 2018-15 did not have a material impact on the Company’s condensed consolidated financial statements.</w:t>
      </w:r>
    </w:p>
    <w:p>
      <w:pPr>
        <w:spacing w:after="0" w:line="121" w:lineRule="exact"/>
        <w:rPr>
          <w:sz w:val="20"/>
          <w:szCs w:val="20"/>
          <w:color w:val="auto"/>
        </w:rPr>
      </w:pPr>
    </w:p>
    <w:p>
      <w:pPr>
        <w:jc w:val="both"/>
        <w:ind w:firstLine="305"/>
        <w:spacing w:after="0" w:line="26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The Company adopted ASU 2020-06 on January 1, 2021. The adoption of this ASU did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any impact on the Company’s condensed consolidated financial statements.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New Accounting Pronouncements Recently Issued But Not Yet Adopted</w:t>
      </w:r>
    </w:p>
    <w:p>
      <w:pPr>
        <w:spacing w:after="0" w:line="162"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ASU 2019-10, ASU 2019-11,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is currently evaluating the impact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600" w:hanging="598"/>
        <w:spacing w:after="0"/>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the financial instruments measured at fair value (in thousands):</w:t>
      </w:r>
    </w:p>
    <w:p>
      <w:pPr>
        <w:spacing w:after="0" w:line="183" w:lineRule="exact"/>
        <w:rPr>
          <w:sz w:val="20"/>
          <w:szCs w:val="20"/>
          <w:color w:val="auto"/>
        </w:rPr>
      </w:pPr>
    </w:p>
    <w:p>
      <w:pPr>
        <w:ind w:left="6080"/>
        <w:spacing w:after="0"/>
        <w:rPr>
          <w:sz w:val="20"/>
          <w:szCs w:val="20"/>
          <w:color w:val="auto"/>
        </w:rPr>
      </w:pPr>
      <w:r>
        <w:rPr>
          <w:rFonts w:ascii="Arial" w:cs="Arial" w:eastAsia="Arial" w:hAnsi="Arial"/>
          <w:sz w:val="15"/>
          <w:szCs w:val="15"/>
          <w:b w:val="1"/>
          <w:bCs w:val="1"/>
          <w:color w:val="auto"/>
        </w:rPr>
        <w:t>Fair Value as of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Level 3</w:t>
            </w:r>
          </w:p>
        </w:tc>
        <w:tc>
          <w:tcPr>
            <w:tcW w:w="74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right"/>
              <w:ind w:right="1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24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00" w:type="dxa"/>
            <w:vAlign w:val="bottom"/>
          </w:tcPr>
          <w:p>
            <w:pPr>
              <w:ind w:left="220"/>
              <w:spacing w:after="0"/>
              <w:rPr>
                <w:sz w:val="20"/>
                <w:szCs w:val="20"/>
                <w:color w:val="auto"/>
              </w:rPr>
            </w:pPr>
            <w:r>
              <w:rPr>
                <w:rFonts w:ascii="Arial" w:cs="Arial" w:eastAsia="Arial" w:hAnsi="Arial"/>
                <w:sz w:val="15"/>
                <w:szCs w:val="15"/>
                <w:color w:val="auto"/>
              </w:rPr>
              <w:t>Money market fund</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88,768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64"/>
              <w:spacing w:after="0"/>
              <w:rPr>
                <w:sz w:val="20"/>
                <w:szCs w:val="20"/>
                <w:color w:val="auto"/>
              </w:rPr>
            </w:pPr>
            <w:r>
              <w:rPr>
                <w:rFonts w:ascii="Arial" w:cs="Arial" w:eastAsia="Arial" w:hAnsi="Arial"/>
                <w:sz w:val="15"/>
                <w:szCs w:val="15"/>
                <w:color w:val="auto"/>
                <w:w w:val="95"/>
              </w:rPr>
              <w:t>$</w:t>
            </w:r>
          </w:p>
        </w:tc>
        <w:tc>
          <w:tcPr>
            <w:tcW w:w="2420" w:type="dxa"/>
            <w:vAlign w:val="bottom"/>
          </w:tcPr>
          <w:p>
            <w:pPr>
              <w:jc w:val="right"/>
              <w:spacing w:after="0"/>
              <w:rPr>
                <w:sz w:val="20"/>
                <w:szCs w:val="20"/>
                <w:color w:val="auto"/>
              </w:rPr>
            </w:pPr>
            <w:r>
              <w:rPr>
                <w:rFonts w:ascii="Arial" w:cs="Arial" w:eastAsia="Arial" w:hAnsi="Arial"/>
                <w:sz w:val="15"/>
                <w:szCs w:val="15"/>
                <w:color w:val="auto"/>
              </w:rPr>
              <w:t>88,768</w:t>
            </w: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treasury securities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20"/>
                <w:szCs w:val="20"/>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26,212</w:t>
            </w:r>
          </w:p>
        </w:tc>
        <w:tc>
          <w:tcPr>
            <w:tcW w:w="0" w:type="dxa"/>
            <w:vAlign w:val="bottom"/>
          </w:tcPr>
          <w:p>
            <w:pPr>
              <w:spacing w:after="0"/>
              <w:rPr>
                <w:sz w:val="1"/>
                <w:szCs w:val="1"/>
                <w:color w:val="auto"/>
              </w:rPr>
            </w:pPr>
          </w:p>
        </w:tc>
      </w:tr>
      <w:tr>
        <w:trPr>
          <w:trHeight w:val="225"/>
        </w:trPr>
        <w:tc>
          <w:tcPr>
            <w:tcW w:w="350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 securities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20"/>
                <w:szCs w:val="20"/>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57,641</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bonds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16,910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financial assets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190,031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5"/>
                <w:szCs w:val="15"/>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89,269</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Marketable securities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100,762</w:t>
            </w:r>
          </w:p>
        </w:tc>
        <w:tc>
          <w:tcPr>
            <w:tcW w:w="0" w:type="dxa"/>
            <w:vAlign w:val="bottom"/>
          </w:tcPr>
          <w:p>
            <w:pPr>
              <w:spacing w:after="0"/>
              <w:rPr>
                <w:sz w:val="1"/>
                <w:szCs w:val="1"/>
                <w:color w:val="auto"/>
              </w:rPr>
            </w:pPr>
          </w:p>
        </w:tc>
      </w:tr>
      <w:tr>
        <w:trPr>
          <w:trHeight w:val="221"/>
        </w:trPr>
        <w:tc>
          <w:tcPr>
            <w:tcW w:w="35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190,031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three and nine months ended September 30, 2021, unrealized gains and losses on available-for-sale debt securities were immaterial.</w:t>
      </w:r>
    </w:p>
    <w:p>
      <w:pPr>
        <w:spacing w:after="0" w:line="160"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auto"/>
        </w:rPr>
        <w:t>For all of the marketable securities,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141" w:lineRule="exact"/>
        <w:rPr>
          <w:sz w:val="20"/>
          <w:szCs w:val="20"/>
          <w:color w:val="auto"/>
        </w:rPr>
      </w:pPr>
    </w:p>
    <w:p>
      <w:pPr>
        <w:jc w:val="both"/>
        <w:ind w:firstLine="609"/>
        <w:spacing w:after="0" w:line="254" w:lineRule="auto"/>
        <w:rPr>
          <w:sz w:val="20"/>
          <w:szCs w:val="20"/>
          <w:color w:val="auto"/>
        </w:rPr>
      </w:pPr>
      <w:r>
        <w:rPr>
          <w:rFonts w:ascii="Arial" w:cs="Arial" w:eastAsia="Arial" w:hAnsi="Arial"/>
          <w:sz w:val="17"/>
          <w:szCs w:val="17"/>
          <w:color w:val="auto"/>
        </w:rPr>
        <w:t>As of December 31, 2020, the Company held $43.5 million of money market funds and $0.8 million of convertible preferred stock warrant liability. The money market funds were included within cash equivalents and were valued using Level 1 inputs. The convertible preferred stock warrant liability was included in other non-current liabilities and was valued using Level 3 inputs.</w:t>
      </w:r>
    </w:p>
    <w:p>
      <w:pPr>
        <w:spacing w:after="0" w:line="141" w:lineRule="exact"/>
        <w:rPr>
          <w:sz w:val="20"/>
          <w:szCs w:val="20"/>
          <w:color w:val="auto"/>
        </w:rPr>
      </w:pPr>
    </w:p>
    <w:p>
      <w:pPr>
        <w:jc w:val="both"/>
        <w:ind w:firstLine="609"/>
        <w:spacing w:after="0" w:line="252" w:lineRule="auto"/>
        <w:rPr>
          <w:sz w:val="20"/>
          <w:szCs w:val="20"/>
          <w:color w:val="auto"/>
        </w:rPr>
      </w:pPr>
      <w:r>
        <w:rPr>
          <w:rFonts w:ascii="Arial" w:cs="Arial" w:eastAsia="Arial" w:hAnsi="Arial"/>
          <w:sz w:val="17"/>
          <w:szCs w:val="17"/>
          <w:color w:val="auto"/>
        </w:rPr>
        <w:t>There were no transfers between levels during the periods presented. For the three and nine months ended September 30, 2021, the Company recognized no material realized gains or losses on marketable securities. As of September 30, 2021, out of the $100.8 million carrying amount of market securities, $21.1 million had a contractual maturity date of less than one year and $79.7 million had a contractual maturity date between one to two years.</w:t>
      </w:r>
    </w:p>
    <w:p>
      <w:pPr>
        <w:spacing w:after="0" w:line="124" w:lineRule="exact"/>
        <w:rPr>
          <w:sz w:val="20"/>
          <w:szCs w:val="20"/>
          <w:color w:val="auto"/>
        </w:rPr>
      </w:pPr>
    </w:p>
    <w:p>
      <w:pPr>
        <w:ind w:left="600" w:hanging="598"/>
        <w:spacing w:after="0"/>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September 30,</w:t>
            </w:r>
          </w:p>
        </w:tc>
        <w:tc>
          <w:tcPr>
            <w:tcW w:w="240" w:type="dxa"/>
            <w:vAlign w:val="bottom"/>
          </w:tcPr>
          <w:p>
            <w:pPr>
              <w:spacing w:after="0"/>
              <w:rPr>
                <w:sz w:val="19"/>
                <w:szCs w:val="19"/>
                <w:color w:val="auto"/>
              </w:rPr>
            </w:pPr>
          </w:p>
        </w:tc>
        <w:tc>
          <w:tcPr>
            <w:tcW w:w="1600" w:type="dxa"/>
            <w:vAlign w:val="bottom"/>
          </w:tcPr>
          <w:p>
            <w:pPr>
              <w:jc w:val="center"/>
              <w:ind w:right="155"/>
              <w:spacing w:after="0"/>
              <w:rPr>
                <w:sz w:val="20"/>
                <w:szCs w:val="20"/>
                <w:color w:val="auto"/>
              </w:rPr>
            </w:pPr>
            <w:r>
              <w:rPr>
                <w:rFonts w:ascii="Arial" w:cs="Arial" w:eastAsia="Arial" w:hAnsi="Arial"/>
                <w:sz w:val="17"/>
                <w:szCs w:val="17"/>
                <w:b w:val="1"/>
                <w:bCs w:val="1"/>
                <w:color w:val="auto"/>
              </w:rPr>
              <w:t>December 31,</w:t>
            </w:r>
          </w:p>
        </w:tc>
      </w:tr>
      <w:tr>
        <w:trPr>
          <w:trHeight w:val="254"/>
        </w:trPr>
        <w:tc>
          <w:tcPr>
            <w:tcW w:w="7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99"/>
              </w:rPr>
              <w:t>67,668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center"/>
              <w:ind w:left="875"/>
              <w:spacing w:after="0"/>
              <w:rPr>
                <w:sz w:val="20"/>
                <w:szCs w:val="20"/>
                <w:color w:val="auto"/>
              </w:rPr>
            </w:pPr>
            <w:r>
              <w:rPr>
                <w:rFonts w:ascii="Arial" w:cs="Arial" w:eastAsia="Arial" w:hAnsi="Arial"/>
                <w:sz w:val="17"/>
                <w:szCs w:val="17"/>
                <w:color w:val="auto"/>
                <w:w w:val="99"/>
              </w:rPr>
              <w:t>55,221</w:t>
            </w:r>
          </w:p>
        </w:tc>
      </w:tr>
      <w:tr>
        <w:trPr>
          <w:trHeight w:val="25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color w:val="auto"/>
              </w:rPr>
              <w:t>(18,217)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855"/>
              <w:spacing w:after="0"/>
              <w:rPr>
                <w:sz w:val="20"/>
                <w:szCs w:val="20"/>
                <w:color w:val="auto"/>
              </w:rPr>
            </w:pPr>
            <w:r>
              <w:rPr>
                <w:rFonts w:ascii="Arial" w:cs="Arial" w:eastAsia="Arial" w:hAnsi="Arial"/>
                <w:sz w:val="17"/>
                <w:szCs w:val="17"/>
                <w:color w:val="auto"/>
                <w:w w:val="97"/>
              </w:rPr>
              <w:t>(14,090)</w:t>
            </w:r>
          </w:p>
        </w:tc>
      </w:tr>
      <w:tr>
        <w:trPr>
          <w:trHeight w:val="23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center"/>
              <w:ind w:left="875"/>
              <w:spacing w:after="0"/>
              <w:rPr>
                <w:sz w:val="20"/>
                <w:szCs w:val="20"/>
                <w:color w:val="auto"/>
              </w:rPr>
            </w:pPr>
            <w:r>
              <w:rPr>
                <w:rFonts w:ascii="Arial" w:cs="Arial" w:eastAsia="Arial" w:hAnsi="Arial"/>
                <w:sz w:val="17"/>
                <w:szCs w:val="17"/>
                <w:color w:val="auto"/>
                <w:w w:val="99"/>
              </w:rPr>
              <w:t>49,451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center"/>
              <w:ind w:left="875"/>
              <w:spacing w:after="0"/>
              <w:rPr>
                <w:sz w:val="20"/>
                <w:szCs w:val="20"/>
                <w:color w:val="auto"/>
              </w:rPr>
            </w:pPr>
            <w:r>
              <w:rPr>
                <w:rFonts w:ascii="Arial" w:cs="Arial" w:eastAsia="Arial" w:hAnsi="Arial"/>
                <w:sz w:val="17"/>
                <w:szCs w:val="17"/>
                <w:color w:val="auto"/>
                <w:w w:val="99"/>
              </w:rPr>
              <w:t>41,131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Depreciation and amortization expense of property and equipment was $2.2 million and $1.4 million for the three months ended September 30, 2021 and 2020, respectively, and $6.1 million and $3.9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600" w:hanging="598"/>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Other Balance Sheet Details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Accrued and other current liabilities consist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Pr>
          <w:p>
            <w:pPr>
              <w:spacing w:after="0"/>
              <w:rPr>
                <w:sz w:val="19"/>
                <w:szCs w:val="19"/>
                <w:color w:val="auto"/>
              </w:rPr>
            </w:pPr>
          </w:p>
        </w:tc>
        <w:tc>
          <w:tcPr>
            <w:tcW w:w="1520" w:type="dxa"/>
            <w:vAlign w:val="bottom"/>
          </w:tcPr>
          <w:p>
            <w:pPr>
              <w:jc w:val="right"/>
              <w:ind w:right="235"/>
              <w:spacing w:after="0"/>
              <w:rPr>
                <w:sz w:val="20"/>
                <w:szCs w:val="20"/>
                <w:color w:val="auto"/>
              </w:rPr>
            </w:pPr>
            <w:r>
              <w:rPr>
                <w:rFonts w:ascii="Arial" w:cs="Arial" w:eastAsia="Arial" w:hAnsi="Arial"/>
                <w:sz w:val="17"/>
                <w:szCs w:val="17"/>
                <w:b w:val="1"/>
                <w:bCs w:val="1"/>
                <w:color w:val="auto"/>
              </w:rPr>
              <w:t>December 31,</w:t>
            </w:r>
          </w:p>
        </w:tc>
      </w:tr>
      <w:tr>
        <w:trPr>
          <w:trHeight w:val="254"/>
        </w:trPr>
        <w:tc>
          <w:tcPr>
            <w:tcW w:w="7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2020</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Gift card and site credit liabilities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9,362</w:t>
            </w:r>
          </w:p>
        </w:tc>
      </w:tr>
      <w:tr>
        <w:trPr>
          <w:trHeight w:val="215"/>
        </w:trPr>
        <w:tc>
          <w:tcPr>
            <w:tcW w:w="7620" w:type="dxa"/>
            <w:vAlign w:val="bottom"/>
          </w:tcPr>
          <w:p>
            <w:pPr>
              <w:ind w:left="20"/>
              <w:spacing w:after="0"/>
              <w:rPr>
                <w:sz w:val="20"/>
                <w:szCs w:val="20"/>
                <w:color w:val="auto"/>
              </w:rPr>
            </w:pPr>
            <w:r>
              <w:rPr>
                <w:rFonts w:ascii="Arial" w:cs="Arial" w:eastAsia="Arial" w:hAnsi="Arial"/>
                <w:sz w:val="17"/>
                <w:szCs w:val="17"/>
                <w:color w:val="auto"/>
              </w:rPr>
              <w:t>Accrued vendor liabilities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6,941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3,407</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returns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w:t>
            </w:r>
          </w:p>
        </w:tc>
      </w:tr>
      <w:tr>
        <w:trPr>
          <w:trHeight w:val="215"/>
        </w:trPr>
        <w:tc>
          <w:tcPr>
            <w:tcW w:w="76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6,160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5,094</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3,443</w:t>
            </w:r>
          </w:p>
        </w:tc>
      </w:tr>
      <w:tr>
        <w:trPr>
          <w:trHeight w:val="215"/>
        </w:trPr>
        <w:tc>
          <w:tcPr>
            <w:tcW w:w="762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4,594</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w:t>
            </w:r>
          </w:p>
        </w:tc>
      </w:tr>
      <w:tr>
        <w:trPr>
          <w:trHeight w:val="208"/>
        </w:trPr>
        <w:tc>
          <w:tcPr>
            <w:tcW w:w="7620" w:type="dxa"/>
            <w:vAlign w:val="bottom"/>
          </w:tcPr>
          <w:p>
            <w:pPr>
              <w:spacing w:after="0"/>
              <w:rPr>
                <w:sz w:val="18"/>
                <w:szCs w:val="18"/>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32,541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0" w:hanging="598"/>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Lease Agreements</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Company’s operating lease expense was $1.6 million and $1.8 million for the three months ended September 30, 2021 and 2020, respectively, and $5.5 million and $4.9 million for the nine months ended September 30, 2021 and 2020,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00" w:type="dxa"/>
            <w:vAlign w:val="bottom"/>
          </w:tcPr>
          <w:p>
            <w:pPr>
              <w:ind w:left="300"/>
              <w:spacing w:after="0"/>
              <w:rPr>
                <w:sz w:val="20"/>
                <w:szCs w:val="20"/>
                <w:color w:val="auto"/>
              </w:rPr>
            </w:pPr>
            <w:r>
              <w:rPr>
                <w:rFonts w:ascii="Arial" w:cs="Arial" w:eastAsia="Arial" w:hAnsi="Arial"/>
                <w:sz w:val="17"/>
                <w:szCs w:val="17"/>
                <w:color w:val="auto"/>
              </w:rPr>
              <w:t>Maturities of operating lease liabilities were as follows as of September 30, 2021 (in thousands):</w:t>
            </w: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94"/>
        </w:trPr>
        <w:tc>
          <w:tcPr>
            <w:tcW w:w="93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Amount</w:t>
            </w:r>
          </w:p>
        </w:tc>
      </w:tr>
      <w:tr>
        <w:trPr>
          <w:trHeight w:val="209"/>
        </w:trPr>
        <w:tc>
          <w:tcPr>
            <w:tcW w:w="9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r>
      <w:tr>
        <w:trPr>
          <w:trHeight w:val="215"/>
        </w:trPr>
        <w:tc>
          <w:tcPr>
            <w:tcW w:w="9300" w:type="dxa"/>
            <w:vAlign w:val="bottom"/>
          </w:tcPr>
          <w:p>
            <w:pPr>
              <w:ind w:left="180"/>
              <w:spacing w:after="0"/>
              <w:rPr>
                <w:sz w:val="20"/>
                <w:szCs w:val="20"/>
                <w:color w:val="auto"/>
              </w:rPr>
            </w:pPr>
            <w:r>
              <w:rPr>
                <w:rFonts w:ascii="Arial" w:cs="Arial" w:eastAsia="Arial" w:hAnsi="Arial"/>
                <w:sz w:val="17"/>
                <w:szCs w:val="17"/>
                <w:color w:val="auto"/>
              </w:rPr>
              <w:t>2022</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4,519</w:t>
            </w:r>
          </w:p>
        </w:tc>
      </w:tr>
      <w:tr>
        <w:trPr>
          <w:trHeight w:val="216"/>
        </w:trPr>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r>
      <w:tr>
        <w:trPr>
          <w:trHeight w:val="215"/>
        </w:trPr>
        <w:tc>
          <w:tcPr>
            <w:tcW w:w="9300" w:type="dxa"/>
            <w:vAlign w:val="bottom"/>
          </w:tcPr>
          <w:p>
            <w:pPr>
              <w:ind w:left="180"/>
              <w:spacing w:after="0"/>
              <w:rPr>
                <w:sz w:val="20"/>
                <w:szCs w:val="20"/>
                <w:color w:val="auto"/>
              </w:rPr>
            </w:pPr>
            <w:r>
              <w:rPr>
                <w:rFonts w:ascii="Arial" w:cs="Arial" w:eastAsia="Arial" w:hAnsi="Arial"/>
                <w:sz w:val="17"/>
                <w:szCs w:val="17"/>
                <w:color w:val="auto"/>
              </w:rPr>
              <w:t>2024</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4,156</w:t>
            </w:r>
          </w:p>
        </w:tc>
      </w:tr>
      <w:tr>
        <w:trPr>
          <w:trHeight w:val="216"/>
        </w:trPr>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2025</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r>
      <w:tr>
        <w:trPr>
          <w:trHeight w:val="215"/>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12,292</w:t>
            </w:r>
          </w:p>
        </w:tc>
      </w:tr>
      <w:tr>
        <w:trPr>
          <w:trHeight w:val="209"/>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29,006</w:t>
            </w:r>
          </w:p>
        </w:tc>
      </w:tr>
      <w:tr>
        <w:trPr>
          <w:trHeight w:val="228"/>
        </w:trPr>
        <w:tc>
          <w:tcPr>
            <w:tcW w:w="930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7,024</w:t>
            </w:r>
          </w:p>
        </w:tc>
      </w:tr>
      <w:tr>
        <w:trPr>
          <w:trHeight w:val="26"/>
        </w:trPr>
        <w:tc>
          <w:tcPr>
            <w:tcW w:w="9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8"/>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21,982</w:t>
            </w:r>
          </w:p>
        </w:tc>
      </w:tr>
      <w:tr>
        <w:trPr>
          <w:trHeight w:val="208"/>
        </w:trPr>
        <w:tc>
          <w:tcPr>
            <w:tcW w:w="9300" w:type="dxa"/>
            <w:vAlign w:val="bottom"/>
          </w:tcPr>
          <w:p>
            <w:pPr>
              <w:ind w:left="20"/>
              <w:spacing w:after="0"/>
              <w:rPr>
                <w:sz w:val="20"/>
                <w:szCs w:val="20"/>
                <w:color w:val="auto"/>
              </w:rPr>
            </w:pPr>
            <w:r>
              <w:rPr>
                <w:rFonts w:ascii="Arial" w:cs="Arial" w:eastAsia="Arial" w:hAnsi="Arial"/>
                <w:sz w:val="17"/>
                <w:szCs w:val="17"/>
                <w:color w:val="auto"/>
              </w:rPr>
              <w:t>Less: current lease liabilities</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2,757</w:t>
            </w:r>
          </w:p>
        </w:tc>
      </w:tr>
      <w:tr>
        <w:trPr>
          <w:trHeight w:val="26"/>
        </w:trPr>
        <w:tc>
          <w:tcPr>
            <w:tcW w:w="9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9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non-current lease liabilities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19,225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September 2021, the Company entered into an agreement to lease a storage, warehousing, office and distribution center in Dallas County, Texas (the “DC07 Lease”). The DC07 Lease is expected to commence in the fourth quarter of 2021 with an original term of 123 months. The base rent is approximately $28.1 million in aggregate. The landlord will provide the Company with a tenant improvement allowance of up to $8.8 million. In connection with the DC07 Lease, the Company is required to maintain a letter of credit for the benefit of the landlord in the amount of $4.3 million, of which $2.2 million was delivered in September 2021 and is included in restricted cash, non-current in the other assets in the condensed consolidated balance sheets statements as of September 30, 2021.</w:t>
      </w:r>
    </w:p>
    <w:p>
      <w:pPr>
        <w:spacing w:after="0" w:line="124" w:lineRule="exact"/>
        <w:rPr>
          <w:sz w:val="20"/>
          <w:szCs w:val="20"/>
          <w:color w:val="auto"/>
        </w:rPr>
      </w:pPr>
    </w:p>
    <w:p>
      <w:pPr>
        <w:ind w:left="600" w:hanging="598"/>
        <w:spacing w:after="0"/>
        <w:tabs>
          <w:tab w:leader="none" w:pos="6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 and Convertible Preferred Stock Warrants</w:t>
      </w:r>
    </w:p>
    <w:p>
      <w:pPr>
        <w:spacing w:after="0" w:line="180" w:lineRule="exact"/>
        <w:rPr>
          <w:sz w:val="20"/>
          <w:szCs w:val="20"/>
          <w:color w:val="auto"/>
        </w:rPr>
      </w:pPr>
    </w:p>
    <w:p>
      <w:pPr>
        <w:ind w:firstLine="305"/>
        <w:spacing w:after="0" w:line="243" w:lineRule="auto"/>
        <w:rPr>
          <w:sz w:val="20"/>
          <w:szCs w:val="20"/>
          <w:color w:val="auto"/>
        </w:rPr>
      </w:pPr>
      <w:r>
        <w:rPr>
          <w:rFonts w:ascii="Arial" w:cs="Arial" w:eastAsia="Arial" w:hAnsi="Arial"/>
          <w:sz w:val="17"/>
          <w:szCs w:val="17"/>
          <w:color w:val="auto"/>
        </w:rPr>
        <w:t>The Company entered into a loan and security agreement (“Term Loan”) with Western Alliance Bank (“Bank”) for an aggregate amount up to $40.0 million to refinance its Loan and Security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 (“SVB”) in February 2019. The Term Loan was amended three times before December 31, 2020.</w:t>
      </w:r>
    </w:p>
    <w:p>
      <w:pPr>
        <w:spacing w:after="0" w:line="147" w:lineRule="exact"/>
        <w:rPr>
          <w:sz w:val="20"/>
          <w:szCs w:val="20"/>
          <w:color w:val="auto"/>
        </w:rPr>
      </w:pPr>
    </w:p>
    <w:p>
      <w:pPr>
        <w:jc w:val="both"/>
        <w:ind w:firstLine="305"/>
        <w:spacing w:after="0" w:line="237" w:lineRule="auto"/>
        <w:rPr>
          <w:sz w:val="20"/>
          <w:szCs w:val="20"/>
          <w:color w:val="auto"/>
        </w:rPr>
      </w:pPr>
      <w:r>
        <w:rPr>
          <w:rFonts w:ascii="Arial" w:cs="Arial" w:eastAsia="Arial" w:hAnsi="Arial"/>
          <w:sz w:val="17"/>
          <w:szCs w:val="17"/>
          <w:color w:val="auto"/>
        </w:rPr>
        <w:t>In February 2021, the Company amended and restated the loan and security agreement with the Bank to reflect all waivers and amendments to date. Subsequently, the Company borrowed an additional $5.0 million for an aggregate principal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142" w:lineRule="exact"/>
        <w:rPr>
          <w:sz w:val="20"/>
          <w:szCs w:val="20"/>
          <w:color w:val="auto"/>
        </w:rPr>
      </w:pPr>
    </w:p>
    <w:p>
      <w:pPr>
        <w:jc w:val="both"/>
        <w:ind w:firstLine="305"/>
        <w:spacing w:after="0" w:line="237" w:lineRule="auto"/>
        <w:rPr>
          <w:sz w:val="20"/>
          <w:szCs w:val="20"/>
          <w:color w:val="auto"/>
        </w:rPr>
      </w:pPr>
      <w:r>
        <w:rPr>
          <w:rFonts w:ascii="Arial" w:cs="Arial" w:eastAsia="Arial" w:hAnsi="Arial"/>
          <w:sz w:val="17"/>
          <w:szCs w:val="17"/>
          <w:color w:val="auto"/>
        </w:rPr>
        <w:t>On May 14, 2021, the Company entered into the First Amendment to the Amended and Restated Loan and Security Agreement (the “First Amendment”) with the Bank. The First Amendment amended the Amended and Restated Loan and Security Agreement dated February 3, 2021, with the most notable change being a decrease in interest rate. In accordance with the First Amendment, the interest rate on the Term Loan is equal to 4.00% plus the prime rate published in The Wall Street Journal.</w:t>
      </w:r>
    </w:p>
    <w:p>
      <w:pPr>
        <w:spacing w:after="0" w:line="142" w:lineRule="exact"/>
        <w:rPr>
          <w:sz w:val="20"/>
          <w:szCs w:val="20"/>
          <w:color w:val="auto"/>
        </w:rPr>
      </w:pPr>
    </w:p>
    <w:p>
      <w:pPr>
        <w:jc w:val="both"/>
        <w:ind w:firstLine="305"/>
        <w:spacing w:after="0" w:line="243" w:lineRule="auto"/>
        <w:rPr>
          <w:sz w:val="20"/>
          <w:szCs w:val="20"/>
          <w:color w:val="auto"/>
        </w:rPr>
      </w:pPr>
      <w:r>
        <w:rPr>
          <w:rFonts w:ascii="Arial" w:cs="Arial" w:eastAsia="Arial" w:hAnsi="Arial"/>
          <w:sz w:val="17"/>
          <w:szCs w:val="17"/>
          <w:color w:val="auto"/>
        </w:rPr>
        <w:t>As of September 30, 2021, the nominal interest rate was 5.50% and the effective interest rate was 6.65%. The Company is in compliance with the covenants as of September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80" w:type="dxa"/>
            <w:vAlign w:val="bottom"/>
          </w:tcPr>
          <w:p>
            <w:pPr>
              <w:ind w:left="300"/>
              <w:spacing w:after="0"/>
              <w:rPr>
                <w:sz w:val="20"/>
                <w:szCs w:val="20"/>
                <w:color w:val="auto"/>
              </w:rPr>
            </w:pPr>
            <w:r>
              <w:rPr>
                <w:rFonts w:ascii="Arial" w:cs="Arial" w:eastAsia="Arial" w:hAnsi="Arial"/>
                <w:sz w:val="17"/>
                <w:szCs w:val="17"/>
                <w:color w:val="auto"/>
              </w:rPr>
              <w:t>The maturities of the loan agreement as of September 30, 2021 are as follows (in thousands):</w:t>
            </w: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94"/>
        </w:trPr>
        <w:tc>
          <w:tcPr>
            <w:tcW w:w="90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Amount</w:t>
            </w:r>
          </w:p>
        </w:tc>
      </w:tr>
      <w:tr>
        <w:trPr>
          <w:trHeight w:val="209"/>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15"/>
        </w:trPr>
        <w:tc>
          <w:tcPr>
            <w:tcW w:w="9080" w:type="dxa"/>
            <w:vAlign w:val="bottom"/>
          </w:tcPr>
          <w:p>
            <w:pPr>
              <w:ind w:left="220"/>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8,000</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2023</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w:t>
            </w:r>
          </w:p>
        </w:tc>
      </w:tr>
      <w:tr>
        <w:trPr>
          <w:trHeight w:val="215"/>
        </w:trPr>
        <w:tc>
          <w:tcPr>
            <w:tcW w:w="9080" w:type="dxa"/>
            <w:vAlign w:val="bottom"/>
          </w:tcPr>
          <w:p>
            <w:pPr>
              <w:ind w:left="220"/>
              <w:spacing w:after="0"/>
              <w:rPr>
                <w:sz w:val="20"/>
                <w:szCs w:val="20"/>
                <w:color w:val="auto"/>
              </w:rPr>
            </w:pPr>
            <w:r>
              <w:rPr>
                <w:rFonts w:ascii="Arial" w:cs="Arial" w:eastAsia="Arial" w:hAnsi="Arial"/>
                <w:sz w:val="17"/>
                <w:szCs w:val="17"/>
                <w:color w:val="auto"/>
              </w:rPr>
              <w:t>2024</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20,000</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9080" w:type="dxa"/>
            <w:vAlign w:val="bottom"/>
          </w:tcPr>
          <w:p>
            <w:pPr>
              <w:ind w:left="320"/>
              <w:spacing w:after="0"/>
              <w:rPr>
                <w:sz w:val="20"/>
                <w:szCs w:val="20"/>
                <w:color w:val="auto"/>
              </w:rPr>
            </w:pPr>
            <w:r>
              <w:rPr>
                <w:rFonts w:ascii="Arial" w:cs="Arial" w:eastAsia="Arial" w:hAnsi="Arial"/>
                <w:sz w:val="17"/>
                <w:szCs w:val="17"/>
                <w:color w:val="auto"/>
              </w:rPr>
              <w:t>Total future principal</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38,000</w:t>
            </w:r>
          </w:p>
        </w:tc>
      </w:tr>
      <w:tr>
        <w:trPr>
          <w:trHeight w:val="216"/>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discount</w:t>
            </w: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r>
      <w:tr>
        <w:trPr>
          <w:trHeight w:val="215"/>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long-term debt</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7,757</w:t>
            </w:r>
          </w:p>
        </w:tc>
      </w:tr>
      <w:tr>
        <w:trPr>
          <w:trHeight w:val="234"/>
        </w:trPr>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Non-current portion of long-term debt</w:t>
            </w: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29,478</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Warrants Issued with Loan and Security Agreement</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Company issued various preferred stock warrants under its loan and security agreements with SVB and the Bank. Immediately prior to the conversion upon IPO and as of December 31, 2020, the following preferred stock warrant liabilities were outstanding.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b w:val="1"/>
                <w:bCs w:val="1"/>
                <w:color w:val="auto"/>
                <w:w w:val="98"/>
              </w:rPr>
              <w:t>Balance Sheet</w:t>
            </w:r>
          </w:p>
        </w:tc>
        <w:tc>
          <w:tcPr>
            <w:tcW w:w="12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7"/>
                <w:szCs w:val="17"/>
                <w:b w:val="1"/>
                <w:bCs w:val="1"/>
                <w:color w:val="auto"/>
                <w:w w:val="98"/>
              </w:rPr>
              <w:t>Exercise Price</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w w:val="99"/>
              </w:rPr>
              <w:t>Immediately Prior</w:t>
            </w:r>
          </w:p>
        </w:tc>
        <w:tc>
          <w:tcPr>
            <w:tcW w:w="13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76"/>
        </w:trPr>
        <w:tc>
          <w:tcPr>
            <w:tcW w:w="1920" w:type="dxa"/>
            <w:vAlign w:val="bottom"/>
            <w:gridSpan w:val="2"/>
            <w:vMerge w:val="restart"/>
            <w:shd w:val="clear" w:color="auto" w:fill="CCEEFF"/>
          </w:tcPr>
          <w:p>
            <w:pPr>
              <w:ind w:left="440"/>
              <w:spacing w:after="0" w:line="165" w:lineRule="exact"/>
              <w:rPr>
                <w:sz w:val="20"/>
                <w:szCs w:val="20"/>
                <w:color w:val="auto"/>
              </w:rPr>
            </w:pPr>
            <w:r>
              <w:rPr>
                <w:rFonts w:ascii="Arial" w:cs="Arial" w:eastAsia="Arial" w:hAnsi="Arial"/>
                <w:sz w:val="17"/>
                <w:szCs w:val="17"/>
                <w:b w:val="1"/>
                <w:bCs w:val="1"/>
                <w:color w:val="auto"/>
              </w:rPr>
              <w:t>Description</w:t>
            </w:r>
          </w:p>
        </w:tc>
        <w:tc>
          <w:tcPr>
            <w:tcW w:w="1620" w:type="dxa"/>
            <w:vAlign w:val="bottom"/>
            <w:gridSpan w:val="2"/>
            <w:vMerge w:val="restart"/>
            <w:shd w:val="clear" w:color="auto" w:fill="CCEEFF"/>
          </w:tcPr>
          <w:p>
            <w:pPr>
              <w:ind w:left="180"/>
              <w:spacing w:after="0" w:line="165" w:lineRule="exact"/>
              <w:rPr>
                <w:sz w:val="20"/>
                <w:szCs w:val="20"/>
                <w:color w:val="auto"/>
              </w:rPr>
            </w:pPr>
            <w:r>
              <w:rPr>
                <w:rFonts w:ascii="Arial" w:cs="Arial" w:eastAsia="Arial" w:hAnsi="Arial"/>
                <w:sz w:val="17"/>
                <w:szCs w:val="17"/>
                <w:b w:val="1"/>
                <w:bCs w:val="1"/>
                <w:color w:val="auto"/>
              </w:rPr>
              <w:t>Issuance Date</w:t>
            </w:r>
          </w:p>
        </w:tc>
        <w:tc>
          <w:tcPr>
            <w:tcW w:w="1620" w:type="dxa"/>
            <w:vAlign w:val="bottom"/>
            <w:gridSpan w:val="2"/>
            <w:vMerge w:val="restart"/>
            <w:shd w:val="clear" w:color="auto" w:fill="CCEEFF"/>
          </w:tcPr>
          <w:p>
            <w:pPr>
              <w:jc w:val="center"/>
              <w:ind w:right="100"/>
              <w:spacing w:after="0" w:line="165" w:lineRule="exact"/>
              <w:rPr>
                <w:sz w:val="20"/>
                <w:szCs w:val="20"/>
                <w:color w:val="auto"/>
              </w:rPr>
            </w:pPr>
            <w:r>
              <w:rPr>
                <w:rFonts w:ascii="Arial" w:cs="Arial" w:eastAsia="Arial" w:hAnsi="Arial"/>
                <w:sz w:val="17"/>
                <w:szCs w:val="17"/>
                <w:b w:val="1"/>
                <w:bCs w:val="1"/>
                <w:color w:val="auto"/>
                <w:w w:val="99"/>
              </w:rPr>
              <w:t>Expiration Date</w:t>
            </w:r>
          </w:p>
        </w:tc>
        <w:tc>
          <w:tcPr>
            <w:tcW w:w="1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620" w:type="dxa"/>
            <w:vAlign w:val="bottom"/>
            <w:gridSpan w:val="2"/>
            <w:vMerge w:val="restart"/>
            <w:shd w:val="clear" w:color="auto" w:fill="CCEEFF"/>
          </w:tcPr>
          <w:p>
            <w:pPr>
              <w:jc w:val="center"/>
              <w:ind w:right="80"/>
              <w:spacing w:after="0" w:line="165" w:lineRule="exact"/>
              <w:rPr>
                <w:sz w:val="20"/>
                <w:szCs w:val="20"/>
                <w:color w:val="auto"/>
              </w:rPr>
            </w:pPr>
            <w:r>
              <w:rPr>
                <w:rFonts w:ascii="Arial" w:cs="Arial" w:eastAsia="Arial" w:hAnsi="Arial"/>
                <w:sz w:val="17"/>
                <w:szCs w:val="17"/>
                <w:b w:val="1"/>
                <w:bCs w:val="1"/>
                <w:color w:val="auto"/>
                <w:w w:val="98"/>
              </w:rPr>
              <w:t>to the Completion</w:t>
            </w: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920" w:type="dxa"/>
            <w:vAlign w:val="bottom"/>
            <w:gridSpan w:val="2"/>
            <w:vMerge w:val="continue"/>
            <w:shd w:val="clear" w:color="auto" w:fill="CCEEFF"/>
          </w:tcPr>
          <w:p>
            <w:pPr>
              <w:spacing w:after="0"/>
              <w:rPr>
                <w:sz w:val="7"/>
                <w:szCs w:val="7"/>
                <w:color w:val="auto"/>
              </w:rPr>
            </w:pPr>
          </w:p>
        </w:tc>
        <w:tc>
          <w:tcPr>
            <w:tcW w:w="1620" w:type="dxa"/>
            <w:vAlign w:val="bottom"/>
            <w:gridSpan w:val="2"/>
            <w:vMerge w:val="continue"/>
            <w:shd w:val="clear" w:color="auto" w:fill="CCEEFF"/>
          </w:tcPr>
          <w:p>
            <w:pPr>
              <w:spacing w:after="0"/>
              <w:rPr>
                <w:sz w:val="7"/>
                <w:szCs w:val="7"/>
                <w:color w:val="auto"/>
              </w:rPr>
            </w:pPr>
          </w:p>
        </w:tc>
        <w:tc>
          <w:tcPr>
            <w:tcW w:w="1620" w:type="dxa"/>
            <w:vAlign w:val="bottom"/>
            <w:gridSpan w:val="2"/>
            <w:vMerge w:val="continue"/>
            <w:shd w:val="clear" w:color="auto" w:fill="CCEEFF"/>
          </w:tcPr>
          <w:p>
            <w:pPr>
              <w:spacing w:after="0"/>
              <w:rPr>
                <w:sz w:val="7"/>
                <w:szCs w:val="7"/>
                <w:color w:val="auto"/>
              </w:rPr>
            </w:pPr>
          </w:p>
        </w:tc>
        <w:tc>
          <w:tcPr>
            <w:tcW w:w="1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b w:val="1"/>
                <w:bCs w:val="1"/>
                <w:color w:val="auto"/>
                <w:w w:val="99"/>
              </w:rPr>
              <w:t>Classification</w:t>
            </w:r>
          </w:p>
        </w:tc>
        <w:tc>
          <w:tcPr>
            <w:tcW w:w="120" w:type="dxa"/>
            <w:vAlign w:val="bottom"/>
            <w:shd w:val="clear" w:color="auto" w:fill="CCEEFF"/>
          </w:tcPr>
          <w:p>
            <w:pPr>
              <w:spacing w:after="0"/>
              <w:rPr>
                <w:sz w:val="7"/>
                <w:szCs w:val="7"/>
                <w:color w:val="auto"/>
              </w:rPr>
            </w:pPr>
          </w:p>
        </w:tc>
        <w:tc>
          <w:tcPr>
            <w:tcW w:w="13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7"/>
                <w:szCs w:val="17"/>
                <w:b w:val="1"/>
                <w:bCs w:val="1"/>
                <w:color w:val="auto"/>
                <w:w w:val="98"/>
              </w:rPr>
              <w:t>Per Share</w:t>
            </w:r>
          </w:p>
        </w:tc>
        <w:tc>
          <w:tcPr>
            <w:tcW w:w="1620" w:type="dxa"/>
            <w:vAlign w:val="bottom"/>
            <w:gridSpan w:val="2"/>
            <w:vMerge w:val="continue"/>
            <w:shd w:val="clear" w:color="auto" w:fill="CCEEFF"/>
          </w:tcPr>
          <w:p>
            <w:pPr>
              <w:spacing w:after="0"/>
              <w:rPr>
                <w:sz w:val="7"/>
                <w:szCs w:val="7"/>
                <w:color w:val="auto"/>
              </w:rPr>
            </w:pPr>
          </w:p>
        </w:tc>
        <w:tc>
          <w:tcPr>
            <w:tcW w:w="1340" w:type="dxa"/>
            <w:vAlign w:val="bottom"/>
            <w:vMerge w:val="restart"/>
            <w:shd w:val="clear" w:color="auto" w:fill="CCEEFF"/>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34"/>
        </w:trPr>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of IPO</w:t>
            </w:r>
          </w:p>
        </w:tc>
        <w:tc>
          <w:tcPr>
            <w:tcW w:w="80" w:type="dxa"/>
            <w:vAlign w:val="bottom"/>
            <w:vMerge w:val="restart"/>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8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4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D</w:t>
            </w:r>
          </w:p>
        </w:tc>
        <w:tc>
          <w:tcPr>
            <w:tcW w:w="1500" w:type="dxa"/>
            <w:vAlign w:val="bottom"/>
          </w:tcPr>
          <w:p>
            <w:pPr>
              <w:jc w:val="center"/>
              <w:spacing w:after="0"/>
              <w:rPr>
                <w:sz w:val="20"/>
                <w:szCs w:val="20"/>
                <w:color w:val="auto"/>
              </w:rPr>
            </w:pPr>
            <w:r>
              <w:rPr>
                <w:rFonts w:ascii="Arial" w:cs="Arial" w:eastAsia="Arial" w:hAnsi="Arial"/>
                <w:sz w:val="17"/>
                <w:szCs w:val="17"/>
                <w:color w:val="auto"/>
                <w:w w:val="97"/>
              </w:rPr>
              <w:t>1/22/2015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1/22/2025</w:t>
            </w:r>
          </w:p>
        </w:tc>
        <w:tc>
          <w:tcPr>
            <w:tcW w:w="1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2.2600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13,382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13,382</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D</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4/20/2015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1/22/2025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13,382</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13,382</w:t>
            </w:r>
          </w:p>
        </w:tc>
        <w:tc>
          <w:tcPr>
            <w:tcW w:w="0" w:type="dxa"/>
            <w:vAlign w:val="bottom"/>
          </w:tcPr>
          <w:p>
            <w:pPr>
              <w:spacing w:after="0"/>
              <w:rPr>
                <w:sz w:val="1"/>
                <w:szCs w:val="1"/>
                <w:color w:val="auto"/>
              </w:rPr>
            </w:pPr>
          </w:p>
        </w:tc>
      </w:tr>
      <w:tr>
        <w:trPr>
          <w:trHeight w:val="215"/>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2/7/2019</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5/29/2030</w:t>
            </w:r>
          </w:p>
        </w:tc>
        <w:tc>
          <w:tcPr>
            <w:tcW w:w="1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6.2581</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63,917</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63,917</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F</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5/29/2020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5/29/2030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15"/>
        </w:trPr>
        <w:tc>
          <w:tcPr>
            <w:tcW w:w="1920" w:type="dxa"/>
            <w:vAlign w:val="bottom"/>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Pr>
          <w:p>
            <w:pPr>
              <w:jc w:val="center"/>
              <w:spacing w:after="0"/>
              <w:rPr>
                <w:sz w:val="20"/>
                <w:szCs w:val="20"/>
                <w:color w:val="auto"/>
              </w:rPr>
            </w:pPr>
            <w:r>
              <w:rPr>
                <w:rFonts w:ascii="Arial" w:cs="Arial" w:eastAsia="Arial" w:hAnsi="Arial"/>
                <w:sz w:val="17"/>
                <w:szCs w:val="17"/>
                <w:color w:val="auto"/>
                <w:w w:val="97"/>
              </w:rPr>
              <w:t>8/14/2020</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5/29/2030</w:t>
            </w:r>
          </w:p>
        </w:tc>
        <w:tc>
          <w:tcPr>
            <w:tcW w:w="1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6.2581</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31,958</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31,958</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11/25/2020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5/29/2030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6.2581</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15,979</w:t>
            </w:r>
          </w:p>
        </w:tc>
        <w:tc>
          <w:tcPr>
            <w:tcW w:w="0" w:type="dxa"/>
            <w:vAlign w:val="bottom"/>
          </w:tcPr>
          <w:p>
            <w:pPr>
              <w:spacing w:after="0"/>
              <w:rPr>
                <w:sz w:val="1"/>
                <w:szCs w:val="1"/>
                <w:color w:val="auto"/>
              </w:rPr>
            </w:pPr>
          </w:p>
        </w:tc>
      </w:tr>
      <w:tr>
        <w:trPr>
          <w:trHeight w:val="215"/>
        </w:trPr>
        <w:tc>
          <w:tcPr>
            <w:tcW w:w="1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Series E-1</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9"/>
              </w:rPr>
              <w:t>2/8/2021</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5/29/2030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7"/>
                <w:szCs w:val="17"/>
                <w:color w:val="auto"/>
              </w:rPr>
              <w:t>Liability</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6.2581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15,979</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164,973</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148,994</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jc w:val="both"/>
        <w:ind w:firstLine="305"/>
        <w:spacing w:after="0" w:line="243" w:lineRule="auto"/>
        <w:rPr>
          <w:sz w:val="20"/>
          <w:szCs w:val="20"/>
          <w:color w:val="auto"/>
        </w:rPr>
      </w:pPr>
      <w:r>
        <w:rPr>
          <w:rFonts w:ascii="Arial" w:cs="Arial" w:eastAsia="Arial" w:hAnsi="Arial"/>
          <w:sz w:val="17"/>
          <w:szCs w:val="17"/>
          <w:color w:val="auto"/>
        </w:rPr>
        <w:t>The convertible preferred stock warrant liability of $0.8 million was included in other non-current liabilities in the consolidated balance sheet as of December 31, 2020.</w:t>
      </w:r>
    </w:p>
    <w:p>
      <w:pPr>
        <w:spacing w:after="0" w:line="137" w:lineRule="exact"/>
        <w:rPr>
          <w:sz w:val="20"/>
          <w:szCs w:val="20"/>
          <w:color w:val="auto"/>
        </w:rPr>
      </w:pPr>
    </w:p>
    <w:p>
      <w:pPr>
        <w:jc w:val="both"/>
        <w:ind w:firstLine="305"/>
        <w:spacing w:after="0" w:line="237" w:lineRule="auto"/>
        <w:rPr>
          <w:sz w:val="20"/>
          <w:szCs w:val="20"/>
          <w:color w:val="auto"/>
        </w:rPr>
      </w:pPr>
      <w:r>
        <w:rPr>
          <w:rFonts w:ascii="Arial" w:cs="Arial" w:eastAsia="Arial" w:hAnsi="Arial"/>
          <w:sz w:val="17"/>
          <w:szCs w:val="17"/>
          <w:color w:val="auto"/>
        </w:rPr>
        <w:t>Immediately prior to the completion of IPO in March 2021, all 164,973 shares of the convertible preferred stock warrant were remeasured to fair value and converted to equivalent number of Class B common stock warrants. The Company reclassified the convertible preferred stock warrant liability to additional paid-in capital upon the conversion. Refer to Note 8, Common Stock and Common Stock Warrants for more details on common stock warrants.</w:t>
      </w:r>
    </w:p>
    <w:p>
      <w:pPr>
        <w:spacing w:after="0" w:line="122" w:lineRule="exact"/>
        <w:rPr>
          <w:sz w:val="20"/>
          <w:szCs w:val="20"/>
          <w:color w:val="auto"/>
        </w:rPr>
      </w:pPr>
    </w:p>
    <w:p>
      <w:pPr>
        <w:ind w:left="600" w:hanging="598"/>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and Common Stock Warrants</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Each share of Class A common stock is entitled to one vote per share. Each share of Class B common stock is entitled to ten votes per share and is convertible at any time into one share of Class A common stock.</w:t>
      </w:r>
    </w:p>
    <w:p>
      <w:pPr>
        <w:spacing w:after="0" w:line="13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Immediately prior to the completion of the IPO, 65,970,938 shares of the convertible preferred stock converted to an equivalent number of shares of Class B common stock and 164,973 shares of the convertible preferred stock warrants were converted to an equivalent number of Class B common stock warrants.</w:t>
      </w:r>
    </w:p>
    <w:p>
      <w:pPr>
        <w:spacing w:after="0" w:line="128" w:lineRule="exact"/>
        <w:rPr>
          <w:sz w:val="20"/>
          <w:szCs w:val="20"/>
          <w:color w:val="auto"/>
        </w:rPr>
      </w:pPr>
    </w:p>
    <w:p>
      <w:pPr>
        <w:jc w:val="both"/>
        <w:ind w:firstLine="305"/>
        <w:spacing w:after="0" w:line="182" w:lineRule="exact"/>
        <w:rPr>
          <w:sz w:val="20"/>
          <w:szCs w:val="20"/>
          <w:color w:val="auto"/>
        </w:rPr>
      </w:pPr>
      <w:r>
        <w:rPr>
          <w:rFonts w:ascii="Arial" w:cs="Arial" w:eastAsia="Arial" w:hAnsi="Arial"/>
          <w:sz w:val="17"/>
          <w:szCs w:val="17"/>
          <w:color w:val="auto"/>
        </w:rPr>
        <w:t>On August 2, 2021, the Company completed a follow</w:t>
      </w:r>
      <w:r>
        <w:rPr>
          <w:rFonts w:ascii="MS PGothic" w:cs="MS PGothic" w:eastAsia="MS PGothic" w:hAnsi="MS PGothic"/>
          <w:sz w:val="17"/>
          <w:szCs w:val="17"/>
          <w:color w:val="auto"/>
        </w:rPr>
        <w:t>‑</w:t>
      </w:r>
      <w:r>
        <w:rPr>
          <w:rFonts w:ascii="Arial" w:cs="Arial" w:eastAsia="Arial" w:hAnsi="Arial"/>
          <w:sz w:val="17"/>
          <w:szCs w:val="17"/>
          <w:color w:val="auto"/>
        </w:rPr>
        <w:t>on public offering of Class A common stock at a price of $24.25 per share. The Company issued and sold 2,000,000 shares of Class A common stock. The aggregate net proceeds were $45.5 million after deducting $3.3 million of underwriting discounts and commissions and offering costs. The selling stockholders sold 5,388,024 shares of Class A common stock (including 963,655 shares that were offered and sold pursuant to the full exercise of the underwriters’ option to purchase additional shares), which were converted from Class B common stock. The Company did not receive any of the proceeds from the sale of the Class A common stock by the selling stockholders.</w:t>
      </w:r>
    </w:p>
    <w:p>
      <w:pPr>
        <w:spacing w:after="0" w:line="129" w:lineRule="exact"/>
        <w:rPr>
          <w:sz w:val="20"/>
          <w:szCs w:val="20"/>
          <w:color w:val="auto"/>
        </w:rPr>
      </w:pPr>
    </w:p>
    <w:p>
      <w:pPr>
        <w:jc w:val="both"/>
        <w:ind w:firstLine="305"/>
        <w:spacing w:after="0" w:line="228" w:lineRule="auto"/>
        <w:rPr>
          <w:sz w:val="20"/>
          <w:szCs w:val="20"/>
          <w:color w:val="auto"/>
        </w:rPr>
      </w:pPr>
      <w:r>
        <w:rPr>
          <w:rFonts w:ascii="Arial" w:cs="Arial" w:eastAsia="Arial" w:hAnsi="Arial"/>
          <w:sz w:val="17"/>
          <w:szCs w:val="17"/>
          <w:color w:val="auto"/>
        </w:rPr>
        <w:t>During the nine months ended September 30, 2021, the Company issued 128,643 shares of Class B common stock through cashless net exercises of the entire 164,973 shares underlying Class B common stock warrants. No Class B common stock warrants were outstanding as of September 30, 2021.</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summarizes the Class A common stock and Class B common stock issued and outstanding as of September 30,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6020" w:type="dxa"/>
            <w:vAlign w:val="bottom"/>
            <w:tcBorders>
              <w:bottom w:val="single" w:sz="8" w:color="auto"/>
            </w:tcBorders>
            <w:gridSpan w:val="3"/>
          </w:tcPr>
          <w:p>
            <w:pPr>
              <w:jc w:val="right"/>
              <w:ind w:right="1895"/>
              <w:spacing w:after="0"/>
              <w:rPr>
                <w:sz w:val="20"/>
                <w:szCs w:val="20"/>
                <w:color w:val="auto"/>
              </w:rPr>
            </w:pPr>
            <w:r>
              <w:rPr>
                <w:rFonts w:ascii="Arial" w:cs="Arial" w:eastAsia="Arial" w:hAnsi="Arial"/>
                <w:sz w:val="17"/>
                <w:szCs w:val="17"/>
                <w:b w:val="1"/>
                <w:bCs w:val="1"/>
                <w:color w:val="auto"/>
              </w:rPr>
              <w:t>As of September 30, 2021</w:t>
            </w:r>
          </w:p>
        </w:tc>
      </w:tr>
      <w:tr>
        <w:trPr>
          <w:trHeight w:val="209"/>
        </w:trPr>
        <w:tc>
          <w:tcPr>
            <w:tcW w:w="5220" w:type="dxa"/>
            <w:vAlign w:val="bottom"/>
          </w:tcPr>
          <w:p>
            <w:pPr>
              <w:spacing w:after="0"/>
              <w:rPr>
                <w:sz w:val="18"/>
                <w:szCs w:val="18"/>
                <w:color w:val="auto"/>
              </w:rPr>
            </w:pPr>
          </w:p>
        </w:tc>
        <w:tc>
          <w:tcPr>
            <w:tcW w:w="3060" w:type="dxa"/>
            <w:vAlign w:val="bottom"/>
            <w:gridSpan w:val="2"/>
          </w:tcPr>
          <w:p>
            <w:pPr>
              <w:ind w:left="1040"/>
              <w:spacing w:after="0"/>
              <w:rPr>
                <w:sz w:val="20"/>
                <w:szCs w:val="20"/>
                <w:color w:val="auto"/>
              </w:rPr>
            </w:pPr>
            <w:r>
              <w:rPr>
                <w:rFonts w:ascii="Arial" w:cs="Arial" w:eastAsia="Arial" w:hAnsi="Arial"/>
                <w:sz w:val="17"/>
                <w:szCs w:val="17"/>
                <w:b w:val="1"/>
                <w:bCs w:val="1"/>
                <w:color w:val="auto"/>
              </w:rPr>
              <w:t>Authorized</w:t>
            </w:r>
          </w:p>
        </w:tc>
        <w:tc>
          <w:tcPr>
            <w:tcW w:w="2960" w:type="dxa"/>
            <w:vAlign w:val="bottom"/>
          </w:tcPr>
          <w:p>
            <w:pPr>
              <w:jc w:val="right"/>
              <w:ind w:right="415"/>
              <w:spacing w:after="0"/>
              <w:rPr>
                <w:sz w:val="20"/>
                <w:szCs w:val="20"/>
                <w:color w:val="auto"/>
              </w:rPr>
            </w:pPr>
            <w:r>
              <w:rPr>
                <w:rFonts w:ascii="Arial" w:cs="Arial" w:eastAsia="Arial" w:hAnsi="Arial"/>
                <w:sz w:val="17"/>
                <w:szCs w:val="17"/>
                <w:b w:val="1"/>
                <w:bCs w:val="1"/>
                <w:color w:val="auto"/>
              </w:rPr>
              <w:t>Issued and Outstanding</w:t>
            </w:r>
          </w:p>
        </w:tc>
      </w:tr>
      <w:tr>
        <w:trPr>
          <w:trHeight w:val="208"/>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 Class A</w:t>
            </w:r>
          </w:p>
        </w:tc>
        <w:tc>
          <w:tcPr>
            <w:tcW w:w="2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1,000,000,000</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32,534,812</w:t>
            </w:r>
          </w:p>
        </w:tc>
      </w:tr>
      <w:tr>
        <w:trPr>
          <w:trHeight w:val="21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Class B</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120,000,000</w:t>
            </w:r>
          </w:p>
        </w:tc>
        <w:tc>
          <w:tcPr>
            <w:tcW w:w="100" w:type="dxa"/>
            <w:vAlign w:val="bottom"/>
            <w:tcBorders>
              <w:bottom w:val="single" w:sz="8" w:color="CCEEFF"/>
            </w:tcBorders>
          </w:tcPr>
          <w:p>
            <w:pPr>
              <w:spacing w:after="0"/>
              <w:rPr>
                <w:sz w:val="18"/>
                <w:szCs w:val="18"/>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64,793,229</w:t>
            </w: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stock</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1,120,000,000</w:t>
            </w:r>
          </w:p>
        </w:tc>
        <w:tc>
          <w:tcPr>
            <w:tcW w:w="10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97,328,041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0" w:hanging="598"/>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Plans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Stock Option and Incentive Plan</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In February 2021, in connection with the IPO, the Company’s board of directors adopted the 2021 Stock Option and Incentive Plan (“2021 Plan”) to replace the Second Amended and Restated 2010 Stock Plan (“2010 Plan”), which was subsequently approved by the Company’s stockholders in March 2021. The 2021 Plan became effective on March 24, 2021.</w:t>
      </w:r>
    </w:p>
    <w:p>
      <w:pPr>
        <w:spacing w:after="0" w:line="141"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As of September 30, 2021, no stock options were granted under the 2021 Plan. As of September 30, 2021, 380,679 restricted stock units were granted under the 2021 Plan.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In February 2021, the Company’s board of directors adopted the Employee Stock Purchase Plan (“ESPP”), which was subsequently approved by the stockholders in March 2021. The ESPP became effective on March 24, 2021. The first offering period began on March 25, 2021, and there was $0.4 million in stock-based compensation related to the ESPP for the nine months ended September 30, 2021.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IPO Options Under the 2010 Plan</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In the three and nine months ended in September 30, 2021, $0.6 million and $2.8 million, respectively, was recognized as compensation expense from such stock options subject to these performance conditions.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stock-based compensation expense by department is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660" w:type="dxa"/>
            <w:vAlign w:val="bottom"/>
            <w:gridSpan w:val="4"/>
          </w:tcPr>
          <w:p>
            <w:pPr>
              <w:jc w:val="right"/>
              <w:ind w:right="135"/>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15"/>
              <w:spacing w:after="0"/>
              <w:rPr>
                <w:sz w:val="20"/>
                <w:szCs w:val="20"/>
                <w:color w:val="auto"/>
              </w:rPr>
            </w:pPr>
            <w:r>
              <w:rPr>
                <w:rFonts w:ascii="Arial" w:cs="Arial" w:eastAsia="Arial" w:hAnsi="Arial"/>
                <w:sz w:val="17"/>
                <w:szCs w:val="17"/>
                <w:b w:val="1"/>
                <w:bCs w:val="1"/>
                <w:color w:val="auto"/>
              </w:rPr>
              <w:t>Nine months ended</w:t>
            </w:r>
          </w:p>
        </w:tc>
      </w:tr>
      <w:tr>
        <w:trPr>
          <w:trHeight w:val="216"/>
        </w:trPr>
        <w:tc>
          <w:tcPr>
            <w:tcW w:w="4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w w:val="99"/>
              </w:rPr>
              <w:t>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8"/>
        </w:trPr>
        <w:tc>
          <w:tcPr>
            <w:tcW w:w="49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w w:val="95"/>
              </w:rPr>
              <w:t>2020</w:t>
            </w:r>
          </w:p>
        </w:tc>
      </w:tr>
      <w:tr>
        <w:trPr>
          <w:trHeight w:val="208"/>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Operations, product and technology</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r>
      <w:tr>
        <w:trPr>
          <w:trHeight w:val="215"/>
        </w:trPr>
        <w:tc>
          <w:tcPr>
            <w:tcW w:w="4960" w:type="dxa"/>
            <w:vAlign w:val="bottom"/>
          </w:tcPr>
          <w:p>
            <w:pPr>
              <w:ind w:left="20"/>
              <w:spacing w:after="0"/>
              <w:rPr>
                <w:sz w:val="20"/>
                <w:szCs w:val="20"/>
                <w:color w:val="auto"/>
              </w:rPr>
            </w:pPr>
            <w:r>
              <w:rPr>
                <w:rFonts w:ascii="Arial" w:cs="Arial" w:eastAsia="Arial" w:hAnsi="Arial"/>
                <w:sz w:val="17"/>
                <w:szCs w:val="17"/>
                <w:color w:val="auto"/>
              </w:rPr>
              <w:t>Marketing</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734</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1,751</w:t>
            </w:r>
          </w:p>
        </w:tc>
      </w:tr>
      <w:tr>
        <w:trPr>
          <w:trHeight w:val="209"/>
        </w:trPr>
        <w:tc>
          <w:tcPr>
            <w:tcW w:w="496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2,995</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5,057</w:t>
            </w:r>
          </w:p>
        </w:tc>
      </w:tr>
      <w:tr>
        <w:trPr>
          <w:trHeight w:val="20"/>
        </w:trPr>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As of September 30, 2021, there was approximately $23.1 million of total unrecognized stock-based compensation expense related to unvested options granted to employees under the Company’s stock option plan that is expected to be recognized over a weighted average period of 1.17 years. As of September 30, 2021, there was approximately $0.1 million of total unrecognized compensation expense related to unvested awards under the ESPP that is expected to be recognized over a weighted average period of 0.17 years.</w:t>
      </w:r>
    </w:p>
    <w:p>
      <w:pPr>
        <w:spacing w:after="0" w:line="124" w:lineRule="exact"/>
        <w:rPr>
          <w:sz w:val="20"/>
          <w:szCs w:val="20"/>
          <w:color w:val="auto"/>
        </w:rPr>
      </w:pPr>
    </w:p>
    <w:p>
      <w:pPr>
        <w:ind w:left="600" w:hanging="598"/>
        <w:spacing w:after="0"/>
        <w:tabs>
          <w:tab w:leader="none" w:pos="6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ThredUp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ind w:left="600" w:hanging="598"/>
        <w:spacing w:after="0"/>
        <w:tabs>
          <w:tab w:leader="none" w:pos="6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The quarterly income tax provision reflects an estimate of the corresponding quarter’s state taxes in the United States. The provision for income tax expense for the three and nine months ended September 30, 2021 and 2020 was determined based upon estimates of the Company’s annual effective tax rate for the years ending December 31, 2021 and 2020, respectively. Since the Company is in a full valuation allowance position, due to losses incurred since inception, the provision for taxes consist solely of certain state income taxes. The Company has no uncertain tax positions or any unrecognized tax benefits.</w:t>
      </w:r>
    </w:p>
    <w:p>
      <w:pPr>
        <w:spacing w:after="0" w:line="125" w:lineRule="exact"/>
        <w:rPr>
          <w:sz w:val="20"/>
          <w:szCs w:val="20"/>
          <w:color w:val="auto"/>
        </w:rPr>
      </w:pPr>
    </w:p>
    <w:p>
      <w:pPr>
        <w:ind w:left="600" w:hanging="598"/>
        <w:spacing w:after="0"/>
        <w:tabs>
          <w:tab w:leader="none" w:pos="6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80" w:lineRule="exact"/>
        <w:rPr>
          <w:sz w:val="20"/>
          <w:szCs w:val="20"/>
          <w:color w:val="auto"/>
        </w:rPr>
      </w:pPr>
    </w:p>
    <w:p>
      <w:pPr>
        <w:ind w:firstLine="305"/>
        <w:spacing w:after="0" w:line="258" w:lineRule="auto"/>
        <w:rPr>
          <w:sz w:val="20"/>
          <w:szCs w:val="20"/>
          <w:color w:val="auto"/>
        </w:rPr>
      </w:pPr>
      <w:r>
        <w:rPr>
          <w:rFonts w:ascii="Arial" w:cs="Arial" w:eastAsia="Arial" w:hAnsi="Arial"/>
          <w:sz w:val="17"/>
          <w:szCs w:val="17"/>
          <w:color w:val="auto"/>
        </w:rPr>
        <w:t>The following participating securities were excluded from the computation of diluted net loss per share attributable to common stockholders for the periods presented, because including them would have been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Pr>
          <w:p>
            <w:pPr>
              <w:spacing w:after="0"/>
              <w:rPr>
                <w:sz w:val="19"/>
                <w:szCs w:val="19"/>
                <w:color w:val="auto"/>
              </w:rPr>
            </w:pPr>
          </w:p>
        </w:tc>
        <w:tc>
          <w:tcPr>
            <w:tcW w:w="320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7"/>
                <w:szCs w:val="17"/>
                <w:b w:val="1"/>
                <w:bCs w:val="1"/>
                <w:color w:val="auto"/>
              </w:rPr>
              <w:t>As of September 30,</w:t>
            </w:r>
          </w:p>
        </w:tc>
      </w:tr>
      <w:tr>
        <w:trPr>
          <w:trHeight w:val="209"/>
        </w:trPr>
        <w:tc>
          <w:tcPr>
            <w:tcW w:w="80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20,795,697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23,093,405</w:t>
            </w:r>
          </w:p>
        </w:tc>
      </w:tr>
      <w:tr>
        <w:trPr>
          <w:trHeight w:val="215"/>
        </w:trPr>
        <w:tc>
          <w:tcPr>
            <w:tcW w:w="804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7"/>
                <w:szCs w:val="17"/>
                <w:color w:val="auto"/>
              </w:rPr>
              <w:t>352,031</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plan purchases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101,305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8040" w:type="dxa"/>
            <w:vAlign w:val="bottom"/>
          </w:tcPr>
          <w:p>
            <w:pPr>
              <w:ind w:left="20"/>
              <w:spacing w:after="0"/>
              <w:rPr>
                <w:sz w:val="20"/>
                <w:szCs w:val="20"/>
                <w:color w:val="auto"/>
              </w:rPr>
            </w:pPr>
            <w:r>
              <w:rPr>
                <w:rFonts w:ascii="Arial" w:cs="Arial" w:eastAsia="Arial" w:hAnsi="Arial"/>
                <w:sz w:val="17"/>
                <w:szCs w:val="17"/>
                <w:color w:val="auto"/>
              </w:rPr>
              <w:t>Convertible preferred stock</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65,970,938</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convertible preferred stock warrants</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133,015</w:t>
            </w:r>
          </w:p>
        </w:tc>
      </w:tr>
      <w:tr>
        <w:trPr>
          <w:trHeight w:val="209"/>
        </w:trPr>
        <w:tc>
          <w:tcPr>
            <w:tcW w:w="8040" w:type="dxa"/>
            <w:vAlign w:val="bottom"/>
          </w:tcPr>
          <w:p>
            <w:pPr>
              <w:ind w:left="20"/>
              <w:spacing w:after="0"/>
              <w:rPr>
                <w:sz w:val="20"/>
                <w:szCs w:val="20"/>
                <w:color w:val="auto"/>
              </w:rPr>
            </w:pPr>
            <w:r>
              <w:rPr>
                <w:rFonts w:ascii="Arial" w:cs="Arial" w:eastAsia="Arial" w:hAnsi="Arial"/>
                <w:sz w:val="17"/>
                <w:szCs w:val="17"/>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21,249,033</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89,197,358</w:t>
            </w:r>
          </w:p>
        </w:tc>
      </w:tr>
      <w:tr>
        <w:trPr>
          <w:trHeight w:val="20"/>
        </w:trPr>
        <w:tc>
          <w:tcPr>
            <w:tcW w:w="8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420" w:hanging="418"/>
        <w:spacing w:after="0"/>
        <w:tabs>
          <w:tab w:leader="none" w:pos="4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October 7, 2021, the Company closed the Remix Acquisition. Refer to Note 1, Organization and Description of Business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305"/>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financial statements and related notes thereto included elsewhere in this Quarterly Report on Form 10-Q and our final prospectus (“Prospectus”), dated March 25, 2021, filed with the SEC pursuant to Rule 424(b) under the Securities Act of 1933, as amended (“Securities Act”).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thredUP is one of the world’s largest online resale platforms for women’s and kids’ apparel, shoes and accessories. Our custom-built operating platform is powering the rapidly emerging resale economy, the fastest growing sector in retail. thredUP’s platform consists of distributed processing infrastructure, proprietary software and systems and data science expertise. Since our founding in 2009, we have processed over 125 million unique secondhand items from 35,000 brands across 100 categories, saving our buyers an estimated $ 3.3 billion off estimated retail price. We estimate that we have positively impacted the environment by saving 1.0 billion pounds of CO2 emissions, 2.0 billion kWh of energy and 4.4 billion gallons of water simply by empowering consumers to buy and sell secondhand.</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Resale-as-a-Service (“RaaS”) offering.</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Business Developments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Historically, we have financed our operations primarily through private sales of equity securities and debt. Our registration statement related to the initial public offering (the “IPO”) was declared effective on March 25, 2021 by the Securities and Exchange Commission (the “SEC”), and our Class A common stock began trading on the Nasdaq Global Select Market (“Nasdaq”) on March 26, 2021. Upon the completion of our IPO, we sold 13,800,000 shares of Class A common stock at a price to the public of $14.00 per share. We received aggregate net proceeds of $175.5 million after deducting offering costs, underwriting discounts and commissions of $17.7 million.</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On August 2, 2021, we issued and sold an aggregate of 2,000,000 shares of Class A common stock at a price of $24.25 per share in a registered public offering. The aggregate net proceeds were approximately $45.5 million, after deducting offering costs of $1.1 million and underwriting discounts and commissions of $2.2 million.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Acquisition of Remix Global AD</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On July 24, 2021, we entered into Share Purchase Agreements (collectively, the “Share Purchase Agreement”), with the shareholders of Remix Global AD (“Remix”), a fashion resale company headquartered in Sofia, Bulgaria, to purchase 100% of the outstanding equity interests of Remix and its subsidiary (the “Remix Acquisition”). On October 7, 2021, the cash paid upon closing was approximately $19.2 million. Shortly after the closing, the company paid approximately $6.2 million of other Remix liabilities. Subject to customary purchase price adjustments, we will also pay $3.5 million in the form of 130,597 shares of newly-issued Class A common stock to be issued 18 months following the closing of the Remix Acquisition. With this acquisition, we add a complementary operational infrastructure and an experienced management team to enable our expansion into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COVID-19 Impact</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316"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In March 2020, we shifted all of our corporate employees and contract engineers to a remote work model and implemented additional measures to better enable remote work. As of September 30, 2021 our remote work model remains in place.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Financial Impact</w:t>
      </w:r>
    </w:p>
    <w:p>
      <w:pPr>
        <w:spacing w:after="0" w:line="178"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In the nine months ended September 30, 2021, we saw increased demand, which we believe was partly related to COVID-19 recovery and re-opening efforts such as the vaccine roll out, easing of social distancing restrictions and federal stimulus legislation. We also saw increased operating expenses due to the additional labor costs associated with increased processing to support the demand experienced to date and in anticipation of accelerating demand. The growth in net loss is primarily related to the growth in operating expenses.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Impact on Processing at our Distribution Centers</w:t>
      </w:r>
    </w:p>
    <w:p>
      <w:pPr>
        <w:spacing w:after="0" w:line="17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During the three months ended September 30, 2021, the number of unprocessed Clean Out Kits increased, when compared to the prior quarter, as we lifted temporary restrictions on the ability of sellers to order Clean Out Kits at the end of February 2021, resulting in more Clean Out Kits being received.</w:t>
      </w:r>
    </w:p>
    <w:p>
      <w:pPr>
        <w:spacing w:after="0" w:line="141"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still face challenges in hiring and retaining employees and have implemented compensation and benefits programs to enhance hiring and retention, which has contributed to higher Cost of Revenue and higher Operations, Product and Technology expenses. These programs are primarily aimed at mitigating the macro trend of increased competition for labor, including seasonal employment opportunities.</w:t>
      </w:r>
    </w:p>
    <w:p>
      <w:pPr>
        <w:spacing w:after="0" w:line="141"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have been monitoring and continue to monitor the impact of COVID-19 on our business and operations. We expect the evolving COVID-19 pandemic to continue to have an adverse impact on our business, results of operations and financial condition, including our revenue and cash flows, for at least the remainder of 2021 and early 2022. For instance, a slowdown or further uncertainty in the U.S. economy, as well as a decrease in government stimulus packages, may result in additional changes in buyer and seller behavior, which could cause either a potential reduction in discretionary spending on our marketplace or increased activity on our marketplace as customers look for high-value, lower-priced alternatives. In particular, following the stimulus package in March 2021, we experienced a brief increase in Orders followed by a return to expected Orders activity. Additionally, future developments, such as new information which may emerge concerning COVID-19, the new COVID-19 strains (e.g. delta variant), and the actions to contain the coronavirus or treat its impact, could have an adverse impact to our business. 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Third Quarter Results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was a record at $63.3 million, an increase of 35% year-over-year.</w:t>
      </w:r>
    </w:p>
    <w:p>
      <w:pPr>
        <w:spacing w:after="0" w:line="160" w:lineRule="exact"/>
        <w:rPr>
          <w:sz w:val="20"/>
          <w:szCs w:val="20"/>
          <w:color w:val="auto"/>
        </w:rPr>
      </w:pPr>
    </w:p>
    <w:p>
      <w:pPr>
        <w:jc w:val="both"/>
        <w:ind w:firstLine="305"/>
        <w:spacing w:after="0" w:line="283" w:lineRule="auto"/>
        <w:rPr>
          <w:sz w:val="20"/>
          <w:szCs w:val="20"/>
          <w:color w:val="auto"/>
        </w:rPr>
      </w:pPr>
      <w:r>
        <w:rPr>
          <w:rFonts w:ascii="Arial" w:cs="Arial" w:eastAsia="Arial" w:hAnsi="Arial"/>
          <w:sz w:val="17"/>
          <w:szCs w:val="17"/>
          <w:b w:val="1"/>
          <w:bCs w:val="1"/>
          <w:color w:val="auto"/>
        </w:rPr>
        <w:t xml:space="preserve">Gross Profit and Margin: </w:t>
      </w:r>
      <w:r>
        <w:rPr>
          <w:rFonts w:ascii="Arial" w:cs="Arial" w:eastAsia="Arial" w:hAnsi="Arial"/>
          <w:sz w:val="17"/>
          <w:szCs w:val="17"/>
          <w:color w:val="auto"/>
        </w:rPr>
        <w:t>Gross profit totaled $46.1 million representing growth of 41% year-over-year. Gross margin expanded by 300 basis</w:t>
      </w:r>
      <w:r>
        <w:rPr>
          <w:rFonts w:ascii="Arial" w:cs="Arial" w:eastAsia="Arial" w:hAnsi="Arial"/>
          <w:sz w:val="17"/>
          <w:szCs w:val="17"/>
          <w:b w:val="1"/>
          <w:bCs w:val="1"/>
          <w:color w:val="auto"/>
        </w:rPr>
        <w:t xml:space="preserve"> </w:t>
      </w:r>
      <w:r>
        <w:rPr>
          <w:rFonts w:ascii="Arial" w:cs="Arial" w:eastAsia="Arial" w:hAnsi="Arial"/>
          <w:sz w:val="17"/>
          <w:szCs w:val="17"/>
          <w:color w:val="auto"/>
        </w:rPr>
        <w:t>points to 73% from 70% in the comparable quarter last year.</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GAAP net loss was $14.7 million for the third quarter 2021, compared to a GAAP net loss of $11.0 million for the third quarter 2020.</w:t>
      </w:r>
    </w:p>
    <w:p>
      <w:pPr>
        <w:spacing w:after="0" w:line="160" w:lineRule="exact"/>
        <w:rPr>
          <w:sz w:val="20"/>
          <w:szCs w:val="20"/>
          <w:color w:val="auto"/>
        </w:rPr>
      </w:pPr>
    </w:p>
    <w:p>
      <w:pPr>
        <w:jc w:val="both"/>
        <w:ind w:firstLine="305"/>
        <w:spacing w:after="0" w:line="283"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loss was $7.8 million, a negative 12% of revenue, compared to Adjusted EBITDA loss of $7.5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quarter 2020, a negative 16% of third quarter 2020 revenue.</w:t>
      </w:r>
    </w:p>
    <w:p>
      <w:pPr>
        <w:spacing w:after="0" w:line="97" w:lineRule="exact"/>
        <w:rPr>
          <w:sz w:val="20"/>
          <w:szCs w:val="20"/>
          <w:color w:val="auto"/>
        </w:rPr>
      </w:pPr>
    </w:p>
    <w:p>
      <w:pPr>
        <w:jc w:val="both"/>
        <w:ind w:firstLine="305"/>
        <w:spacing w:after="0" w:line="283" w:lineRule="auto"/>
        <w:rPr>
          <w:sz w:val="20"/>
          <w:szCs w:val="20"/>
          <w:color w:val="auto"/>
        </w:rPr>
      </w:pPr>
      <w:r>
        <w:rPr>
          <w:rFonts w:ascii="Arial" w:cs="Arial" w:eastAsia="Arial" w:hAnsi="Arial"/>
          <w:sz w:val="17"/>
          <w:szCs w:val="17"/>
          <w:b w:val="1"/>
          <w:bCs w:val="1"/>
          <w:color w:val="auto"/>
        </w:rPr>
        <w:t xml:space="preserve">Active Buyers and Orders: </w:t>
      </w:r>
      <w:r>
        <w:rPr>
          <w:rFonts w:ascii="Arial" w:cs="Arial" w:eastAsia="Arial" w:hAnsi="Arial"/>
          <w:sz w:val="17"/>
          <w:szCs w:val="17"/>
          <w:color w:val="auto"/>
        </w:rPr>
        <w:t>Total third quarter 2021 Active Buyers of 1.44 million and Orders of 1.30 million grew 14% and 28%,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over the comparable quarter last year.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and Operating Metrics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Pr>
          <w:p>
            <w:pPr>
              <w:spacing w:after="0"/>
              <w:rPr>
                <w:sz w:val="19"/>
                <w:szCs w:val="19"/>
                <w:color w:val="auto"/>
              </w:rPr>
            </w:pPr>
          </w:p>
        </w:tc>
        <w:tc>
          <w:tcPr>
            <w:tcW w:w="3800" w:type="dxa"/>
            <w:vAlign w:val="bottom"/>
            <w:gridSpan w:val="6"/>
          </w:tcPr>
          <w:p>
            <w:pPr>
              <w:ind w:left="420"/>
              <w:spacing w:after="0"/>
              <w:rPr>
                <w:sz w:val="20"/>
                <w:szCs w:val="20"/>
                <w:color w:val="auto"/>
              </w:rPr>
            </w:pPr>
            <w:r>
              <w:rPr>
                <w:rFonts w:ascii="Arial" w:cs="Arial" w:eastAsia="Arial" w:hAnsi="Arial"/>
                <w:sz w:val="17"/>
                <w:szCs w:val="17"/>
                <w:b w:val="1"/>
                <w:bCs w:val="1"/>
                <w:color w:val="auto"/>
              </w:rPr>
              <w:t>Three months ended September 30,</w:t>
            </w:r>
          </w:p>
        </w:tc>
        <w:tc>
          <w:tcPr>
            <w:tcW w:w="240" w:type="dxa"/>
            <w:vAlign w:val="bottom"/>
          </w:tcPr>
          <w:p>
            <w:pPr>
              <w:spacing w:after="0"/>
              <w:rPr>
                <w:sz w:val="19"/>
                <w:szCs w:val="19"/>
                <w:color w:val="auto"/>
              </w:rPr>
            </w:pPr>
          </w:p>
        </w:tc>
        <w:tc>
          <w:tcPr>
            <w:tcW w:w="3280" w:type="dxa"/>
            <w:vAlign w:val="bottom"/>
            <w:gridSpan w:val="4"/>
          </w:tcPr>
          <w:p>
            <w:pPr>
              <w:jc w:val="right"/>
              <w:ind w:right="295"/>
              <w:spacing w:after="0"/>
              <w:rPr>
                <w:sz w:val="20"/>
                <w:szCs w:val="20"/>
                <w:color w:val="auto"/>
              </w:rPr>
            </w:pPr>
            <w:r>
              <w:rPr>
                <w:rFonts w:ascii="Arial" w:cs="Arial" w:eastAsia="Arial" w:hAnsi="Arial"/>
                <w:sz w:val="17"/>
                <w:szCs w:val="17"/>
                <w:b w:val="1"/>
                <w:bCs w:val="1"/>
                <w:color w:val="auto"/>
              </w:rPr>
              <w:t>Nine months ended September 30,</w:t>
            </w:r>
          </w:p>
        </w:tc>
      </w:tr>
      <w:tr>
        <w:trPr>
          <w:trHeight w:val="209"/>
        </w:trPr>
        <w:tc>
          <w:tcPr>
            <w:tcW w:w="39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2020</w:t>
            </w:r>
          </w:p>
        </w:tc>
      </w:tr>
      <w:tr>
        <w:trPr>
          <w:trHeight w:val="246"/>
        </w:trPr>
        <w:tc>
          <w:tcPr>
            <w:tcW w:w="3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00" w:type="dxa"/>
            <w:vAlign w:val="bottom"/>
            <w:gridSpan w:val="5"/>
          </w:tcPr>
          <w:p>
            <w:pPr>
              <w:ind w:left="78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Buyers (as of period end)</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w:t>
            </w:r>
          </w:p>
        </w:tc>
      </w:tr>
      <w:tr>
        <w:trPr>
          <w:trHeight w:val="215"/>
        </w:trPr>
        <w:tc>
          <w:tcPr>
            <w:tcW w:w="3920" w:type="dxa"/>
            <w:vAlign w:val="bottom"/>
          </w:tcPr>
          <w:p>
            <w:pPr>
              <w:ind w:left="20"/>
              <w:spacing w:after="0"/>
              <w:rPr>
                <w:sz w:val="20"/>
                <w:szCs w:val="20"/>
                <w:color w:val="auto"/>
              </w:rPr>
            </w:pPr>
            <w:r>
              <w:rPr>
                <w:rFonts w:ascii="Arial" w:cs="Arial" w:eastAsia="Arial" w:hAnsi="Arial"/>
                <w:sz w:val="17"/>
                <w:szCs w:val="17"/>
                <w:color w:val="auto"/>
              </w:rPr>
              <w:t>Orders</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3,646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2,966</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(30,876)</w:t>
            </w:r>
          </w:p>
        </w:tc>
      </w:tr>
      <w:tr>
        <w:trPr>
          <w:trHeight w:val="283"/>
        </w:trPr>
        <w:tc>
          <w:tcPr>
            <w:tcW w:w="392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1"/>
                <w:szCs w:val="21"/>
                <w:color w:val="auto"/>
                <w:vertAlign w:val="superscript"/>
              </w:rPr>
              <w:t>(1)</w:t>
            </w:r>
          </w:p>
        </w:tc>
        <w:tc>
          <w:tcPr>
            <w:tcW w:w="1120" w:type="dxa"/>
            <w:vAlign w:val="bottom"/>
          </w:tcPr>
          <w:p>
            <w:pPr>
              <w:jc w:val="right"/>
              <w:ind w:right="9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(7,816)</w:t>
            </w:r>
          </w:p>
        </w:tc>
        <w:tc>
          <w:tcPr>
            <w:tcW w:w="100" w:type="dxa"/>
            <w:vAlign w:val="bottom"/>
          </w:tcPr>
          <w:p>
            <w:pPr>
              <w:spacing w:after="0"/>
              <w:rPr>
                <w:sz w:val="24"/>
                <w:szCs w:val="24"/>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24"/>
                <w:szCs w:val="24"/>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(25,971)</w:t>
            </w:r>
          </w:p>
        </w:tc>
        <w:tc>
          <w:tcPr>
            <w:tcW w:w="80" w:type="dxa"/>
            <w:vAlign w:val="bottom"/>
          </w:tcPr>
          <w:p>
            <w:pPr>
              <w:spacing w:after="0"/>
              <w:rPr>
                <w:sz w:val="24"/>
                <w:szCs w:val="24"/>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(21,170)</w:t>
            </w:r>
          </w:p>
        </w:tc>
      </w:tr>
    </w:tbl>
    <w:p>
      <w:pPr>
        <w:spacing w:after="0" w:line="176" w:lineRule="exact"/>
        <w:rPr>
          <w:sz w:val="20"/>
          <w:szCs w:val="20"/>
          <w:color w:val="auto"/>
        </w:rPr>
      </w:pPr>
    </w:p>
    <w:p>
      <w:pPr>
        <w:ind w:left="300" w:hanging="298"/>
        <w:spacing w:after="0"/>
        <w:tabs>
          <w:tab w:leader="none" w:pos="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 below for a reconciliation of Adjusted EBITDA to net loss.</w:t>
      </w:r>
    </w:p>
    <w:p>
      <w:pPr>
        <w:spacing w:after="0" w:line="134"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Active Buyers</w:t>
      </w:r>
    </w:p>
    <w:p>
      <w:pPr>
        <w:spacing w:after="0" w:line="18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Orders</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Orders means the total number of orders placed by buyers across our marketplace, including through our RaaS clients, in a given period, net of cancellations. We expect Orders to increase over time.</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Adjusted EBITDA means net loss adjusted to exclude, where applicable in a given period, depreciation and amortization, stock-based compensation expense, acquisition and offering related expenses, interest expense, change in fair value of convertible preferred stock warrant liability and provision for income taxes. We use Adjusted EBITDA to evaluate and assess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net loss to Adjusted EBITDA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3900" w:type="dxa"/>
            <w:vAlign w:val="bottom"/>
            <w:gridSpan w:val="6"/>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Pr>
          <w:p>
            <w:pPr>
              <w:spacing w:after="0"/>
              <w:rPr>
                <w:sz w:val="19"/>
                <w:szCs w:val="19"/>
                <w:color w:val="auto"/>
              </w:rPr>
            </w:pPr>
          </w:p>
        </w:tc>
        <w:tc>
          <w:tcPr>
            <w:tcW w:w="3400" w:type="dxa"/>
            <w:vAlign w:val="bottom"/>
            <w:gridSpan w:val="4"/>
          </w:tcPr>
          <w:p>
            <w:pPr>
              <w:jc w:val="right"/>
              <w:ind w:right="37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6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Adjusted EBITDA Reconciliation:</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(30,876)</w:t>
            </w:r>
          </w:p>
        </w:tc>
        <w:tc>
          <w:tcPr>
            <w:tcW w:w="0" w:type="dxa"/>
            <w:vAlign w:val="bottom"/>
          </w:tcPr>
          <w:p>
            <w:pPr>
              <w:spacing w:after="0"/>
              <w:rPr>
                <w:sz w:val="1"/>
                <w:szCs w:val="1"/>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2,248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6,147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3,868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5,057</w:t>
            </w:r>
          </w:p>
        </w:tc>
        <w:tc>
          <w:tcPr>
            <w:tcW w:w="0" w:type="dxa"/>
            <w:vAlign w:val="bottom"/>
          </w:tcPr>
          <w:p>
            <w:pPr>
              <w:spacing w:after="0"/>
              <w:rPr>
                <w:sz w:val="1"/>
                <w:szCs w:val="1"/>
                <w:color w:val="auto"/>
              </w:rPr>
            </w:pPr>
          </w:p>
        </w:tc>
      </w:tr>
      <w:tr>
        <w:trPr>
          <w:trHeight w:val="215"/>
        </w:trPr>
        <w:tc>
          <w:tcPr>
            <w:tcW w:w="3660" w:type="dxa"/>
            <w:vAlign w:val="bottom"/>
          </w:tcPr>
          <w:p>
            <w:pPr>
              <w:ind w:left="220"/>
              <w:spacing w:after="0"/>
              <w:rPr>
                <w:sz w:val="20"/>
                <w:szCs w:val="20"/>
                <w:color w:val="auto"/>
              </w:rPr>
            </w:pPr>
            <w:r>
              <w:rPr>
                <w:rFonts w:ascii="Arial" w:cs="Arial" w:eastAsia="Arial" w:hAnsi="Arial"/>
                <w:sz w:val="17"/>
                <w:szCs w:val="17"/>
                <w:color w:val="auto"/>
              </w:rPr>
              <w:t>Acquisition and offering related expenses</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177"/>
        </w:trPr>
        <w:tc>
          <w:tcPr>
            <w:tcW w:w="3660" w:type="dxa"/>
            <w:vAlign w:val="bottom"/>
          </w:tcPr>
          <w:p>
            <w:pPr>
              <w:ind w:left="220"/>
              <w:spacing w:after="0" w:line="177" w:lineRule="exact"/>
              <w:rPr>
                <w:sz w:val="20"/>
                <w:szCs w:val="20"/>
                <w:color w:val="auto"/>
              </w:rPr>
            </w:pPr>
            <w:r>
              <w:rPr>
                <w:rFonts w:ascii="Arial" w:cs="Arial" w:eastAsia="Arial" w:hAnsi="Arial"/>
                <w:sz w:val="17"/>
                <w:szCs w:val="17"/>
                <w:color w:val="auto"/>
              </w:rPr>
              <w:t>Change in fair value of convertible preferred</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20"/>
              <w:spacing w:after="0"/>
              <w:rPr>
                <w:sz w:val="20"/>
                <w:szCs w:val="20"/>
                <w:color w:val="auto"/>
              </w:rPr>
            </w:pPr>
            <w:r>
              <w:rPr>
                <w:rFonts w:ascii="Arial" w:cs="Arial" w:eastAsia="Arial" w:hAnsi="Arial"/>
                <w:sz w:val="17"/>
                <w:szCs w:val="17"/>
                <w:color w:val="auto"/>
              </w:rPr>
              <w:t>stock warrant liability</w:t>
            </w:r>
          </w:p>
        </w:tc>
        <w:tc>
          <w:tcPr>
            <w:tcW w:w="1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income taxes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112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(7,816)</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(25,971)</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(21,170)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6520" w:type="dxa"/>
            <w:vAlign w:val="bottom"/>
            <w:gridSpan w:val="5"/>
          </w:tcPr>
          <w:p>
            <w:pPr>
              <w:ind w:left="300"/>
              <w:spacing w:after="0"/>
              <w:rPr>
                <w:sz w:val="20"/>
                <w:szCs w:val="20"/>
                <w:color w:val="auto"/>
              </w:rPr>
            </w:pPr>
            <w:r>
              <w:rPr>
                <w:rFonts w:ascii="Arial" w:cs="Arial" w:eastAsia="Arial" w:hAnsi="Arial"/>
                <w:sz w:val="17"/>
                <w:szCs w:val="17"/>
                <w:color w:val="auto"/>
              </w:rPr>
              <w:t>The following table sets forth our results of operations for the periods presented: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260" w:type="dxa"/>
            <w:vAlign w:val="bottom"/>
          </w:tcPr>
          <w:p>
            <w:pPr>
              <w:spacing w:after="0"/>
              <w:rPr>
                <w:sz w:val="24"/>
                <w:szCs w:val="24"/>
                <w:color w:val="auto"/>
              </w:rPr>
            </w:pPr>
          </w:p>
        </w:tc>
        <w:tc>
          <w:tcPr>
            <w:tcW w:w="3640" w:type="dxa"/>
            <w:vAlign w:val="bottom"/>
            <w:gridSpan w:val="6"/>
          </w:tcPr>
          <w:p>
            <w:pPr>
              <w:ind w:left="340"/>
              <w:spacing w:after="0"/>
              <w:rPr>
                <w:sz w:val="20"/>
                <w:szCs w:val="20"/>
                <w:color w:val="auto"/>
              </w:rPr>
            </w:pPr>
            <w:r>
              <w:rPr>
                <w:rFonts w:ascii="Arial" w:cs="Arial" w:eastAsia="Arial" w:hAnsi="Arial"/>
                <w:sz w:val="17"/>
                <w:szCs w:val="17"/>
                <w:b w:val="1"/>
                <w:bCs w:val="1"/>
                <w:color w:val="auto"/>
              </w:rPr>
              <w:t>Three months ended September 30,</w:t>
            </w:r>
          </w:p>
        </w:tc>
        <w:tc>
          <w:tcPr>
            <w:tcW w:w="200" w:type="dxa"/>
            <w:vAlign w:val="bottom"/>
          </w:tcPr>
          <w:p>
            <w:pPr>
              <w:spacing w:after="0"/>
              <w:rPr>
                <w:sz w:val="24"/>
                <w:szCs w:val="24"/>
                <w:color w:val="auto"/>
              </w:rPr>
            </w:pPr>
          </w:p>
        </w:tc>
        <w:tc>
          <w:tcPr>
            <w:tcW w:w="3120" w:type="dxa"/>
            <w:vAlign w:val="bottom"/>
            <w:gridSpan w:val="4"/>
          </w:tcPr>
          <w:p>
            <w:pPr>
              <w:jc w:val="right"/>
              <w:ind w:right="17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46"/>
        </w:trPr>
        <w:tc>
          <w:tcPr>
            <w:tcW w:w="4260" w:type="dxa"/>
            <w:vAlign w:val="bottom"/>
          </w:tcPr>
          <w:p>
            <w:pPr>
              <w:ind w:left="20"/>
              <w:spacing w:after="0"/>
              <w:rPr>
                <w:sz w:val="20"/>
                <w:szCs w:val="20"/>
                <w:color w:val="auto"/>
              </w:rPr>
            </w:pPr>
            <w:r>
              <w:rPr>
                <w:rFonts w:ascii="Arial" w:cs="Arial" w:eastAsia="Arial" w:hAnsi="Arial"/>
                <w:sz w:val="17"/>
                <w:szCs w:val="17"/>
                <w:color w:val="auto"/>
              </w:rPr>
              <w:t>Revenue:</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20" w:type="dxa"/>
            <w:vAlign w:val="bottom"/>
            <w:gridSpan w:val="6"/>
          </w:tcPr>
          <w:p>
            <w:pPr>
              <w:ind w:left="160"/>
              <w:spacing w:after="0"/>
              <w:rPr>
                <w:sz w:val="20"/>
                <w:szCs w:val="20"/>
                <w:color w:val="auto"/>
              </w:rPr>
            </w:pPr>
            <w:r>
              <w:rPr>
                <w:rFonts w:ascii="Arial" w:cs="Arial" w:eastAsia="Arial" w:hAnsi="Arial"/>
                <w:sz w:val="17"/>
                <w:szCs w:val="17"/>
                <w:b w:val="1"/>
                <w:bCs w:val="1"/>
                <w:color w:val="auto"/>
              </w:rPr>
              <w:t>(in thousands, except per share data)</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103,885</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37,557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38,697</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63,274</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46,932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178,913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142,582</w:t>
            </w:r>
          </w:p>
        </w:tc>
        <w:tc>
          <w:tcPr>
            <w:tcW w:w="0" w:type="dxa"/>
            <w:vAlign w:val="bottom"/>
          </w:tcPr>
          <w:p>
            <w:pPr>
              <w:spacing w:after="0"/>
              <w:rPr>
                <w:sz w:val="1"/>
                <w:szCs w:val="1"/>
                <w:color w:val="auto"/>
              </w:rPr>
            </w:pPr>
          </w:p>
        </w:tc>
      </w:tr>
      <w:tr>
        <w:trPr>
          <w:trHeight w:val="195"/>
        </w:trPr>
        <w:tc>
          <w:tcPr>
            <w:tcW w:w="426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Consignment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25,097</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Product</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17,370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19,072</w:t>
            </w: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cost of revenue</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17,180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48,969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44,169</w:t>
            </w:r>
          </w:p>
        </w:tc>
        <w:tc>
          <w:tcPr>
            <w:tcW w:w="0" w:type="dxa"/>
            <w:vAlign w:val="bottom"/>
          </w:tcPr>
          <w:p>
            <w:pPr>
              <w:spacing w:after="0"/>
              <w:rPr>
                <w:sz w:val="1"/>
                <w:szCs w:val="1"/>
                <w:color w:val="auto"/>
              </w:rPr>
            </w:pPr>
          </w:p>
        </w:tc>
      </w:tr>
      <w:tr>
        <w:trPr>
          <w:trHeight w:val="208"/>
        </w:trPr>
        <w:tc>
          <w:tcPr>
            <w:tcW w:w="4260" w:type="dxa"/>
            <w:vAlign w:val="bottom"/>
          </w:tcPr>
          <w:p>
            <w:pPr>
              <w:ind w:left="220"/>
              <w:spacing w:after="0"/>
              <w:rPr>
                <w:sz w:val="20"/>
                <w:szCs w:val="20"/>
                <w:color w:val="auto"/>
              </w:rPr>
            </w:pPr>
            <w:r>
              <w:rPr>
                <w:rFonts w:ascii="Arial" w:cs="Arial" w:eastAsia="Arial" w:hAnsi="Arial"/>
                <w:sz w:val="17"/>
                <w:szCs w:val="17"/>
                <w:color w:val="auto"/>
              </w:rPr>
              <w:t>Gross profit</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46,094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32,776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129,944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98,413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7"/>
                <w:szCs w:val="17"/>
                <w:color w:val="auto"/>
              </w:rPr>
              <w:t>Operations, product and technology</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32,081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25,856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91,455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73,480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Marketing</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34,513</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Sales, general and administrative</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61,591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43,361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174,005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128,755</w:t>
            </w:r>
          </w:p>
        </w:tc>
        <w:tc>
          <w:tcPr>
            <w:tcW w:w="0" w:type="dxa"/>
            <w:vAlign w:val="bottom"/>
          </w:tcPr>
          <w:p>
            <w:pPr>
              <w:spacing w:after="0"/>
              <w:rPr>
                <w:sz w:val="1"/>
                <w:szCs w:val="1"/>
                <w:color w:val="auto"/>
              </w:rPr>
            </w:pPr>
          </w:p>
        </w:tc>
      </w:tr>
      <w:tr>
        <w:trPr>
          <w:trHeight w:val="208"/>
        </w:trPr>
        <w:tc>
          <w:tcPr>
            <w:tcW w:w="4260" w:type="dxa"/>
            <w:vAlign w:val="bottom"/>
          </w:tcPr>
          <w:p>
            <w:pPr>
              <w:ind w:left="220"/>
              <w:spacing w:after="0"/>
              <w:rPr>
                <w:sz w:val="20"/>
                <w:szCs w:val="20"/>
                <w:color w:val="auto"/>
              </w:rPr>
            </w:pPr>
            <w:r>
              <w:rPr>
                <w:rFonts w:ascii="Arial" w:cs="Arial" w:eastAsia="Arial" w:hAnsi="Arial"/>
                <w:sz w:val="17"/>
                <w:szCs w:val="17"/>
                <w:color w:val="auto"/>
              </w:rPr>
              <w:t>Operating loss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(15,497)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(44,061)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(30,342)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before provision for income taxes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(14,698)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(30,876)</w:t>
            </w:r>
          </w:p>
        </w:tc>
        <w:tc>
          <w:tcPr>
            <w:tcW w:w="0" w:type="dxa"/>
            <w:vAlign w:val="bottom"/>
          </w:tcPr>
          <w:p>
            <w:pPr>
              <w:spacing w:after="0"/>
              <w:rPr>
                <w:sz w:val="1"/>
                <w:szCs w:val="1"/>
                <w:color w:val="auto"/>
              </w:rPr>
            </w:pPr>
          </w:p>
        </w:tc>
      </w:tr>
      <w:tr>
        <w:trPr>
          <w:trHeight w:val="215"/>
        </w:trPr>
        <w:tc>
          <w:tcPr>
            <w:tcW w:w="42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106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(14,715)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7"/>
                <w:szCs w:val="17"/>
                <w:color w:val="auto"/>
              </w:rPr>
              <w:t>Net loss per share attributable to common stockholders,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60" w:type="dxa"/>
            <w:vAlign w:val="bottom"/>
            <w:vMerge w:val="continue"/>
          </w:tcPr>
          <w:p>
            <w:pPr>
              <w:spacing w:after="0"/>
              <w:rPr>
                <w:sz w:val="10"/>
                <w:szCs w:val="10"/>
                <w:color w:val="auto"/>
              </w:rPr>
            </w:pPr>
          </w:p>
        </w:tc>
        <w:tc>
          <w:tcPr>
            <w:tcW w:w="1060" w:type="dxa"/>
            <w:vAlign w:val="bottom"/>
            <w:vMerge w:val="restart"/>
          </w:tcPr>
          <w:p>
            <w:pPr>
              <w:jc w:val="right"/>
              <w:ind w:right="875"/>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(0.15)</w:t>
            </w:r>
          </w:p>
        </w:tc>
        <w:tc>
          <w:tcPr>
            <w:tcW w:w="80" w:type="dxa"/>
            <w:vAlign w:val="bottom"/>
          </w:tcPr>
          <w:p>
            <w:pPr>
              <w:spacing w:after="0"/>
              <w:rPr>
                <w:sz w:val="10"/>
                <w:szCs w:val="10"/>
                <w:color w:val="auto"/>
              </w:rPr>
            </w:pPr>
          </w:p>
        </w:tc>
        <w:tc>
          <w:tcPr>
            <w:tcW w:w="440" w:type="dxa"/>
            <w:vAlign w:val="bottom"/>
            <w:vMerge w:val="restart"/>
          </w:tcPr>
          <w:p>
            <w:pPr>
              <w:jc w:val="right"/>
              <w:ind w:right="23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(0.93)</w:t>
            </w:r>
          </w:p>
        </w:tc>
        <w:tc>
          <w:tcPr>
            <w:tcW w:w="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(0.65)</w:t>
            </w:r>
          </w:p>
        </w:tc>
        <w:tc>
          <w:tcPr>
            <w:tcW w:w="80" w:type="dxa"/>
            <w:vAlign w:val="bottom"/>
          </w:tcPr>
          <w:p>
            <w:pPr>
              <w:spacing w:after="0"/>
              <w:rPr>
                <w:sz w:val="10"/>
                <w:szCs w:val="10"/>
                <w:color w:val="auto"/>
              </w:rPr>
            </w:pPr>
          </w:p>
        </w:tc>
        <w:tc>
          <w:tcPr>
            <w:tcW w:w="380" w:type="dxa"/>
            <w:vAlign w:val="bottom"/>
            <w:vMerge w:val="restart"/>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line="179" w:lineRule="exact"/>
              <w:rPr>
                <w:sz w:val="20"/>
                <w:szCs w:val="20"/>
                <w:color w:val="auto"/>
              </w:rPr>
            </w:pPr>
            <w:r>
              <w:rPr>
                <w:rFonts w:ascii="Arial" w:cs="Arial" w:eastAsia="Arial" w:hAnsi="Arial"/>
                <w:sz w:val="17"/>
                <w:szCs w:val="17"/>
                <w:color w:val="auto"/>
              </w:rPr>
              <w:t>basic and diluted</w:t>
            </w:r>
          </w:p>
        </w:tc>
        <w:tc>
          <w:tcPr>
            <w:tcW w:w="106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50" w:lineRule="exact"/>
        <w:rPr>
          <w:sz w:val="20"/>
          <w:szCs w:val="20"/>
          <w:color w:val="auto"/>
        </w:rPr>
      </w:pPr>
    </w:p>
    <w:p>
      <w:pPr>
        <w:ind w:left="300" w:right="4560"/>
        <w:spacing w:after="0" w:line="462" w:lineRule="auto"/>
        <w:rPr>
          <w:sz w:val="20"/>
          <w:szCs w:val="20"/>
          <w:color w:val="auto"/>
        </w:rPr>
      </w:pPr>
      <w:r>
        <w:rPr>
          <w:rFonts w:ascii="Arial" w:cs="Arial" w:eastAsia="Arial" w:hAnsi="Arial"/>
          <w:sz w:val="17"/>
          <w:szCs w:val="17"/>
          <w:b w:val="1"/>
          <w:bCs w:val="1"/>
          <w:i w:val="1"/>
          <w:iCs w:val="1"/>
          <w:color w:val="auto"/>
        </w:rPr>
        <w:t xml:space="preserve">Comparison of the Three and Nine Months Ended September 30, 2021 and 2020 </w:t>
      </w:r>
      <w:r>
        <w:rPr>
          <w:rFonts w:ascii="Arial" w:cs="Arial" w:eastAsia="Arial" w:hAnsi="Arial"/>
          <w:sz w:val="17"/>
          <w:szCs w:val="17"/>
          <w:i w:val="1"/>
          <w:iCs w:val="1"/>
          <w:color w:val="auto"/>
        </w:rPr>
        <w:t>Revenue</w:t>
      </w:r>
    </w:p>
    <w:tbl>
      <w:tblPr>
        <w:tblLayout w:type="fixed"/>
        <w:tblInd w:w="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center"/>
              <w:ind w:right="340"/>
              <w:spacing w:after="0" w:line="156" w:lineRule="exact"/>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3"/>
                <w:szCs w:val="13"/>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6"/>
          </w:tcPr>
          <w:p>
            <w:pPr>
              <w:jc w:val="center"/>
              <w:ind w:right="280"/>
              <w:spacing w:after="0" w:line="156" w:lineRule="exact"/>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3"/>
                <w:szCs w:val="13"/>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10"/>
          </w:tcPr>
          <w:p>
            <w:pPr>
              <w:ind w:left="560"/>
              <w:spacing w:after="0"/>
              <w:rPr>
                <w:sz w:val="20"/>
                <w:szCs w:val="20"/>
                <w:color w:val="auto"/>
              </w:rPr>
            </w:pPr>
            <w:r>
              <w:rPr>
                <w:rFonts w:ascii="Arial" w:cs="Arial" w:eastAsia="Arial" w:hAnsi="Arial"/>
                <w:sz w:val="15"/>
                <w:szCs w:val="15"/>
                <w:b w:val="1"/>
                <w:bCs w:val="1"/>
                <w:color w:val="auto"/>
              </w:rPr>
              <w:t>(in thousands, except percentages)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Consignment revenue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48,071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33,657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141,356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103,885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Product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15,203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13,275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1,928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37,557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38,697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63,274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46,932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16,342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178,913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142,582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400" w:type="dxa"/>
            <w:vAlign w:val="bottom"/>
          </w:tcPr>
          <w:p>
            <w:pPr>
              <w:ind w:left="20"/>
              <w:spacing w:after="0" w:line="147" w:lineRule="exact"/>
              <w:rPr>
                <w:sz w:val="20"/>
                <w:szCs w:val="20"/>
                <w:color w:val="auto"/>
              </w:rPr>
            </w:pPr>
            <w:r>
              <w:rPr>
                <w:rFonts w:ascii="Arial" w:cs="Arial" w:eastAsia="Arial" w:hAnsi="Arial"/>
                <w:sz w:val="15"/>
                <w:szCs w:val="15"/>
                <w:color w:val="auto"/>
              </w:rPr>
              <w:t>Consignment revenue as a % of</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85"/>
        </w:trPr>
        <w:tc>
          <w:tcPr>
            <w:tcW w:w="2400" w:type="dxa"/>
            <w:vAlign w:val="bottom"/>
          </w:tcPr>
          <w:p>
            <w:pPr>
              <w:ind w:left="180"/>
              <w:spacing w:after="0"/>
              <w:rPr>
                <w:sz w:val="20"/>
                <w:szCs w:val="20"/>
                <w:color w:val="auto"/>
              </w:rPr>
            </w:pPr>
            <w:r>
              <w:rPr>
                <w:rFonts w:ascii="Arial" w:cs="Arial" w:eastAsia="Arial" w:hAnsi="Arial"/>
                <w:sz w:val="15"/>
                <w:szCs w:val="15"/>
                <w:color w:val="auto"/>
              </w:rPr>
              <w:t>total revenue</w:t>
            </w:r>
          </w:p>
        </w:tc>
        <w:tc>
          <w:tcPr>
            <w:tcW w:w="1120" w:type="dxa"/>
            <w:vAlign w:val="bottom"/>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72 %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79 %</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73 %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0"/>
        </w:trPr>
        <w:tc>
          <w:tcPr>
            <w:tcW w:w="240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Product revenue as a % of total</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24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$ 16.3 million change in total revenue represents a 35% increase in total revenue for the three months ended September 30, 2021, as compared to the three months ended September 30, 2020. This increase was primarily attributable to a 28% increase in Orders and a 5% increase in revenue per Order over the same period. The 28% increase in Orders was primarily driven by growth in Active Buyers of 14% over the same period mainly due to our increased marketing and advertising efforts.</w:t>
      </w:r>
    </w:p>
    <w:p>
      <w:pPr>
        <w:spacing w:after="0" w:line="93"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The $ 36.3 million change in total revenue represents a 25% increase in total revenue for the nine months ended September 30, 2021, as compared to the nine months ended September 30, 2020. This increase was primarily attributable to a 23% increase in Orders and a 2% increase in revenue per Order over the same period. The 23% increase in Orders was primarily driven by growth in Active Buyers of 14% and partially offset by a 7% decrease in Order per Active Buyer over the same period. The growth in Active Buyers was mainly due to our increased marketing and advertising efforts.</w:t>
      </w:r>
    </w:p>
    <w:p>
      <w:pPr>
        <w:spacing w:after="0" w:line="222"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Consignment sales result in higher gross profit margin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41"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We believe that our total revenue will increase sequentially in the fourth quarter of 2021 primarily due to the inclusion of the acquired Remix business.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Consignment Revenue</w:t>
      </w:r>
    </w:p>
    <w:p>
      <w:pPr>
        <w:spacing w:after="0" w:line="178"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$14.4 million change in consignment revenue represents a 43% increase in consignment revenue for the three months ended September 30, 2021, as compared to the three months ended September 30, 2020. This increase was primarily attributable to the mix shift from product to consignment sales, which resulted in consignment sales representing 76% of our total revenue mix, up 400 basis points from 72% in the three months ended September 30, 2020.</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$37.5 million change in consignment revenue represents a 36% increase in consignment revenue for the nine months ended September 30, 2021, as compared to the nine months ended September 30, 2020. This increase was primarily attributable to the mix shift from product to consignment sales, which resulted in consignment sales representing 79% of our total revenue mix, up 600 basis points from 73% in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Product Revenue</w:t>
      </w:r>
    </w:p>
    <w:p>
      <w:pPr>
        <w:spacing w:after="0" w:line="178"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$1.9 million change in product revenue represents a 15% increase in product revenue for the three months ended September 30, 2021, as compared to the three months ended September 30, 2020, and was primarily attributable to a 35% increase in total revenue. The increase was partially offset by a mix shift from product to consignment sales, which resulted in product sales representing 24% of our total revenue mix, a 400 basis point decrease from 28% in the three months ended September 30, 2020.</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$ 1.1 million change in product revenue represents a 3% decrease in product revenue for the nine months ended September 30, 2021, as compared to the nine months ended September 30, 2020, and was primarily attributable to the mix shift from product to consignment sales, which resulted in product sales representing 21% of our total revenue mix, a 600 basis point decrease from 27% in the nine months ended September 30, 2020.</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12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4"/>
                <w:szCs w:val="14"/>
                <w:color w:val="auto"/>
              </w:rPr>
            </w:pPr>
          </w:p>
        </w:tc>
        <w:tc>
          <w:tcPr>
            <w:tcW w:w="1200" w:type="dxa"/>
            <w:vAlign w:val="bottom"/>
            <w:gridSpan w:val="3"/>
            <w:vMerge w:val="restart"/>
          </w:tcPr>
          <w:p>
            <w:pPr>
              <w:ind w:left="56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ind w:left="360"/>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10"/>
          </w:tcPr>
          <w:p>
            <w:pPr>
              <w:jc w:val="right"/>
              <w:ind w:right="84"/>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10,080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7,984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31,599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25,097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0" w:type="dxa"/>
            <w:vAlign w:val="bottom"/>
          </w:tcPr>
          <w:p>
            <w:pPr>
              <w:spacing w:after="0"/>
              <w:rPr>
                <w:sz w:val="1"/>
                <w:szCs w:val="1"/>
                <w:color w:val="auto"/>
              </w:rPr>
            </w:pPr>
          </w:p>
        </w:tc>
      </w:tr>
      <w:tr>
        <w:trPr>
          <w:trHeight w:val="20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product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7,100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6,172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15 %</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17,370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19,072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revenue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17,180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14,156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48,969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44,169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4,800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40" w:type="dxa"/>
            <w:vAlign w:val="bottom"/>
          </w:tcPr>
          <w:p>
            <w:pPr>
              <w:ind w:left="20"/>
              <w:spacing w:after="0" w:line="167" w:lineRule="exact"/>
              <w:rPr>
                <w:sz w:val="20"/>
                <w:szCs w:val="20"/>
                <w:color w:val="auto"/>
              </w:rPr>
            </w:pPr>
            <w:r>
              <w:rPr>
                <w:rFonts w:ascii="Arial" w:cs="Arial" w:eastAsia="Arial" w:hAnsi="Arial"/>
                <w:sz w:val="15"/>
                <w:szCs w:val="15"/>
                <w:color w:val="auto"/>
              </w:rPr>
              <w:t>Gross profit</w:t>
            </w:r>
          </w:p>
        </w:tc>
        <w:tc>
          <w:tcPr>
            <w:tcW w:w="240" w:type="dxa"/>
            <w:vAlign w:val="bottom"/>
          </w:tcPr>
          <w:p>
            <w:pPr>
              <w:jc w:val="right"/>
              <w:ind w:right="64"/>
              <w:spacing w:after="0" w:line="167" w:lineRule="exact"/>
              <w:rPr>
                <w:sz w:val="20"/>
                <w:szCs w:val="20"/>
                <w:color w:val="auto"/>
              </w:rPr>
            </w:pPr>
            <w:r>
              <w:rPr>
                <w:rFonts w:ascii="Arial" w:cs="Arial" w:eastAsia="Arial" w:hAnsi="Arial"/>
                <w:sz w:val="15"/>
                <w:szCs w:val="15"/>
                <w:color w:val="auto"/>
                <w:w w:val="95"/>
              </w:rPr>
              <w:t>$</w:t>
            </w:r>
          </w:p>
        </w:tc>
        <w:tc>
          <w:tcPr>
            <w:tcW w:w="820" w:type="dxa"/>
            <w:vAlign w:val="bottom"/>
          </w:tcPr>
          <w:p>
            <w:pPr>
              <w:jc w:val="right"/>
              <w:ind w:right="104"/>
              <w:spacing w:after="0" w:line="167" w:lineRule="exact"/>
              <w:rPr>
                <w:sz w:val="20"/>
                <w:szCs w:val="20"/>
                <w:color w:val="auto"/>
              </w:rPr>
            </w:pPr>
            <w:r>
              <w:rPr>
                <w:rFonts w:ascii="Arial" w:cs="Arial" w:eastAsia="Arial" w:hAnsi="Arial"/>
                <w:sz w:val="15"/>
                <w:szCs w:val="15"/>
                <w:color w:val="auto"/>
              </w:rPr>
              <w:t>46,094</w:t>
            </w:r>
          </w:p>
        </w:tc>
        <w:tc>
          <w:tcPr>
            <w:tcW w:w="100" w:type="dxa"/>
            <w:vAlign w:val="bottom"/>
          </w:tcPr>
          <w:p>
            <w:pPr>
              <w:spacing w:after="0"/>
              <w:rPr>
                <w:sz w:val="14"/>
                <w:szCs w:val="14"/>
                <w:color w:val="auto"/>
              </w:rPr>
            </w:pPr>
          </w:p>
        </w:tc>
        <w:tc>
          <w:tcPr>
            <w:tcW w:w="220" w:type="dxa"/>
            <w:vAlign w:val="bottom"/>
          </w:tcPr>
          <w:p>
            <w:pPr>
              <w:jc w:val="right"/>
              <w:ind w:right="44"/>
              <w:spacing w:after="0" w:line="167" w:lineRule="exact"/>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4"/>
              <w:spacing w:after="0" w:line="167" w:lineRule="exact"/>
              <w:rPr>
                <w:sz w:val="20"/>
                <w:szCs w:val="20"/>
                <w:color w:val="auto"/>
              </w:rPr>
            </w:pPr>
            <w:r>
              <w:rPr>
                <w:rFonts w:ascii="Arial" w:cs="Arial" w:eastAsia="Arial" w:hAnsi="Arial"/>
                <w:sz w:val="15"/>
                <w:szCs w:val="15"/>
                <w:color w:val="auto"/>
              </w:rPr>
              <w:t>32,776</w:t>
            </w:r>
          </w:p>
        </w:tc>
        <w:tc>
          <w:tcPr>
            <w:tcW w:w="100" w:type="dxa"/>
            <w:vAlign w:val="bottom"/>
          </w:tcPr>
          <w:p>
            <w:pPr>
              <w:spacing w:after="0"/>
              <w:rPr>
                <w:sz w:val="14"/>
                <w:szCs w:val="14"/>
                <w:color w:val="auto"/>
              </w:rPr>
            </w:pP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13,318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rPr>
              <w:t>41 %</w:t>
            </w:r>
          </w:p>
        </w:tc>
        <w:tc>
          <w:tcPr>
            <w:tcW w:w="80" w:type="dxa"/>
            <w:vAlign w:val="bottom"/>
          </w:tcPr>
          <w:p>
            <w:pPr>
              <w:spacing w:after="0"/>
              <w:rPr>
                <w:sz w:val="14"/>
                <w:szCs w:val="14"/>
                <w:color w:val="auto"/>
              </w:rPr>
            </w:pPr>
          </w:p>
        </w:tc>
        <w:tc>
          <w:tcPr>
            <w:tcW w:w="220" w:type="dxa"/>
            <w:vAlign w:val="bottom"/>
          </w:tcPr>
          <w:p>
            <w:pPr>
              <w:jc w:val="right"/>
              <w:ind w:right="44"/>
              <w:spacing w:after="0" w:line="167" w:lineRule="exact"/>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4"/>
              <w:spacing w:after="0" w:line="167" w:lineRule="exact"/>
              <w:rPr>
                <w:sz w:val="20"/>
                <w:szCs w:val="20"/>
                <w:color w:val="auto"/>
              </w:rPr>
            </w:pPr>
            <w:r>
              <w:rPr>
                <w:rFonts w:ascii="Arial" w:cs="Arial" w:eastAsia="Arial" w:hAnsi="Arial"/>
                <w:sz w:val="15"/>
                <w:szCs w:val="15"/>
                <w:color w:val="auto"/>
              </w:rPr>
              <w:t>129,944</w:t>
            </w:r>
          </w:p>
        </w:tc>
        <w:tc>
          <w:tcPr>
            <w:tcW w:w="80" w:type="dxa"/>
            <w:vAlign w:val="bottom"/>
          </w:tcPr>
          <w:p>
            <w:pPr>
              <w:spacing w:after="0"/>
              <w:rPr>
                <w:sz w:val="14"/>
                <w:szCs w:val="14"/>
                <w:color w:val="auto"/>
              </w:rPr>
            </w:pPr>
          </w:p>
        </w:tc>
        <w:tc>
          <w:tcPr>
            <w:tcW w:w="240" w:type="dxa"/>
            <w:vAlign w:val="bottom"/>
          </w:tcPr>
          <w:p>
            <w:pPr>
              <w:jc w:val="right"/>
              <w:ind w:right="44"/>
              <w:spacing w:after="0" w:line="167"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124"/>
              <w:spacing w:after="0" w:line="167" w:lineRule="exact"/>
              <w:rPr>
                <w:sz w:val="20"/>
                <w:szCs w:val="20"/>
                <w:color w:val="auto"/>
              </w:rPr>
            </w:pPr>
            <w:r>
              <w:rPr>
                <w:rFonts w:ascii="Arial" w:cs="Arial" w:eastAsia="Arial" w:hAnsi="Arial"/>
                <w:sz w:val="15"/>
                <w:szCs w:val="15"/>
                <w:color w:val="auto"/>
              </w:rPr>
              <w:t>98,413</w:t>
            </w:r>
          </w:p>
        </w:tc>
        <w:tc>
          <w:tcPr>
            <w:tcW w:w="80" w:type="dxa"/>
            <w:vAlign w:val="bottom"/>
          </w:tcPr>
          <w:p>
            <w:pPr>
              <w:spacing w:after="0"/>
              <w:rPr>
                <w:sz w:val="14"/>
                <w:szCs w:val="14"/>
                <w:color w:val="auto"/>
              </w:rPr>
            </w:pPr>
          </w:p>
        </w:tc>
        <w:tc>
          <w:tcPr>
            <w:tcW w:w="140" w:type="dxa"/>
            <w:vAlign w:val="bottom"/>
          </w:tcPr>
          <w:p>
            <w:pPr>
              <w:jc w:val="right"/>
              <w:spacing w:after="0" w:line="167" w:lineRule="exact"/>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line="167" w:lineRule="exact"/>
              <w:rPr>
                <w:sz w:val="20"/>
                <w:szCs w:val="20"/>
                <w:color w:val="auto"/>
              </w:rPr>
            </w:pPr>
            <w:r>
              <w:rPr>
                <w:rFonts w:ascii="Arial" w:cs="Arial" w:eastAsia="Arial" w:hAnsi="Arial"/>
                <w:sz w:val="15"/>
                <w:szCs w:val="15"/>
                <w:color w:val="auto"/>
              </w:rPr>
              <w:t>31,531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 margin</w:t>
            </w:r>
          </w:p>
        </w:tc>
        <w:tc>
          <w:tcPr>
            <w:tcW w:w="11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73 %</w:t>
            </w:r>
          </w:p>
        </w:tc>
        <w:tc>
          <w:tcPr>
            <w:tcW w:w="2180" w:type="dxa"/>
            <w:vAlign w:val="bottom"/>
            <w:shd w:val="clear" w:color="auto" w:fill="CCEEFF"/>
          </w:tcPr>
          <w:p>
            <w:pPr>
              <w:jc w:val="right"/>
              <w:ind w:right="1364"/>
              <w:spacing w:after="0"/>
              <w:rPr>
                <w:sz w:val="20"/>
                <w:szCs w:val="20"/>
                <w:color w:val="auto"/>
              </w:rPr>
            </w:pPr>
            <w:r>
              <w:rPr>
                <w:rFonts w:ascii="Arial" w:cs="Arial" w:eastAsia="Arial" w:hAnsi="Arial"/>
                <w:sz w:val="15"/>
                <w:szCs w:val="15"/>
                <w:color w:val="auto"/>
              </w:rPr>
              <w:t>70 %</w:t>
            </w:r>
          </w:p>
        </w:tc>
        <w:tc>
          <w:tcPr>
            <w:tcW w:w="216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73 %</w:t>
            </w:r>
          </w:p>
        </w:tc>
        <w:tc>
          <w:tcPr>
            <w:tcW w:w="2800" w:type="dxa"/>
            <w:vAlign w:val="bottom"/>
            <w:shd w:val="clear" w:color="auto" w:fill="CCEEFF"/>
          </w:tcPr>
          <w:p>
            <w:pPr>
              <w:jc w:val="right"/>
              <w:ind w:right="1984"/>
              <w:spacing w:after="0"/>
              <w:rPr>
                <w:sz w:val="20"/>
                <w:szCs w:val="20"/>
                <w:color w:val="auto"/>
              </w:rPr>
            </w:pPr>
            <w:r>
              <w:rPr>
                <w:rFonts w:ascii="Arial" w:cs="Arial" w:eastAsia="Arial" w:hAnsi="Arial"/>
                <w:sz w:val="15"/>
                <w:szCs w:val="15"/>
                <w:color w:val="auto"/>
              </w:rPr>
              <w:t>69 %</w:t>
            </w:r>
          </w:p>
        </w:tc>
      </w:tr>
      <w:tr>
        <w:trPr>
          <w:trHeight w:val="167"/>
        </w:trPr>
        <w:tc>
          <w:tcPr>
            <w:tcW w:w="2920" w:type="dxa"/>
            <w:vAlign w:val="bottom"/>
          </w:tcPr>
          <w:p>
            <w:pPr>
              <w:ind w:left="20"/>
              <w:spacing w:after="0" w:line="167" w:lineRule="exact"/>
              <w:rPr>
                <w:sz w:val="20"/>
                <w:szCs w:val="20"/>
                <w:color w:val="auto"/>
              </w:rPr>
            </w:pPr>
            <w:r>
              <w:rPr>
                <w:rFonts w:ascii="Arial" w:cs="Arial" w:eastAsia="Arial" w:hAnsi="Arial"/>
                <w:sz w:val="15"/>
                <w:szCs w:val="15"/>
                <w:color w:val="auto"/>
              </w:rPr>
              <w:t>Cost of revenue as a % of total</w:t>
            </w: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5"/>
                <w:szCs w:val="15"/>
                <w:color w:val="auto"/>
              </w:rPr>
              <w:t>revenue</w:t>
            </w:r>
          </w:p>
        </w:tc>
        <w:tc>
          <w:tcPr>
            <w:tcW w:w="1180" w:type="dxa"/>
            <w:vAlign w:val="bottom"/>
          </w:tcPr>
          <w:p>
            <w:pPr>
              <w:jc w:val="right"/>
              <w:ind w:right="324"/>
              <w:spacing w:after="0"/>
              <w:rPr>
                <w:sz w:val="20"/>
                <w:szCs w:val="20"/>
                <w:color w:val="auto"/>
              </w:rPr>
            </w:pPr>
            <w:r>
              <w:rPr>
                <w:rFonts w:ascii="Arial" w:cs="Arial" w:eastAsia="Arial" w:hAnsi="Arial"/>
                <w:sz w:val="15"/>
                <w:szCs w:val="15"/>
                <w:color w:val="auto"/>
              </w:rPr>
              <w:t>27 %</w:t>
            </w:r>
          </w:p>
        </w:tc>
        <w:tc>
          <w:tcPr>
            <w:tcW w:w="2180" w:type="dxa"/>
            <w:vAlign w:val="bottom"/>
          </w:tcPr>
          <w:p>
            <w:pPr>
              <w:jc w:val="right"/>
              <w:ind w:right="1364"/>
              <w:spacing w:after="0"/>
              <w:rPr>
                <w:sz w:val="20"/>
                <w:szCs w:val="20"/>
                <w:color w:val="auto"/>
              </w:rPr>
            </w:pPr>
            <w:r>
              <w:rPr>
                <w:rFonts w:ascii="Arial" w:cs="Arial" w:eastAsia="Arial" w:hAnsi="Arial"/>
                <w:sz w:val="15"/>
                <w:szCs w:val="15"/>
                <w:color w:val="auto"/>
              </w:rPr>
              <w:t>30 %</w:t>
            </w:r>
          </w:p>
        </w:tc>
        <w:tc>
          <w:tcPr>
            <w:tcW w:w="2160" w:type="dxa"/>
            <w:vAlign w:val="bottom"/>
          </w:tcPr>
          <w:p>
            <w:pPr>
              <w:jc w:val="right"/>
              <w:ind w:right="324"/>
              <w:spacing w:after="0"/>
              <w:rPr>
                <w:sz w:val="20"/>
                <w:szCs w:val="20"/>
                <w:color w:val="auto"/>
              </w:rPr>
            </w:pPr>
            <w:r>
              <w:rPr>
                <w:rFonts w:ascii="Arial" w:cs="Arial" w:eastAsia="Arial" w:hAnsi="Arial"/>
                <w:sz w:val="15"/>
                <w:szCs w:val="15"/>
                <w:color w:val="auto"/>
              </w:rPr>
              <w:t>27 %</w:t>
            </w:r>
          </w:p>
        </w:tc>
        <w:tc>
          <w:tcPr>
            <w:tcW w:w="2800" w:type="dxa"/>
            <w:vAlign w:val="bottom"/>
          </w:tcPr>
          <w:p>
            <w:pPr>
              <w:jc w:val="right"/>
              <w:ind w:right="1984"/>
              <w:spacing w:after="0"/>
              <w:rPr>
                <w:sz w:val="20"/>
                <w:szCs w:val="20"/>
                <w:color w:val="auto"/>
              </w:rPr>
            </w:pPr>
            <w:r>
              <w:rPr>
                <w:rFonts w:ascii="Arial" w:cs="Arial" w:eastAsia="Arial" w:hAnsi="Arial"/>
                <w:sz w:val="15"/>
                <w:szCs w:val="15"/>
                <w:color w:val="auto"/>
              </w:rPr>
              <w:t>31 %</w:t>
            </w:r>
          </w:p>
        </w:tc>
      </w:tr>
      <w:tr>
        <w:trPr>
          <w:trHeight w:val="170"/>
        </w:trPr>
        <w:tc>
          <w:tcPr>
            <w:tcW w:w="292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Cost of consignment revenue as a %</w:t>
            </w:r>
          </w:p>
        </w:tc>
        <w:tc>
          <w:tcPr>
            <w:tcW w:w="11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189"/>
        </w:trPr>
        <w:tc>
          <w:tcPr>
            <w:tcW w:w="2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of total cost of revenue</w:t>
            </w:r>
          </w:p>
        </w:tc>
        <w:tc>
          <w:tcPr>
            <w:tcW w:w="11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59 %</w:t>
            </w:r>
          </w:p>
        </w:tc>
        <w:tc>
          <w:tcPr>
            <w:tcW w:w="2180" w:type="dxa"/>
            <w:vAlign w:val="bottom"/>
            <w:shd w:val="clear" w:color="auto" w:fill="CCEEFF"/>
          </w:tcPr>
          <w:p>
            <w:pPr>
              <w:jc w:val="right"/>
              <w:ind w:right="1364"/>
              <w:spacing w:after="0"/>
              <w:rPr>
                <w:sz w:val="20"/>
                <w:szCs w:val="20"/>
                <w:color w:val="auto"/>
              </w:rPr>
            </w:pPr>
            <w:r>
              <w:rPr>
                <w:rFonts w:ascii="Arial" w:cs="Arial" w:eastAsia="Arial" w:hAnsi="Arial"/>
                <w:sz w:val="15"/>
                <w:szCs w:val="15"/>
                <w:color w:val="auto"/>
              </w:rPr>
              <w:t>56 %</w:t>
            </w:r>
          </w:p>
        </w:tc>
        <w:tc>
          <w:tcPr>
            <w:tcW w:w="216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65 %</w:t>
            </w:r>
          </w:p>
        </w:tc>
        <w:tc>
          <w:tcPr>
            <w:tcW w:w="2800" w:type="dxa"/>
            <w:vAlign w:val="bottom"/>
            <w:shd w:val="clear" w:color="auto" w:fill="CCEEFF"/>
          </w:tcPr>
          <w:p>
            <w:pPr>
              <w:jc w:val="right"/>
              <w:ind w:right="1984"/>
              <w:spacing w:after="0"/>
              <w:rPr>
                <w:sz w:val="20"/>
                <w:szCs w:val="20"/>
                <w:color w:val="auto"/>
              </w:rPr>
            </w:pPr>
            <w:r>
              <w:rPr>
                <w:rFonts w:ascii="Arial" w:cs="Arial" w:eastAsia="Arial" w:hAnsi="Arial"/>
                <w:sz w:val="15"/>
                <w:szCs w:val="15"/>
                <w:color w:val="auto"/>
              </w:rPr>
              <w:t>57 %</w:t>
            </w:r>
          </w:p>
        </w:tc>
      </w:tr>
      <w:tr>
        <w:trPr>
          <w:trHeight w:val="167"/>
        </w:trPr>
        <w:tc>
          <w:tcPr>
            <w:tcW w:w="2920" w:type="dxa"/>
            <w:vAlign w:val="bottom"/>
          </w:tcPr>
          <w:p>
            <w:pPr>
              <w:ind w:left="20"/>
              <w:spacing w:after="0" w:line="167" w:lineRule="exact"/>
              <w:rPr>
                <w:sz w:val="20"/>
                <w:szCs w:val="20"/>
                <w:color w:val="auto"/>
              </w:rPr>
            </w:pPr>
            <w:r>
              <w:rPr>
                <w:rFonts w:ascii="Arial" w:cs="Arial" w:eastAsia="Arial" w:hAnsi="Arial"/>
                <w:sz w:val="15"/>
                <w:szCs w:val="15"/>
                <w:color w:val="auto"/>
              </w:rPr>
              <w:t>Cost of product revenue as a % of</w:t>
            </w: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82"/>
        </w:trPr>
        <w:tc>
          <w:tcPr>
            <w:tcW w:w="2920" w:type="dxa"/>
            <w:vAlign w:val="bottom"/>
          </w:tcPr>
          <w:p>
            <w:pPr>
              <w:ind w:left="180"/>
              <w:spacing w:after="0"/>
              <w:rPr>
                <w:sz w:val="20"/>
                <w:szCs w:val="20"/>
                <w:color w:val="auto"/>
              </w:rPr>
            </w:pPr>
            <w:r>
              <w:rPr>
                <w:rFonts w:ascii="Arial" w:cs="Arial" w:eastAsia="Arial" w:hAnsi="Arial"/>
                <w:sz w:val="15"/>
                <w:szCs w:val="15"/>
                <w:color w:val="auto"/>
              </w:rPr>
              <w:t>total cost of revenue</w:t>
            </w:r>
          </w:p>
        </w:tc>
        <w:tc>
          <w:tcPr>
            <w:tcW w:w="1180" w:type="dxa"/>
            <w:vAlign w:val="bottom"/>
          </w:tcPr>
          <w:p>
            <w:pPr>
              <w:jc w:val="right"/>
              <w:ind w:right="324"/>
              <w:spacing w:after="0"/>
              <w:rPr>
                <w:sz w:val="20"/>
                <w:szCs w:val="20"/>
                <w:color w:val="auto"/>
              </w:rPr>
            </w:pPr>
            <w:r>
              <w:rPr>
                <w:rFonts w:ascii="Arial" w:cs="Arial" w:eastAsia="Arial" w:hAnsi="Arial"/>
                <w:sz w:val="15"/>
                <w:szCs w:val="15"/>
                <w:color w:val="auto"/>
              </w:rPr>
              <w:t>41 %</w:t>
            </w:r>
          </w:p>
        </w:tc>
        <w:tc>
          <w:tcPr>
            <w:tcW w:w="2180" w:type="dxa"/>
            <w:vAlign w:val="bottom"/>
          </w:tcPr>
          <w:p>
            <w:pPr>
              <w:jc w:val="right"/>
              <w:ind w:right="1364"/>
              <w:spacing w:after="0"/>
              <w:rPr>
                <w:sz w:val="20"/>
                <w:szCs w:val="20"/>
                <w:color w:val="auto"/>
              </w:rPr>
            </w:pPr>
            <w:r>
              <w:rPr>
                <w:rFonts w:ascii="Arial" w:cs="Arial" w:eastAsia="Arial" w:hAnsi="Arial"/>
                <w:sz w:val="15"/>
                <w:szCs w:val="15"/>
                <w:color w:val="auto"/>
              </w:rPr>
              <w:t>44 %</w:t>
            </w:r>
          </w:p>
        </w:tc>
        <w:tc>
          <w:tcPr>
            <w:tcW w:w="2160" w:type="dxa"/>
            <w:vAlign w:val="bottom"/>
          </w:tcPr>
          <w:p>
            <w:pPr>
              <w:jc w:val="right"/>
              <w:ind w:right="324"/>
              <w:spacing w:after="0"/>
              <w:rPr>
                <w:sz w:val="20"/>
                <w:szCs w:val="20"/>
                <w:color w:val="auto"/>
              </w:rPr>
            </w:pPr>
            <w:r>
              <w:rPr>
                <w:rFonts w:ascii="Arial" w:cs="Arial" w:eastAsia="Arial" w:hAnsi="Arial"/>
                <w:sz w:val="15"/>
                <w:szCs w:val="15"/>
                <w:color w:val="auto"/>
              </w:rPr>
              <w:t>35 %</w:t>
            </w:r>
          </w:p>
        </w:tc>
        <w:tc>
          <w:tcPr>
            <w:tcW w:w="2800" w:type="dxa"/>
            <w:vAlign w:val="bottom"/>
          </w:tcPr>
          <w:p>
            <w:pPr>
              <w:jc w:val="right"/>
              <w:ind w:right="1984"/>
              <w:spacing w:after="0"/>
              <w:rPr>
                <w:sz w:val="20"/>
                <w:szCs w:val="20"/>
                <w:color w:val="auto"/>
              </w:rPr>
            </w:pPr>
            <w:r>
              <w:rPr>
                <w:rFonts w:ascii="Arial" w:cs="Arial" w:eastAsia="Arial" w:hAnsi="Arial"/>
                <w:sz w:val="15"/>
                <w:szCs w:val="15"/>
                <w:color w:val="auto"/>
              </w:rPr>
              <w:t>43 %</w:t>
            </w:r>
          </w:p>
        </w:tc>
      </w:tr>
    </w:tbl>
    <w:p>
      <w:pPr>
        <w:spacing w:after="0" w:line="247"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Total cost of revenue as a percentage of total revenue, decreased 300 basis points from 30% for the three months ended September 30, 2020 to 27% for the three months ended September 30, 2021.</w:t>
      </w:r>
    </w:p>
    <w:p>
      <w:pPr>
        <w:spacing w:after="0" w:line="13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Total cost of revenue as a percentage of total revenue, decreased 400 basis points from 31% for the nine months ended September 30, 2020 to 27% for the nine months ended September 30, 2021.</w:t>
      </w:r>
    </w:p>
    <w:p>
      <w:pPr>
        <w:spacing w:after="0" w:line="13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During both the three and nine months periods ended September 30, 2021 a revenue mix shift from product to consignment sales resulted in decreased costs of revenue as a percent of revenue as consignment revenue has a higher gross margin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Consignment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9"/>
          </w:tcPr>
          <w:p>
            <w:pPr>
              <w:jc w:val="right"/>
              <w:ind w:right="44"/>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consignment revenue</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10,080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7,984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26 %  $</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31,599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25,097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0" w:type="dxa"/>
            <w:vAlign w:val="bottom"/>
          </w:tcPr>
          <w:p>
            <w:pPr>
              <w:spacing w:after="0"/>
              <w:rPr>
                <w:sz w:val="1"/>
                <w:szCs w:val="1"/>
                <w:color w:val="auto"/>
              </w:rPr>
            </w:pPr>
          </w:p>
        </w:tc>
      </w:tr>
      <w:tr>
        <w:trPr>
          <w:trHeight w:val="200"/>
        </w:trPr>
        <w:tc>
          <w:tcPr>
            <w:tcW w:w="2620" w:type="dxa"/>
            <w:vAlign w:val="bottom"/>
          </w:tcPr>
          <w:p>
            <w:pPr>
              <w:ind w:left="20"/>
              <w:spacing w:after="0"/>
              <w:rPr>
                <w:sz w:val="20"/>
                <w:szCs w:val="20"/>
                <w:color w:val="auto"/>
              </w:rPr>
            </w:pPr>
            <w:r>
              <w:rPr>
                <w:rFonts w:ascii="Arial" w:cs="Arial" w:eastAsia="Arial" w:hAnsi="Arial"/>
                <w:sz w:val="15"/>
                <w:szCs w:val="15"/>
                <w:color w:val="auto"/>
              </w:rPr>
              <w:t>As a percent of consignment revenue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Consignment gross margin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$2.1 million change in cost of consignment revenue represents a 26% increase in the cost of consignment revenue for the three months ended September 30, 2021 compared to the three months ended September 30, 2020.</w:t>
      </w:r>
    </w:p>
    <w:p>
      <w:pPr>
        <w:spacing w:after="0" w:line="13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$6.5 million change in cost of consignment revenue represents a 26% increase in the cost of consignment revenue for the nine months ended September 30, 2021 compared to the nine months ended September 30, 2020.</w:t>
      </w:r>
    </w:p>
    <w:p>
      <w:pPr>
        <w:spacing w:after="0" w:line="13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The increased cost of consignment revenue in both the three and nine month periods ended September 30, 2021 was primarily driven by higher consignment revenue and related costs outlined in the below table. Consignment gross margin increased 300 basis points to 79% for the three months ended September 30, 2021 compared to 76% for the three months ended September 30, 2020. Consignment gross margin increased 200 basis points to 78% for the nine months ended September 30, 2021 compared to 76% for the three months ended September 30, 2020. Consignment revenue growth outpaced the increase in outbound shipping and packaging costs due to increased revenue per order and efficiencies in our shipping process in both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1580" w:type="dxa"/>
            <w:vAlign w:val="bottom"/>
            <w:gridSpan w:val="4"/>
            <w:vMerge w:val="restart"/>
          </w:tcPr>
          <w:p>
            <w:pPr>
              <w:jc w:val="right"/>
              <w:ind w:right="304"/>
              <w:spacing w:after="0"/>
              <w:rPr>
                <w:sz w:val="20"/>
                <w:szCs w:val="20"/>
                <w:color w:val="auto"/>
              </w:rPr>
            </w:pPr>
            <w:r>
              <w:rPr>
                <w:rFonts w:ascii="Arial" w:cs="Arial" w:eastAsia="Arial" w:hAnsi="Arial"/>
                <w:sz w:val="15"/>
                <w:szCs w:val="15"/>
                <w:b w:val="1"/>
                <w:bCs w:val="1"/>
                <w:color w:val="auto"/>
              </w:rPr>
              <w:t>Change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Pr>
          <w:p>
            <w:pPr>
              <w:spacing w:after="0"/>
              <w:rPr>
                <w:sz w:val="14"/>
                <w:szCs w:val="14"/>
                <w:color w:val="auto"/>
              </w:rPr>
            </w:pPr>
          </w:p>
        </w:tc>
        <w:tc>
          <w:tcPr>
            <w:tcW w:w="124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700" w:type="dxa"/>
            <w:vAlign w:val="bottom"/>
            <w:gridSpan w:val="9"/>
          </w:tcPr>
          <w:p>
            <w:pPr>
              <w:jc w:val="center"/>
              <w:ind w:right="4"/>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Outbound shipping</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18,089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60" w:type="dxa"/>
            <w:vAlign w:val="bottom"/>
          </w:tcPr>
          <w:p>
            <w:pPr>
              <w:ind w:left="20"/>
              <w:spacing w:after="0"/>
              <w:rPr>
                <w:sz w:val="20"/>
                <w:szCs w:val="20"/>
                <w:color w:val="auto"/>
              </w:rPr>
            </w:pPr>
            <w:r>
              <w:rPr>
                <w:rFonts w:ascii="Arial" w:cs="Arial" w:eastAsia="Arial" w:hAnsi="Arial"/>
                <w:sz w:val="15"/>
                <w:szCs w:val="15"/>
                <w:color w:val="auto"/>
              </w:rPr>
              <w:t>Direct labor</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6,116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5,191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Packaging</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39 %</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32 %</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cost of consignment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10,080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25,097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Product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5"/>
                <w:szCs w:val="15"/>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9"/>
          </w:tcPr>
          <w:p>
            <w:pPr>
              <w:jc w:val="right"/>
              <w:ind w:right="24"/>
              <w:spacing w:after="0"/>
              <w:rPr>
                <w:sz w:val="20"/>
                <w:szCs w:val="20"/>
                <w:color w:val="auto"/>
              </w:rPr>
            </w:pPr>
            <w:r>
              <w:rPr>
                <w:rFonts w:ascii="Arial" w:cs="Arial" w:eastAsia="Arial" w:hAnsi="Arial"/>
                <w:sz w:val="15"/>
                <w:szCs w:val="15"/>
                <w:b w:val="1"/>
                <w:bCs w:val="1"/>
                <w:color w:val="auto"/>
              </w:rPr>
              <w:t>(in thousands, except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product revenue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6,172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15 %  $</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17,370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19,072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5"/>
                <w:szCs w:val="15"/>
                <w:color w:val="auto"/>
              </w:rPr>
              <w:t>As a percent of product revenue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gross margin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right="100" w:firstLine="305"/>
        <w:spacing w:after="0" w:line="258" w:lineRule="auto"/>
        <w:rPr>
          <w:sz w:val="20"/>
          <w:szCs w:val="20"/>
          <w:color w:val="auto"/>
        </w:rPr>
      </w:pPr>
      <w:r>
        <w:rPr>
          <w:rFonts w:ascii="Arial" w:cs="Arial" w:eastAsia="Arial" w:hAnsi="Arial"/>
          <w:sz w:val="17"/>
          <w:szCs w:val="17"/>
          <w:color w:val="auto"/>
        </w:rPr>
        <w:t>The $0.9 million change in cost of product revenue represents a 15% increase in the cost of product revenue for the three months ended September 30, 2021 compared to the three months ended September 30, 2020.</w:t>
      </w:r>
    </w:p>
    <w:p>
      <w:pPr>
        <w:spacing w:after="0" w:line="138" w:lineRule="exact"/>
        <w:rPr>
          <w:sz w:val="20"/>
          <w:szCs w:val="20"/>
          <w:color w:val="auto"/>
        </w:rPr>
      </w:pPr>
    </w:p>
    <w:p>
      <w:pPr>
        <w:jc w:val="both"/>
        <w:ind w:right="100" w:firstLine="305"/>
        <w:spacing w:after="0" w:line="258" w:lineRule="auto"/>
        <w:rPr>
          <w:sz w:val="20"/>
          <w:szCs w:val="20"/>
          <w:color w:val="auto"/>
        </w:rPr>
      </w:pPr>
      <w:r>
        <w:rPr>
          <w:rFonts w:ascii="Arial" w:cs="Arial" w:eastAsia="Arial" w:hAnsi="Arial"/>
          <w:sz w:val="17"/>
          <w:szCs w:val="17"/>
          <w:color w:val="auto"/>
        </w:rPr>
        <w:t>The $1.7 million change in cost of product revenue represents a 9% decrease in the cost of product revenue for the nine months ended September 30, 2021 compared to the nine months ended September 30, 2020.</w:t>
      </w:r>
    </w:p>
    <w:p>
      <w:pPr>
        <w:spacing w:after="0" w:line="138" w:lineRule="exact"/>
        <w:rPr>
          <w:sz w:val="20"/>
          <w:szCs w:val="20"/>
          <w:color w:val="auto"/>
        </w:rPr>
      </w:pPr>
    </w:p>
    <w:p>
      <w:pPr>
        <w:jc w:val="both"/>
        <w:ind w:right="100" w:firstLine="305"/>
        <w:spacing w:after="0" w:line="254" w:lineRule="auto"/>
        <w:rPr>
          <w:sz w:val="20"/>
          <w:szCs w:val="20"/>
          <w:color w:val="auto"/>
        </w:rPr>
      </w:pPr>
      <w:r>
        <w:rPr>
          <w:rFonts w:ascii="Arial" w:cs="Arial" w:eastAsia="Arial" w:hAnsi="Arial"/>
          <w:sz w:val="17"/>
          <w:szCs w:val="17"/>
          <w:color w:val="auto"/>
        </w:rPr>
        <w:t>The increased cost of product revenue in the three month period ended September 30, 2021 was primarily driven by higher product revenue. The decreased cost of product revenue in the nine month period ended September 30, 2021 was primarily driven by lower product revenue, partially offset by increased product gross margin due to a higher average selling price per item and lower costs as outlined in the below table.</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5"/>
          </w:tcPr>
          <w:p>
            <w:pPr>
              <w:ind w:left="140"/>
              <w:spacing w:after="0"/>
              <w:rPr>
                <w:sz w:val="20"/>
                <w:szCs w:val="20"/>
                <w:color w:val="auto"/>
              </w:rPr>
            </w:pPr>
            <w:r>
              <w:rPr>
                <w:rFonts w:ascii="Arial" w:cs="Arial" w:eastAsia="Arial" w:hAnsi="Arial"/>
                <w:sz w:val="15"/>
                <w:szCs w:val="15"/>
                <w:b w:val="1"/>
                <w:bCs w:val="1"/>
                <w:color w:val="auto"/>
              </w:rPr>
              <w:t>Three months ended</w:t>
            </w:r>
          </w:p>
        </w:tc>
        <w:tc>
          <w:tcPr>
            <w:tcW w:w="440" w:type="dxa"/>
            <w:vAlign w:val="bottom"/>
          </w:tcPr>
          <w:p>
            <w:pPr>
              <w:spacing w:after="0"/>
              <w:rPr>
                <w:sz w:val="14"/>
                <w:szCs w:val="14"/>
                <w:color w:val="auto"/>
              </w:rPr>
            </w:pPr>
          </w:p>
        </w:tc>
        <w:tc>
          <w:tcPr>
            <w:tcW w:w="1660" w:type="dxa"/>
            <w:vAlign w:val="bottom"/>
            <w:gridSpan w:val="3"/>
            <w:vMerge w:val="restart"/>
          </w:tcPr>
          <w:p>
            <w:pPr>
              <w:jc w:val="right"/>
              <w:ind w:right="424"/>
              <w:spacing w:after="0"/>
              <w:rPr>
                <w:sz w:val="20"/>
                <w:szCs w:val="20"/>
                <w:color w:val="auto"/>
              </w:rPr>
            </w:pPr>
            <w:r>
              <w:rPr>
                <w:rFonts w:ascii="Arial" w:cs="Arial" w:eastAsia="Arial" w:hAnsi="Arial"/>
                <w:sz w:val="15"/>
                <w:szCs w:val="15"/>
                <w:b w:val="1"/>
                <w:bCs w:val="1"/>
                <w:color w:val="auto"/>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7"/>
          </w:tcPr>
          <w:p>
            <w:pPr>
              <w:ind w:left="360"/>
              <w:spacing w:after="0"/>
              <w:rPr>
                <w:sz w:val="20"/>
                <w:szCs w:val="20"/>
                <w:color w:val="auto"/>
              </w:rPr>
            </w:pPr>
            <w:r>
              <w:rPr>
                <w:rFonts w:ascii="Arial" w:cs="Arial" w:eastAsia="Arial" w:hAnsi="Arial"/>
                <w:sz w:val="15"/>
                <w:szCs w:val="15"/>
                <w:b w:val="1"/>
                <w:bCs w:val="1"/>
                <w:color w:val="auto"/>
              </w:rPr>
              <w:t>Nine months ended September</w:t>
            </w:r>
          </w:p>
        </w:tc>
        <w:tc>
          <w:tcPr>
            <w:tcW w:w="4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5"/>
                <w:szCs w:val="15"/>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rPr>
              <w:t>30,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7"/>
          </w:tcPr>
          <w:p>
            <w:pPr>
              <w:jc w:val="right"/>
              <w:ind w:right="60"/>
              <w:spacing w:after="0"/>
              <w:rPr>
                <w:sz w:val="20"/>
                <w:szCs w:val="20"/>
                <w:color w:val="auto"/>
              </w:rPr>
            </w:pPr>
            <w:r>
              <w:rPr>
                <w:rFonts w:ascii="Arial" w:cs="Arial" w:eastAsia="Arial" w:hAnsi="Arial"/>
                <w:sz w:val="15"/>
                <w:szCs w:val="15"/>
                <w:b w:val="1"/>
                <w:bCs w:val="1"/>
                <w:color w:val="auto"/>
              </w:rPr>
              <w:t>(in thousands, except percentages)</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320"/>
              <w:spacing w:after="0" w:line="170" w:lineRule="exact"/>
              <w:rPr>
                <w:sz w:val="20"/>
                <w:szCs w:val="20"/>
                <w:color w:val="auto"/>
              </w:rPr>
            </w:pPr>
            <w:r>
              <w:rPr>
                <w:rFonts w:ascii="Arial" w:cs="Arial" w:eastAsia="Arial" w:hAnsi="Arial"/>
                <w:sz w:val="15"/>
                <w:szCs w:val="15"/>
                <w:color w:val="auto"/>
              </w:rPr>
              <w:t>Inventory</w:t>
            </w: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4,508</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7"/>
        </w:trPr>
        <w:tc>
          <w:tcPr>
            <w:tcW w:w="1120" w:type="dxa"/>
            <w:vAlign w:val="bottom"/>
          </w:tcPr>
          <w:p>
            <w:pPr>
              <w:ind w:left="320"/>
              <w:spacing w:after="0" w:line="167" w:lineRule="exact"/>
              <w:rPr>
                <w:sz w:val="20"/>
                <w:szCs w:val="20"/>
                <w:color w:val="auto"/>
              </w:rPr>
            </w:pPr>
            <w:r>
              <w:rPr>
                <w:rFonts w:ascii="Arial" w:cs="Arial" w:eastAsia="Arial" w:hAnsi="Arial"/>
                <w:sz w:val="15"/>
                <w:szCs w:val="15"/>
                <w:color w:val="auto"/>
              </w:rPr>
              <w:t>Outbound</w:t>
            </w:r>
          </w:p>
        </w:tc>
        <w:tc>
          <w:tcPr>
            <w:tcW w:w="480" w:type="dxa"/>
            <w:vAlign w:val="bottom"/>
          </w:tcPr>
          <w:p>
            <w:pPr>
              <w:spacing w:after="0"/>
              <w:rPr>
                <w:sz w:val="14"/>
                <w:szCs w:val="14"/>
                <w:color w:val="auto"/>
              </w:rPr>
            </w:pPr>
          </w:p>
        </w:tc>
        <w:tc>
          <w:tcPr>
            <w:tcW w:w="700" w:type="dxa"/>
            <w:vAlign w:val="bottom"/>
            <w:vMerge w:val="restart"/>
          </w:tcPr>
          <w:p>
            <w:pPr>
              <w:jc w:val="right"/>
              <w:ind w:right="4"/>
              <w:spacing w:after="0"/>
              <w:rPr>
                <w:sz w:val="20"/>
                <w:szCs w:val="20"/>
                <w:color w:val="auto"/>
              </w:rPr>
            </w:pPr>
            <w:r>
              <w:rPr>
                <w:rFonts w:ascii="Arial" w:cs="Arial" w:eastAsia="Arial" w:hAnsi="Arial"/>
                <w:sz w:val="15"/>
                <w:szCs w:val="15"/>
                <w:color w:val="auto"/>
              </w:rPr>
              <w:t>1,845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1,979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5,178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6,265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120" w:type="dxa"/>
            <w:vAlign w:val="bottom"/>
            <w:vMerge w:val="restart"/>
          </w:tcPr>
          <w:p>
            <w:pPr>
              <w:ind w:left="20"/>
              <w:spacing w:after="0"/>
              <w:rPr>
                <w:sz w:val="20"/>
                <w:szCs w:val="20"/>
                <w:color w:val="auto"/>
              </w:rPr>
            </w:pPr>
            <w:r>
              <w:rPr>
                <w:rFonts w:ascii="Arial" w:cs="Arial" w:eastAsia="Arial" w:hAnsi="Arial"/>
                <w:sz w:val="15"/>
                <w:szCs w:val="15"/>
                <w:color w:val="auto"/>
              </w:rPr>
              <w:t>shipping</w:t>
            </w: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5"/>
                <w:szCs w:val="15"/>
                <w:color w:val="auto"/>
              </w:rPr>
              <w:t>(7)</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restart"/>
          </w:tcPr>
          <w:p>
            <w:pPr>
              <w:jc w:val="right"/>
              <w:ind w:right="20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80"/>
        </w:trPr>
        <w:tc>
          <w:tcPr>
            <w:tcW w:w="11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320"/>
              <w:spacing w:after="0" w:line="170" w:lineRule="exact"/>
              <w:rPr>
                <w:sz w:val="20"/>
                <w:szCs w:val="20"/>
                <w:color w:val="auto"/>
              </w:rPr>
            </w:pPr>
            <w:r>
              <w:rPr>
                <w:rFonts w:ascii="Arial" w:cs="Arial" w:eastAsia="Arial" w:hAnsi="Arial"/>
                <w:sz w:val="15"/>
                <w:szCs w:val="15"/>
                <w:color w:val="auto"/>
              </w:rPr>
              <w:t>Direct</w:t>
            </w: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labor</w:t>
            </w: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601</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rPr>
                <w:sz w:val="20"/>
                <w:szCs w:val="20"/>
                <w:color w:val="auto"/>
              </w:rPr>
            </w:pPr>
            <w:r>
              <w:rPr>
                <w:rFonts w:ascii="Arial" w:cs="Arial" w:eastAsia="Arial" w:hAnsi="Arial"/>
                <w:sz w:val="15"/>
                <w:szCs w:val="15"/>
                <w:color w:val="auto"/>
              </w:rPr>
              <w:t>Packaging</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w:t>
            </w:r>
          </w:p>
        </w:tc>
        <w:tc>
          <w:tcPr>
            <w:tcW w:w="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line="154" w:lineRule="exact"/>
              <w:rPr>
                <w:sz w:val="20"/>
                <w:szCs w:val="20"/>
                <w:color w:val="auto"/>
              </w:rPr>
            </w:pPr>
            <w:r>
              <w:rPr>
                <w:rFonts w:ascii="Arial" w:cs="Arial" w:eastAsia="Arial" w:hAnsi="Arial"/>
                <w:sz w:val="15"/>
                <w:szCs w:val="15"/>
                <w:color w:val="auto"/>
              </w:rPr>
              <w:t>Total cost of</w:t>
            </w: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4"/>
              <w:spacing w:after="0"/>
              <w:rPr>
                <w:sz w:val="20"/>
                <w:szCs w:val="20"/>
                <w:color w:val="auto"/>
              </w:rPr>
            </w:pPr>
            <w:r>
              <w:rPr>
                <w:rFonts w:ascii="Arial" w:cs="Arial" w:eastAsia="Arial" w:hAnsi="Arial"/>
                <w:sz w:val="15"/>
                <w:szCs w:val="15"/>
                <w:color w:val="auto"/>
              </w:rPr>
              <w:t>7,100</w:t>
            </w:r>
          </w:p>
        </w:tc>
        <w:tc>
          <w:tcPr>
            <w:tcW w:w="60" w:type="dxa"/>
            <w:vAlign w:val="bottom"/>
          </w:tcPr>
          <w:p>
            <w:pPr>
              <w:spacing w:after="0"/>
              <w:rPr>
                <w:sz w:val="13"/>
                <w:szCs w:val="13"/>
                <w:color w:val="auto"/>
              </w:rPr>
            </w:pPr>
          </w:p>
        </w:tc>
        <w:tc>
          <w:tcPr>
            <w:tcW w:w="5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6,172</w:t>
            </w: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928</w:t>
            </w:r>
          </w:p>
        </w:tc>
        <w:tc>
          <w:tcPr>
            <w:tcW w:w="100" w:type="dxa"/>
            <w:vAlign w:val="bottom"/>
          </w:tcPr>
          <w:p>
            <w:pPr>
              <w:spacing w:after="0"/>
              <w:rPr>
                <w:sz w:val="13"/>
                <w:szCs w:val="13"/>
                <w:color w:val="auto"/>
              </w:rPr>
            </w:pPr>
          </w:p>
        </w:tc>
        <w:tc>
          <w:tcPr>
            <w:tcW w:w="820" w:type="dxa"/>
            <w:vAlign w:val="bottom"/>
            <w:vMerge w:val="restart"/>
          </w:tcPr>
          <w:p>
            <w:pPr>
              <w:jc w:val="right"/>
              <w:ind w:right="184"/>
              <w:spacing w:after="0"/>
              <w:rPr>
                <w:sz w:val="20"/>
                <w:szCs w:val="20"/>
                <w:color w:val="auto"/>
              </w:rPr>
            </w:pPr>
            <w:r>
              <w:rPr>
                <w:rFonts w:ascii="Arial" w:cs="Arial" w:eastAsia="Arial" w:hAnsi="Arial"/>
                <w:sz w:val="15"/>
                <w:szCs w:val="15"/>
                <w:color w:val="auto"/>
              </w:rPr>
              <w:t>15</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17,370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19,072</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(1,702)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restart"/>
          </w:tcPr>
          <w:p>
            <w:pPr>
              <w:jc w:val="right"/>
              <w:ind w:right="20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52"/>
        </w:trPr>
        <w:tc>
          <w:tcPr>
            <w:tcW w:w="1120" w:type="dxa"/>
            <w:vAlign w:val="bottom"/>
          </w:tcPr>
          <w:p>
            <w:pPr>
              <w:ind w:left="180"/>
              <w:spacing w:after="0" w:line="152" w:lineRule="exact"/>
              <w:rPr>
                <w:sz w:val="20"/>
                <w:szCs w:val="20"/>
                <w:color w:val="auto"/>
              </w:rPr>
            </w:pPr>
            <w:r>
              <w:rPr>
                <w:rFonts w:ascii="Arial" w:cs="Arial" w:eastAsia="Arial" w:hAnsi="Arial"/>
                <w:sz w:val="15"/>
                <w:szCs w:val="15"/>
                <w:color w:val="auto"/>
              </w:rPr>
              <w:t>product</w:t>
            </w:r>
          </w:p>
        </w:tc>
        <w:tc>
          <w:tcPr>
            <w:tcW w:w="4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-201930</wp:posOffset>
            </wp:positionV>
            <wp:extent cx="7006590" cy="322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6590" cy="3225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18415</wp:posOffset>
            </wp:positionV>
            <wp:extent cx="6305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5550" cy="8255"/>
                    </a:xfrm>
                    <a:prstGeom prst="rect">
                      <a:avLst/>
                    </a:prstGeom>
                    <a:noFill/>
                  </pic:spPr>
                </pic:pic>
              </a:graphicData>
            </a:graphic>
          </wp:anchor>
        </w:drawing>
      </w:r>
    </w:p>
    <w:p>
      <w:pPr>
        <w:spacing w:after="0" w:line="249" w:lineRule="exact"/>
        <w:rPr>
          <w:sz w:val="20"/>
          <w:szCs w:val="20"/>
          <w:color w:val="auto"/>
        </w:rPr>
      </w:pPr>
    </w:p>
    <w:p>
      <w:pPr>
        <w:ind w:right="260" w:firstLine="305"/>
        <w:spacing w:after="0" w:line="258" w:lineRule="auto"/>
        <w:rPr>
          <w:sz w:val="20"/>
          <w:szCs w:val="20"/>
          <w:color w:val="auto"/>
        </w:rPr>
      </w:pPr>
      <w:r>
        <w:rPr>
          <w:rFonts w:ascii="Arial" w:cs="Arial" w:eastAsia="Arial" w:hAnsi="Arial"/>
          <w:sz w:val="17"/>
          <w:szCs w:val="17"/>
          <w:color w:val="auto"/>
        </w:rPr>
        <w:t>We believe that our gross profit will increase and our gross profit margin will be lower sequentially in the fourth quarter due to the inclusion of the acquired Remix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 w:name="page33"/>
    <w:bookmarkEnd w:id="32"/>
    <w:p>
      <w:pPr>
        <w:spacing w:after="0" w:line="5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4"/>
                <w:szCs w:val="14"/>
                <w:color w:val="auto"/>
              </w:rPr>
            </w:pPr>
          </w:p>
        </w:tc>
        <w:tc>
          <w:tcPr>
            <w:tcW w:w="120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10"/>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product and technology</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32,081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5"/>
              </w:rPr>
              <w:t>25,856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91,455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5"/>
              </w:rPr>
              <w:t>73,480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5"/>
                <w:szCs w:val="15"/>
                <w:color w:val="auto"/>
              </w:rPr>
              <w:t>Marketing</w:t>
            </w:r>
          </w:p>
        </w:tc>
        <w:tc>
          <w:tcPr>
            <w:tcW w:w="22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16,941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10,614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60 %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48,344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34,513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13,831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40 %</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12,569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6,891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34,206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20,762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61,591</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43,361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18,230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174,005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128,755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45,250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5"/>
                <w:szCs w:val="15"/>
                <w:color w:val="auto"/>
              </w:rPr>
              <w:t>Operations, product and technology</w:t>
            </w: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 a % of 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0"/>
        </w:trPr>
        <w:tc>
          <w:tcPr>
            <w:tcW w:w="2580" w:type="dxa"/>
            <w:vAlign w:val="bottom"/>
          </w:tcPr>
          <w:p>
            <w:pPr>
              <w:ind w:left="20"/>
              <w:spacing w:after="0"/>
              <w:rPr>
                <w:sz w:val="20"/>
                <w:szCs w:val="20"/>
                <w:color w:val="auto"/>
              </w:rPr>
            </w:pPr>
            <w:r>
              <w:rPr>
                <w:rFonts w:ascii="Arial" w:cs="Arial" w:eastAsia="Arial" w:hAnsi="Arial"/>
                <w:sz w:val="15"/>
                <w:szCs w:val="15"/>
                <w:color w:val="auto"/>
              </w:rPr>
              <w:t>Marketing as a % of total revenue</w:t>
            </w:r>
          </w:p>
        </w:tc>
        <w:tc>
          <w:tcPr>
            <w:tcW w:w="1060" w:type="dxa"/>
            <w:vAlign w:val="bottom"/>
          </w:tcPr>
          <w:p>
            <w:pPr>
              <w:jc w:val="right"/>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23 %</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27 %</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0"/>
        </w:trPr>
        <w:tc>
          <w:tcPr>
            <w:tcW w:w="2580" w:type="dxa"/>
            <w:vAlign w:val="bottom"/>
            <w:shd w:val="clear" w:color="auto" w:fill="CCEEFF"/>
          </w:tcPr>
          <w:p>
            <w:pPr>
              <w:ind w:left="20"/>
              <w:spacing w:after="0" w:line="170" w:lineRule="exact"/>
              <w:rPr>
                <w:sz w:val="20"/>
                <w:szCs w:val="20"/>
                <w:color w:val="auto"/>
              </w:rPr>
            </w:pPr>
            <w:r>
              <w:rPr>
                <w:rFonts w:ascii="Arial" w:cs="Arial" w:eastAsia="Arial" w:hAnsi="Arial"/>
                <w:sz w:val="15"/>
                <w:szCs w:val="15"/>
                <w:color w:val="auto"/>
              </w:rPr>
              <w:t>Sales, general and administrative as</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 % of total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24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Operating expenses increased $18.2 million, or 42%, for the three months ended September 30, 2021 compared to the three months ended September 30, 2020. Gross profit increased $13.3 million, or 41% growth in the same period.</w:t>
      </w:r>
    </w:p>
    <w:p>
      <w:pPr>
        <w:spacing w:after="0" w:line="138"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Operating expenses increased $45.3 million, or 35%, for the nine months ended September 30, 2021 compared to the nine months ended September 30, 2020. Gross profit increased $31.5 million, or 32% growth in the same period.</w:t>
      </w:r>
    </w:p>
    <w:p>
      <w:pPr>
        <w:spacing w:after="0" w:line="13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Operating expenses for the three and nine months ended September 30, 2021 have been growing faster than our gross profit growth for the same periods as we continue to invest in the expansion of distribution center processing capacity, marketing efforts, and infrastructure to support being a public company.</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Operations, Product and Technology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4"/>
                <w:szCs w:val="14"/>
                <w:color w:val="auto"/>
              </w:rPr>
            </w:pPr>
          </w:p>
        </w:tc>
        <w:tc>
          <w:tcPr>
            <w:tcW w:w="1260" w:type="dxa"/>
            <w:vAlign w:val="bottom"/>
            <w:gridSpan w:val="3"/>
            <w:vMerge w:val="restart"/>
          </w:tcPr>
          <w:p>
            <w:pPr>
              <w:ind w:left="540"/>
              <w:spacing w:after="0"/>
              <w:rPr>
                <w:sz w:val="20"/>
                <w:szCs w:val="20"/>
                <w:color w:val="auto"/>
              </w:rPr>
            </w:pPr>
            <w:r>
              <w:rPr>
                <w:rFonts w:ascii="Arial" w:cs="Arial" w:eastAsia="Arial" w:hAnsi="Arial"/>
                <w:sz w:val="15"/>
                <w:szCs w:val="15"/>
                <w:b w:val="1"/>
                <w:bCs w:val="1"/>
                <w:color w:val="auto"/>
              </w:rPr>
              <w:t>Change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Pr>
          <w:p>
            <w:pPr>
              <w:spacing w:after="0"/>
              <w:rPr>
                <w:sz w:val="14"/>
                <w:szCs w:val="14"/>
                <w:color w:val="auto"/>
              </w:rPr>
            </w:pPr>
          </w:p>
        </w:tc>
        <w:tc>
          <w:tcPr>
            <w:tcW w:w="1200" w:type="dxa"/>
            <w:vAlign w:val="bottom"/>
            <w:gridSpan w:val="3"/>
            <w:vMerge w:val="restart"/>
          </w:tcPr>
          <w:p>
            <w:pPr>
              <w:ind w:left="520"/>
              <w:spacing w:after="0"/>
              <w:rPr>
                <w:sz w:val="20"/>
                <w:szCs w:val="20"/>
                <w:color w:val="auto"/>
              </w:rPr>
            </w:pPr>
            <w:r>
              <w:rPr>
                <w:rFonts w:ascii="Arial" w:cs="Arial" w:eastAsia="Arial" w:hAnsi="Arial"/>
                <w:sz w:val="15"/>
                <w:szCs w:val="15"/>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2"/>
        </w:trPr>
        <w:tc>
          <w:tcPr>
            <w:tcW w:w="2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60" w:type="dxa"/>
            <w:vAlign w:val="bottom"/>
            <w:gridSpan w:val="9"/>
          </w:tcPr>
          <w:p>
            <w:pPr>
              <w:jc w:val="right"/>
              <w:ind w:right="84"/>
              <w:spacing w:after="0"/>
              <w:rPr>
                <w:sz w:val="20"/>
                <w:szCs w:val="20"/>
                <w:color w:val="auto"/>
              </w:rPr>
            </w:pPr>
            <w:r>
              <w:rPr>
                <w:rFonts w:ascii="Arial" w:cs="Arial" w:eastAsia="Arial" w:hAnsi="Arial"/>
                <w:sz w:val="15"/>
                <w:szCs w:val="15"/>
                <w:b w:val="1"/>
                <w:bCs w:val="1"/>
                <w:color w:val="auto"/>
              </w:rPr>
              <w:t>(in thousands, except percentages)</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20,218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15,260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58,169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42,268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Arial" w:cs="Arial" w:eastAsia="Arial" w:hAnsi="Arial"/>
                <w:sz w:val="15"/>
                <w:szCs w:val="15"/>
                <w:color w:val="auto"/>
              </w:rPr>
              <w:t>Facilities and other allocated costs</w:t>
            </w:r>
          </w:p>
        </w:tc>
        <w:tc>
          <w:tcPr>
            <w:tcW w:w="20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6,696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5,973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19,197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17,801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8 %</w:t>
            </w:r>
          </w:p>
        </w:tc>
        <w:tc>
          <w:tcPr>
            <w:tcW w:w="0" w:type="dxa"/>
            <w:vAlign w:val="bottom"/>
          </w:tcPr>
          <w:p>
            <w:pPr>
              <w:spacing w:after="0"/>
              <w:rPr>
                <w:sz w:val="1"/>
                <w:szCs w:val="1"/>
                <w:color w:val="auto"/>
              </w:rPr>
            </w:pPr>
          </w:p>
        </w:tc>
      </w:tr>
      <w:tr>
        <w:trPr>
          <w:trHeight w:val="206"/>
        </w:trPr>
        <w:tc>
          <w:tcPr>
            <w:tcW w:w="2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Inbound shipping</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4,987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13,619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12,247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180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470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(694)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50"/>
        </w:trPr>
        <w:tc>
          <w:tcPr>
            <w:tcW w:w="260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Total operations, product and</w:t>
            </w: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32,081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25,856</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91,455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73,480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CCEEFF"/>
            </w:tcBorders>
            <w:shd w:val="clear" w:color="auto" w:fill="CCEEFF"/>
          </w:tcPr>
          <w:p>
            <w:pPr>
              <w:ind w:left="180"/>
              <w:spacing w:after="0" w:line="164" w:lineRule="exact"/>
              <w:rPr>
                <w:sz w:val="20"/>
                <w:szCs w:val="20"/>
                <w:color w:val="auto"/>
              </w:rPr>
            </w:pPr>
            <w:r>
              <w:rPr>
                <w:rFonts w:ascii="Arial" w:cs="Arial" w:eastAsia="Arial" w:hAnsi="Arial"/>
                <w:sz w:val="15"/>
                <w:szCs w:val="15"/>
                <w:color w:val="auto"/>
              </w:rPr>
              <w:t>technology expenses</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5"/>
                <w:szCs w:val="15"/>
                <w:color w:val="auto"/>
              </w:rPr>
              <w:t>Operations, product and technology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5"/>
                <w:szCs w:val="15"/>
                <w:color w:val="auto"/>
              </w:rPr>
              <w:t>as % of total revenue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Personnel-related costs increased by 32% from $15.3 million for the three months ended September 30, 2020 to $20.2 million for the three months ended September 30, 2021 due to a 32% increase in average headcount for operations, research and development as of third quarter 2021 compared to third quarter 2020. Personnel-related costs increased by 38% from $42.3 million for the nine months ended September 30, 2020 to $58.2 million for the nine months ended September 30, 2021 due to a 29% increase in the average headcount for operations, research and development. The increase in both periods was also due to increases in compensation at distribution centers primarily to attract and retain processing center staff in order to support our distribution center operations growth.</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Facilities and other allocated costs increased by 12% from $6.0 million for the three months ended September 30, 2020 to $6.7 million for the three months ended September 30, 2021. Facilities and other allocated costs increased by 8% from $17.8 million for the nine months ended September 30, 2020 to $19.2 million for the nine months ended September 30, 2021. The increase in both periods was primarily due to the addition of our new Georgia distribution center in June 2020.</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Inbound shipping costs increased by 22% from $4.1 million for the three months ended September 30, 2020 to $5.0 million for the three months ended September 30, 2021. Inbound shipping costs increased by 11% from $12.2 million for the nine months ended September 30, 2020 to $13.6 million for the nine months ended September 30, 2021. The increase in both periods was primarily due to higher shipping volumes and rates. We lifted restrictions on the ability of sellers to order Clean Out Kits at the end of February 2021, resulting in more Clean Out Kits being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Marketing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440"/>
              <w:spacing w:after="0"/>
              <w:rPr>
                <w:sz w:val="20"/>
                <w:szCs w:val="20"/>
                <w:color w:val="auto"/>
              </w:rPr>
            </w:pPr>
            <w:r>
              <w:rPr>
                <w:rFonts w:ascii="Arial" w:cs="Arial" w:eastAsia="Arial" w:hAnsi="Arial"/>
                <w:sz w:val="15"/>
                <w:szCs w:val="15"/>
                <w:b w:val="1"/>
                <w:bCs w:val="1"/>
                <w:color w:val="auto"/>
              </w:rPr>
              <w:t>Change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Pr>
          <w:p>
            <w:pPr>
              <w:spacing w:after="0"/>
              <w:rPr>
                <w:sz w:val="14"/>
                <w:szCs w:val="14"/>
                <w:color w:val="auto"/>
              </w:rPr>
            </w:pPr>
          </w:p>
        </w:tc>
        <w:tc>
          <w:tcPr>
            <w:tcW w:w="1140" w:type="dxa"/>
            <w:vAlign w:val="bottom"/>
            <w:gridSpan w:val="3"/>
            <w:vMerge w:val="restart"/>
          </w:tcPr>
          <w:p>
            <w:pPr>
              <w:ind w:left="460"/>
              <w:spacing w:after="0"/>
              <w:rPr>
                <w:sz w:val="20"/>
                <w:szCs w:val="20"/>
                <w:color w:val="auto"/>
              </w:rPr>
            </w:pPr>
            <w:r>
              <w:rPr>
                <w:rFonts w:ascii="Arial" w:cs="Arial" w:eastAsia="Arial" w:hAnsi="Arial"/>
                <w:sz w:val="15"/>
                <w:szCs w:val="15"/>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20" w:type="dxa"/>
            <w:vAlign w:val="bottom"/>
            <w:gridSpan w:val="9"/>
          </w:tcPr>
          <w:p>
            <w:pPr>
              <w:jc w:val="right"/>
              <w:spacing w:after="0"/>
              <w:rPr>
                <w:sz w:val="20"/>
                <w:szCs w:val="20"/>
                <w:color w:val="auto"/>
              </w:rPr>
            </w:pPr>
            <w:r>
              <w:rPr>
                <w:rFonts w:ascii="Arial" w:cs="Arial" w:eastAsia="Arial" w:hAnsi="Arial"/>
                <w:sz w:val="15"/>
                <w:szCs w:val="15"/>
                <w:b w:val="1"/>
                <w:bCs w:val="1"/>
                <w:color w:val="auto"/>
              </w:rPr>
              <w:t>(in thousands, except percentages)</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 and advertising costs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14,651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9,066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41,614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29,926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0" w:type="dxa"/>
            <w:vAlign w:val="bottom"/>
          </w:tcPr>
          <w:p>
            <w:pPr>
              <w:spacing w:after="0"/>
              <w:rPr>
                <w:sz w:val="1"/>
                <w:szCs w:val="1"/>
                <w:color w:val="auto"/>
              </w:rPr>
            </w:pPr>
          </w:p>
        </w:tc>
      </w:tr>
      <w:tr>
        <w:trPr>
          <w:trHeight w:val="20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2,290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6,730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4,587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marketing expense</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16,941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10,614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48,344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34,513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Marketing as % of total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Arial" w:cs="Arial" w:eastAsia="Arial" w:hAnsi="Arial"/>
                <w:sz w:val="15"/>
                <w:szCs w:val="15"/>
                <w:color w:val="auto"/>
              </w:rPr>
              <w:t>27 %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color w:val="auto"/>
              </w:rPr>
              <w:t>23 %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color w:val="auto"/>
              </w:rPr>
              <w:t>27 %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line="171" w:lineRule="exact"/>
              <w:rPr>
                <w:sz w:val="20"/>
                <w:szCs w:val="20"/>
                <w:color w:val="auto"/>
              </w:rPr>
            </w:pPr>
            <w:r>
              <w:rPr>
                <w:rFonts w:ascii="Arial" w:cs="Arial" w:eastAsia="Arial" w:hAnsi="Arial"/>
                <w:sz w:val="15"/>
                <w:szCs w:val="15"/>
                <w:color w:val="auto"/>
              </w:rPr>
              <w:t>24 %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Marketing and advertising costs increased 60% for the three months ended September 30, 2021, compared to 41% gross profit growth. Marketing and advertising costs increased 40% for the nine months ended September 30, 2021, compared to 32% gross profit growth. Marketing and advertising costs increased by 62% from $9.1 million for the three months ended September 30, 2020 to $14.7 million for the three months ended September 30, 2021 and 39% from $29.9 million for the nine months ended September 30, 2020 to $41.6 million for the nine months ended September 30, 2021. These increases were primarily due to increased efforts to attract new buyers to our marketplace because our growth rates during 2020 were impacted by COVID-19 pandemic.</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Sales, 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ind w:left="36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2"/>
        </w:trPr>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9"/>
          </w:tcPr>
          <w:p>
            <w:pPr>
              <w:jc w:val="right"/>
              <w:ind w:right="64"/>
              <w:spacing w:after="0"/>
              <w:rPr>
                <w:sz w:val="20"/>
                <w:szCs w:val="20"/>
                <w:color w:val="auto"/>
              </w:rPr>
            </w:pPr>
            <w:r>
              <w:rPr>
                <w:rFonts w:ascii="Arial" w:cs="Arial" w:eastAsia="Arial" w:hAnsi="Arial"/>
                <w:sz w:val="15"/>
                <w:szCs w:val="15"/>
                <w:b w:val="1"/>
                <w:bCs w:val="1"/>
                <w:color w:val="auto"/>
              </w:rPr>
              <w:t>(in thousands, except percentages)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3,260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16,249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10,195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rPr>
                <w:sz w:val="20"/>
                <w:szCs w:val="20"/>
                <w:color w:val="auto"/>
              </w:rPr>
            </w:pPr>
            <w:r>
              <w:rPr>
                <w:rFonts w:ascii="Arial" w:cs="Arial" w:eastAsia="Arial" w:hAnsi="Arial"/>
                <w:sz w:val="15"/>
                <w:szCs w:val="15"/>
                <w:color w:val="auto"/>
              </w:rPr>
              <w:t>Professional services</w:t>
            </w:r>
          </w:p>
        </w:tc>
        <w:tc>
          <w:tcPr>
            <w:tcW w:w="22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2,570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24"/>
              <w:spacing w:after="0"/>
              <w:rPr>
                <w:sz w:val="20"/>
                <w:szCs w:val="20"/>
                <w:color w:val="auto"/>
              </w:rPr>
            </w:pPr>
            <w:r>
              <w:rPr>
                <w:rFonts w:ascii="Arial" w:cs="Arial" w:eastAsia="Arial" w:hAnsi="Arial"/>
                <w:sz w:val="15"/>
                <w:szCs w:val="15"/>
                <w:color w:val="auto"/>
              </w:rPr>
              <w:t>1,363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5,861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3,315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77 %</w:t>
            </w: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processing fees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6,024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0" w:type="dxa"/>
            <w:vAlign w:val="bottom"/>
          </w:tcPr>
          <w:p>
            <w:pPr>
              <w:spacing w:after="0"/>
              <w:rPr>
                <w:sz w:val="1"/>
                <w:szCs w:val="1"/>
                <w:color w:val="auto"/>
              </w:rPr>
            </w:pPr>
          </w:p>
        </w:tc>
      </w:tr>
      <w:tr>
        <w:trPr>
          <w:trHeight w:val="20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852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6,072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2,549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138 %</w:t>
            </w:r>
          </w:p>
        </w:tc>
        <w:tc>
          <w:tcPr>
            <w:tcW w:w="0" w:type="dxa"/>
            <w:vAlign w:val="bottom"/>
          </w:tcPr>
          <w:p>
            <w:pPr>
              <w:spacing w:after="0"/>
              <w:rPr>
                <w:sz w:val="1"/>
                <w:szCs w:val="1"/>
                <w:color w:val="auto"/>
              </w:rPr>
            </w:pPr>
          </w:p>
        </w:tc>
      </w:tr>
      <w:tr>
        <w:trPr>
          <w:trHeight w:val="150"/>
        </w:trPr>
        <w:tc>
          <w:tcPr>
            <w:tcW w:w="254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Total sales, general and</w:t>
            </w: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12,569</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6,891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5,678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34,206</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20,762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shd w:val="clear" w:color="auto" w:fill="CCEEFF"/>
          </w:tcPr>
          <w:p>
            <w:pPr>
              <w:ind w:left="180"/>
              <w:spacing w:after="0" w:line="164" w:lineRule="exact"/>
              <w:rPr>
                <w:sz w:val="20"/>
                <w:szCs w:val="20"/>
                <w:color w:val="auto"/>
              </w:rPr>
            </w:pPr>
            <w:r>
              <w:rPr>
                <w:rFonts w:ascii="Arial" w:cs="Arial" w:eastAsia="Arial" w:hAnsi="Arial"/>
                <w:sz w:val="15"/>
                <w:szCs w:val="15"/>
                <w:color w:val="auto"/>
              </w:rPr>
              <w:t>administrative costs</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5"/>
                <w:szCs w:val="15"/>
                <w:color w:val="auto"/>
              </w:rPr>
              <w:t>Sales, general and administrative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20 %</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15 %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19 %</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15 %</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540" w:type="dxa"/>
            <w:vAlign w:val="bottom"/>
            <w:vMerge w:val="restart"/>
          </w:tcPr>
          <w:p>
            <w:pPr>
              <w:ind w:left="180"/>
              <w:spacing w:after="0"/>
              <w:rPr>
                <w:sz w:val="20"/>
                <w:szCs w:val="20"/>
                <w:color w:val="auto"/>
              </w:rPr>
            </w:pPr>
            <w:r>
              <w:rPr>
                <w:rFonts w:ascii="Arial" w:cs="Arial" w:eastAsia="Arial" w:hAnsi="Arial"/>
                <w:sz w:val="15"/>
                <w:szCs w:val="15"/>
                <w:color w:val="auto"/>
              </w:rPr>
              <w:t>as % of total revenue</w:t>
            </w: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Sales, general and administrative expense increased 82% for the three months ended September 30, 2021, compared to 41% gross profit growth. Sales, general and administrative expense increased 65% for the nine months ended September 30, 2021, compared to 32% gross profit growth. This increase in both periods was mainly the result of investments, primarily in personnel and professional services costs, made towards scaling our business and improving our processes as we became a public company.</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Personnel-related costs increased from $ 3.3 million for the three months ended September 30, 2020 to $5.4 million for the three months ended September 30, 2021. Personnel-related costs increased from $10.2 million for the nine months ended September 30, 2020 to $16.2 million for the nine months ended September 30, 2021. The increases were primarily due to a 46% and a 31% average headcount increase in each comparative period, respectively, to support growth in our corporate functions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related to being a public company. In addition, non-cash stock-based compensation increased by $1.2 million and $3.2 million for the three and nine months ended September 30, 2021, respectively.</w:t>
      </w:r>
    </w:p>
    <w:p>
      <w:pPr>
        <w:spacing w:after="0" w:line="13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Professional services costs increased 89% from $1.4 million for the three months ended September 30, 2020 to $2.6 million for the three months ended September 30, 2021. Professional services costs increased 77% from $ 3.3 million for the nine months ended September 30, 2020 to $5.9 million for the nine months ended September 30, 2021. The increases in both periods were mainly due to an increase in accounting, consulting and legal fees of $1.2 million and $2.5 million for the three and nine months ended September 30, 2021, respectively, for being a public company and for the Remix acquisition.</w:t>
      </w:r>
    </w:p>
    <w:p>
      <w:pPr>
        <w:spacing w:after="0" w:line="145"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Payment processing fees increased 55% from $1.4 million for the three months ended September 30, 2020 to $2.2 million or the three months ended September 30, 2021. Payment processing fees increased 28% from $1.3 million for the nine months ended September 30, 2020 to $4.7 million for the nine months ended September 30, 2021. The increases in both periods were mainly due to an increase in overall sales.</w:t>
      </w:r>
    </w:p>
    <w:p>
      <w:pPr>
        <w:spacing w:after="0" w:line="141"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Other expenses increased from $0.9 million for the three months ended September 30, 2020 to $2.4 million for the three months ended September 30, 2021. Other expenses increased from $2.5 million for the nine months ended September 30, 2020 to $6.1 million for the nine months ended September 30, 2021. The increases in both periods were mainly due to insurance and other costs related to being a public company and as well as technology and other costs to support our growing business.</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believe that our expenses in operations, product and technology, marketing, and sales, general and administrative will continue to increase sequentially in absolute dollars in the fourth quarter of 2021, primarily due to the inclusion of the Remix business. Additionally, we will continue to make investments in processing capacity for our future growth, increase marketing spend to acquire new customers and spend on infrastructure to support our development as a public company.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As of September 30, 2021, we had cash and cash equivalents of $160.9 million and an accumulated deficit of $297.4 million. Since our founding, we have generated negative cash flows from operations and have primarily financed our operations through private and public sales of equity securities and debt. Additionally, we currently have a term loan facility with Western Alliance Bank. In March 2021, we completed our IPO for aggregate net proceeds of $175.5 million, net of offering costs, underwriter discounts and commissions of $ 17.7 million. In August 2021, we completed our follow-on public offering and sold an aggregate of 2,000,000 shares. The aggregate net proceeds were $45.5 million after deducting $3.3 million of underwriter discounts and commissions and offering costs.</w:t>
      </w:r>
    </w:p>
    <w:p>
      <w:pPr>
        <w:spacing w:after="0" w:line="144" w:lineRule="exact"/>
        <w:rPr>
          <w:sz w:val="20"/>
          <w:szCs w:val="20"/>
          <w:color w:val="auto"/>
        </w:rPr>
      </w:pPr>
    </w:p>
    <w:p>
      <w:pPr>
        <w:ind w:right="120" w:firstLine="305"/>
        <w:spacing w:after="0" w:line="250"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Our forecast of the period of time through which our financial resources will be adequate to support our operations is a forward-looking statement that involves risks and uncertainties, and actual results could vary materially.</w:t>
      </w:r>
    </w:p>
    <w:p>
      <w:pPr>
        <w:spacing w:after="0" w:line="148"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Factors—Risks Relating to Our Business and Industry—We may require additional capital to support business growth, and this capital might not be available or may be available only by diluting existing stockholders.”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ind w:left="300"/>
              <w:spacing w:after="0"/>
              <w:rPr>
                <w:sz w:val="20"/>
                <w:szCs w:val="20"/>
                <w:color w:val="auto"/>
              </w:rPr>
            </w:pPr>
            <w:r>
              <w:rPr>
                <w:rFonts w:ascii="Arial" w:cs="Arial" w:eastAsia="Arial" w:hAnsi="Arial"/>
                <w:sz w:val="17"/>
                <w:szCs w:val="17"/>
                <w:b w:val="1"/>
                <w:bCs w:val="1"/>
                <w:i w:val="1"/>
                <w:iCs w:val="1"/>
                <w:color w:val="auto"/>
              </w:rPr>
              <w:t>Cash Flows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5"/>
        </w:trPr>
        <w:tc>
          <w:tcPr>
            <w:tcW w:w="7860" w:type="dxa"/>
            <w:vAlign w:val="bottom"/>
          </w:tcPr>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4"/>
        </w:trPr>
        <w:tc>
          <w:tcPr>
            <w:tcW w:w="7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7"/>
                <w:szCs w:val="17"/>
                <w:b w:val="1"/>
                <w:bCs w:val="1"/>
                <w:color w:val="auto"/>
              </w:rPr>
              <w:t>Nine months ended September 30,</w:t>
            </w:r>
          </w:p>
        </w:tc>
      </w:tr>
      <w:tr>
        <w:trPr>
          <w:trHeight w:val="209"/>
        </w:trPr>
        <w:tc>
          <w:tcPr>
            <w:tcW w:w="7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r>
      <w:tr>
        <w:trPr>
          <w:trHeight w:val="284"/>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1060" w:type="dxa"/>
            <w:vAlign w:val="bottom"/>
          </w:tcPr>
          <w:p>
            <w:pPr>
              <w:spacing w:after="0"/>
              <w:rPr>
                <w:sz w:val="24"/>
                <w:szCs w:val="2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786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(14,132)</w:t>
            </w:r>
          </w:p>
        </w:tc>
        <w:tc>
          <w:tcPr>
            <w:tcW w:w="100" w:type="dxa"/>
            <w:vAlign w:val="bottom"/>
          </w:tcPr>
          <w:p>
            <w:pPr>
              <w:spacing w:after="0"/>
              <w:rPr>
                <w:sz w:val="18"/>
                <w:szCs w:val="18"/>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(4,863)</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(14,359)</w:t>
            </w:r>
          </w:p>
        </w:tc>
      </w:tr>
      <w:tr>
        <w:trPr>
          <w:trHeight w:val="21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Financing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229,032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13,396</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98,578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Operating Activities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For the nine months ended September 30, 2021, net cash used in operating activities was $ 14.1 million, which consisted of a net loss of $45.3 million, partially offset by non-cash charges of $20.5 million and a net change of $10.6 million in our operating assets and liabilities. The change in operating assets and liabilities is due to a $14.1 million increase in accrued and other current liabilities, primarily resulting from an increase in allowance for returns and accrued vendor liabilities due to higher operating expenses as we grow our business and a $ 4.6 million increase in seller payable due to the timing of payments. These changes were partially offset by a $ 4.7 million increase in other current and non-current assets resulting from an increase in prepaid insurance and a reduction in operating lease liabilities of $3.2 million resulting from the payment of leases.</w:t>
      </w:r>
    </w:p>
    <w:p>
      <w:pPr>
        <w:spacing w:after="0" w:line="144"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For the nine months ended September 30, 2020, net cash used in operating activities was $4.9 million, which consisted of a net loss of $30.9 million, partially offset by a net change of $14.0 million in our operating assets and liabilities and non-cash adjustment of $12.0 million.</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Investing Activities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For the nine months ended September 30, 2021, net cash used in investing activities was $116.3 million, which was driven by $ 102.7 million in new purchases of marketable securities and $15.2 million of capital expenditures primarily for our distribution centers, partially offset by $1.6 million maturities of marketable securities.</w:t>
      </w:r>
    </w:p>
    <w:p>
      <w:pPr>
        <w:spacing w:after="0" w:line="141"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For the nine months ended September 30, 2020, net cash used in investing activities was $14.4 million, which consisted of capital expenditures primarily for our distribution centers.</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Cash Flow from Financing Activities</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For the nine months ended September 30, 2021, net cash provided by financing activities was $229.0 million, which consisted mainly of $222.7 million in net proceeds from the sale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stock offerings, $ 4.6 million in net debt financing proceeds and $3.8 million from proceeds from exercise of common stock options and withholding taxes for the net share settlement of restricted stock units. These proceeds were partially offset by $3.6 million in offering costs paid for the IPO, $2.0 million in repayment of debt, and $0.6 million in offering costs paid for the follow-on offering.</w:t>
      </w:r>
    </w:p>
    <w:p>
      <w:pPr>
        <w:spacing w:after="0" w:line="141"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For the nine months ended September 30, 2020, net cash provided by financing activities was $13.4 million, which consisted mainly of $13.4 million proceeds from net debt issuance and $1.8 million proceeds from exercise of common stock options. These proceeds were partially offset by a $1.2 million repayment of debt.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8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entered into an additional $5.0 million term loan with Western Alliance Bank in February 2021, the contract to acquire Remix in July 2021 (Refer to Note 1, Organization and Description of Business), and into lease obligations of approximately $28.1 million in aggregate in September 2021 (Refer to Note 6, Lease Agreements). Other than this, there have been no material changes to our contractual obligations, as compared to those disclosed as of December 31, 2020 in the Prospectus.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any entities sometimes referred to as structured finance or special purpose entities, that were established for the purpose of facilitating off-balance sheet arrangements or other contractually narrow or limited purposes.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United States generally accepted accounting principles (“GAAP”). The preparation of these financial statements requires us to make judgments and estimates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w:t>
      </w:r>
    </w:p>
    <w:p>
      <w:pPr>
        <w:spacing w:after="0" w:line="14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There have been no significant changes to our critical accounting policies since December 31, 2020. For a description of critical accounting policies that affect our significant judgments and estimates used in the preparation of our unaudited condensed consolidated financial statements, refer to the section titled “Management’s Discussion and Analysis of Financial Condition and Results of Operations” included in the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For information on recently issued accounting pronouncements, refer to Note 2 titled “Significant Accounting Policies” to our unaudited condensed consolidated financial statements included in Part 1, Item 1 of this Quarterly Report on Form 10-Q for a discussion of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As of September 30, 2021, we had unrestricted cash and cash equivalents of $160.9 million and marketable securities of $100.8 million, consisting primarily of money market funds, corporate debt securities, commercial paper, U.S. treasury securities and U.S. government agency bonds,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to intermediate term nature of our investments, we have not been exposed to, nor do we anticipate being exposed to, material risks due to changes in interest rates. Fluctuations in interest rates have not been significant to date.</w:t>
      </w:r>
    </w:p>
    <w:p>
      <w:pPr>
        <w:spacing w:after="0" w:line="14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Interest rates under our loan and security agreement with Western Alliance Bank are tied to the prime rate with a floor of 5.50% and therefore carry interest rate risk. As of September 30, 2021, we had borrowed $40.0 million under our loan and security agreement, with $38.0 million principal outstanding as of such date, at an interest rate of 5.50%. Fluctuations in interest rates have not been significant to date.</w:t>
      </w:r>
    </w:p>
    <w:p>
      <w:pPr>
        <w:spacing w:after="0" w:line="141"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A hypothetical 100 basis point change in interest rates would not have a material impact on our financial condition or results of operations for the periods presented.</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8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4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September 30, 2021,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Previously Reported Material Weaknesses in Internal Control Over Financial Reporting</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As previously disclosed in the Prospectus, in connection with the audit of our financial statements for the fiscal years ended December 31,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material weakness related to the following control deficiencies:</w:t>
      </w:r>
    </w:p>
    <w:p>
      <w:pPr>
        <w:spacing w:after="0" w:line="16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44"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4"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0" w:lineRule="exact"/>
        <w:rPr>
          <w:sz w:val="20"/>
          <w:szCs w:val="20"/>
          <w:color w:val="auto"/>
        </w:rPr>
      </w:pPr>
    </w:p>
    <w:p>
      <w:pPr>
        <w:ind w:right="2160"/>
        <w:spacing w:after="0" w:line="436" w:lineRule="auto"/>
        <w:rPr>
          <w:sz w:val="20"/>
          <w:szCs w:val="20"/>
          <w:color w:val="auto"/>
        </w:rPr>
      </w:pPr>
      <w:r>
        <w:rPr>
          <w:rFonts w:ascii="Arial" w:cs="Arial" w:eastAsia="Arial" w:hAnsi="Arial"/>
          <w:sz w:val="17"/>
          <w:szCs w:val="17"/>
          <w:color w:val="auto"/>
        </w:rPr>
        <w:t xml:space="preserve">be prevented or detected, and, accordingly, we determined that these control deficiencies constitute a material weakness. </w:t>
      </w:r>
      <w:r>
        <w:rPr>
          <w:rFonts w:ascii="Arial" w:cs="Arial" w:eastAsia="Arial" w:hAnsi="Arial"/>
          <w:sz w:val="17"/>
          <w:szCs w:val="17"/>
          <w:b w:val="1"/>
          <w:bCs w:val="1"/>
          <w:color w:val="auto"/>
        </w:rPr>
        <w:t>Remediation Plans</w:t>
      </w:r>
    </w:p>
    <w:p>
      <w:pPr>
        <w:spacing w:after="0" w:line="1"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0" w:lineRule="exact"/>
        <w:rPr>
          <w:sz w:val="20"/>
          <w:szCs w:val="20"/>
          <w:color w:val="auto"/>
        </w:rPr>
      </w:pPr>
    </w:p>
    <w:p>
      <w:pPr>
        <w:jc w:val="both"/>
        <w:ind w:firstLine="305"/>
        <w:spacing w:after="0" w:line="236" w:lineRule="auto"/>
        <w:rPr>
          <w:sz w:val="20"/>
          <w:szCs w:val="20"/>
          <w:color w:val="auto"/>
        </w:rPr>
      </w:pPr>
      <w:r>
        <w:rPr>
          <w:rFonts w:ascii="Arial" w:cs="Arial" w:eastAsia="Arial" w:hAnsi="Arial"/>
          <w:sz w:val="17"/>
          <w:szCs w:val="17"/>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 13a-15(f) under the Exchange Act) during our most recent fiscal quarter that has materially affected, or is reasonably likely to materially affect, our internal control over financial reporting. We have not experienced any material impact to our internal controls over financial reporting despite our employees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0" w:lineRule="exact"/>
        <w:rPr>
          <w:sz w:val="20"/>
          <w:szCs w:val="20"/>
          <w:color w:val="auto"/>
        </w:rPr>
      </w:pPr>
    </w:p>
    <w:p>
      <w:pPr>
        <w:ind w:firstLine="305"/>
        <w:spacing w:after="0" w:line="258" w:lineRule="auto"/>
        <w:rPr>
          <w:sz w:val="20"/>
          <w:szCs w:val="20"/>
          <w:color w:val="auto"/>
        </w:rPr>
      </w:pPr>
      <w:r>
        <w:rPr>
          <w:rFonts w:ascii="Arial" w:cs="Arial" w:eastAsia="Arial" w:hAnsi="Arial"/>
          <w:sz w:val="17"/>
          <w:szCs w:val="17"/>
          <w:color w:val="auto"/>
        </w:rPr>
        <w:t>We are not a party to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5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tab/>
        <w:t>Risk Factors.</w:t>
      </w:r>
    </w:p>
    <w:p>
      <w:pPr>
        <w:spacing w:after="0" w:line="162"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62" w:lineRule="exact"/>
        <w:rPr>
          <w:sz w:val="20"/>
          <w:szCs w:val="20"/>
          <w:color w:val="auto"/>
        </w:rPr>
      </w:pPr>
    </w:p>
    <w:p>
      <w:pPr>
        <w:jc w:val="both"/>
        <w:ind w:firstLine="305"/>
        <w:spacing w:after="0" w:line="253" w:lineRule="auto"/>
        <w:rPr>
          <w:sz w:val="20"/>
          <w:szCs w:val="20"/>
          <w:color w:val="auto"/>
        </w:rPr>
      </w:pPr>
      <w:r>
        <w:rPr>
          <w:rFonts w:ascii="Arial" w:cs="Arial" w:eastAsia="Arial" w:hAnsi="Arial"/>
          <w:sz w:val="17"/>
          <w:szCs w:val="17"/>
          <w:i w:val="1"/>
          <w:iCs w:val="1"/>
          <w:color w:val="auto"/>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These risks include, but are not limited to, the following:</w:t>
      </w:r>
    </w:p>
    <w:p>
      <w:pPr>
        <w:spacing w:after="0" w:line="143" w:lineRule="exact"/>
        <w:rPr>
          <w:sz w:val="20"/>
          <w:szCs w:val="20"/>
          <w:color w:val="auto"/>
        </w:rPr>
      </w:pPr>
    </w:p>
    <w:p>
      <w:pPr>
        <w:ind w:left="600" w:hanging="294"/>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continued growth depends on attracting new, and retaining existing, buyers.</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including our costs and supply of secondhand items, is subject to risks associated with sourcing, itemizing, warehousing and shipping.</w:t>
      </w:r>
    </w:p>
    <w:p>
      <w:pPr>
        <w:spacing w:after="0" w:line="138" w:lineRule="exact"/>
        <w:rPr>
          <w:rFonts w:ascii="Arial" w:cs="Arial" w:eastAsia="Arial" w:hAnsi="Arial"/>
          <w:sz w:val="17"/>
          <w:szCs w:val="17"/>
          <w:color w:val="auto"/>
        </w:rPr>
      </w:pPr>
    </w:p>
    <w:p>
      <w:pPr>
        <w:jc w:val="both"/>
        <w:ind w:left="620" w:hanging="314"/>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40"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a limited operating history in an evolving industry, which makes it difficult to forecast our revenue, plan our expenses and evaluate our business and future prospects.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a history of losses, we anticipate increasing operating expenses in the future and we may not be able to achieve and, if achieved, maintain profitability.</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38" w:lineRule="exact"/>
        <w:rPr>
          <w:rFonts w:ascii="Arial" w:cs="Arial" w:eastAsia="Arial" w:hAnsi="Arial"/>
          <w:sz w:val="17"/>
          <w:szCs w:val="17"/>
          <w:color w:val="auto"/>
        </w:rPr>
      </w:pPr>
    </w:p>
    <w:p>
      <w:pPr>
        <w:jc w:val="both"/>
        <w:ind w:left="620" w:hanging="314"/>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0" w:lineRule="exact"/>
        <w:rPr>
          <w:sz w:val="20"/>
          <w:szCs w:val="20"/>
          <w:color w:val="auto"/>
        </w:rPr>
      </w:pPr>
    </w:p>
    <w:p>
      <w:pPr>
        <w:ind w:left="620" w:hanging="314"/>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global COVID-19 pandemic has had and may continue to have an adverse impact on our business, results of operations and financial condition.</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Compromises of our data security could cause us to incur unexpected expenses and may materially harm our reputation and results of operations.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require additional capital to support business growth, and this capital might not be available or may be available only by diluting existing stockholders.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Class A common stock may be volatile or may decline regardless of our operating performance. You may lose all or part of your investment.</w:t>
      </w:r>
    </w:p>
    <w:p>
      <w:pPr>
        <w:spacing w:after="0" w:line="138" w:lineRule="exact"/>
        <w:rPr>
          <w:rFonts w:ascii="Arial" w:cs="Arial" w:eastAsia="Arial" w:hAnsi="Arial"/>
          <w:sz w:val="17"/>
          <w:szCs w:val="17"/>
          <w:color w:val="auto"/>
        </w:rPr>
      </w:pPr>
    </w:p>
    <w:p>
      <w:pPr>
        <w:jc w:val="both"/>
        <w:ind w:left="620" w:hanging="314"/>
        <w:spacing w:after="0" w:line="25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growth depends on attracting new, and retaining existing, buyers.</w:t>
      </w:r>
    </w:p>
    <w:p>
      <w:pPr>
        <w:spacing w:after="0" w:line="180"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To expand our buyer base, we must appeal to and attract buyers who do not typically purchase secondhand items,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Relatedly,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17" w:lineRule="exact"/>
        <w:rPr>
          <w:sz w:val="20"/>
          <w:szCs w:val="20"/>
          <w:color w:val="auto"/>
        </w:rPr>
      </w:pPr>
    </w:p>
    <w:p>
      <w:pPr>
        <w:jc w:val="both"/>
        <w:ind w:firstLine="305"/>
        <w:spacing w:after="0" w:line="234" w:lineRule="auto"/>
        <w:rPr>
          <w:sz w:val="20"/>
          <w:szCs w:val="20"/>
          <w:color w:val="auto"/>
        </w:rPr>
      </w:pPr>
      <w:r>
        <w:rPr>
          <w:rFonts w:ascii="Arial" w:cs="Arial" w:eastAsia="Arial" w:hAnsi="Arial"/>
          <w:sz w:val="17"/>
          <w:szCs w:val="17"/>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offerings,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7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business, including our costs and supply of secondhand items, is subject to risks associated with sourcing, itemizing, warehousing and shipping.</w:t>
      </w:r>
    </w:p>
    <w:p>
      <w:pPr>
        <w:spacing w:after="0" w:line="117"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experienced rapid growth in many of our recent periods and those growth rates may not be indicative of our future growth. If we fail to manage our growth effectively,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execute our business plan and our business, results of operations and financial condition could be harmed.</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have experienced, and may continue to experience, rapid growth in certain recent periods, which has placed, and may continue to place, significant demands on our management and our operational and financial resources. We have also experienced significant growth in the number of buyers and sellers using our platform in certain periods, despite a reduction in Active Sellers during 2020 and growth rates that were impacted by the COVID-19 pandemic. Additionally, our organizational structure is becoming more complex as we scale our operational, financial and management controls as well as our reporting systems and procedures. For example, our headcount has grown from 1,076 employees and professional contractors as of December 31, 2018 to 1,862 as of December 31, 2020, as we have scaled our business. We define an “Active Seller” as a thredUP seller who has sold at least one item on our marketplace in the last 12 months. A thredUP seller is a customer who has created an account and has listed an item in our marketplace. A thredUP seller is identified by a unique email address and a single person could have multiple thredUP seller accounts and count as multiple Active Sellers.</w:t>
      </w:r>
    </w:p>
    <w:p>
      <w:pPr>
        <w:spacing w:after="0" w:line="14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147"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Our revenue was $129.6 million, $163.8 million and $186.0 million for the years ended December 31, 2018, 2019 and 2020, respectively, representing annual growth of 26%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44" w:lineRule="exact"/>
        <w:rPr>
          <w:sz w:val="20"/>
          <w:szCs w:val="20"/>
          <w:color w:val="auto"/>
        </w:rPr>
      </w:pPr>
    </w:p>
    <w:p>
      <w:pPr>
        <w:ind w:left="620" w:hanging="314"/>
        <w:spacing w:after="0" w:line="258"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 and retain new and existing buyers and sellers and grow our supply of high-quality secondhand items for resale through our marketplace;</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scale our revenue and achieve the operating efficiencies necessary to achieve and maintain profitability;</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buyer and seller awareness of our brand;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anticipate and respond to changing buyer and seller preferences;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 and improve our business processes in response to changing business needs;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process Clean Out Kits from sellers on a timely basis;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improve, expand and further automate our distribution center operations and information systems;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anticipate and respond to macroeconomic changes generally, including changes in the markets for both new and secondhand retail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0" w:lineRule="exact"/>
        <w:rPr>
          <w:sz w:val="20"/>
          <w:szCs w:val="20"/>
          <w:color w:val="auto"/>
        </w:rPr>
      </w:pPr>
    </w:p>
    <w:p>
      <w:pPr>
        <w:ind w:left="620" w:hanging="314"/>
        <w:spacing w:after="0" w:line="258"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 including national retailers and brands and traditional brick-and-mortar thrift stores;</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effectively scale our operations while maintaining high-quality service and buyer and seller satisfaction;</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hire and retain talented employees and professional contractors at all levels of our business;</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avoid or manage interruptions in our business from information technology downtime, cybersecurity breaches and other factors that could affect our physical and digital infrastructure;</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fulfill and deliver Orders in a timely manner and in accordance with customer expectations, which may change over time;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maintain a high level of customer service and satisfaction;</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adapt to changing conditions in our industry and related to the COVID-19 pandemic and measures implemented to contain its spread; 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 with regulations applicable to our business.</w:t>
      </w:r>
    </w:p>
    <w:p>
      <w:pPr>
        <w:spacing w:after="0" w:line="16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 history of losses, we anticipate increasing operating expenses in the future and we may not be able to achieve and, if achieved, maintain profitability.</w:t>
      </w:r>
    </w:p>
    <w:p>
      <w:pPr>
        <w:spacing w:after="0" w:line="117"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We experienced net losses of $34.2 million, $38.2 million and $47.9 million in the years ended December 31, 2018, 2019 and 2020,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including the second half of 2021, we expect our operating expenses related to inbound processing, operations and technology to increase as a percentage of revenue. These efforts may be more costly than we expect and may not result in revenue growth or increased efficiency. In addition, as we grow and comply with rules and regulations of being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 limited operating history in an evolving industry, which makes it difficult to forecast our revenue, plan our expenses and evaluate our business and future prospects.</w:t>
      </w:r>
    </w:p>
    <w:p>
      <w:pPr>
        <w:spacing w:after="0" w:line="117"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We have a limited operating history in a rapidly evolving industry that may not develop in a manner favorable to our business. Our marketplace represents a substantial departure from the traditional thrift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17"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Our quarterly results of operations may fluctuate from quarter to quarter as a result of a number of factors, many of which are outside of our control and may be difficult to predict, including, but not limited to:</w:t>
      </w:r>
    </w:p>
    <w:p>
      <w:pPr>
        <w:spacing w:after="0" w:line="138" w:lineRule="exact"/>
        <w:rPr>
          <w:sz w:val="20"/>
          <w:szCs w:val="20"/>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level of demand for secondhand items;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the levels or quality of secondhand items on our marketplace;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capacity as we expand our operations;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in engaging existing buyers and sellers and attracting new buyers and sellers;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meet the expectations of sellers that we will process their Clean Out Kits in a timely manner;</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and timing of our operating expenses;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success of new partnerships, retail offerings and referral programs;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competitive developments and our response to those developments;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reported disruptions or defects in our online marketplace, such as actual or perceived privacy or data security breaches;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and market conditions, particularly those affecting our industry;</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market volatility and economic downturn, including those caused by outbreaks of disease, such as the COVID-19 pandemic, on our business;</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litigation judgments, other dispute-related settlement payments or other litigation-related costs;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fines;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and continuing uncertainty in relation to, the legislative or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0" w:lineRule="exact"/>
        <w:rPr>
          <w:sz w:val="20"/>
          <w:szCs w:val="20"/>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legal and regulatory compliance costs;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new employees and professional contractors added;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contractors or consultants;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pricing pressure as a result of competition, economic conditions or otherwise, including as a result of the effects of the COVID-19 pandemic;</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and timing of expenses related to the acquisition of talent, technologies, intellectual property or businesses, including potentially significant amortization costs and possible write-downs;</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public health crises, including the COVID-19 pandemic; 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conditions, including geopolitical uncertainty and instability.</w:t>
      </w:r>
    </w:p>
    <w:p>
      <w:pPr>
        <w:spacing w:after="0" w:line="16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You should not rely on our past results as an indicator of our future performance.</w:t>
      </w:r>
    </w:p>
    <w:p>
      <w:pPr>
        <w:spacing w:after="0" w:line="138"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132"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We lease facilities to store and accommodate the logistics infrastructure required to process, itemize, list, sell, pack and ship the secondhand items we sell through our marketplace and related channels of distribution, including our RaaS offerings.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For instance, in large part due to restrictions in our distribution centers as a result of COVID-19 safety precautions, governmental requirements and other COVID-19-related impacts, along with increased demand for our Clean Out Kit service, we currently have an elevated number of unprocessed Clean Out Kits containing secondhand items from sellers. We have also rapidly increased our operations employee headcount in recent years to support the growth of our business. The number of employees in our distribution centers increased to 1,570 as of December 31, 2020 from 835 as of December 31, 2018. While we experienced a temporary decrease in the number of employees in our distribution centers in the second quarter of 2020 due to the effects of COVID-19, we have restored and continued to grow our distribution center headcount. We expect that the number of employees in our distribution centers will increase significantly in the near term, particularly as and when concerns and restrictions due to COVID-19 abate.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could be negatively impacted, which could harm our business, results of operations and financial condition.</w:t>
      </w:r>
    </w:p>
    <w:p>
      <w:pPr>
        <w:spacing w:after="0" w:line="16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 three strategic locations: Arizona, Georgia and Pennsylvania and we are building a new distribution center in Texas.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successfully and efficiently build out our newest distribution center in Texas or maintain our current distribution centers could harm our business, results of operations and financial condition.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117"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We are continuing to build automation, machine learning and other capabilities to drive efficiencies in our distribution center operations.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rely on consumer discretionary spending and have been and may continue to be adversely affected by economic downturns and other macroeconomic conditions or trends.</w:t>
      </w:r>
    </w:p>
    <w:p>
      <w:pPr>
        <w:spacing w:after="0" w:line="117" w:lineRule="exact"/>
        <w:rPr>
          <w:sz w:val="20"/>
          <w:szCs w:val="20"/>
          <w:color w:val="auto"/>
        </w:rPr>
      </w:pPr>
    </w:p>
    <w:p>
      <w:pPr>
        <w:jc w:val="both"/>
        <w:ind w:firstLine="305"/>
        <w:spacing w:after="0" w:line="237" w:lineRule="auto"/>
        <w:rPr>
          <w:sz w:val="20"/>
          <w:szCs w:val="20"/>
          <w:color w:val="auto"/>
        </w:rPr>
      </w:pPr>
      <w:r>
        <w:rPr>
          <w:rFonts w:ascii="Arial" w:cs="Arial" w:eastAsia="Arial" w:hAnsi="Arial"/>
          <w:sz w:val="17"/>
          <w:szCs w:val="17"/>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fluctuating fuel and other energy costs, fluctuating commodity prices and general uncertainty regarding the overall future political and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including the recent presidential election in the United States; or other catastrophic events, whether occurring in the United States or internationally. Traditionally, consumer purchases of new retail items have declined during periods of economic uncertainty, when disposable income is reduced or when there is a reduction in consumer confidence. Such economic uncertainty and 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2020,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In March 2020, we experienced a 10% reduction in average monthly Orders through our site, as compared to February 2020, which we attribute to the general economic uncertainty at the beginning of the COVID-19 pandemic.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132"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 markets for resale and secondhand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Competitors offering the same or similar goods or services include secondhand marketplaces, such as eBay Inc., Mercari, Inc., Poshmark, Inc. and The RealReal, Inc.; large online retailers, such as Amazon.com, Inc., Kohl’s Corporation and Walmart Inc.; and off-price retailers, such as Burlington Stores, Inc., Ross Stores, Inc. and The TJX Companies, Inc. We believe our ability to compete depends on many factors, many of which are beyond our control, including:</w:t>
      </w:r>
    </w:p>
    <w:p>
      <w:pPr>
        <w:spacing w:after="0" w:line="148" w:lineRule="exact"/>
        <w:rPr>
          <w:sz w:val="20"/>
          <w:szCs w:val="20"/>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attracting and retaining buyers and sellers and increasing the volume of secondhand items they buy and sell;</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further developing our data science and automation capabilities;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favorable brand recognition;</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effectively delivering our marketplace to buyers and sellers;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identifying and delivering authentic, high-quality secondhand items;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maintaining and increasing the amount, diversity and quality of brands and secondhand items that we offer;</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expand the means through which we acquire and offer secondhand items for resale;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price at which secondhand items accepted onto our marketplace are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0" w:lineRule="exact"/>
        <w:rPr>
          <w:sz w:val="20"/>
          <w:szCs w:val="20"/>
          <w:color w:val="auto"/>
        </w:rPr>
      </w:pPr>
    </w:p>
    <w:p>
      <w:pPr>
        <w:ind w:left="620" w:hanging="314"/>
        <w:spacing w:after="0" w:line="258"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speed and cost at which we can process and make available secondhand items and deliver purchased secondhand items to our buyers; and</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ease with which our buyers and sellers can supply, purchase and return secondhand items.</w:t>
      </w:r>
    </w:p>
    <w:p>
      <w:pPr>
        <w:spacing w:after="0" w:line="16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w:t>
      </w:r>
    </w:p>
    <w:p>
      <w:pPr>
        <w:spacing w:after="0" w:line="141"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and changes in consumer shopping behavior.</w:t>
      </w:r>
    </w:p>
    <w:p>
      <w:pPr>
        <w:spacing w:after="0" w:line="14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41"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44"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global COVID-19 pandemic has had and may continue to have an adverse impact on our business,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March 2020, the World Health Organization declared COVID-19 a global pandemic and this contagious disease outbreak has continued to spread. The related public health measures, including orders to shelter-in-place, travel restrictions and mandated business closures, have adversely affected workforces, organizations, customers, economies and financial markets globally, leading to an economic downturn and increased market volatility. The fear associated with COVID-19, or any pandemic, and the reactions of governments around the world in response to COVID-19, or any pandemic,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for a period of time, we were required to limit operations at our distribution centers, resulting in a delay in our ability to process our Clean Out Kits. Additionally, we have implemented enhanced safety and cleaning measures, resulting in increased costs. In compliance with local ordinances and to protect our workforce, we have also limited attendance in our corporate offices.</w:t>
      </w:r>
    </w:p>
    <w:p>
      <w:pPr>
        <w:spacing w:after="0" w:line="14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addition, we implemented several cost-saving measures to address the challenges from the COVID-19 pandemic. For example, in the first quarter of 2020, we temporarily reduced marketing spend to take time to better understand the impact of COVID-19 on consumer demand. Additionally, in April 2020, we reduced salaries by 20% for the vast majority of corporate employees, whose full salaries were restored in January 2021, and in June 2020 we laid off the staff at our three small retail stores and permanently closed our retail stores during 2020. Further, we also have implemented promotional measures. Beginning in the second quarter of 2020, we chose to strategically increase discounts and incentives to encourage our existing buyer base to shop with us, as consumers generally prioritize value in times of economic uncertainty. The presence or absence of government stimulus funding programs, however, has had and may continue to have an impact on consumer discretionary spending and, consequently, purchases through our marketplace site. Without timely and robust government stimulus funding programs, consumers would have less money to spend on apparel, which could harm our business, results of operations and financial condition. We are also impacted by the overall decrease in spending in the apparel sector during the pandemic as COVID-19 is still having an effect on consumers. In connection with this reduced social activity, the shift to wear-at-home clothing has also meant that some popular secondhand categories sold on thredUP, such as dresses and shoes, have been less in-demand than pre-COVID-19 pandemic levels, which affects our business, results of operations and financial condition.</w:t>
      </w:r>
    </w:p>
    <w:p>
      <w:pPr>
        <w:spacing w:after="0" w:line="146"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Further, 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 Our ability to receive supply and for our buyers to receive items on a timely basis may be negatively affected by many events outside of our control including, inclement weather, public health crises such as the COVID-19 pandemic, governmental regulations, labor disputes, macro supply chain issues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7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Additionally, the COVID-19 pandemic and the resulting shelter-in-place orders throughout the country have disproportionately affected women, our predominant buyer demographic. If women are not able to economically recover from the impact of COVID-19, our business, results of operations and financial condition could be adversely impacted.</w:t>
      </w:r>
    </w:p>
    <w:p>
      <w:pPr>
        <w:spacing w:after="0" w:line="141"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Further, developing various responses to the challenges caused by COVID-19 and its effects has and may continue to divert the attention of our management team. In the future, we may need to temporarily 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44"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The continued scope and duration of the COVID-19 pandemic, whether additional actions may be taken to contain the virus, the impact on our buyers, sellers and RaaS clients, the speed and extent to which markets fully recover from the disruptions caused by the COVID-19 pandemic, and the impact of these factors on our business, will depend on future developments that are highly uncertain and cannot be predicted with precision. In addition, to the extent COVID-19 adversely affects our operations and global economic conditions more generally, it may heighten other risks disclosed in this report.</w:t>
      </w:r>
    </w:p>
    <w:p>
      <w:pPr>
        <w:spacing w:after="0" w:line="145"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Public health concerns, such as COVID-19, could also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Operations—COVID-19 Impact” for additional information about the impact of COVID-19 on our business.</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experience damage or destruction to our distribution centers in which we store all of the secondhand items we offer through our marketplace, which may harm our business, results of operations and financial condition.</w:t>
      </w:r>
    </w:p>
    <w:p>
      <w:pPr>
        <w:spacing w:after="0" w:line="117"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We store the majority of the secondhand items we offer through our marketplace in our current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29" w:lineRule="exact"/>
        <w:rPr>
          <w:sz w:val="20"/>
          <w:szCs w:val="20"/>
          <w:color w:val="auto"/>
        </w:rPr>
      </w:pPr>
    </w:p>
    <w:p>
      <w:pPr>
        <w:jc w:val="both"/>
        <w:ind w:firstLine="305"/>
        <w:spacing w:after="0" w:line="268" w:lineRule="auto"/>
        <w:rPr>
          <w:sz w:val="20"/>
          <w:szCs w:val="20"/>
          <w:color w:val="auto"/>
        </w:rPr>
      </w:pPr>
      <w:r>
        <w:rPr>
          <w:rFonts w:ascii="Arial" w:cs="Arial" w:eastAsia="Arial" w:hAnsi="Arial"/>
          <w:sz w:val="16"/>
          <w:szCs w:val="16"/>
          <w:color w:val="auto"/>
        </w:rPr>
        <w:t>Additionally, given the nature of the unique selection of secondhand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 For example, in March 2020 due to the progression of COVID-19 in areas where we operate distribution centers and have corporate offices, we reduced operations at our distribution centers and temporarily closed our corporate offices to slow the spread of COVID-19 and protect our employees. Such reductions in operations and closures have slowed and may in the future slow or temporarily halt our operations and harm our business, results of operations and financial condition.</w:t>
      </w:r>
    </w:p>
    <w:p>
      <w:pPr>
        <w:spacing w:after="0" w:line="131"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Further, while we carry insurance for the secondhand items in our distribution centers, the number of carriers which provide for such insurance has declined, which has resulted in increased premiums and deductibles. The insurance we do carry may not continue to be available on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 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advertising activity and strategic RaaS offerings may fail to efficiently drive growth in buyers and sellers, which could harm our business, results of operations and financial condition.</w:t>
      </w:r>
    </w:p>
    <w:p>
      <w:pPr>
        <w:spacing w:after="0" w:line="11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spacing w:after="0" w:line="141" w:lineRule="exact"/>
        <w:rPr>
          <w:sz w:val="20"/>
          <w:szCs w:val="20"/>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determine the effective creative message and media mix for advertising, marketing and promotional expenditures;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select the right markets, media and specific media vehicles in which to advertise;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 the most effective and efficient level of spending in each market, media and specific media vehicle; 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expenses, to maintain acceptable buyer and seller acquisition costs.</w:t>
      </w:r>
    </w:p>
    <w:p>
      <w:pPr>
        <w:spacing w:after="0" w:line="16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44"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29"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have invested and expect to continue to invest significant time and resources into our RaaS offerings and our RaaS clients include national retail stores, premium women’s fashion brands, fashion-focused e-commerce sites and marketplaces for the buying and selling of secondhand items. We maintain a robust and varied set of RaaS offerings including provision of our Clean Out Kits at our RaaS clients’ retail stores, our cash out marketplace offering, white-label resale shops, the resale of worn retail items provided to us by our RaaS clients and cross-listing our products on our RaaS clients’ websites. See the section titled “Business—The thredUP Product Experience—For Resale-as-a-Service (RaaS) Clients” included in our registration statement on Form S-1 filed with the SEC on July 26, 2021 for additional information about our RaaS clients and RaaS offerings. To grow our business and build out our marketplace,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14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The effectiveness of some of these RaaS offerings was also disrupted by the COVID-19 pandemic and associated shelter-in-place orders. Further, if the retail industry suffers in general, there may be fewer customers visiting our RaaS clients’ retail stores and buying secondhand items in our pop-up shops, our RaaS clients may discontinue our pop-ups and white-label resale shops in an effort to cut back newer partnerships and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succeed in promoting and maintaining our brand and reputation, which could harm our business and future growth.</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We believe that maintaining our brand and reputation is critical to driving buyer and seller engagement. An important goal of our brand promotion strategy is establishing trust with our buyers and sellers.</w:t>
      </w:r>
    </w:p>
    <w:p>
      <w:pPr>
        <w:spacing w:after="0" w:line="13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 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Future acquisitions, strategic investments, partnerships or alliances could be difficult to identify and integrate, divert the attention of key management personnel, disrupt our business, dilute stockholder value and harm our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have in the past and may in the future seek to acquire businesses, products or technologies that we believe could complement our business,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Any acquisition, investment or business relationship may result in unforeseen operating difficulties and expenditures. In addition, we have limited experience in acquiring other businesses.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4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may not be able to find and identify desirable acquisition targets or we may not be successful in entering into an agreement with any one target. Acquisitions could also result in dilutive issuances of equity securities or the incurrence of debt, which could harm our results of operations. In addition,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acquired business fails to meet our expectations, our business, results of operations and financial condition may suffer.</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Integrating Remix with our business may be more difficult, costly or time-consuming than expected, and we may not realize the expected benefits of the Remix Acquisition, which may adversely affect our business,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If we experience greater than anticipated costs to integrate, or are not able to successfully integrate, Remix into our existing operations, we may not be able to achieve the anticipated benefits of the Remix Acquisition, including growth opportunities. Even if the integration of Remix’s business is successful, we may not realize all of the anticipated benefits of the Remix Acquisition in the time frame anticipated, or at all. For example, events outside our control, such as changes in laws and regulations, as well as economic trends, including as a result of the COVID-19 pandemic, could adversely affect our ability to realize the expected benefits from the Remix Acquisition. Further, upon the closing of the Remix Acquisition, we became subject to additional laws and regulations, including those in the EEA, such as GDPR. Compliance with such laws and regulations will require resources and could be more costly and take more time than we anticipate, which could adversely affect our business.</w:t>
      </w:r>
    </w:p>
    <w:p>
      <w:pPr>
        <w:spacing w:after="0" w:line="14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An inability to realize the full extent of the anticipated benefits of the Remix Acquisition, as well as any delays encountered in the integration process, could have an adverse effect upon our business, revenue, operating expenses, results of operations and financial condition. In addition, it is possible that the integration process could result in the disruption of our ongoing business or inconsistencies in standards, controls, procedures and policies that may adversely affect our ability to maintain relationships with our buyers and RaaS clients or to achieve the anticipated benefits of the Remix Acquisition. Integration efforts also may divert management attention and resources. For all of these reasons, we may not be able to achieve the anticipated benefits of the Remix Acquisition, which could adversely affect our business, results of operations and financial condition and could cause the price of our Class A common stock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Remix may have liabilities that are not known to us.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Remix may have liabilities that we failed, or were unable, to discover in the course of performing our due diligence investigations in connection with the Remix Acquisition. Following the completion of the Remix Acquisition, we may learn additional information about Remix that materially and adversely affects us and Remix, such as unknown or contingent liabilities and liabilities related to compliance with applicable laws and regulations. Even if we were able to seek an indemnification claim under the Share Purchase Agreement for such liabilities, we may not be able to fully recover our potential losses. Any such liabilities, individually or in the aggregate, could have an adverse effect on our business, results of operations and financial condition.</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 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predict the evolving preferences of our buyers and sellers, it could harm our business, results of operations and financial condition.</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Certain estimates of our buyer metrics included in this Quarterly Report on Form 10-Q may prove to be inaccurate, and any real or perceived inaccuracies may harm our reputation and negatively affect our business.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Certain metrics presented in this Quarterly Report on Form 10-Q,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Greater than expected returns could have a negative impact on our revenue.</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allow buyers to return certain purchases from our website and mobile application under our return policy. We record a reserve for returns against proceeds to us from the resale of secondhand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 our marketplace. Any significant increase in returns that exceeds our reserves could adversely affect our revenue and results of operations.</w:t>
      </w:r>
    </w:p>
    <w:p>
      <w:pPr>
        <w:spacing w:after="0" w:line="12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95"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success depends on our ability to accurately and cost-effectively determine whether a secondhand item offered for resale is an authentic product. From time to time we receive counterfeit secondhand items through our sellers. While we have invested in our authentication processes and we reject any retail items we believe to be counterfeit, we cannot be certain that we will identify every counterfeit item that is supplied to us. As the sophistication of counterfeiters increases, it may be increasingly difficult to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Such controversy could negatively impact our reputation and brand and harm our business and results of operations.</w:t>
      </w:r>
    </w:p>
    <w:p>
      <w:pPr>
        <w:spacing w:after="0" w:line="14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Information Technology, Intellectual Property, Data Security and Privacy</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Compromises of our data security could cause us to incur unexpected expenses and may materially harm our reputation and results of operations.</w:t>
      </w:r>
    </w:p>
    <w:p>
      <w:pPr>
        <w:spacing w:after="0" w:line="117"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attacks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5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145"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13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collect, maintain and otherwise process significant amounts of personal information and other data relating to our buyers, sellers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(the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(the “CPRA”). The CPRA creates additional 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Additionally, the CCPA has prompted other states to propose and enact similar laws and regulations relating to privacy. For example, in March 2021, Virginia enacted the Virginia Consumer Data Protection Act (the “CDPA”), which becomes effective on January 1, 2023, and on June 8, 2021,</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Colorado enacted the Colorado Privacy Act (the “CPA”), which takes effect on July 1, 2023. The CDPA and CPA share similarities with the CCPA, the CPRA, and legislation proposed in other states. Aspects of the CCPA, CPRA, CDPA, and CPA, and their interpretation, remain unclear, and we cannot yet fully predict the impact of these laws or regulations on our business or operations.</w:t>
      </w:r>
    </w:p>
    <w:p>
      <w:pPr>
        <w:spacing w:after="0" w:line="141" w:lineRule="exact"/>
        <w:rPr>
          <w:sz w:val="20"/>
          <w:szCs w:val="20"/>
          <w:color w:val="auto"/>
        </w:rPr>
      </w:pPr>
    </w:p>
    <w:p>
      <w:pPr>
        <w:jc w:val="both"/>
        <w:ind w:firstLine="305"/>
        <w:spacing w:after="0" w:line="296" w:lineRule="auto"/>
        <w:rPr>
          <w:sz w:val="20"/>
          <w:szCs w:val="20"/>
          <w:color w:val="auto"/>
        </w:rPr>
      </w:pPr>
      <w:r>
        <w:rPr>
          <w:rFonts w:ascii="Arial" w:cs="Arial" w:eastAsia="Arial" w:hAnsi="Arial"/>
          <w:sz w:val="17"/>
          <w:szCs w:val="17"/>
          <w:color w:val="auto"/>
        </w:rPr>
        <w:t>Further, as our operations expand internationally, including in connection with the Remix Acquisition, we may become subject to additional laws and regulations relating to privacy and data protection. Foreign laws and regulations relating to privacy and data protection often are more restrictive</w:t>
      </w:r>
    </w:p>
    <w:p>
      <w:pPr>
        <w:jc w:val="both"/>
        <w:spacing w:after="0" w:line="258" w:lineRule="auto"/>
        <w:rPr>
          <w:sz w:val="20"/>
          <w:szCs w:val="20"/>
          <w:color w:val="auto"/>
        </w:rPr>
      </w:pPr>
      <w:r>
        <w:rPr>
          <w:rFonts w:ascii="Arial" w:cs="Arial" w:eastAsia="Arial" w:hAnsi="Arial"/>
          <w:sz w:val="17"/>
          <w:szCs w:val="17"/>
          <w:color w:val="auto"/>
        </w:rPr>
        <w:t>than those in the United States. Regulatory authorities in the European Economic Area (the “EEA”), for example, traditionally have imposed stricter obligations under laws and regulations relating to privacy and data protection than the United States. In May 2018, the European Union’s regulation</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governing data practices and privacy called the General Data Protection Regulation (“GDPR”), became effective. The GDPR requires companies to meet stringent requirements regarding the handling of personal data of individuals in the EEA. The GDPR provides for substantial penalties for non-</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compliance, which may result in monetary penalties of up to 20 million Euros or 4% of a company’s worldwide turnover, whichever is greater. Aspects of data protection laws and regulations in the EEA, including those relating to cross-border data transfer and the use of cookies, are evolving rapidly</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and remain subject to substantial uncertainty. Additionally, outside of the EEA, many countries and territories have laws, regulations, or other requirements relating to privacy, data protection, information security, and localized storage of data, and new countries and territories are adopting</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such legislation or other obligations with increasing frequency. There is no harmonized approach to these laws and regulations globally. Consequently, international expansion, including in connection with the Remix Acquisition, increases our risk of non-compliance with applicable foreign data protection laws and regulations.</w:t>
      </w:r>
    </w:p>
    <w:p>
      <w:pPr>
        <w:spacing w:after="0" w:line="21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Future requirements, or changes in the interpretation of existing requirements, relating to privacy, data protection and information security may require us to implement privacy and security policies, provide certain types of notices, grant certain rights to individuals, inform individuals of security breaches, and, in some cases, obtain individuals’ consent to use personal data for certain purposes.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spacing w:after="0" w:line="222"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225"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45"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currently host our marketplace and support our operations using Amazon Web Services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 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Activity on mobile devices by buyers and sellers depends upon effective use of mobile operating systems, networks and standards that we do not control.</w:t>
      </w:r>
    </w:p>
    <w:p>
      <w:pPr>
        <w:spacing w:after="0" w:line="117"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accused of infringing intellectual property or other proprietary rights of third parties.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protect our intellectual property, our business could suffer.</w:t>
      </w:r>
    </w:p>
    <w:p>
      <w:pPr>
        <w:spacing w:after="0" w:line="180"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5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cannot assure you that we could license that technology on commercially reasonable terms or at all, and our inability to license this technology could harm our ability to compete.</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use open source software in our marketplace, which could negatively affect our ability to operate our business and subject us to litigation or other actions.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146"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 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132"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 could impair our ability to provide access to our marketplace. Fire, flood, power loss, telecommunications failure, hurricanes, tornadoes, earthquakes, other natural disasters, acts of war or terrorism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Legal, Regulatory, Accounting and Tax Matters</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connection with the audits of our 2018, 2019 and 2020 consolidated financial statements,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Our material weakness related to the following control deficiencies:</w:t>
      </w:r>
    </w:p>
    <w:p>
      <w:pPr>
        <w:spacing w:after="0" w:line="145" w:lineRule="exact"/>
        <w:rPr>
          <w:sz w:val="20"/>
          <w:szCs w:val="20"/>
          <w:color w:val="auto"/>
        </w:rPr>
      </w:pPr>
    </w:p>
    <w:p>
      <w:pPr>
        <w:jc w:val="both"/>
        <w:ind w:left="620" w:hanging="314"/>
        <w:spacing w:after="0" w:line="254"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70" w:lineRule="exact"/>
        <w:rPr>
          <w:sz w:val="20"/>
          <w:szCs w:val="20"/>
          <w:color w:val="auto"/>
        </w:rPr>
      </w:pPr>
    </w:p>
    <w:p>
      <w:pPr>
        <w:ind w:left="620"/>
        <w:spacing w:after="0" w:line="258" w:lineRule="auto"/>
        <w:rPr>
          <w:sz w:val="20"/>
          <w:szCs w:val="20"/>
          <w:color w:val="auto"/>
        </w:rPr>
      </w:pPr>
      <w:r>
        <w:rPr>
          <w:rFonts w:ascii="Arial" w:cs="Arial" w:eastAsia="Arial" w:hAnsi="Arial"/>
          <w:sz w:val="17"/>
          <w:szCs w:val="17"/>
          <w:color w:val="auto"/>
        </w:rPr>
        <w:t>and data changes affecting financial accounting applications and underlying accounting records are identified, tested, authorized and implemented appropriately.</w:t>
      </w:r>
    </w:p>
    <w:p>
      <w:pPr>
        <w:spacing w:after="0" w:line="138" w:lineRule="exact"/>
        <w:rPr>
          <w:sz w:val="20"/>
          <w:szCs w:val="20"/>
          <w:color w:val="auto"/>
        </w:rPr>
      </w:pPr>
    </w:p>
    <w:p>
      <w:pPr>
        <w:jc w:val="both"/>
        <w:ind w:left="620" w:hanging="314"/>
        <w:spacing w:after="0" w:line="25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1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4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If we fail to remediate our material weakness, identify future material weaknesses in our internal control over financial reporting or fail to meet the demands that have been placed upon us as a public company, including the requirements of the Sarbanes-Oxley Act of 2002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 methods and capabilities, affect our growth, increase costs or subject us to additional liabilities. In addition, if we were to expand internationally, we would be subject to additional regulation.</w:t>
      </w:r>
    </w:p>
    <w:p>
      <w:pPr>
        <w:spacing w:after="0" w:line="14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4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 resale of secondhand items through our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U.S.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146"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Numerous U.S.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17"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alleged theft of our buyers’ and sellers’ credit or debit card information if the security of our third-party credit card payment processors are breached.</w:t>
      </w:r>
    </w:p>
    <w:p>
      <w:pPr>
        <w:spacing w:after="0" w:line="16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41"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4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7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As litigation is inherently unpredictable, we cannot assure you that any potential claims or disputes will not harm our business, results of operations and financial condition.</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are subject to anti-corruption and anti-bribery and similar laws, such as the U.S. Foreign Corrupt Practices Act of 1977, as amended (the “FCPA”), the U.S. domestic bribery statute contained in 18 U.S.C. § 201, the U.S. Travel Act, the USA PATRIOT Act, and are subject to similar anti-corruption and anti-bribery laws to the extent of the international expansion of our operations.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and our expansion into Europe in connection with the Remix Acquisition, our risks under these laws would increase.</w:t>
      </w:r>
    </w:p>
    <w:p>
      <w:pPr>
        <w:spacing w:after="0" w:line="148"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44"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Labor-related matters, including labor disputes, may adversely affect our operations.</w:t>
      </w:r>
    </w:p>
    <w:p>
      <w:pPr>
        <w:spacing w:after="0" w:line="180"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44"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 regulate our business, including the U.S. Equal Employment Opportunity Commission. Often these cases raise complex factual and legal issues and create risks and uncertainties.</w:t>
      </w:r>
    </w:p>
    <w:p>
      <w:pPr>
        <w:spacing w:after="0" w:line="145"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In January 2021, we filed an Illinois Worker Adjustment and Retraining Notification Act notice related to our plan to close our Illinois distribution center (DC03) and reduce our workforce. The closure of DC03 could give rise to additional employment law-related claims and litigation,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117" w:lineRule="exact"/>
        <w:rPr>
          <w:sz w:val="20"/>
          <w:szCs w:val="20"/>
          <w:color w:val="auto"/>
        </w:rPr>
      </w:pPr>
    </w:p>
    <w:p>
      <w:pPr>
        <w:jc w:val="both"/>
        <w:ind w:firstLine="305"/>
        <w:spacing w:after="0" w:line="235" w:lineRule="auto"/>
        <w:rPr>
          <w:sz w:val="20"/>
          <w:szCs w:val="20"/>
          <w:color w:val="auto"/>
        </w:rPr>
      </w:pPr>
      <w:r>
        <w:rPr>
          <w:rFonts w:ascii="Arial" w:cs="Arial" w:eastAsia="Arial" w:hAnsi="Arial"/>
          <w:sz w:val="17"/>
          <w:szCs w:val="17"/>
          <w:color w:val="auto"/>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and remediate a material weakness in our internal control over financial reporting. For example,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w:t>
      </w:r>
      <w:r>
        <w:rPr>
          <w:rFonts w:ascii="Arial" w:cs="Arial" w:eastAsia="Arial" w:hAnsi="Arial"/>
          <w:sz w:val="18"/>
          <w:szCs w:val="18"/>
          <w:color w:val="auto"/>
        </w:rPr>
        <w:t>o</w:t>
      </w:r>
      <w:r>
        <w:rPr>
          <w:rFonts w:ascii="Arial" w:cs="Arial" w:eastAsia="Arial" w:hAnsi="Arial"/>
          <w:sz w:val="17"/>
          <w:szCs w:val="17"/>
          <w:color w:val="auto"/>
        </w:rPr>
        <w:t>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r>
        <w:rPr>
          <w:rFonts w:ascii="Arial" w:cs="Arial" w:eastAsia="Arial" w:hAnsi="Arial"/>
          <w:sz w:val="18"/>
          <w:szCs w:val="18"/>
          <w:color w:val="auto"/>
        </w:rPr>
        <w:t>”</w:t>
      </w:r>
    </w:p>
    <w:p>
      <w:pPr>
        <w:spacing w:after="0" w:line="21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required to pay or collect sales taxes in jurisdictions in which we do not currently do so, with respect to past or future sales.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adversely affect our business and results of operations.</w:t>
      </w:r>
    </w:p>
    <w:p>
      <w:pPr>
        <w:spacing w:after="0" w:line="16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2018, the Supreme Court of the United States ruled in South Dakota v. Wayfair, Inc. et al.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or adverse application of existing tax laws could increase our costs and harm our business.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4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We have incurred substantial net operating losses (“NOLs”) during our history. Subject to the limitations described below, unused NOLs generally may carry forward to offset future taxable income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achieve profitability in the future, unless such NOLs expire under applicable tax laws. However, under the rules of Sections 382 of the Internal Revenue Code of 1986, as amended,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To date, we have not undertaken an analysis of whether we have experienced a change of control that would limit our ability to use our NOLs. As a result of these rules, in the event that it is determined that we have experienced an ownership change in the past, or if we experience one or more ownership changes as a result of future transactions in our stock, then we may be limited in our ability to use our NOL carryforwards to offset our future taxable income, if any. In addition, under the Tax Cuts and Jobs Act (the “Tax Act”), as modified by the Coronavirus Aid, Relief, and Economic Security Act, the amount of post 2017 net operating losses that we are permitted to deduct in any taxable year is limited to 80% of our taxable income in such year for taxable years beginning after December 31, 2020, where taxable income is determined without regard to the net operating loss deduction itself, and such NOLs may be carried forward indefinitely. Further, NOLs arising in taxable years beginning after December 31, 2020 cannot be carried back. Our NOLs may also be subject to limitations under state law. For example, California recently enacted legislation suspending the use of NOLs for taxable years 2020, 2021 and 2022 for many taxpayers. For these reasons, we may not be able to realize a tax benefit from the use of our net operating losses, whether or not we attain profitability.</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17"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38" w:lineRule="exact"/>
        <w:rPr>
          <w:sz w:val="20"/>
          <w:szCs w:val="20"/>
          <w:color w:val="auto"/>
        </w:rPr>
      </w:pPr>
    </w:p>
    <w:p>
      <w:pPr>
        <w:ind w:left="620" w:hanging="314"/>
        <w:spacing w:after="0" w:line="258"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 being required to have our independent registered public accounting firm audit our internal control over financial reporting under Section 404 of the Sarbanes-Oxley Act;</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38" w:lineRule="exact"/>
        <w:rPr>
          <w:sz w:val="20"/>
          <w:szCs w:val="20"/>
          <w:color w:val="auto"/>
        </w:rPr>
      </w:pPr>
    </w:p>
    <w:p>
      <w:pPr>
        <w:ind w:firstLine="305"/>
        <w:spacing w:after="0" w:line="258" w:lineRule="auto"/>
        <w:rPr>
          <w:sz w:val="20"/>
          <w:szCs w:val="20"/>
          <w:color w:val="auto"/>
        </w:rPr>
      </w:pPr>
      <w:r>
        <w:rPr>
          <w:rFonts w:ascii="Arial" w:cs="Arial" w:eastAsia="Arial" w:hAnsi="Arial"/>
          <w:sz w:val="17"/>
          <w:szCs w:val="17"/>
          <w:color w:val="auto"/>
        </w:rPr>
        <w:t>We could be an emerging growth company for up to five years following the completion of the IPO. Our status as an emerging growth company will end as soon as any of the following takes place:</w:t>
      </w:r>
    </w:p>
    <w:p>
      <w:pPr>
        <w:spacing w:after="0" w:line="138" w:lineRule="exact"/>
        <w:rPr>
          <w:sz w:val="20"/>
          <w:szCs w:val="20"/>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last day of the fiscal year in which we have more than $1.07 billion in annual revenue;</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 million of equity securities held by non-affiliates;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last day of the fiscal year ending after the fifth anniversary of the completion of the IPO.</w:t>
      </w:r>
    </w:p>
    <w:p>
      <w:pPr>
        <w:spacing w:after="0" w:line="16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market for our Class A common stock and the market price of our Class A common stock may be more volatile.</w:t>
      </w:r>
    </w:p>
    <w:p>
      <w:pPr>
        <w:spacing w:after="0" w:line="160"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firstLine="2"/>
        <w:spacing w:after="0" w:line="258" w:lineRule="auto"/>
        <w:tabs>
          <w:tab w:leader="none" w:pos="2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 and Liquidity</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or may be available only by diluting existing stockholders.</w:t>
      </w:r>
    </w:p>
    <w:p>
      <w:pPr>
        <w:spacing w:after="0" w:line="117"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48" w:lineRule="exact"/>
        <w:rPr>
          <w:sz w:val="20"/>
          <w:szCs w:val="20"/>
          <w:color w:val="auto"/>
        </w:rPr>
      </w:pPr>
    </w:p>
    <w:p>
      <w:pPr>
        <w:ind w:left="600" w:hanging="294"/>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 our marketplace services;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 our categories of secondhand items;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enhance our operating infrastructure; and</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 the markets in which we operate and potentially acquire complementary businesses and technologies.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132"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70"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an amendment to the loan and security agreement in May 2020, the existing covenant defaults were waived and the covenants were revised to increase minimum cash and liquidity requirements, extend the timing of debt service requirements and add specific net revenue targets and revenue growth requirements. As part of a further amendment to the loan and security agreement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was satisfied by the IPO. While we were in compliance with the revised covenants as of September 30, 2021,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Ownership of Our Class A Common Stock</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market price of our Class A common stock may be volatile or may decline regardless of our operating performance. You may lose all or part of your investment.</w:t>
      </w:r>
    </w:p>
    <w:p>
      <w:pPr>
        <w:spacing w:after="0" w:line="11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Prior to our IPO, there was no public market for shares of our Class A common stock. The market prices of the securities of other newly public companies have historically been highly volatile. The market price of our Class A common stock may fluctuate significantly in response to numerous factors, many of which are beyond our control, including:</w:t>
      </w:r>
    </w:p>
    <w:p>
      <w:pPr>
        <w:spacing w:after="0" w:line="141" w:lineRule="exact"/>
        <w:rPr>
          <w:sz w:val="20"/>
          <w:szCs w:val="20"/>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overall performance of the equity markets and/or publicly-listed technology and retail companies;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or other operating metrics;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actual or anticipated operating performance and the operating performance of our competitors;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financial projections we provide to the public or our failure to meet those projections;</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economy as a whole and market conditions in our industry;</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innovations, new services, features or capabilities, acquisitions, strategic partnerships or investments, joint ventures or 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70" w:lineRule="exact"/>
        <w:rPr>
          <w:sz w:val="20"/>
          <w:szCs w:val="20"/>
          <w:color w:val="auto"/>
        </w:rPr>
      </w:pPr>
    </w:p>
    <w:p>
      <w:pPr>
        <w:ind w:left="620" w:hanging="314"/>
        <w:spacing w:after="0" w:line="25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 including those related to data privacy and cyber security;</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perceived data privacy and cybersecurity incidents impacting us or others in our industry;</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major change in our board of directors, management or key personnel;</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costs and timing of expenses related to the acquisition of businesses, talent, technologies or intellectual property, including potentially significant amortization costs and possible write-downs;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pandemics (including the COVID-19 pandemic), elections or responses to these events;</w:t>
      </w:r>
    </w:p>
    <w:p>
      <w:pPr>
        <w:spacing w:after="0" w:line="138"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investors or securities analysts view our stock structure unfavorably, particularly our dual-class structure and the significant voting control of our executive officers, directors and their affiliates; and</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of additional shares of our Class A common stock by us or our stockholders.</w:t>
      </w:r>
    </w:p>
    <w:p>
      <w:pPr>
        <w:spacing w:after="0" w:line="16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45"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41"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September 30, 2021, the holders of shares of our Class B common stock collectively owned shares representing approximately 95.2% of the voting power of our outstanding capital stock, and our directors, executive officers and their affiliates beneficially owned in the aggregate 68.2% of the voting 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March 30, 2028, when all outstanding shares of Class A common stock and Class B common stock will convert automatically into shares of a single class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effect our dual-class structure may have on the market price of our Class A common stock.</w:t>
      </w:r>
    </w:p>
    <w:p>
      <w:pPr>
        <w:spacing w:after="0" w:line="180" w:lineRule="exact"/>
        <w:rPr>
          <w:sz w:val="20"/>
          <w:szCs w:val="20"/>
          <w:color w:val="auto"/>
        </w:rPr>
      </w:pPr>
    </w:p>
    <w:p>
      <w:pPr>
        <w:jc w:val="both"/>
        <w:ind w:firstLine="305"/>
        <w:spacing w:after="0" w:line="249" w:lineRule="auto"/>
        <w:rPr>
          <w:sz w:val="20"/>
          <w:szCs w:val="20"/>
          <w:color w:val="auto"/>
        </w:rPr>
      </w:pPr>
      <w:r>
        <w:rPr>
          <w:rFonts w:ascii="Arial" w:cs="Arial" w:eastAsia="Arial" w:hAnsi="Arial"/>
          <w:sz w:val="17"/>
          <w:szCs w:val="17"/>
          <w:color w:val="auto"/>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publish inaccurate or unfavorable research, about our business, the price of our Class A common stock and trading volume could be adversely affected.</w:t>
      </w:r>
    </w:p>
    <w:p>
      <w:pPr>
        <w:spacing w:after="0" w:line="117"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few securities analysts provide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sales might occur, could cause the market price of our Class A common stock to decline.</w:t>
      </w:r>
    </w:p>
    <w:p>
      <w:pPr>
        <w:spacing w:after="0" w:line="11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September 30, 2021, we had outstanding a total of 32,534,812 shares of Class A common stock and 64,793,229 shares of Class B common stock.</w:t>
      </w:r>
    </w:p>
    <w:p>
      <w:pPr>
        <w:spacing w:after="0" w:line="141"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Sales of a substantial number of shares or the perception that such sales may occur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spacing w:after="0" w:line="141"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In addition, as of September 30, 2021, we had 20,795,697 options outstanding that, if fully exercised, would result in the issuance of shares of Class B common stock. All of the shares of Class B common stock issuable upon the exercise of stock options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45"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As of September 30, 2021, the holders of up to 64,793,229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117"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could depress the trading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spacing w:after="0" w:line="141" w:lineRule="exact"/>
        <w:rPr>
          <w:sz w:val="20"/>
          <w:szCs w:val="20"/>
          <w:color w:val="auto"/>
        </w:rPr>
      </w:pPr>
    </w:p>
    <w:p>
      <w:pPr>
        <w:ind w:left="600" w:hanging="294"/>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our board of directors is classified into three classes of directors with staggered three-year terms;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permit our board of directors to establish the number of directors and fill any vacancies and newly-created directorships;</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amended and restated bylaws;</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only the Chairperson of our board of directors, our Chief Executive Officer, President or a majority of our board of directors is authorized to call a special meeting of stockholders;</w:t>
      </w:r>
    </w:p>
    <w:p>
      <w:pPr>
        <w:spacing w:after="0" w:line="138" w:lineRule="exact"/>
        <w:rPr>
          <w:rFonts w:ascii="Arial" w:cs="Arial" w:eastAsia="Arial" w:hAnsi="Arial"/>
          <w:sz w:val="17"/>
          <w:szCs w:val="17"/>
          <w:color w:val="auto"/>
        </w:rPr>
      </w:pPr>
    </w:p>
    <w:p>
      <w:pPr>
        <w:jc w:val="both"/>
        <w:ind w:left="620" w:hanging="314"/>
        <w:spacing w:after="0" w:line="252"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3" w:lineRule="exact"/>
        <w:rPr>
          <w:rFonts w:ascii="Arial" w:cs="Arial" w:eastAsia="Arial" w:hAnsi="Arial"/>
          <w:sz w:val="17"/>
          <w:szCs w:val="17"/>
          <w:color w:val="auto"/>
        </w:rPr>
      </w:pPr>
    </w:p>
    <w:p>
      <w:pPr>
        <w:ind w:left="600" w:hanging="294"/>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approve, alter or repeal our bylaws; and</w:t>
      </w:r>
    </w:p>
    <w:p>
      <w:pPr>
        <w:spacing w:after="0" w:line="159" w:lineRule="exact"/>
        <w:rPr>
          <w:rFonts w:ascii="Arial" w:cs="Arial" w:eastAsia="Arial" w:hAnsi="Arial"/>
          <w:sz w:val="17"/>
          <w:szCs w:val="17"/>
          <w:color w:val="auto"/>
        </w:rPr>
      </w:pPr>
    </w:p>
    <w:p>
      <w:pPr>
        <w:ind w:left="620" w:hanging="314"/>
        <w:spacing w:after="0" w:line="258"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advance notice requirements for nominations for election to our board of directors or for proposing matters that can be acted upon by stockholders at annual stockholder meetings.</w:t>
      </w:r>
    </w:p>
    <w:p>
      <w:pPr>
        <w:spacing w:after="0" w:line="13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spacing w:after="0" w:line="117"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spacing w:after="0" w:line="138" w:lineRule="exact"/>
        <w:rPr>
          <w:sz w:val="20"/>
          <w:szCs w:val="20"/>
          <w:color w:val="auto"/>
        </w:rPr>
      </w:pPr>
    </w:p>
    <w:p>
      <w:pPr>
        <w:ind w:left="600" w:hanging="294"/>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59" w:lineRule="exact"/>
        <w:rPr>
          <w:rFonts w:ascii="Arial" w:cs="Arial" w:eastAsia="Arial" w:hAnsi="Arial"/>
          <w:sz w:val="17"/>
          <w:szCs w:val="17"/>
          <w:color w:val="auto"/>
        </w:rPr>
      </w:pPr>
    </w:p>
    <w:p>
      <w:pPr>
        <w:ind w:left="600" w:hanging="294"/>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 owed by any of our directors, officers or other employees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70" w:lineRule="exact"/>
        <w:rPr>
          <w:sz w:val="20"/>
          <w:szCs w:val="20"/>
          <w:color w:val="auto"/>
        </w:rPr>
      </w:pPr>
    </w:p>
    <w:p>
      <w:pPr>
        <w:ind w:left="620" w:hanging="314"/>
        <w:spacing w:after="0" w:line="258"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the Delaware General Corporation Law, our amended and restated certificate of incorporation or our amended and restated bylaws; or</w:t>
      </w:r>
    </w:p>
    <w:p>
      <w:pPr>
        <w:spacing w:after="0" w:line="138" w:lineRule="exact"/>
        <w:rPr>
          <w:rFonts w:ascii="Arial" w:cs="Arial" w:eastAsia="Arial" w:hAnsi="Arial"/>
          <w:sz w:val="17"/>
          <w:szCs w:val="17"/>
          <w:color w:val="auto"/>
        </w:rPr>
      </w:pPr>
    </w:p>
    <w:p>
      <w:pPr>
        <w:ind w:left="600" w:hanging="294"/>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 (the “Delaware Forum Provision”).</w:t>
      </w:r>
    </w:p>
    <w:p>
      <w:pPr>
        <w:spacing w:after="0" w:line="16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48"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132"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technical, operational and sales employees and contractors could harm our business. In addition, our future success will depend upon our ability to hire for key functions, such as engineering, data science and marketing, as well as distribution center employees. Such efforts will require significant time, expense and attention. Furthermore, oftentimes newly hired employees require significant training and time before they achieve full productivity.</w:t>
      </w:r>
    </w:p>
    <w:p>
      <w:pPr>
        <w:spacing w:after="0" w:line="148"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45" w:lineRule="exact"/>
        <w:rPr>
          <w:sz w:val="20"/>
          <w:szCs w:val="20"/>
          <w:color w:val="auto"/>
        </w:rPr>
      </w:pPr>
    </w:p>
    <w:p>
      <w:pPr>
        <w:jc w:val="both"/>
        <w:ind w:firstLine="305"/>
        <w:spacing w:after="0" w:line="235" w:lineRule="auto"/>
        <w:rPr>
          <w:sz w:val="20"/>
          <w:szCs w:val="20"/>
          <w:color w:val="auto"/>
        </w:rPr>
      </w:pPr>
      <w:r>
        <w:rPr>
          <w:rFonts w:ascii="Arial" w:cs="Arial" w:eastAsia="Arial" w:hAnsi="Arial"/>
          <w:sz w:val="17"/>
          <w:szCs w:val="17"/>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whose full salaries were restored in January 2021,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social media, emails and text messages may adversely impact our reputation or subject us to fines or other penalties.</w:t>
      </w:r>
    </w:p>
    <w:p>
      <w:pPr>
        <w:spacing w:after="0" w:line="180"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80"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17"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4" w:lineRule="exact"/>
        <w:rPr>
          <w:sz w:val="20"/>
          <w:szCs w:val="20"/>
          <w:color w:val="auto"/>
        </w:rPr>
      </w:pPr>
    </w:p>
    <w:p>
      <w:pPr>
        <w:jc w:val="both"/>
        <w:ind w:firstLine="305"/>
        <w:spacing w:after="0" w:line="25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7" w:lineRule="exact"/>
        <w:rPr>
          <w:sz w:val="20"/>
          <w:szCs w:val="20"/>
          <w:color w:val="auto"/>
        </w:rPr>
      </w:pPr>
    </w:p>
    <w:p>
      <w:pPr>
        <w:jc w:val="both"/>
        <w:ind w:firstLine="305"/>
        <w:spacing w:after="0" w:line="252" w:lineRule="auto"/>
        <w:rPr>
          <w:sz w:val="20"/>
          <w:szCs w:val="20"/>
          <w:color w:val="auto"/>
        </w:rPr>
      </w:pPr>
      <w:r>
        <w:rPr>
          <w:rFonts w:ascii="Arial" w:cs="Arial" w:eastAsia="Arial" w:hAnsi="Arial"/>
          <w:sz w:val="17"/>
          <w:szCs w:val="17"/>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4" w:lineRule="exact"/>
        <w:rPr>
          <w:sz w:val="20"/>
          <w:szCs w:val="20"/>
          <w:color w:val="auto"/>
        </w:rPr>
      </w:pPr>
    </w:p>
    <w:p>
      <w:pPr>
        <w:jc w:val="both"/>
        <w:ind w:firstLine="305"/>
        <w:spacing w:after="0" w:line="251" w:lineRule="auto"/>
        <w:rPr>
          <w:sz w:val="20"/>
          <w:szCs w:val="20"/>
          <w:color w:val="auto"/>
        </w:rPr>
      </w:pPr>
      <w:r>
        <w:rPr>
          <w:rFonts w:ascii="Arial" w:cs="Arial" w:eastAsia="Arial" w:hAnsi="Arial"/>
          <w:sz w:val="17"/>
          <w:szCs w:val="17"/>
          <w:color w:val="auto"/>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5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4" w:name="page85"/>
    <w:bookmarkEnd w:id="8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4840" w:type="dxa"/>
            <w:vAlign w:val="bottom"/>
            <w:gridSpan w:val="6"/>
          </w:tcPr>
          <w:p>
            <w:pPr>
              <w:ind w:left="20"/>
              <w:spacing w:after="0"/>
              <w:rPr>
                <w:sz w:val="20"/>
                <w:szCs w:val="20"/>
                <w:color w:val="auto"/>
              </w:rPr>
            </w:pPr>
            <w:r>
              <w:rPr>
                <w:rFonts w:ascii="Arial" w:cs="Arial" w:eastAsia="Arial" w:hAnsi="Arial"/>
                <w:sz w:val="17"/>
                <w:szCs w:val="17"/>
                <w:b w:val="1"/>
                <w:bCs w:val="1"/>
                <w:color w:val="auto"/>
              </w:rPr>
              <w:t>EXHIBITS.</w:t>
            </w:r>
          </w:p>
        </w:tc>
        <w:tc>
          <w:tcPr>
            <w:tcW w:w="1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00" w:type="dxa"/>
            <w:vAlign w:val="bottom"/>
          </w:tcPr>
          <w:p>
            <w:pPr>
              <w:jc w:val="center"/>
              <w:ind w:left="44"/>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Exhibit Title</w:t>
            </w:r>
          </w:p>
        </w:tc>
        <w:tc>
          <w:tcPr>
            <w:tcW w:w="1340" w:type="dxa"/>
            <w:vAlign w:val="bottom"/>
          </w:tcPr>
          <w:p>
            <w:pPr>
              <w:spacing w:after="0"/>
              <w:rPr>
                <w:sz w:val="24"/>
                <w:szCs w:val="24"/>
                <w:color w:val="auto"/>
              </w:rPr>
            </w:pPr>
          </w:p>
        </w:tc>
        <w:tc>
          <w:tcPr>
            <w:tcW w:w="28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Incorporation by Reference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jc w:val="center"/>
              <w:ind w:left="84"/>
              <w:spacing w:after="0" w:line="159" w:lineRule="exact"/>
              <w:rPr>
                <w:sz w:val="20"/>
                <w:szCs w:val="20"/>
                <w:color w:val="auto"/>
              </w:rPr>
            </w:pPr>
            <w:r>
              <w:rPr>
                <w:rFonts w:ascii="Arial" w:cs="Arial" w:eastAsia="Arial" w:hAnsi="Arial"/>
                <w:sz w:val="14"/>
                <w:szCs w:val="14"/>
                <w:b w:val="1"/>
                <w:bCs w:val="1"/>
                <w:color w:val="auto"/>
                <w:w w:val="97"/>
              </w:rPr>
              <w:t>Form</w:t>
            </w:r>
          </w:p>
        </w:tc>
        <w:tc>
          <w:tcPr>
            <w:tcW w:w="1660" w:type="dxa"/>
            <w:vAlign w:val="bottom"/>
          </w:tcPr>
          <w:p>
            <w:pPr>
              <w:ind w:left="620"/>
              <w:spacing w:after="0" w:line="159" w:lineRule="exact"/>
              <w:rPr>
                <w:sz w:val="20"/>
                <w:szCs w:val="20"/>
                <w:color w:val="auto"/>
              </w:rPr>
            </w:pPr>
            <w:r>
              <w:rPr>
                <w:rFonts w:ascii="Arial" w:cs="Arial" w:eastAsia="Arial" w:hAnsi="Arial"/>
                <w:sz w:val="14"/>
                <w:szCs w:val="14"/>
                <w:b w:val="1"/>
                <w:bCs w:val="1"/>
                <w:color w:val="auto"/>
              </w:rPr>
              <w:t>File No.</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Exhibit</w:t>
            </w: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700" w:type="dxa"/>
            <w:vAlign w:val="bottom"/>
          </w:tcPr>
          <w:p>
            <w:pPr>
              <w:ind w:left="20"/>
              <w:spacing w:after="0" w:line="176"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3"/>
          </w:tcPr>
          <w:p>
            <w:pPr>
              <w:spacing w:after="0" w:line="176" w:lineRule="exact"/>
              <w:rPr>
                <w:rFonts w:ascii="Arial" w:cs="Arial" w:eastAsia="Arial" w:hAnsi="Arial"/>
                <w:sz w:val="17"/>
                <w:szCs w:val="17"/>
                <w:color w:val="0000FF"/>
              </w:rPr>
            </w:pPr>
            <w:hyperlink r:id="rId95">
              <w:r>
                <w:rPr>
                  <w:rFonts w:ascii="Arial" w:cs="Arial" w:eastAsia="Arial" w:hAnsi="Arial"/>
                  <w:sz w:val="17"/>
                  <w:szCs w:val="17"/>
                  <w:color w:val="0000FF"/>
                </w:rPr>
                <w:t>Amended and Restated Certificate of Incorporation of the</w:t>
              </w:r>
            </w:hyperlink>
          </w:p>
        </w:tc>
        <w:tc>
          <w:tcPr>
            <w:tcW w:w="1340" w:type="dxa"/>
            <w:vAlign w:val="bottom"/>
          </w:tcPr>
          <w:p>
            <w:pPr>
              <w:jc w:val="center"/>
              <w:ind w:left="84"/>
              <w:spacing w:after="0" w:line="176" w:lineRule="exact"/>
              <w:rPr>
                <w:sz w:val="20"/>
                <w:szCs w:val="20"/>
                <w:color w:val="auto"/>
              </w:rPr>
            </w:pPr>
            <w:r>
              <w:rPr>
                <w:rFonts w:ascii="Arial" w:cs="Arial" w:eastAsia="Arial" w:hAnsi="Arial"/>
                <w:sz w:val="17"/>
                <w:szCs w:val="17"/>
                <w:color w:val="auto"/>
                <w:w w:val="98"/>
              </w:rPr>
              <w:t>S-1</w:t>
            </w:r>
          </w:p>
        </w:tc>
        <w:tc>
          <w:tcPr>
            <w:tcW w:w="1660" w:type="dxa"/>
            <w:vAlign w:val="bottom"/>
          </w:tcPr>
          <w:p>
            <w:pPr>
              <w:jc w:val="right"/>
              <w:ind w:right="287"/>
              <w:spacing w:after="0" w:line="176" w:lineRule="exact"/>
              <w:rPr>
                <w:sz w:val="20"/>
                <w:szCs w:val="20"/>
                <w:color w:val="auto"/>
              </w:rPr>
            </w:pPr>
            <w:r>
              <w:rPr>
                <w:rFonts w:ascii="Arial" w:cs="Arial" w:eastAsia="Arial" w:hAnsi="Arial"/>
                <w:sz w:val="17"/>
                <w:szCs w:val="17"/>
                <w:color w:val="auto"/>
              </w:rPr>
              <w:t>333-253834</w:t>
            </w:r>
          </w:p>
        </w:tc>
        <w:tc>
          <w:tcPr>
            <w:tcW w:w="1220" w:type="dxa"/>
            <w:vAlign w:val="bottom"/>
          </w:tcPr>
          <w:p>
            <w:pPr>
              <w:jc w:val="right"/>
              <w:ind w:right="444"/>
              <w:spacing w:after="0" w:line="176" w:lineRule="exact"/>
              <w:rPr>
                <w:sz w:val="20"/>
                <w:szCs w:val="20"/>
                <w:color w:val="auto"/>
              </w:rPr>
            </w:pPr>
            <w:r>
              <w:rPr>
                <w:rFonts w:ascii="Arial" w:cs="Arial" w:eastAsia="Arial" w:hAnsi="Arial"/>
                <w:sz w:val="17"/>
                <w:szCs w:val="17"/>
                <w:color w:val="auto"/>
              </w:rPr>
              <w:t>3.2</w:t>
            </w:r>
          </w:p>
        </w:tc>
        <w:tc>
          <w:tcPr>
            <w:tcW w:w="1080" w:type="dxa"/>
            <w:vAlign w:val="bottom"/>
          </w:tcPr>
          <w:p>
            <w:pPr>
              <w:jc w:val="right"/>
              <w:spacing w:after="0" w:line="176" w:lineRule="exact"/>
              <w:rPr>
                <w:sz w:val="20"/>
                <w:szCs w:val="20"/>
                <w:color w:val="auto"/>
              </w:rPr>
            </w:pPr>
            <w:r>
              <w:rPr>
                <w:rFonts w:ascii="Arial" w:cs="Arial" w:eastAsia="Arial" w:hAnsi="Arial"/>
                <w:sz w:val="17"/>
                <w:szCs w:val="17"/>
                <w:color w:val="auto"/>
              </w:rPr>
              <w:t>3/3/2021</w:t>
            </w: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Borders>
              <w:top w:val="single" w:sz="8" w:color="0000FF"/>
            </w:tcBorders>
            <w:gridSpan w:val="2"/>
          </w:tcPr>
          <w:p>
            <w:pPr>
              <w:spacing w:after="0" w:line="145" w:lineRule="exact"/>
              <w:rPr>
                <w:rFonts w:ascii="Arial" w:cs="Arial" w:eastAsia="Arial" w:hAnsi="Arial"/>
                <w:sz w:val="16"/>
                <w:szCs w:val="16"/>
                <w:color w:val="0000FF"/>
              </w:rPr>
            </w:pPr>
            <w:hyperlink r:id="rId95">
              <w:r>
                <w:rPr>
                  <w:rFonts w:ascii="Arial" w:cs="Arial" w:eastAsia="Arial" w:hAnsi="Arial"/>
                  <w:sz w:val="16"/>
                  <w:szCs w:val="16"/>
                  <w:color w:val="0000FF"/>
                </w:rPr>
                <w:t>Registrant</w:t>
              </w:r>
              <w:r>
                <w:rPr>
                  <w:rFonts w:ascii="Arial" w:cs="Arial" w:eastAsia="Arial" w:hAnsi="Arial"/>
                  <w:sz w:val="16"/>
                  <w:szCs w:val="16"/>
                  <w:color w:val="000000"/>
                </w:rPr>
                <w:t>.</w:t>
              </w:r>
            </w:hyperlink>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0840"/>
          </w:cols>
          <w:pgMar w:left="320" w:top="1440" w:right="739" w:bottom="1440" w:gutter="0" w:footer="0" w:header="0"/>
        </w:sectPr>
      </w:pPr>
    </w:p>
    <w:tbl>
      <w:tblPr>
        <w:tblLayout w:type="fixed"/>
        <w:tblInd w:w="20" w:type="dxa"/>
        <w:tblCellMar>
          <w:top w:w="0" w:type="dxa"/>
          <w:left w:w="0" w:type="dxa"/>
          <w:bottom w:w="0" w:type="dxa"/>
          <w:right w:w="0" w:type="dxa"/>
        </w:tblCellMar>
      </w:tblPr>
      <w:tr>
        <w:trPr>
          <w:trHeight w:val="195"/>
        </w:trPr>
        <w:tc>
          <w:tcPr>
            <w:tcW w:w="880" w:type="dxa"/>
            <w:vAlign w:val="bottom"/>
          </w:tcPr>
          <w:p>
            <w:pPr>
              <w:jc w:val="right"/>
              <w:ind w:right="555"/>
              <w:spacing w:after="0"/>
              <w:rPr>
                <w:sz w:val="20"/>
                <w:szCs w:val="20"/>
                <w:color w:val="auto"/>
              </w:rPr>
            </w:pPr>
            <w:r>
              <w:rPr>
                <w:rFonts w:ascii="Arial" w:cs="Arial" w:eastAsia="Arial" w:hAnsi="Arial"/>
                <w:sz w:val="17"/>
                <w:szCs w:val="17"/>
                <w:color w:val="auto"/>
                <w:w w:val="92"/>
              </w:rPr>
              <w:t>3.2</w:t>
            </w:r>
          </w:p>
        </w:tc>
        <w:tc>
          <w:tcPr>
            <w:tcW w:w="4500" w:type="dxa"/>
            <w:vAlign w:val="bottom"/>
            <w:gridSpan w:val="5"/>
          </w:tcPr>
          <w:p>
            <w:pPr>
              <w:spacing w:after="0"/>
              <w:rPr>
                <w:rFonts w:ascii="Arial" w:cs="Arial" w:eastAsia="Arial" w:hAnsi="Arial"/>
                <w:sz w:val="17"/>
                <w:szCs w:val="17"/>
                <w:color w:val="0000FF"/>
              </w:rPr>
            </w:pPr>
            <w:hyperlink r:id="rId96">
              <w:r>
                <w:rPr>
                  <w:rFonts w:ascii="Arial" w:cs="Arial" w:eastAsia="Arial" w:hAnsi="Arial"/>
                  <w:sz w:val="17"/>
                  <w:szCs w:val="17"/>
                  <w:color w:val="0000FF"/>
                </w:rPr>
                <w:t>Amended and Restated Bylaws of the Registrant.</w:t>
              </w:r>
            </w:hyperlink>
          </w:p>
        </w:tc>
      </w:tr>
      <w:tr>
        <w:trPr>
          <w:trHeight w:val="20"/>
        </w:trPr>
        <w:tc>
          <w:tcPr>
            <w:tcW w:w="8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jc w:val="right"/>
              <w:ind w:right="555"/>
              <w:spacing w:after="0"/>
              <w:rPr>
                <w:sz w:val="20"/>
                <w:szCs w:val="20"/>
                <w:color w:val="auto"/>
              </w:rPr>
            </w:pPr>
            <w:r>
              <w:rPr>
                <w:rFonts w:ascii="Arial" w:cs="Arial" w:eastAsia="Arial" w:hAnsi="Arial"/>
                <w:sz w:val="17"/>
                <w:szCs w:val="17"/>
                <w:color w:val="auto"/>
                <w:w w:val="92"/>
              </w:rPr>
              <w:t>4.1</w:t>
            </w:r>
          </w:p>
        </w:tc>
        <w:tc>
          <w:tcPr>
            <w:tcW w:w="4480" w:type="dxa"/>
            <w:vAlign w:val="bottom"/>
            <w:tcBorders>
              <w:bottom w:val="single" w:sz="8" w:color="0000FF"/>
            </w:tcBorders>
            <w:gridSpan w:val="4"/>
          </w:tcPr>
          <w:p>
            <w:pPr>
              <w:spacing w:after="0"/>
              <w:rPr>
                <w:rFonts w:ascii="Arial" w:cs="Arial" w:eastAsia="Arial" w:hAnsi="Arial"/>
                <w:sz w:val="17"/>
                <w:szCs w:val="17"/>
                <w:color w:val="0000FF"/>
                <w:w w:val="99"/>
              </w:rPr>
            </w:pPr>
            <w:hyperlink r:id="rId97">
              <w:r>
                <w:rPr>
                  <w:rFonts w:ascii="Arial" w:cs="Arial" w:eastAsia="Arial" w:hAnsi="Arial"/>
                  <w:sz w:val="17"/>
                  <w:szCs w:val="17"/>
                  <w:color w:val="0000FF"/>
                  <w:w w:val="99"/>
                </w:rPr>
                <w:t>Form of Class A common stock certificate of the Registrant.</w:t>
              </w:r>
            </w:hyperlink>
          </w:p>
        </w:tc>
        <w:tc>
          <w:tcPr>
            <w:tcW w:w="20" w:type="dxa"/>
            <w:vAlign w:val="bottom"/>
          </w:tcPr>
          <w:p>
            <w:pPr>
              <w:spacing w:after="0"/>
              <w:rPr>
                <w:sz w:val="17"/>
                <w:szCs w:val="17"/>
                <w:color w:val="auto"/>
              </w:rPr>
            </w:pPr>
          </w:p>
        </w:tc>
      </w:tr>
      <w:tr>
        <w:trPr>
          <w:trHeight w:val="196"/>
        </w:trPr>
        <w:tc>
          <w:tcPr>
            <w:tcW w:w="880" w:type="dxa"/>
            <w:vAlign w:val="bottom"/>
          </w:tcPr>
          <w:p>
            <w:pPr>
              <w:jc w:val="right"/>
              <w:ind w:right="555"/>
              <w:spacing w:after="0"/>
              <w:rPr>
                <w:sz w:val="20"/>
                <w:szCs w:val="20"/>
                <w:color w:val="auto"/>
              </w:rPr>
            </w:pPr>
            <w:r>
              <w:rPr>
                <w:rFonts w:ascii="Arial" w:cs="Arial" w:eastAsia="Arial" w:hAnsi="Arial"/>
                <w:sz w:val="17"/>
                <w:szCs w:val="17"/>
                <w:color w:val="auto"/>
                <w:w w:val="92"/>
              </w:rPr>
              <w:t>4.2</w:t>
            </w:r>
          </w:p>
        </w:tc>
        <w:tc>
          <w:tcPr>
            <w:tcW w:w="4500" w:type="dxa"/>
            <w:vAlign w:val="bottom"/>
            <w:gridSpan w:val="5"/>
          </w:tcPr>
          <w:p>
            <w:pPr>
              <w:spacing w:after="0"/>
              <w:rPr>
                <w:rFonts w:ascii="Arial" w:cs="Arial" w:eastAsia="Arial" w:hAnsi="Arial"/>
                <w:sz w:val="17"/>
                <w:szCs w:val="17"/>
                <w:color w:val="0000FF"/>
                <w:w w:val="99"/>
              </w:rPr>
            </w:pPr>
            <w:hyperlink r:id="rId98">
              <w:r>
                <w:rPr>
                  <w:rFonts w:ascii="Arial" w:cs="Arial" w:eastAsia="Arial" w:hAnsi="Arial"/>
                  <w:sz w:val="17"/>
                  <w:szCs w:val="17"/>
                  <w:color w:val="0000FF"/>
                  <w:w w:val="99"/>
                </w:rPr>
                <w:t>Tenth Amended and Restated Investors’ Rights Agreement,</w:t>
              </w:r>
            </w:hyperlink>
          </w:p>
        </w:tc>
      </w:tr>
      <w:tr>
        <w:trPr>
          <w:trHeight w:val="145"/>
        </w:trPr>
        <w:tc>
          <w:tcPr>
            <w:tcW w:w="880" w:type="dxa"/>
            <w:vAlign w:val="bottom"/>
          </w:tcPr>
          <w:p>
            <w:pPr>
              <w:spacing w:after="0"/>
              <w:rPr>
                <w:sz w:val="12"/>
                <w:szCs w:val="12"/>
                <w:color w:val="auto"/>
              </w:rPr>
            </w:pPr>
          </w:p>
        </w:tc>
        <w:tc>
          <w:tcPr>
            <w:tcW w:w="4480" w:type="dxa"/>
            <w:vAlign w:val="bottom"/>
            <w:tcBorders>
              <w:top w:val="single" w:sz="8" w:color="0000FF"/>
            </w:tcBorders>
            <w:gridSpan w:val="4"/>
          </w:tcPr>
          <w:p>
            <w:pPr>
              <w:spacing w:after="0" w:line="145" w:lineRule="exact"/>
              <w:rPr>
                <w:rFonts w:ascii="Arial" w:cs="Arial" w:eastAsia="Arial" w:hAnsi="Arial"/>
                <w:sz w:val="16"/>
                <w:szCs w:val="16"/>
                <w:color w:val="0000FF"/>
              </w:rPr>
            </w:pPr>
            <w:hyperlink r:id="rId98">
              <w:r>
                <w:rPr>
                  <w:rFonts w:ascii="Arial" w:cs="Arial" w:eastAsia="Arial" w:hAnsi="Arial"/>
                  <w:sz w:val="16"/>
                  <w:szCs w:val="16"/>
                  <w:color w:val="0000FF"/>
                </w:rPr>
                <w:t>dated February 16, 2021, by and among the Registrant and</w:t>
              </w:r>
            </w:hyperlink>
          </w:p>
        </w:tc>
        <w:tc>
          <w:tcPr>
            <w:tcW w:w="2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4460" w:type="dxa"/>
            <w:vAlign w:val="bottom"/>
            <w:tcBorders>
              <w:top w:val="single" w:sz="8" w:color="0000FF"/>
            </w:tcBorders>
            <w:gridSpan w:val="3"/>
          </w:tcPr>
          <w:p>
            <w:pPr>
              <w:spacing w:after="0" w:line="145" w:lineRule="exact"/>
              <w:rPr>
                <w:rFonts w:ascii="Arial" w:cs="Arial" w:eastAsia="Arial" w:hAnsi="Arial"/>
                <w:sz w:val="16"/>
                <w:szCs w:val="16"/>
                <w:color w:val="0000FF"/>
              </w:rPr>
            </w:pPr>
            <w:hyperlink r:id="rId98">
              <w:r>
                <w:rPr>
                  <w:rFonts w:ascii="Arial" w:cs="Arial" w:eastAsia="Arial" w:hAnsi="Arial"/>
                  <w:sz w:val="16"/>
                  <w:szCs w:val="16"/>
                  <w:color w:val="0000FF"/>
                </w:rPr>
                <w:t>certain of its stockholders.</w:t>
              </w:r>
            </w:hyperlink>
          </w:p>
        </w:tc>
        <w:tc>
          <w:tcPr>
            <w:tcW w:w="40" w:type="dxa"/>
            <w:vAlign w:val="bottom"/>
            <w:gridSpan w:val="2"/>
          </w:tcPr>
          <w:p>
            <w:pPr>
              <w:spacing w:after="0"/>
              <w:rPr>
                <w:sz w:val="12"/>
                <w:szCs w:val="12"/>
                <w:color w:val="auto"/>
              </w:rPr>
            </w:pPr>
          </w:p>
        </w:tc>
      </w:tr>
      <w:tr>
        <w:trPr>
          <w:trHeight w:val="20"/>
        </w:trPr>
        <w:tc>
          <w:tcPr>
            <w:tcW w:w="8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S-1</w:t>
            </w:r>
          </w:p>
        </w:tc>
        <w:tc>
          <w:tcPr>
            <w:tcW w:w="1740" w:type="dxa"/>
            <w:vAlign w:val="bottom"/>
          </w:tcPr>
          <w:p>
            <w:pPr>
              <w:jc w:val="right"/>
              <w:ind w:right="335"/>
              <w:spacing w:after="0"/>
              <w:rPr>
                <w:sz w:val="20"/>
                <w:szCs w:val="20"/>
                <w:color w:val="auto"/>
              </w:rPr>
            </w:pPr>
            <w:r>
              <w:rPr>
                <w:rFonts w:ascii="Arial" w:cs="Arial" w:eastAsia="Arial" w:hAnsi="Arial"/>
                <w:sz w:val="17"/>
                <w:szCs w:val="17"/>
                <w:color w:val="auto"/>
              </w:rPr>
              <w:t>333-253834</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3.4</w:t>
            </w:r>
          </w:p>
        </w:tc>
        <w:tc>
          <w:tcPr>
            <w:tcW w:w="1140" w:type="dxa"/>
            <w:vAlign w:val="bottom"/>
          </w:tcPr>
          <w:p>
            <w:pPr>
              <w:jc w:val="right"/>
              <w:spacing w:after="0"/>
              <w:rPr>
                <w:sz w:val="20"/>
                <w:szCs w:val="20"/>
                <w:color w:val="auto"/>
              </w:rPr>
            </w:pPr>
            <w:r>
              <w:rPr>
                <w:rFonts w:ascii="Arial" w:cs="Arial" w:eastAsia="Arial" w:hAnsi="Arial"/>
                <w:sz w:val="17"/>
                <w:szCs w:val="17"/>
                <w:color w:val="auto"/>
              </w:rPr>
              <w:t>3/3/2021</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S-1</w:t>
            </w:r>
          </w:p>
        </w:tc>
        <w:tc>
          <w:tcPr>
            <w:tcW w:w="1740" w:type="dxa"/>
            <w:vAlign w:val="bottom"/>
          </w:tcPr>
          <w:p>
            <w:pPr>
              <w:jc w:val="right"/>
              <w:ind w:right="335"/>
              <w:spacing w:after="0"/>
              <w:rPr>
                <w:sz w:val="20"/>
                <w:szCs w:val="20"/>
                <w:color w:val="auto"/>
              </w:rPr>
            </w:pPr>
            <w:r>
              <w:rPr>
                <w:rFonts w:ascii="Arial" w:cs="Arial" w:eastAsia="Arial" w:hAnsi="Arial"/>
                <w:sz w:val="17"/>
                <w:szCs w:val="17"/>
                <w:color w:val="auto"/>
              </w:rPr>
              <w:t>333-253834</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4.1</w:t>
            </w:r>
          </w:p>
        </w:tc>
        <w:tc>
          <w:tcPr>
            <w:tcW w:w="1140" w:type="dxa"/>
            <w:vAlign w:val="bottom"/>
          </w:tcPr>
          <w:p>
            <w:pPr>
              <w:jc w:val="right"/>
              <w:spacing w:after="0"/>
              <w:rPr>
                <w:sz w:val="20"/>
                <w:szCs w:val="20"/>
                <w:color w:val="auto"/>
              </w:rPr>
            </w:pPr>
            <w:r>
              <w:rPr>
                <w:rFonts w:ascii="Arial" w:cs="Arial" w:eastAsia="Arial" w:hAnsi="Arial"/>
                <w:sz w:val="17"/>
                <w:szCs w:val="17"/>
                <w:color w:val="auto"/>
              </w:rPr>
              <w:t>3/3/2021</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S-1</w:t>
            </w:r>
          </w:p>
        </w:tc>
        <w:tc>
          <w:tcPr>
            <w:tcW w:w="1740" w:type="dxa"/>
            <w:vAlign w:val="bottom"/>
          </w:tcPr>
          <w:p>
            <w:pPr>
              <w:jc w:val="right"/>
              <w:ind w:right="335"/>
              <w:spacing w:after="0"/>
              <w:rPr>
                <w:sz w:val="20"/>
                <w:szCs w:val="20"/>
                <w:color w:val="auto"/>
              </w:rPr>
            </w:pPr>
            <w:r>
              <w:rPr>
                <w:rFonts w:ascii="Arial" w:cs="Arial" w:eastAsia="Arial" w:hAnsi="Arial"/>
                <w:sz w:val="17"/>
                <w:szCs w:val="17"/>
                <w:color w:val="auto"/>
              </w:rPr>
              <w:t>333-253834</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4.2</w:t>
            </w:r>
          </w:p>
        </w:tc>
        <w:tc>
          <w:tcPr>
            <w:tcW w:w="1140" w:type="dxa"/>
            <w:vAlign w:val="bottom"/>
          </w:tcPr>
          <w:p>
            <w:pPr>
              <w:jc w:val="right"/>
              <w:spacing w:after="0"/>
              <w:rPr>
                <w:sz w:val="20"/>
                <w:szCs w:val="20"/>
                <w:color w:val="auto"/>
              </w:rPr>
            </w:pPr>
            <w:r>
              <w:rPr>
                <w:rFonts w:ascii="Arial" w:cs="Arial" w:eastAsia="Arial" w:hAnsi="Arial"/>
                <w:sz w:val="17"/>
                <w:szCs w:val="17"/>
                <w:color w:val="auto"/>
              </w:rPr>
              <w:t>3/3/2021</w:t>
            </w:r>
          </w:p>
        </w:tc>
      </w:tr>
    </w:tbl>
    <w:p>
      <w:pPr>
        <w:spacing w:after="0" w:line="313" w:lineRule="exact"/>
        <w:rPr>
          <w:sz w:val="20"/>
          <w:szCs w:val="20"/>
          <w:color w:val="auto"/>
        </w:rPr>
      </w:pPr>
    </w:p>
    <w:p>
      <w:pPr>
        <w:sectPr>
          <w:pgSz w:w="11900" w:h="16838" w:orient="portrait"/>
          <w:cols w:equalWidth="0" w:num="2">
            <w:col w:w="5440" w:space="720"/>
            <w:col w:w="4680"/>
          </w:cols>
          <w:pgMar w:left="320" w:top="1440" w:right="7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31.1</w:t>
            </w:r>
          </w:p>
        </w:tc>
        <w:tc>
          <w:tcPr>
            <w:tcW w:w="4000" w:type="dxa"/>
            <w:vAlign w:val="bottom"/>
            <w:tcBorders>
              <w:bottom w:val="single" w:sz="8" w:color="0000FF"/>
            </w:tcBorders>
            <w:gridSpan w:val="3"/>
          </w:tcPr>
          <w:p>
            <w:pPr>
              <w:spacing w:after="0"/>
              <w:rPr>
                <w:rFonts w:ascii="Arial" w:cs="Arial" w:eastAsia="Arial" w:hAnsi="Arial"/>
                <w:sz w:val="17"/>
                <w:szCs w:val="17"/>
                <w:color w:val="0000FF"/>
                <w:w w:val="99"/>
              </w:rPr>
            </w:pPr>
            <w:hyperlink w:anchor="page88">
              <w:r>
                <w:rPr>
                  <w:rFonts w:ascii="Arial" w:cs="Arial" w:eastAsia="Arial" w:hAnsi="Arial"/>
                  <w:sz w:val="17"/>
                  <w:szCs w:val="17"/>
                  <w:color w:val="0000FF"/>
                  <w:w w:val="99"/>
                </w:rPr>
                <w:t>Certification of Principal Executive Officer pursuant to</w:t>
              </w:r>
            </w:hyperlink>
          </w:p>
        </w:tc>
        <w:tc>
          <w:tcPr>
            <w:tcW w:w="640" w:type="dxa"/>
            <w:vAlign w:val="bottom"/>
            <w:gridSpan w:val="6"/>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rPr>
              <w:t>Filed herewith</w:t>
            </w:r>
          </w:p>
        </w:tc>
      </w:tr>
      <w:tr>
        <w:trPr>
          <w:trHeight w:val="145"/>
        </w:trPr>
        <w:tc>
          <w:tcPr>
            <w:tcW w:w="880" w:type="dxa"/>
            <w:vAlign w:val="bottom"/>
          </w:tcPr>
          <w:p>
            <w:pPr>
              <w:spacing w:after="0"/>
              <w:rPr>
                <w:sz w:val="12"/>
                <w:szCs w:val="12"/>
                <w:color w:val="auto"/>
              </w:rPr>
            </w:pPr>
          </w:p>
        </w:tc>
        <w:tc>
          <w:tcPr>
            <w:tcW w:w="4360" w:type="dxa"/>
            <w:vAlign w:val="bottom"/>
            <w:tcBorders>
              <w:bottom w:val="single" w:sz="8" w:color="0000FF"/>
            </w:tcBorders>
            <w:gridSpan w:val="6"/>
          </w:tcPr>
          <w:p>
            <w:pPr>
              <w:spacing w:after="0" w:line="145" w:lineRule="exact"/>
              <w:rPr>
                <w:rFonts w:ascii="Arial" w:cs="Arial" w:eastAsia="Arial" w:hAnsi="Arial"/>
                <w:sz w:val="16"/>
                <w:szCs w:val="16"/>
                <w:color w:val="0000FF"/>
              </w:rPr>
            </w:pPr>
            <w:hyperlink w:anchor="page88">
              <w:r>
                <w:rPr>
                  <w:rFonts w:ascii="Arial" w:cs="Arial" w:eastAsia="Arial" w:hAnsi="Arial"/>
                  <w:sz w:val="16"/>
                  <w:szCs w:val="16"/>
                  <w:color w:val="0000FF"/>
                </w:rPr>
                <w:t>Exchange Act Rules 13a-14(a) and 15d-14(a), as adopted</w:t>
              </w:r>
            </w:hyperlink>
          </w:p>
        </w:tc>
        <w:tc>
          <w:tcPr>
            <w:tcW w:w="280" w:type="dxa"/>
            <w:vAlign w:val="bottom"/>
            <w:gridSpan w:val="3"/>
          </w:tcPr>
          <w:p>
            <w:pPr>
              <w:spacing w:after="0"/>
              <w:rPr>
                <w:sz w:val="12"/>
                <w:szCs w:val="12"/>
                <w:color w:val="auto"/>
              </w:rPr>
            </w:pPr>
          </w:p>
        </w:tc>
        <w:tc>
          <w:tcPr>
            <w:tcW w:w="146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4480" w:type="dxa"/>
            <w:vAlign w:val="bottom"/>
            <w:tcBorders>
              <w:bottom w:val="single" w:sz="8" w:color="0000FF"/>
            </w:tcBorders>
            <w:gridSpan w:val="7"/>
          </w:tcPr>
          <w:p>
            <w:pPr>
              <w:spacing w:after="0" w:line="145" w:lineRule="exact"/>
              <w:rPr>
                <w:rFonts w:ascii="Arial" w:cs="Arial" w:eastAsia="Arial" w:hAnsi="Arial"/>
                <w:sz w:val="16"/>
                <w:szCs w:val="16"/>
                <w:color w:val="0000FF"/>
              </w:rPr>
            </w:pPr>
            <w:hyperlink w:anchor="page88">
              <w:r>
                <w:rPr>
                  <w:rFonts w:ascii="Arial" w:cs="Arial" w:eastAsia="Arial" w:hAnsi="Arial"/>
                  <w:sz w:val="16"/>
                  <w:szCs w:val="16"/>
                  <w:color w:val="0000FF"/>
                </w:rPr>
                <w:t>pursuant to Section 302 of the Sarbanes-Oxley Act of 2002.</w:t>
              </w:r>
            </w:hyperlink>
          </w:p>
        </w:tc>
        <w:tc>
          <w:tcPr>
            <w:tcW w:w="160" w:type="dxa"/>
            <w:vAlign w:val="bottom"/>
            <w:gridSpan w:val="2"/>
          </w:tcPr>
          <w:p>
            <w:pPr>
              <w:spacing w:after="0"/>
              <w:rPr>
                <w:sz w:val="12"/>
                <w:szCs w:val="12"/>
                <w:color w:val="auto"/>
              </w:rPr>
            </w:pPr>
          </w:p>
        </w:tc>
        <w:tc>
          <w:tcPr>
            <w:tcW w:w="1460" w:type="dxa"/>
            <w:vAlign w:val="bottom"/>
          </w:tcPr>
          <w:p>
            <w:pPr>
              <w:spacing w:after="0"/>
              <w:rPr>
                <w:sz w:val="12"/>
                <w:szCs w:val="12"/>
                <w:color w:val="auto"/>
              </w:rPr>
            </w:pPr>
          </w:p>
        </w:tc>
      </w:tr>
      <w:tr>
        <w:trPr>
          <w:trHeight w:val="196"/>
        </w:trPr>
        <w:tc>
          <w:tcPr>
            <w:tcW w:w="880" w:type="dxa"/>
            <w:vAlign w:val="bottom"/>
          </w:tcPr>
          <w:p>
            <w:pPr>
              <w:spacing w:after="0"/>
              <w:rPr>
                <w:sz w:val="20"/>
                <w:szCs w:val="20"/>
                <w:color w:val="auto"/>
              </w:rPr>
            </w:pPr>
            <w:r>
              <w:rPr>
                <w:rFonts w:ascii="Arial" w:cs="Arial" w:eastAsia="Arial" w:hAnsi="Arial"/>
                <w:sz w:val="17"/>
                <w:szCs w:val="17"/>
                <w:color w:val="auto"/>
              </w:rPr>
              <w:t>31.2</w:t>
            </w:r>
          </w:p>
        </w:tc>
        <w:tc>
          <w:tcPr>
            <w:tcW w:w="4640" w:type="dxa"/>
            <w:vAlign w:val="bottom"/>
            <w:gridSpan w:val="9"/>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Certification of Principal Financial Officer pursuant to</w:t>
              </w:r>
            </w:hyperlink>
          </w:p>
        </w:tc>
        <w:tc>
          <w:tcPr>
            <w:tcW w:w="1460" w:type="dxa"/>
            <w:vAlign w:val="bottom"/>
          </w:tcPr>
          <w:p>
            <w:pPr>
              <w:jc w:val="center"/>
              <w:spacing w:after="0"/>
              <w:rPr>
                <w:sz w:val="20"/>
                <w:szCs w:val="20"/>
                <w:color w:val="auto"/>
              </w:rPr>
            </w:pPr>
            <w:r>
              <w:rPr>
                <w:rFonts w:ascii="Arial" w:cs="Arial" w:eastAsia="Arial" w:hAnsi="Arial"/>
                <w:sz w:val="17"/>
                <w:szCs w:val="17"/>
                <w:color w:val="auto"/>
              </w:rPr>
              <w:t>Filed herewith</w:t>
            </w:r>
          </w:p>
        </w:tc>
      </w:tr>
      <w:tr>
        <w:trPr>
          <w:trHeight w:val="20"/>
        </w:trPr>
        <w:tc>
          <w:tcPr>
            <w:tcW w:w="88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5"/>
        </w:trPr>
        <w:tc>
          <w:tcPr>
            <w:tcW w:w="880" w:type="dxa"/>
            <w:vAlign w:val="bottom"/>
          </w:tcPr>
          <w:p>
            <w:pPr>
              <w:spacing w:after="0"/>
              <w:rPr>
                <w:sz w:val="12"/>
                <w:szCs w:val="12"/>
                <w:color w:val="auto"/>
              </w:rPr>
            </w:pPr>
          </w:p>
        </w:tc>
        <w:tc>
          <w:tcPr>
            <w:tcW w:w="4360" w:type="dxa"/>
            <w:vAlign w:val="bottom"/>
            <w:tcBorders>
              <w:bottom w:val="single" w:sz="8" w:color="0000FF"/>
            </w:tcBorders>
            <w:gridSpan w:val="6"/>
          </w:tcPr>
          <w:p>
            <w:pPr>
              <w:spacing w:after="0" w:line="145" w:lineRule="exact"/>
              <w:rPr>
                <w:rFonts w:ascii="Arial" w:cs="Arial" w:eastAsia="Arial" w:hAnsi="Arial"/>
                <w:sz w:val="16"/>
                <w:szCs w:val="16"/>
                <w:color w:val="0000FF"/>
              </w:rPr>
            </w:pPr>
            <w:hyperlink w:anchor="page89">
              <w:r>
                <w:rPr>
                  <w:rFonts w:ascii="Arial" w:cs="Arial" w:eastAsia="Arial" w:hAnsi="Arial"/>
                  <w:sz w:val="16"/>
                  <w:szCs w:val="16"/>
                  <w:color w:val="0000FF"/>
                </w:rPr>
                <w:t>Exchange Act Rules 13a-14(a) and 15d-14(a), as adopted</w:t>
              </w:r>
            </w:hyperlink>
          </w:p>
        </w:tc>
        <w:tc>
          <w:tcPr>
            <w:tcW w:w="280" w:type="dxa"/>
            <w:vAlign w:val="bottom"/>
            <w:gridSpan w:val="3"/>
          </w:tcPr>
          <w:p>
            <w:pPr>
              <w:spacing w:after="0"/>
              <w:rPr>
                <w:sz w:val="12"/>
                <w:szCs w:val="12"/>
                <w:color w:val="auto"/>
              </w:rPr>
            </w:pPr>
          </w:p>
        </w:tc>
        <w:tc>
          <w:tcPr>
            <w:tcW w:w="146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4480" w:type="dxa"/>
            <w:vAlign w:val="bottom"/>
            <w:tcBorders>
              <w:bottom w:val="single" w:sz="8" w:color="0000FF"/>
            </w:tcBorders>
            <w:gridSpan w:val="7"/>
          </w:tcPr>
          <w:p>
            <w:pPr>
              <w:spacing w:after="0" w:line="145" w:lineRule="exact"/>
              <w:rPr>
                <w:rFonts w:ascii="Arial" w:cs="Arial" w:eastAsia="Arial" w:hAnsi="Arial"/>
                <w:sz w:val="16"/>
                <w:szCs w:val="16"/>
                <w:color w:val="0000FF"/>
              </w:rPr>
            </w:pPr>
            <w:hyperlink w:anchor="page89">
              <w:r>
                <w:rPr>
                  <w:rFonts w:ascii="Arial" w:cs="Arial" w:eastAsia="Arial" w:hAnsi="Arial"/>
                  <w:sz w:val="16"/>
                  <w:szCs w:val="16"/>
                  <w:color w:val="0000FF"/>
                </w:rPr>
                <w:t>pursuant to Section 302 of the Sarbanes-Oxley Act of 2002.</w:t>
              </w:r>
            </w:hyperlink>
          </w:p>
        </w:tc>
        <w:tc>
          <w:tcPr>
            <w:tcW w:w="160" w:type="dxa"/>
            <w:vAlign w:val="bottom"/>
            <w:gridSpan w:val="2"/>
          </w:tcPr>
          <w:p>
            <w:pPr>
              <w:spacing w:after="0"/>
              <w:rPr>
                <w:sz w:val="12"/>
                <w:szCs w:val="12"/>
                <w:color w:val="auto"/>
              </w:rPr>
            </w:pPr>
          </w:p>
        </w:tc>
        <w:tc>
          <w:tcPr>
            <w:tcW w:w="1460" w:type="dxa"/>
            <w:vAlign w:val="bottom"/>
          </w:tcPr>
          <w:p>
            <w:pPr>
              <w:spacing w:after="0"/>
              <w:rPr>
                <w:sz w:val="12"/>
                <w:szCs w:val="12"/>
                <w:color w:val="auto"/>
              </w:rPr>
            </w:pPr>
          </w:p>
        </w:tc>
      </w:t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32.1*</w:t>
            </w:r>
          </w:p>
        </w:tc>
        <w:tc>
          <w:tcPr>
            <w:tcW w:w="4640" w:type="dxa"/>
            <w:vAlign w:val="bottom"/>
            <w:gridSpan w:val="9"/>
          </w:tcPr>
          <w:p>
            <w:pPr>
              <w:spacing w:after="0"/>
              <w:rPr>
                <w:rFonts w:ascii="Arial" w:cs="Arial" w:eastAsia="Arial" w:hAnsi="Arial"/>
                <w:sz w:val="17"/>
                <w:szCs w:val="17"/>
                <w:color w:val="0000FF"/>
              </w:rPr>
            </w:pPr>
            <w:hyperlink w:anchor="page90">
              <w:r>
                <w:rPr>
                  <w:rFonts w:ascii="Arial" w:cs="Arial" w:eastAsia="Arial" w:hAnsi="Arial"/>
                  <w:sz w:val="17"/>
                  <w:szCs w:val="17"/>
                  <w:color w:val="0000FF"/>
                </w:rPr>
                <w:t>Certification of Principal Executive Officer pursuant to 18</w:t>
              </w:r>
            </w:hyperlink>
          </w:p>
        </w:tc>
        <w:tc>
          <w:tcPr>
            <w:tcW w:w="1460" w:type="dxa"/>
            <w:vAlign w:val="bottom"/>
          </w:tcPr>
          <w:p>
            <w:pPr>
              <w:jc w:val="center"/>
              <w:spacing w:after="0"/>
              <w:rPr>
                <w:sz w:val="20"/>
                <w:szCs w:val="20"/>
                <w:color w:val="auto"/>
              </w:rPr>
            </w:pPr>
            <w:r>
              <w:rPr>
                <w:rFonts w:ascii="Arial" w:cs="Arial" w:eastAsia="Arial" w:hAnsi="Arial"/>
                <w:sz w:val="17"/>
                <w:szCs w:val="17"/>
                <w:color w:val="auto"/>
                <w:w w:val="98"/>
              </w:rPr>
              <w:t>Furnished herewith</w:t>
            </w:r>
          </w:p>
        </w:tc>
      </w:tr>
      <w:tr>
        <w:trPr>
          <w:trHeight w:val="146"/>
        </w:trPr>
        <w:tc>
          <w:tcPr>
            <w:tcW w:w="880" w:type="dxa"/>
            <w:vAlign w:val="bottom"/>
          </w:tcPr>
          <w:p>
            <w:pPr>
              <w:spacing w:after="0"/>
              <w:rPr>
                <w:sz w:val="12"/>
                <w:szCs w:val="12"/>
                <w:color w:val="auto"/>
              </w:rPr>
            </w:pPr>
          </w:p>
        </w:tc>
        <w:tc>
          <w:tcPr>
            <w:tcW w:w="4240" w:type="dxa"/>
            <w:vAlign w:val="bottom"/>
            <w:tcBorders>
              <w:top w:val="single" w:sz="8" w:color="0000FF"/>
            </w:tcBorders>
            <w:gridSpan w:val="5"/>
          </w:tcPr>
          <w:p>
            <w:pPr>
              <w:spacing w:after="0" w:line="146" w:lineRule="exact"/>
              <w:rPr>
                <w:rFonts w:ascii="Arial" w:cs="Arial" w:eastAsia="Arial" w:hAnsi="Arial"/>
                <w:sz w:val="16"/>
                <w:szCs w:val="16"/>
                <w:color w:val="0000FF"/>
              </w:rPr>
            </w:pPr>
            <w:hyperlink w:anchor="page90">
              <w:r>
                <w:rPr>
                  <w:rFonts w:ascii="Arial" w:cs="Arial" w:eastAsia="Arial" w:hAnsi="Arial"/>
                  <w:sz w:val="16"/>
                  <w:szCs w:val="16"/>
                  <w:color w:val="0000FF"/>
                </w:rPr>
                <w:t>U.S.C. Section 1350, as adopted pursuant to Section 906</w:t>
              </w:r>
            </w:hyperlink>
          </w:p>
        </w:tc>
        <w:tc>
          <w:tcPr>
            <w:tcW w:w="400" w:type="dxa"/>
            <w:vAlign w:val="bottom"/>
            <w:gridSpan w:val="4"/>
          </w:tcPr>
          <w:p>
            <w:pPr>
              <w:ind w:left="120"/>
              <w:spacing w:after="0" w:line="146" w:lineRule="exact"/>
              <w:rPr>
                <w:rFonts w:ascii="Arial" w:cs="Arial" w:eastAsia="Arial" w:hAnsi="Arial"/>
                <w:sz w:val="16"/>
                <w:szCs w:val="16"/>
                <w:color w:val="0000FF"/>
              </w:rPr>
            </w:pPr>
            <w:hyperlink w:anchor="page90">
              <w:r>
                <w:rPr>
                  <w:rFonts w:ascii="Arial" w:cs="Arial" w:eastAsia="Arial" w:hAnsi="Arial"/>
                  <w:sz w:val="16"/>
                  <w:szCs w:val="16"/>
                  <w:color w:val="0000FF"/>
                </w:rPr>
                <w:t>of</w:t>
              </w:r>
            </w:hyperlink>
          </w:p>
        </w:tc>
        <w:tc>
          <w:tcPr>
            <w:tcW w:w="146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2460" w:type="dxa"/>
            <w:vAlign w:val="bottom"/>
            <w:tcBorders>
              <w:top w:val="single" w:sz="8" w:color="0000FF"/>
              <w:bottom w:val="single" w:sz="8" w:color="0000FF"/>
            </w:tcBorders>
          </w:tcPr>
          <w:p>
            <w:pPr>
              <w:spacing w:after="0" w:line="145" w:lineRule="exact"/>
              <w:rPr>
                <w:rFonts w:ascii="Arial" w:cs="Arial" w:eastAsia="Arial" w:hAnsi="Arial"/>
                <w:sz w:val="16"/>
                <w:szCs w:val="16"/>
                <w:color w:val="0000FF"/>
              </w:rPr>
            </w:pPr>
            <w:hyperlink w:anchor="page90">
              <w:r>
                <w:rPr>
                  <w:rFonts w:ascii="Arial" w:cs="Arial" w:eastAsia="Arial" w:hAnsi="Arial"/>
                  <w:sz w:val="16"/>
                  <w:szCs w:val="16"/>
                  <w:color w:val="0000FF"/>
                </w:rPr>
                <w:t>the Sarbanes-Oxley Act of 2002.</w:t>
              </w:r>
            </w:hyperlink>
          </w:p>
        </w:tc>
        <w:tc>
          <w:tcPr>
            <w:tcW w:w="2040" w:type="dxa"/>
            <w:vAlign w:val="bottom"/>
            <w:tcBorders>
              <w:top w:val="single" w:sz="8" w:color="0000FF"/>
            </w:tcBorders>
            <w:gridSpan w:val="7"/>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96"/>
        </w:trPr>
        <w:tc>
          <w:tcPr>
            <w:tcW w:w="880" w:type="dxa"/>
            <w:vAlign w:val="bottom"/>
          </w:tcPr>
          <w:p>
            <w:pPr>
              <w:spacing w:after="0"/>
              <w:rPr>
                <w:sz w:val="20"/>
                <w:szCs w:val="20"/>
                <w:color w:val="auto"/>
              </w:rPr>
            </w:pPr>
            <w:r>
              <w:rPr>
                <w:rFonts w:ascii="Arial" w:cs="Arial" w:eastAsia="Arial" w:hAnsi="Arial"/>
                <w:sz w:val="17"/>
                <w:szCs w:val="17"/>
                <w:color w:val="auto"/>
              </w:rPr>
              <w:t>32.2*</w:t>
            </w:r>
          </w:p>
        </w:tc>
        <w:tc>
          <w:tcPr>
            <w:tcW w:w="4180" w:type="dxa"/>
            <w:vAlign w:val="bottom"/>
            <w:tcBorders>
              <w:bottom w:val="single" w:sz="8" w:color="0000FF"/>
            </w:tcBorders>
            <w:gridSpan w:val="4"/>
          </w:tcPr>
          <w:p>
            <w:pPr>
              <w:spacing w:after="0"/>
              <w:rPr>
                <w:rFonts w:ascii="Arial" w:cs="Arial" w:eastAsia="Arial" w:hAnsi="Arial"/>
                <w:sz w:val="17"/>
                <w:szCs w:val="17"/>
                <w:color w:val="0000FF"/>
                <w:w w:val="99"/>
              </w:rPr>
            </w:pPr>
            <w:hyperlink w:anchor="page91">
              <w:r>
                <w:rPr>
                  <w:rFonts w:ascii="Arial" w:cs="Arial" w:eastAsia="Arial" w:hAnsi="Arial"/>
                  <w:sz w:val="17"/>
                  <w:szCs w:val="17"/>
                  <w:color w:val="0000FF"/>
                  <w:w w:val="99"/>
                </w:rPr>
                <w:t>Certification of Principal Financial Officer pursuant to 18</w:t>
              </w:r>
            </w:hyperlink>
          </w:p>
        </w:tc>
        <w:tc>
          <w:tcPr>
            <w:tcW w:w="460" w:type="dxa"/>
            <w:vAlign w:val="bottom"/>
            <w:gridSpan w:val="5"/>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8"/>
              </w:rPr>
              <w:t>Furnished herewith</w:t>
            </w:r>
          </w:p>
        </w:tc>
      </w:tr>
      <w:tr>
        <w:trPr>
          <w:trHeight w:val="145"/>
        </w:trPr>
        <w:tc>
          <w:tcPr>
            <w:tcW w:w="880" w:type="dxa"/>
            <w:vAlign w:val="bottom"/>
          </w:tcPr>
          <w:p>
            <w:pPr>
              <w:spacing w:after="0"/>
              <w:rPr>
                <w:sz w:val="12"/>
                <w:szCs w:val="12"/>
                <w:color w:val="auto"/>
              </w:rPr>
            </w:pPr>
          </w:p>
        </w:tc>
        <w:tc>
          <w:tcPr>
            <w:tcW w:w="4640" w:type="dxa"/>
            <w:vAlign w:val="bottom"/>
            <w:gridSpan w:val="9"/>
          </w:tcPr>
          <w:p>
            <w:pPr>
              <w:spacing w:after="0" w:line="145" w:lineRule="exact"/>
              <w:rPr>
                <w:rFonts w:ascii="Arial" w:cs="Arial" w:eastAsia="Arial" w:hAnsi="Arial"/>
                <w:sz w:val="16"/>
                <w:szCs w:val="16"/>
                <w:color w:val="0000FF"/>
              </w:rPr>
            </w:pPr>
            <w:hyperlink w:anchor="page91">
              <w:r>
                <w:rPr>
                  <w:rFonts w:ascii="Arial" w:cs="Arial" w:eastAsia="Arial" w:hAnsi="Arial"/>
                  <w:sz w:val="16"/>
                  <w:szCs w:val="16"/>
                  <w:color w:val="0000FF"/>
                </w:rPr>
                <w:t>U.S.C. Section 1350, as adopted pursuant to Section 906 of</w:t>
              </w:r>
            </w:hyperlink>
          </w:p>
        </w:tc>
        <w:tc>
          <w:tcPr>
            <w:tcW w:w="146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2460" w:type="dxa"/>
            <w:vAlign w:val="bottom"/>
            <w:tcBorders>
              <w:top w:val="single" w:sz="8" w:color="0000FF"/>
              <w:bottom w:val="single" w:sz="8" w:color="0000FF"/>
            </w:tcBorders>
          </w:tcPr>
          <w:p>
            <w:pPr>
              <w:spacing w:after="0" w:line="145" w:lineRule="exact"/>
              <w:rPr>
                <w:rFonts w:ascii="Arial" w:cs="Arial" w:eastAsia="Arial" w:hAnsi="Arial"/>
                <w:sz w:val="16"/>
                <w:szCs w:val="16"/>
                <w:color w:val="0000FF"/>
              </w:rPr>
            </w:pPr>
            <w:hyperlink w:anchor="page91">
              <w:r>
                <w:rPr>
                  <w:rFonts w:ascii="Arial" w:cs="Arial" w:eastAsia="Arial" w:hAnsi="Arial"/>
                  <w:sz w:val="16"/>
                  <w:szCs w:val="16"/>
                  <w:color w:val="0000FF"/>
                </w:rPr>
                <w:t>the Sarbanes-Oxley Act of 2002.</w:t>
              </w:r>
            </w:hyperlink>
          </w:p>
        </w:tc>
        <w:tc>
          <w:tcPr>
            <w:tcW w:w="2040" w:type="dxa"/>
            <w:vAlign w:val="bottom"/>
            <w:tcBorders>
              <w:top w:val="single" w:sz="8" w:color="0000FF"/>
            </w:tcBorders>
            <w:gridSpan w:val="7"/>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4640" w:type="dxa"/>
            <w:vAlign w:val="bottom"/>
            <w:gridSpan w:val="9"/>
          </w:tcPr>
          <w:p>
            <w:pPr>
              <w:spacing w:after="0"/>
              <w:rPr>
                <w:sz w:val="20"/>
                <w:szCs w:val="20"/>
                <w:color w:val="auto"/>
              </w:rPr>
            </w:pPr>
            <w:r>
              <w:rPr>
                <w:rFonts w:ascii="Arial" w:cs="Arial" w:eastAsia="Arial" w:hAnsi="Arial"/>
                <w:sz w:val="17"/>
                <w:szCs w:val="17"/>
                <w:color w:val="auto"/>
              </w:rPr>
              <w:t>XBRL Instance Document – the instance document does not</w:t>
            </w:r>
          </w:p>
        </w:tc>
        <w:tc>
          <w:tcPr>
            <w:tcW w:w="1460" w:type="dxa"/>
            <w:vAlign w:val="bottom"/>
          </w:tcPr>
          <w:p>
            <w:pPr>
              <w:jc w:val="center"/>
              <w:spacing w:after="0"/>
              <w:rPr>
                <w:sz w:val="20"/>
                <w:szCs w:val="20"/>
                <w:color w:val="auto"/>
              </w:rPr>
            </w:pPr>
            <w:r>
              <w:rPr>
                <w:rFonts w:ascii="Arial" w:cs="Arial" w:eastAsia="Arial" w:hAnsi="Arial"/>
                <w:sz w:val="17"/>
                <w:szCs w:val="17"/>
                <w:color w:val="auto"/>
              </w:rPr>
              <w:t>Filed herewith</w:t>
            </w:r>
          </w:p>
        </w:tc>
      </w:tr>
      <w:tr>
        <w:trPr>
          <w:trHeight w:val="165"/>
        </w:trPr>
        <w:tc>
          <w:tcPr>
            <w:tcW w:w="880" w:type="dxa"/>
            <w:vAlign w:val="bottom"/>
          </w:tcPr>
          <w:p>
            <w:pPr>
              <w:spacing w:after="0"/>
              <w:rPr>
                <w:sz w:val="14"/>
                <w:szCs w:val="14"/>
                <w:color w:val="auto"/>
              </w:rPr>
            </w:pPr>
          </w:p>
        </w:tc>
        <w:tc>
          <w:tcPr>
            <w:tcW w:w="4640" w:type="dxa"/>
            <w:vAlign w:val="bottom"/>
            <w:gridSpan w:val="9"/>
          </w:tcPr>
          <w:p>
            <w:pPr>
              <w:spacing w:after="0" w:line="165" w:lineRule="exact"/>
              <w:rPr>
                <w:sz w:val="20"/>
                <w:szCs w:val="20"/>
                <w:color w:val="auto"/>
              </w:rPr>
            </w:pPr>
            <w:r>
              <w:rPr>
                <w:rFonts w:ascii="Arial" w:cs="Arial" w:eastAsia="Arial" w:hAnsi="Arial"/>
                <w:sz w:val="17"/>
                <w:szCs w:val="17"/>
                <w:color w:val="auto"/>
              </w:rPr>
              <w:t>appear in the Interactive Data File because its XBRL tags are</w:t>
            </w:r>
          </w:p>
        </w:tc>
        <w:tc>
          <w:tcPr>
            <w:tcW w:w="1460" w:type="dxa"/>
            <w:vAlign w:val="bottom"/>
          </w:tcPr>
          <w:p>
            <w:pPr>
              <w:spacing w:after="0"/>
              <w:rPr>
                <w:sz w:val="14"/>
                <w:szCs w:val="14"/>
                <w:color w:val="auto"/>
              </w:rPr>
            </w:pPr>
          </w:p>
        </w:tc>
      </w:tr>
      <w:tr>
        <w:trPr>
          <w:trHeight w:val="203"/>
        </w:trPr>
        <w:tc>
          <w:tcPr>
            <w:tcW w:w="880" w:type="dxa"/>
            <w:vAlign w:val="bottom"/>
          </w:tcPr>
          <w:p>
            <w:pPr>
              <w:spacing w:after="0"/>
              <w:rPr>
                <w:sz w:val="17"/>
                <w:szCs w:val="17"/>
                <w:color w:val="auto"/>
              </w:rPr>
            </w:pPr>
          </w:p>
        </w:tc>
        <w:tc>
          <w:tcPr>
            <w:tcW w:w="4640" w:type="dxa"/>
            <w:vAlign w:val="bottom"/>
            <w:gridSpan w:val="9"/>
          </w:tcPr>
          <w:p>
            <w:pPr>
              <w:spacing w:after="0"/>
              <w:rPr>
                <w:sz w:val="20"/>
                <w:szCs w:val="20"/>
                <w:color w:val="auto"/>
              </w:rPr>
            </w:pPr>
            <w:r>
              <w:rPr>
                <w:rFonts w:ascii="Arial" w:cs="Arial" w:eastAsia="Arial" w:hAnsi="Arial"/>
                <w:sz w:val="17"/>
                <w:szCs w:val="17"/>
                <w:color w:val="auto"/>
              </w:rPr>
              <w:t>embedded within the Inline XBRL document.</w:t>
            </w:r>
          </w:p>
        </w:tc>
        <w:tc>
          <w:tcPr>
            <w:tcW w:w="1460" w:type="dxa"/>
            <w:vAlign w:val="bottom"/>
          </w:tcPr>
          <w:p>
            <w:pPr>
              <w:spacing w:after="0"/>
              <w:rPr>
                <w:sz w:val="17"/>
                <w:szCs w:val="17"/>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4640" w:type="dxa"/>
            <w:vAlign w:val="bottom"/>
            <w:gridSpan w:val="9"/>
          </w:tcPr>
          <w:p>
            <w:pPr>
              <w:spacing w:after="0"/>
              <w:rPr>
                <w:sz w:val="20"/>
                <w:szCs w:val="20"/>
                <w:color w:val="auto"/>
              </w:rPr>
            </w:pPr>
            <w:r>
              <w:rPr>
                <w:rFonts w:ascii="Arial" w:cs="Arial" w:eastAsia="Arial" w:hAnsi="Arial"/>
                <w:sz w:val="17"/>
                <w:szCs w:val="17"/>
                <w:color w:val="auto"/>
              </w:rPr>
              <w:t>Inline XBRL Taxonomy Extension Schema Document.</w:t>
            </w:r>
          </w:p>
        </w:tc>
        <w:tc>
          <w:tcPr>
            <w:tcW w:w="1460" w:type="dxa"/>
            <w:vAlign w:val="bottom"/>
          </w:tcPr>
          <w:p>
            <w:pPr>
              <w:jc w:val="center"/>
              <w:spacing w:after="0"/>
              <w:rPr>
                <w:sz w:val="20"/>
                <w:szCs w:val="20"/>
                <w:color w:val="auto"/>
              </w:rPr>
            </w:pPr>
            <w:r>
              <w:rPr>
                <w:rFonts w:ascii="Arial" w:cs="Arial" w:eastAsia="Arial" w:hAnsi="Arial"/>
                <w:sz w:val="17"/>
                <w:szCs w:val="17"/>
                <w:color w:val="auto"/>
              </w:rPr>
              <w:t>Filed herewith</w:t>
            </w:r>
          </w:p>
        </w:tc>
      </w:tr>
      <w:tr>
        <w:trPr>
          <w:trHeight w:val="178"/>
        </w:trPr>
        <w:tc>
          <w:tcPr>
            <w:tcW w:w="880" w:type="dxa"/>
            <w:vAlign w:val="bottom"/>
          </w:tcPr>
          <w:p>
            <w:pPr>
              <w:spacing w:after="0" w:line="178" w:lineRule="exact"/>
              <w:rPr>
                <w:sz w:val="20"/>
                <w:szCs w:val="20"/>
                <w:color w:val="auto"/>
              </w:rPr>
            </w:pPr>
            <w:r>
              <w:rPr>
                <w:rFonts w:ascii="Arial" w:cs="Arial" w:eastAsia="Arial" w:hAnsi="Arial"/>
                <w:sz w:val="17"/>
                <w:szCs w:val="17"/>
                <w:color w:val="auto"/>
              </w:rPr>
              <w:t>101.CAL</w:t>
            </w:r>
          </w:p>
        </w:tc>
        <w:tc>
          <w:tcPr>
            <w:tcW w:w="4640" w:type="dxa"/>
            <w:vAlign w:val="bottom"/>
            <w:gridSpan w:val="9"/>
          </w:tcPr>
          <w:p>
            <w:pPr>
              <w:spacing w:after="0" w:line="178" w:lineRule="exact"/>
              <w:rPr>
                <w:sz w:val="20"/>
                <w:szCs w:val="20"/>
                <w:color w:val="auto"/>
              </w:rPr>
            </w:pPr>
            <w:r>
              <w:rPr>
                <w:rFonts w:ascii="Arial" w:cs="Arial" w:eastAsia="Arial" w:hAnsi="Arial"/>
                <w:sz w:val="17"/>
                <w:szCs w:val="17"/>
                <w:color w:val="auto"/>
              </w:rPr>
              <w:t>Inline XBRL Taxonomy Extension Calculation Linkbase</w:t>
            </w:r>
          </w:p>
        </w:tc>
        <w:tc>
          <w:tcPr>
            <w:tcW w:w="1460" w:type="dxa"/>
            <w:vAlign w:val="bottom"/>
          </w:tcPr>
          <w:p>
            <w:pPr>
              <w:jc w:val="center"/>
              <w:spacing w:after="0" w:line="178" w:lineRule="exact"/>
              <w:rPr>
                <w:sz w:val="20"/>
                <w:szCs w:val="20"/>
                <w:color w:val="auto"/>
              </w:rPr>
            </w:pPr>
            <w:r>
              <w:rPr>
                <w:rFonts w:ascii="Arial" w:cs="Arial" w:eastAsia="Arial" w:hAnsi="Arial"/>
                <w:sz w:val="17"/>
                <w:szCs w:val="17"/>
                <w:color w:val="auto"/>
              </w:rPr>
              <w:t>Filed herewith</w:t>
            </w:r>
          </w:p>
        </w:tc>
      </w:tr>
      <w:tr>
        <w:trPr>
          <w:trHeight w:val="203"/>
        </w:trPr>
        <w:tc>
          <w:tcPr>
            <w:tcW w:w="880" w:type="dxa"/>
            <w:vAlign w:val="bottom"/>
          </w:tcPr>
          <w:p>
            <w:pPr>
              <w:spacing w:after="0"/>
              <w:rPr>
                <w:sz w:val="17"/>
                <w:szCs w:val="17"/>
                <w:color w:val="auto"/>
              </w:rPr>
            </w:pPr>
          </w:p>
        </w:tc>
        <w:tc>
          <w:tcPr>
            <w:tcW w:w="4640" w:type="dxa"/>
            <w:vAlign w:val="bottom"/>
            <w:gridSpan w:val="9"/>
          </w:tcPr>
          <w:p>
            <w:pPr>
              <w:spacing w:after="0"/>
              <w:rPr>
                <w:sz w:val="20"/>
                <w:szCs w:val="20"/>
                <w:color w:val="auto"/>
              </w:rPr>
            </w:pPr>
            <w:r>
              <w:rPr>
                <w:rFonts w:ascii="Arial" w:cs="Arial" w:eastAsia="Arial" w:hAnsi="Arial"/>
                <w:sz w:val="17"/>
                <w:szCs w:val="17"/>
                <w:color w:val="auto"/>
              </w:rPr>
              <w:t>Document.</w:t>
            </w:r>
          </w:p>
        </w:tc>
        <w:tc>
          <w:tcPr>
            <w:tcW w:w="1460" w:type="dxa"/>
            <w:vAlign w:val="bottom"/>
          </w:tcPr>
          <w:p>
            <w:pPr>
              <w:spacing w:after="0"/>
              <w:rPr>
                <w:sz w:val="17"/>
                <w:szCs w:val="17"/>
                <w:color w:val="auto"/>
              </w:rPr>
            </w:pPr>
          </w:p>
        </w:tc>
      </w:tr>
      <w:tr>
        <w:trPr>
          <w:trHeight w:val="178"/>
        </w:trPr>
        <w:tc>
          <w:tcPr>
            <w:tcW w:w="880" w:type="dxa"/>
            <w:vAlign w:val="bottom"/>
          </w:tcPr>
          <w:p>
            <w:pPr>
              <w:spacing w:after="0" w:line="178" w:lineRule="exact"/>
              <w:rPr>
                <w:sz w:val="20"/>
                <w:szCs w:val="20"/>
                <w:color w:val="auto"/>
              </w:rPr>
            </w:pPr>
            <w:r>
              <w:rPr>
                <w:rFonts w:ascii="Arial" w:cs="Arial" w:eastAsia="Arial" w:hAnsi="Arial"/>
                <w:sz w:val="17"/>
                <w:szCs w:val="17"/>
                <w:color w:val="auto"/>
              </w:rPr>
              <w:t>101.DEF</w:t>
            </w:r>
          </w:p>
        </w:tc>
        <w:tc>
          <w:tcPr>
            <w:tcW w:w="4640" w:type="dxa"/>
            <w:vAlign w:val="bottom"/>
            <w:gridSpan w:val="9"/>
          </w:tcPr>
          <w:p>
            <w:pPr>
              <w:spacing w:after="0" w:line="178" w:lineRule="exact"/>
              <w:rPr>
                <w:sz w:val="20"/>
                <w:szCs w:val="20"/>
                <w:color w:val="auto"/>
              </w:rPr>
            </w:pPr>
            <w:r>
              <w:rPr>
                <w:rFonts w:ascii="Arial" w:cs="Arial" w:eastAsia="Arial" w:hAnsi="Arial"/>
                <w:sz w:val="17"/>
                <w:szCs w:val="17"/>
                <w:color w:val="auto"/>
              </w:rPr>
              <w:t>Inline XBRL Taxonomy Extension Definition Linkbase</w:t>
            </w:r>
          </w:p>
        </w:tc>
        <w:tc>
          <w:tcPr>
            <w:tcW w:w="1460" w:type="dxa"/>
            <w:vAlign w:val="bottom"/>
          </w:tcPr>
          <w:p>
            <w:pPr>
              <w:jc w:val="center"/>
              <w:spacing w:after="0" w:line="178" w:lineRule="exact"/>
              <w:rPr>
                <w:sz w:val="20"/>
                <w:szCs w:val="20"/>
                <w:color w:val="auto"/>
              </w:rPr>
            </w:pPr>
            <w:r>
              <w:rPr>
                <w:rFonts w:ascii="Arial" w:cs="Arial" w:eastAsia="Arial" w:hAnsi="Arial"/>
                <w:sz w:val="17"/>
                <w:szCs w:val="17"/>
                <w:color w:val="auto"/>
              </w:rPr>
              <w:t>Filed herewith</w:t>
            </w:r>
          </w:p>
        </w:tc>
      </w:tr>
      <w:tr>
        <w:trPr>
          <w:trHeight w:val="203"/>
        </w:trPr>
        <w:tc>
          <w:tcPr>
            <w:tcW w:w="880" w:type="dxa"/>
            <w:vAlign w:val="bottom"/>
          </w:tcPr>
          <w:p>
            <w:pPr>
              <w:spacing w:after="0"/>
              <w:rPr>
                <w:sz w:val="17"/>
                <w:szCs w:val="17"/>
                <w:color w:val="auto"/>
              </w:rPr>
            </w:pPr>
          </w:p>
        </w:tc>
        <w:tc>
          <w:tcPr>
            <w:tcW w:w="4640" w:type="dxa"/>
            <w:vAlign w:val="bottom"/>
            <w:gridSpan w:val="9"/>
          </w:tcPr>
          <w:p>
            <w:pPr>
              <w:spacing w:after="0"/>
              <w:rPr>
                <w:sz w:val="20"/>
                <w:szCs w:val="20"/>
                <w:color w:val="auto"/>
              </w:rPr>
            </w:pPr>
            <w:r>
              <w:rPr>
                <w:rFonts w:ascii="Arial" w:cs="Arial" w:eastAsia="Arial" w:hAnsi="Arial"/>
                <w:sz w:val="17"/>
                <w:szCs w:val="17"/>
                <w:color w:val="auto"/>
              </w:rPr>
              <w:t>Document.</w:t>
            </w:r>
          </w:p>
        </w:tc>
        <w:tc>
          <w:tcPr>
            <w:tcW w:w="1460" w:type="dxa"/>
            <w:vAlign w:val="bottom"/>
          </w:tcPr>
          <w:p>
            <w:pPr>
              <w:spacing w:after="0"/>
              <w:rPr>
                <w:sz w:val="17"/>
                <w:szCs w:val="17"/>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4640" w:type="dxa"/>
            <w:vAlign w:val="bottom"/>
            <w:gridSpan w:val="9"/>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1460" w:type="dxa"/>
            <w:vAlign w:val="bottom"/>
          </w:tcPr>
          <w:p>
            <w:pPr>
              <w:jc w:val="center"/>
              <w:spacing w:after="0"/>
              <w:rPr>
                <w:sz w:val="20"/>
                <w:szCs w:val="20"/>
                <w:color w:val="auto"/>
              </w:rPr>
            </w:pPr>
            <w:r>
              <w:rPr>
                <w:rFonts w:ascii="Arial" w:cs="Arial" w:eastAsia="Arial" w:hAnsi="Arial"/>
                <w:sz w:val="17"/>
                <w:szCs w:val="17"/>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type w:val="continuous"/>
        </w:sectPr>
      </w:pPr>
    </w:p>
    <w:bookmarkStart w:id="85" w:name="page86"/>
    <w:bookmarkEnd w:id="85"/>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 w:type="dxa"/>
            <w:vAlign w:val="bottom"/>
          </w:tcPr>
          <w:p>
            <w:pPr>
              <w:spacing w:after="0"/>
              <w:rPr>
                <w:sz w:val="20"/>
                <w:szCs w:val="20"/>
                <w:color w:val="auto"/>
              </w:rPr>
            </w:pPr>
            <w:r>
              <w:rPr>
                <w:rFonts w:ascii="Arial" w:cs="Arial" w:eastAsia="Arial" w:hAnsi="Arial"/>
                <w:sz w:val="17"/>
                <w:szCs w:val="17"/>
                <w:color w:val="auto"/>
              </w:rPr>
              <w:t>101.PRE</w:t>
            </w:r>
          </w:p>
        </w:tc>
        <w:tc>
          <w:tcPr>
            <w:tcW w:w="4780" w:type="dxa"/>
            <w:vAlign w:val="bottom"/>
          </w:tcPr>
          <w:p>
            <w:pPr>
              <w:ind w:left="100"/>
              <w:spacing w:after="0"/>
              <w:rPr>
                <w:sz w:val="20"/>
                <w:szCs w:val="20"/>
                <w:color w:val="auto"/>
              </w:rPr>
            </w:pPr>
            <w:r>
              <w:rPr>
                <w:rFonts w:ascii="Arial" w:cs="Arial" w:eastAsia="Arial" w:hAnsi="Arial"/>
                <w:sz w:val="17"/>
                <w:szCs w:val="17"/>
                <w:color w:val="auto"/>
              </w:rPr>
              <w:t>Inline XBRL Taxonomy Extension Presentation Linkbase</w:t>
            </w:r>
          </w:p>
        </w:tc>
        <w:tc>
          <w:tcPr>
            <w:tcW w:w="1240" w:type="dxa"/>
            <w:vAlign w:val="bottom"/>
          </w:tcPr>
          <w:p>
            <w:pPr>
              <w:ind w:left="180"/>
              <w:spacing w:after="0"/>
              <w:rPr>
                <w:sz w:val="20"/>
                <w:szCs w:val="20"/>
                <w:color w:val="auto"/>
              </w:rPr>
            </w:pPr>
            <w:r>
              <w:rPr>
                <w:rFonts w:ascii="Arial" w:cs="Arial" w:eastAsia="Arial" w:hAnsi="Arial"/>
                <w:sz w:val="17"/>
                <w:szCs w:val="17"/>
                <w:color w:val="auto"/>
                <w:w w:val="98"/>
              </w:rPr>
              <w:t>Filed herewith</w:t>
            </w:r>
          </w:p>
        </w:tc>
      </w:tr>
      <w:tr>
        <w:trPr>
          <w:trHeight w:val="203"/>
        </w:trPr>
        <w:tc>
          <w:tcPr>
            <w:tcW w:w="78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7"/>
                <w:szCs w:val="17"/>
                <w:color w:val="auto"/>
              </w:rPr>
              <w:t>Document.</w:t>
            </w:r>
          </w:p>
        </w:tc>
        <w:tc>
          <w:tcPr>
            <w:tcW w:w="1240" w:type="dxa"/>
            <w:vAlign w:val="bottom"/>
          </w:tcPr>
          <w:p>
            <w:pPr>
              <w:spacing w:after="0"/>
              <w:rPr>
                <w:sz w:val="17"/>
                <w:szCs w:val="17"/>
                <w:color w:val="auto"/>
              </w:rPr>
            </w:pPr>
          </w:p>
        </w:tc>
      </w:tr>
      <w:tr>
        <w:trPr>
          <w:trHeight w:val="178"/>
        </w:trPr>
        <w:tc>
          <w:tcPr>
            <w:tcW w:w="780" w:type="dxa"/>
            <w:vAlign w:val="bottom"/>
          </w:tcPr>
          <w:p>
            <w:pPr>
              <w:spacing w:after="0" w:line="178" w:lineRule="exact"/>
              <w:rPr>
                <w:sz w:val="20"/>
                <w:szCs w:val="20"/>
                <w:color w:val="auto"/>
              </w:rPr>
            </w:pPr>
            <w:r>
              <w:rPr>
                <w:rFonts w:ascii="Arial" w:cs="Arial" w:eastAsia="Arial" w:hAnsi="Arial"/>
                <w:sz w:val="17"/>
                <w:szCs w:val="17"/>
                <w:color w:val="auto"/>
              </w:rPr>
              <w:t>104</w:t>
            </w:r>
          </w:p>
        </w:tc>
        <w:tc>
          <w:tcPr>
            <w:tcW w:w="4780" w:type="dxa"/>
            <w:vAlign w:val="bottom"/>
          </w:tcPr>
          <w:p>
            <w:pPr>
              <w:ind w:left="100"/>
              <w:spacing w:after="0" w:line="178" w:lineRule="exact"/>
              <w:rPr>
                <w:sz w:val="20"/>
                <w:szCs w:val="20"/>
                <w:color w:val="auto"/>
              </w:rPr>
            </w:pPr>
            <w:r>
              <w:rPr>
                <w:rFonts w:ascii="Arial" w:cs="Arial" w:eastAsia="Arial" w:hAnsi="Arial"/>
                <w:sz w:val="17"/>
                <w:szCs w:val="17"/>
                <w:color w:val="auto"/>
              </w:rPr>
              <w:t>Cover Page Interactive Data File (formatted as inline XBRL</w:t>
            </w:r>
          </w:p>
        </w:tc>
        <w:tc>
          <w:tcPr>
            <w:tcW w:w="1240" w:type="dxa"/>
            <w:vAlign w:val="bottom"/>
          </w:tcPr>
          <w:p>
            <w:pPr>
              <w:ind w:left="180"/>
              <w:spacing w:after="0" w:line="178" w:lineRule="exact"/>
              <w:rPr>
                <w:sz w:val="20"/>
                <w:szCs w:val="20"/>
                <w:color w:val="auto"/>
              </w:rPr>
            </w:pPr>
            <w:r>
              <w:rPr>
                <w:rFonts w:ascii="Arial" w:cs="Arial" w:eastAsia="Arial" w:hAnsi="Arial"/>
                <w:sz w:val="17"/>
                <w:szCs w:val="17"/>
                <w:color w:val="auto"/>
                <w:w w:val="98"/>
              </w:rPr>
              <w:t>Filed herewith</w:t>
            </w:r>
          </w:p>
        </w:tc>
      </w:tr>
      <w:tr>
        <w:trPr>
          <w:trHeight w:val="165"/>
        </w:trPr>
        <w:tc>
          <w:tcPr>
            <w:tcW w:w="780" w:type="dxa"/>
            <w:vAlign w:val="bottom"/>
          </w:tcPr>
          <w:p>
            <w:pPr>
              <w:spacing w:after="0"/>
              <w:rPr>
                <w:sz w:val="14"/>
                <w:szCs w:val="14"/>
                <w:color w:val="auto"/>
              </w:rPr>
            </w:pPr>
          </w:p>
        </w:tc>
        <w:tc>
          <w:tcPr>
            <w:tcW w:w="4780" w:type="dxa"/>
            <w:vAlign w:val="bottom"/>
          </w:tcPr>
          <w:p>
            <w:pPr>
              <w:ind w:left="100"/>
              <w:spacing w:after="0" w:line="165" w:lineRule="exact"/>
              <w:rPr>
                <w:sz w:val="20"/>
                <w:szCs w:val="20"/>
                <w:color w:val="auto"/>
              </w:rPr>
            </w:pPr>
            <w:r>
              <w:rPr>
                <w:rFonts w:ascii="Arial" w:cs="Arial" w:eastAsia="Arial" w:hAnsi="Arial"/>
                <w:sz w:val="17"/>
                <w:szCs w:val="17"/>
                <w:color w:val="auto"/>
              </w:rPr>
              <w:t>with applicable taxonomy extension information contained in</w:t>
            </w:r>
          </w:p>
        </w:tc>
        <w:tc>
          <w:tcPr>
            <w:tcW w:w="1240" w:type="dxa"/>
            <w:vAlign w:val="bottom"/>
          </w:tcPr>
          <w:p>
            <w:pPr>
              <w:spacing w:after="0"/>
              <w:rPr>
                <w:sz w:val="14"/>
                <w:szCs w:val="14"/>
                <w:color w:val="auto"/>
              </w:rPr>
            </w:pPr>
          </w:p>
        </w:tc>
      </w:tr>
      <w:tr>
        <w:trPr>
          <w:trHeight w:val="203"/>
        </w:trPr>
        <w:tc>
          <w:tcPr>
            <w:tcW w:w="78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7"/>
                <w:szCs w:val="17"/>
                <w:color w:val="auto"/>
              </w:rPr>
              <w:t>Exhibits 101).</w:t>
            </w:r>
          </w:p>
        </w:tc>
        <w:tc>
          <w:tcPr>
            <w:tcW w:w="1240" w:type="dxa"/>
            <w:vAlign w:val="bottom"/>
          </w:tcPr>
          <w:p>
            <w:pPr>
              <w:spacing w:after="0"/>
              <w:rPr>
                <w:sz w:val="17"/>
                <w:szCs w:val="17"/>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5" w:lineRule="exact"/>
        <w:rPr>
          <w:sz w:val="20"/>
          <w:szCs w:val="20"/>
          <w:color w:val="auto"/>
        </w:rPr>
      </w:pPr>
    </w:p>
    <w:p>
      <w:pPr>
        <w:ind w:left="300" w:hanging="298"/>
        <w:spacing w:after="0" w:line="253" w:lineRule="auto"/>
        <w:tabs>
          <w:tab w:leader="none" w:pos="223"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153670</wp:posOffset>
            </wp:positionV>
            <wp:extent cx="71659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right="100" w:firstLine="305"/>
        <w:spacing w:after="0" w:line="25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840" w:type="dxa"/>
            <w:vAlign w:val="bottom"/>
            <w:gridSpan w:val="2"/>
          </w:tcPr>
          <w:p>
            <w:pPr>
              <w:ind w:left="1620"/>
              <w:spacing w:after="0"/>
              <w:rPr>
                <w:sz w:val="20"/>
                <w:szCs w:val="20"/>
                <w:color w:val="auto"/>
              </w:rPr>
            </w:pPr>
            <w:r>
              <w:rPr>
                <w:rFonts w:ascii="Arial" w:cs="Arial" w:eastAsia="Arial" w:hAnsi="Arial"/>
                <w:sz w:val="17"/>
                <w:szCs w:val="17"/>
                <w:b w:val="1"/>
                <w:bCs w:val="1"/>
                <w:color w:val="auto"/>
              </w:rPr>
              <w:t>THREDUP INC.</w:t>
            </w:r>
          </w:p>
        </w:tc>
      </w:tr>
      <w:tr>
        <w:trPr>
          <w:trHeight w:val="470"/>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220"/>
              <w:spacing w:after="0"/>
              <w:rPr>
                <w:sz w:val="20"/>
                <w:szCs w:val="20"/>
                <w:color w:val="auto"/>
              </w:rPr>
            </w:pPr>
            <w:r>
              <w:rPr>
                <w:rFonts w:ascii="Arial" w:cs="Arial" w:eastAsia="Arial" w:hAnsi="Arial"/>
                <w:sz w:val="17"/>
                <w:szCs w:val="17"/>
                <w:color w:val="auto"/>
              </w:rPr>
              <w:t>November 8, 2021</w:t>
            </w:r>
          </w:p>
        </w:tc>
        <w:tc>
          <w:tcPr>
            <w:tcW w:w="1900" w:type="dxa"/>
            <w:vAlign w:val="bottom"/>
          </w:tcPr>
          <w:p>
            <w:pPr>
              <w:ind w:left="162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James Reinhart</w:t>
            </w:r>
          </w:p>
        </w:tc>
      </w:tr>
      <w:tr>
        <w:trPr>
          <w:trHeight w:val="208"/>
        </w:trPr>
        <w:tc>
          <w:tcPr>
            <w:tcW w:w="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James Reinhart</w:t>
            </w:r>
          </w:p>
        </w:tc>
      </w:tr>
      <w:tr>
        <w:trPr>
          <w:trHeight w:val="210"/>
        </w:trPr>
        <w:tc>
          <w:tcPr>
            <w:tcW w:w="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Chief Executive Officer</w:t>
            </w:r>
          </w:p>
        </w:tc>
      </w:tr>
      <w:tr>
        <w:trPr>
          <w:trHeight w:val="221"/>
        </w:trPr>
        <w:tc>
          <w:tcPr>
            <w:tcW w:w="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7"/>
                <w:szCs w:val="17"/>
                <w:i w:val="1"/>
                <w:iCs w:val="1"/>
                <w:color w:val="auto"/>
              </w:rPr>
              <w:t>(Principal Executive Officer)</w:t>
            </w:r>
          </w:p>
        </w:tc>
      </w:tr>
      <w:tr>
        <w:trPr>
          <w:trHeight w:val="470"/>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220"/>
              <w:spacing w:after="0"/>
              <w:rPr>
                <w:sz w:val="20"/>
                <w:szCs w:val="20"/>
                <w:color w:val="auto"/>
              </w:rPr>
            </w:pPr>
            <w:r>
              <w:rPr>
                <w:rFonts w:ascii="Arial" w:cs="Arial" w:eastAsia="Arial" w:hAnsi="Arial"/>
                <w:sz w:val="17"/>
                <w:szCs w:val="17"/>
                <w:color w:val="auto"/>
              </w:rPr>
              <w:t>November 8, 2021</w:t>
            </w:r>
          </w:p>
        </w:tc>
        <w:tc>
          <w:tcPr>
            <w:tcW w:w="1900" w:type="dxa"/>
            <w:vAlign w:val="bottom"/>
          </w:tcPr>
          <w:p>
            <w:pPr>
              <w:ind w:left="162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/s/ Sean Sobers</w:t>
            </w:r>
          </w:p>
        </w:tc>
      </w:tr>
      <w:tr>
        <w:trPr>
          <w:trHeight w:val="208"/>
        </w:trPr>
        <w:tc>
          <w:tcPr>
            <w:tcW w:w="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Sean Sobers</w:t>
            </w:r>
          </w:p>
        </w:tc>
      </w:tr>
      <w:tr>
        <w:trPr>
          <w:trHeight w:val="210"/>
        </w:trPr>
        <w:tc>
          <w:tcPr>
            <w:tcW w:w="6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7"/>
                <w:szCs w:val="17"/>
                <w:color w:val="auto"/>
              </w:rPr>
              <w:t>Chief Financial Officer</w:t>
            </w:r>
          </w:p>
        </w:tc>
      </w:tr>
      <w:tr>
        <w:trPr>
          <w:trHeight w:val="221"/>
        </w:trPr>
        <w:tc>
          <w:tcPr>
            <w:tcW w:w="6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7"/>
                <w:szCs w:val="17"/>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40"/>
          </w:cols>
          <w:pgMar w:left="320" w:top="144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31.1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 James Reinhart, certify that:</w:t>
      </w:r>
    </w:p>
    <w:p>
      <w:pPr>
        <w:spacing w:after="0" w:line="84" w:lineRule="exact"/>
        <w:rPr>
          <w:sz w:val="20"/>
          <w:szCs w:val="20"/>
          <w:color w:val="auto"/>
        </w:rPr>
      </w:pPr>
    </w:p>
    <w:p>
      <w:pPr>
        <w:ind w:left="180" w:hanging="178"/>
        <w:spacing w:after="0"/>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3" w:lineRule="exact"/>
        <w:rPr>
          <w:rFonts w:ascii="Arial" w:cs="Arial" w:eastAsia="Arial" w:hAnsi="Arial"/>
          <w:sz w:val="17"/>
          <w:szCs w:val="17"/>
          <w:color w:val="auto"/>
        </w:rPr>
      </w:pPr>
    </w:p>
    <w:p>
      <w:pPr>
        <w:jc w:val="both"/>
        <w:ind w:firstLine="2"/>
        <w:spacing w:after="0" w:line="254" w:lineRule="auto"/>
        <w:tabs>
          <w:tab w:leader="none" w:pos="1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7"/>
          <w:szCs w:val="17"/>
          <w:color w:val="auto"/>
        </w:rPr>
      </w:pPr>
    </w:p>
    <w:p>
      <w:pPr>
        <w:ind w:firstLine="2"/>
        <w:spacing w:after="0" w:line="258" w:lineRule="auto"/>
        <w:tabs>
          <w:tab w:leader="none" w:pos="199"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jc w:val="both"/>
        <w:ind w:firstLine="2"/>
        <w:spacing w:after="0" w:line="254" w:lineRule="auto"/>
        <w:tabs>
          <w:tab w:leader="none" w:pos="21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7"/>
          <w:szCs w:val="17"/>
          <w:color w:val="auto"/>
        </w:rPr>
      </w:pPr>
    </w:p>
    <w:p>
      <w:pPr>
        <w:jc w:val="both"/>
        <w:ind w:left="460" w:hanging="2"/>
        <w:spacing w:after="0" w:line="254" w:lineRule="auto"/>
        <w:tabs>
          <w:tab w:leader="none" w:pos="657"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460" w:hanging="2"/>
        <w:spacing w:after="0" w:line="254" w:lineRule="auto"/>
        <w:tabs>
          <w:tab w:leader="none" w:pos="6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7"/>
          <w:szCs w:val="17"/>
          <w:color w:val="auto"/>
        </w:rPr>
      </w:pPr>
    </w:p>
    <w:p>
      <w:pPr>
        <w:ind w:left="460" w:hanging="2"/>
        <w:spacing w:after="0" w:line="258" w:lineRule="auto"/>
        <w:tabs>
          <w:tab w:leader="none" w:pos="671"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jc w:val="both"/>
        <w:ind w:left="460" w:hanging="2"/>
        <w:spacing w:after="0" w:line="254"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Arial" w:cs="Arial" w:eastAsia="Arial" w:hAnsi="Arial"/>
          <w:sz w:val="17"/>
          <w:szCs w:val="17"/>
          <w:color w:val="auto"/>
        </w:rPr>
      </w:pPr>
    </w:p>
    <w:p>
      <w:pPr>
        <w:ind w:firstLine="2"/>
        <w:spacing w:after="0" w:line="258" w:lineRule="auto"/>
        <w:tabs>
          <w:tab w:leader="none" w:pos="1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7"/>
          <w:szCs w:val="17"/>
          <w:color w:val="auto"/>
        </w:rPr>
      </w:pPr>
    </w:p>
    <w:p>
      <w:pPr>
        <w:ind w:left="460" w:hanging="2"/>
        <w:spacing w:after="0" w:line="258" w:lineRule="auto"/>
        <w:tabs>
          <w:tab w:leader="none" w:pos="65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460" w:hanging="2"/>
        <w:spacing w:after="0" w:line="258" w:lineRule="auto"/>
        <w:tabs>
          <w:tab w:leader="none" w:pos="6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November 8, 2021</w:t>
      </w:r>
    </w:p>
    <w:p>
      <w:pPr>
        <w:spacing w:after="0" w:line="51"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21590</wp:posOffset>
            </wp:positionV>
            <wp:extent cx="48679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4867910" cy="8255"/>
                    </a:xfrm>
                    <a:prstGeom prst="rect">
                      <a:avLst/>
                    </a:prstGeom>
                    <a:noFill/>
                  </pic:spPr>
                </pic:pic>
              </a:graphicData>
            </a:graphic>
          </wp:anchor>
        </w:drawing>
      </w:r>
    </w:p>
    <w:p>
      <w:pPr>
        <w:spacing w:after="0" w:line="51"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James Reinhart</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Chief Executive Officer</w:t>
      </w:r>
    </w:p>
    <w:p>
      <w:pPr>
        <w:spacing w:after="0" w:line="40" w:lineRule="exact"/>
        <w:rPr>
          <w:sz w:val="20"/>
          <w:szCs w:val="20"/>
          <w:color w:val="auto"/>
        </w:rPr>
      </w:pPr>
    </w:p>
    <w:p>
      <w:pPr>
        <w:ind w:left="36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certify that:</w:t>
      </w:r>
    </w:p>
    <w:p>
      <w:pPr>
        <w:spacing w:after="0" w:line="84" w:lineRule="exact"/>
        <w:rPr>
          <w:sz w:val="20"/>
          <w:szCs w:val="20"/>
          <w:color w:val="auto"/>
        </w:rPr>
      </w:pPr>
    </w:p>
    <w:p>
      <w:pPr>
        <w:ind w:left="180" w:hanging="178"/>
        <w:spacing w:after="0"/>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ThredUp Inc. ("registrant");</w:t>
      </w:r>
    </w:p>
    <w:p>
      <w:pPr>
        <w:spacing w:after="0" w:line="83" w:lineRule="exact"/>
        <w:rPr>
          <w:rFonts w:ascii="Arial" w:cs="Arial" w:eastAsia="Arial" w:hAnsi="Arial"/>
          <w:sz w:val="17"/>
          <w:szCs w:val="17"/>
          <w:color w:val="auto"/>
        </w:rPr>
      </w:pPr>
    </w:p>
    <w:p>
      <w:pPr>
        <w:jc w:val="both"/>
        <w:ind w:firstLine="2"/>
        <w:spacing w:after="0" w:line="254" w:lineRule="auto"/>
        <w:tabs>
          <w:tab w:leader="none" w:pos="1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7"/>
          <w:szCs w:val="17"/>
          <w:color w:val="auto"/>
        </w:rPr>
      </w:pPr>
    </w:p>
    <w:p>
      <w:pPr>
        <w:ind w:firstLine="2"/>
        <w:spacing w:after="0" w:line="258" w:lineRule="auto"/>
        <w:tabs>
          <w:tab w:leader="none" w:pos="199"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jc w:val="both"/>
        <w:ind w:firstLine="2"/>
        <w:spacing w:after="0" w:line="254" w:lineRule="auto"/>
        <w:tabs>
          <w:tab w:leader="none" w:pos="2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7"/>
          <w:szCs w:val="17"/>
          <w:color w:val="auto"/>
        </w:rPr>
      </w:pPr>
    </w:p>
    <w:p>
      <w:pPr>
        <w:jc w:val="both"/>
        <w:ind w:left="460" w:hanging="2"/>
        <w:spacing w:after="0" w:line="254" w:lineRule="auto"/>
        <w:tabs>
          <w:tab w:leader="none" w:pos="65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460" w:hanging="2"/>
        <w:spacing w:after="0" w:line="254" w:lineRule="auto"/>
        <w:tabs>
          <w:tab w:leader="none" w:pos="68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7"/>
          <w:szCs w:val="17"/>
          <w:color w:val="auto"/>
        </w:rPr>
      </w:pPr>
    </w:p>
    <w:p>
      <w:pPr>
        <w:ind w:left="460" w:hanging="2"/>
        <w:spacing w:after="0" w:line="258" w:lineRule="auto"/>
        <w:tabs>
          <w:tab w:leader="none" w:pos="67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jc w:val="both"/>
        <w:ind w:left="460" w:hanging="2"/>
        <w:spacing w:after="0" w:line="254"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4" w:lineRule="exact"/>
        <w:rPr>
          <w:rFonts w:ascii="Arial" w:cs="Arial" w:eastAsia="Arial" w:hAnsi="Arial"/>
          <w:sz w:val="17"/>
          <w:szCs w:val="17"/>
          <w:color w:val="auto"/>
        </w:rPr>
      </w:pPr>
    </w:p>
    <w:p>
      <w:pPr>
        <w:ind w:firstLine="2"/>
        <w:spacing w:after="0" w:line="258" w:lineRule="auto"/>
        <w:tabs>
          <w:tab w:leader="none" w:pos="1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7"/>
          <w:szCs w:val="17"/>
          <w:color w:val="auto"/>
        </w:rPr>
      </w:pPr>
    </w:p>
    <w:p>
      <w:pPr>
        <w:ind w:left="460" w:hanging="2"/>
        <w:spacing w:after="0" w:line="258" w:lineRule="auto"/>
        <w:tabs>
          <w:tab w:leader="none" w:pos="65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460" w:hanging="2"/>
        <w:spacing w:after="0" w:line="258" w:lineRule="auto"/>
        <w:tabs>
          <w:tab w:leader="none" w:pos="68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8"/>
          <w:szCs w:val="18"/>
          <w:color w:val="auto"/>
        </w:rPr>
        <w:t>November 8, 2021</w:t>
      </w:r>
    </w:p>
    <w:p>
      <w:pPr>
        <w:spacing w:after="0" w:line="6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21590</wp:posOffset>
            </wp:positionV>
            <wp:extent cx="3820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5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Sean Sobers</w:t>
      </w:r>
    </w:p>
    <w:p>
      <w:pPr>
        <w:spacing w:after="0" w:line="5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Financial Officer</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40"/>
          </w:cols>
          <w:pgMar w:left="320" w:top="42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 James Reinhart, Chief Executive Officer of ThredUp Inc. (Company), do hereby certify, pursuant to 18 U.S.C. Section 1350, as adopted pursuant to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00" w:lineRule="exact"/>
        <w:rPr>
          <w:sz w:val="20"/>
          <w:szCs w:val="20"/>
          <w:color w:val="auto"/>
        </w:rPr>
      </w:pPr>
    </w:p>
    <w:p>
      <w:pPr>
        <w:spacing w:after="0" w:line="341" w:lineRule="exact"/>
        <w:rPr>
          <w:sz w:val="20"/>
          <w:szCs w:val="20"/>
          <w:color w:val="auto"/>
        </w:rPr>
      </w:pPr>
    </w:p>
    <w:p>
      <w:pPr>
        <w:ind w:left="720" w:right="40" w:hanging="397"/>
        <w:spacing w:after="0" w:line="258"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2021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4" w:lineRule="exact"/>
        <w:rPr>
          <w:rFonts w:ascii="Arial" w:cs="Arial" w:eastAsia="Arial" w:hAnsi="Arial"/>
          <w:sz w:val="17"/>
          <w:szCs w:val="17"/>
          <w:color w:val="auto"/>
        </w:rPr>
      </w:pPr>
    </w:p>
    <w:p>
      <w:pPr>
        <w:ind w:left="720" w:right="40" w:hanging="397"/>
        <w:spacing w:after="0" w:line="258"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8, 2021</w:t>
      </w:r>
    </w:p>
    <w:p>
      <w:pPr>
        <w:spacing w:after="0" w:line="58"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21590</wp:posOffset>
            </wp:positionV>
            <wp:extent cx="47548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75488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James Reinhart</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Chief Executive Officer</w:t>
      </w:r>
    </w:p>
    <w:p>
      <w:pPr>
        <w:spacing w:after="0" w:line="40" w:lineRule="exact"/>
        <w:rPr>
          <w:sz w:val="20"/>
          <w:szCs w:val="20"/>
          <w:color w:val="auto"/>
        </w:rPr>
      </w:pPr>
    </w:p>
    <w:p>
      <w:pPr>
        <w:ind w:left="35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42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 Sean Sobers, Chief Financial Officer of ThredUp Inc. (Company), do hereby certify, pursuant to 18 U.S.C. Section 1350, as adopted pursuant to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200" w:lineRule="exact"/>
        <w:rPr>
          <w:sz w:val="20"/>
          <w:szCs w:val="20"/>
          <w:color w:val="auto"/>
        </w:rPr>
      </w:pPr>
    </w:p>
    <w:p>
      <w:pPr>
        <w:spacing w:after="0" w:line="341" w:lineRule="exact"/>
        <w:rPr>
          <w:sz w:val="20"/>
          <w:szCs w:val="20"/>
          <w:color w:val="auto"/>
        </w:rPr>
      </w:pPr>
    </w:p>
    <w:p>
      <w:pPr>
        <w:ind w:left="720" w:right="40" w:hanging="397"/>
        <w:spacing w:after="0" w:line="258"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2021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720" w:right="40" w:hanging="397"/>
        <w:spacing w:after="0" w:line="258"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9"/>
          <w:szCs w:val="19"/>
          <w:color w:val="auto"/>
        </w:rPr>
        <w:t>November 8, 2021</w:t>
      </w:r>
    </w:p>
    <w:p>
      <w:pPr>
        <w:spacing w:after="0" w:line="51"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21590</wp:posOffset>
            </wp:positionV>
            <wp:extent cx="45618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4561840" cy="8255"/>
                    </a:xfrm>
                    <a:prstGeom prst="rect">
                      <a:avLst/>
                    </a:prstGeom>
                    <a:noFill/>
                  </pic:spPr>
                </pic:pic>
              </a:graphicData>
            </a:graphic>
          </wp:anchor>
        </w:drawing>
      </w:r>
    </w:p>
    <w:p>
      <w:pPr>
        <w:spacing w:after="0" w:line="51"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Sean Sobers</w:t>
      </w:r>
    </w:p>
    <w:p>
      <w:pPr>
        <w:spacing w:after="0" w:line="5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Chief Financial Officer</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(Principal Financial and Accounting Officer)</w:t>
      </w:r>
    </w:p>
    <w:sectPr>
      <w:pgSz w:w="11900" w:h="16838" w:orient="portrait"/>
      <w:cols w:equalWidth="0" w:num="1">
        <w:col w:w="11240"/>
      </w:cols>
      <w:pgMar w:left="320" w:top="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decimal"/>
      <w:start w:val="8"/>
    </w:lvl>
  </w:abstractNum>
  <w:abstractNum w:abstractNumId="10">
    <w:nsid w:val="B03E0C6"/>
    <w:multiLevelType w:val="hybridMultilevel"/>
    <w:lvl w:ilvl="0">
      <w:lvlJc w:val="left"/>
      <w:lvlText w:val="%1."/>
      <w:numFmt w:val="decimal"/>
      <w:start w:val="9"/>
    </w:lvl>
  </w:abstractNum>
  <w:abstractNum w:abstractNumId="11">
    <w:nsid w:val="189A769B"/>
    <w:multiLevelType w:val="hybridMultilevel"/>
    <w:lvl w:ilvl="0">
      <w:lvlJc w:val="left"/>
      <w:lvlText w:val="%1."/>
      <w:numFmt w:val="decimal"/>
      <w:start w:val="10"/>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decimal"/>
      <w:start w:val="12"/>
    </w:lvl>
  </w:abstractNum>
  <w:abstractNum w:abstractNumId="14">
    <w:nsid w:val="2CA88611"/>
    <w:multiLevelType w:val="hybridMultilevel"/>
    <w:lvl w:ilvl="0">
      <w:lvlJc w:val="left"/>
      <w:lvlText w:val="%1."/>
      <w:numFmt w:val="decimal"/>
      <w:start w:val="13"/>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Roman"/>
      <w:start w:val="2"/>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95" Type="http://schemas.openxmlformats.org/officeDocument/2006/relationships/hyperlink" Target="https://www.sec.gov/Archives/edgar/data/1484778/000162828021003857/exhibit32-sx1.htm" TargetMode="External"/><Relationship Id="rId96" Type="http://schemas.openxmlformats.org/officeDocument/2006/relationships/hyperlink" Target="https://www.sec.gov/Archives/edgar/data/1484778/000162828021003857/exhibit34-sx1.htm" TargetMode="External"/><Relationship Id="rId97" Type="http://schemas.openxmlformats.org/officeDocument/2006/relationships/hyperlink" Target="https://www.sec.gov/Archives/edgar/data/1484778/000162828021003857/exhibit41-sx1.htm" TargetMode="External"/><Relationship Id="rId98"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2021-11-09T05:15:48Z</dcterms:created>
  <dcterms:modified xsi:type="dcterms:W3CDTF">2021-11-09T05:15:48Z</dcterms:modified>
</cp:coreProperties>
</file>