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rFonts w:ascii="Helvetica;sans-serif" w:hAnsi="Helvetica;sans-serif"/>
          <w:b/>
          <w:color w:val="000000"/>
          <w:sz w:val="28"/>
        </w:rPr>
      </w:pPr>
      <w:r>
        <w:rPr>
          <w:rFonts w:ascii="Helvetica;sans-serif" w:hAnsi="Helvetica;sans-serif"/>
          <w:b/>
          <w:color w:val="000000"/>
          <w:sz w:val="28"/>
        </w:rPr>
        <w:t>UNITED STATES</w:t>
      </w:r>
    </w:p>
    <w:p>
      <w:pPr>
        <w:pStyle w:val="TextBody"/>
        <w:spacing w:lineRule="auto" w:line="288" w:before="0" w:after="0"/>
        <w:jc w:val="center"/>
        <w:rPr>
          <w:rFonts w:ascii="Helvetica;sans-serif" w:hAnsi="Helvetica;sans-serif"/>
          <w:b/>
          <w:color w:val="000000"/>
          <w:sz w:val="28"/>
        </w:rPr>
      </w:pPr>
      <w:r>
        <w:rPr>
          <w:rFonts w:ascii="Helvetica;sans-serif" w:hAnsi="Helvetica;sans-serif"/>
          <w:b/>
          <w:color w:val="000000"/>
          <w:sz w:val="28"/>
        </w:rPr>
        <w:t>SECURITIES AND EXCHANGE COMMISSION</w:t>
      </w:r>
    </w:p>
    <w:p>
      <w:pPr>
        <w:pStyle w:val="TextBody"/>
        <w:spacing w:lineRule="auto" w:line="288" w:before="0" w:after="0"/>
        <w:jc w:val="center"/>
        <w:rPr>
          <w:rFonts w:ascii="Helvetica;sans-serif" w:hAnsi="Helvetica;sans-serif"/>
          <w:b/>
          <w:color w:val="000000"/>
          <w:sz w:val="28"/>
        </w:rPr>
      </w:pPr>
      <w:r>
        <w:rPr>
          <w:rFonts w:ascii="Helvetica;sans-serif" w:hAnsi="Helvetica;sans-serif"/>
          <w:b/>
          <w:color w:val="000000"/>
          <w:sz w:val="28"/>
        </w:rPr>
        <w:t>Washington, D.C. 20549</w:t>
      </w:r>
    </w:p>
    <w:p>
      <w:pPr>
        <w:pStyle w:val="TextBody"/>
        <w:spacing w:lineRule="auto" w:line="288" w:before="120" w:after="283"/>
        <w:jc w:val="center"/>
        <w:rPr>
          <w:rFonts w:ascii="Helvetica;sans-serif" w:hAnsi="Helvetica;sans-serif"/>
          <w:b/>
          <w:color w:val="000000"/>
          <w:sz w:val="28"/>
        </w:rPr>
      </w:pPr>
      <w:r>
        <w:rPr>
          <w:rFonts w:ascii="Helvetica;sans-serif" w:hAnsi="Helvetica;sans-serif"/>
          <w:b/>
          <w:color w:val="000000"/>
          <w:sz w:val="28"/>
        </w:rPr>
        <w:t>FORM 10-Q</w:t>
      </w:r>
    </w:p>
    <w:p>
      <w:pPr>
        <w:pStyle w:val="TextBody"/>
        <w:spacing w:lineRule="auto" w:line="288" w:before="120" w:after="283"/>
        <w:jc w:val="both"/>
        <w:rPr>
          <w:rFonts w:ascii="Helvetica;sans-serif" w:hAnsi="Helvetica;sans-serif"/>
          <w:b/>
          <w:color w:val="000000"/>
          <w:sz w:val="20"/>
        </w:rPr>
      </w:pPr>
      <w:r>
        <w:rPr>
          <w:rFonts w:ascii="Helvetica;sans-serif" w:hAnsi="Helvetica;sans-serif"/>
          <w:b/>
          <w:color w:val="000000"/>
          <w:sz w:val="20"/>
        </w:rPr>
        <w:t>(Mark One)</w:t>
      </w:r>
    </w:p>
    <w:p>
      <w:pPr>
        <w:pStyle w:val="TextBody"/>
        <w:spacing w:lineRule="auto" w:line="288" w:before="0" w:after="0"/>
        <w:jc w:val="both"/>
        <w:rPr>
          <w:color w:val="000000"/>
        </w:rPr>
      </w:pPr>
      <w:r>
        <w:rPr>
          <w:color w:val="000000"/>
        </w:rPr>
        <w:t>☒    </w:t>
      </w:r>
      <w:r>
        <w:rPr>
          <w:rFonts w:ascii="Helvetica;sans-serif" w:hAnsi="Helvetica;sans-serif"/>
          <w:b/>
          <w:color w:val="000000"/>
          <w:sz w:val="20"/>
        </w:rPr>
        <w:t>QUARTERLY REPORT PURSUANT TO SECTION 13 OR 15(d) OF THE SECURITIES EXCHANGE ACT OF 1934</w:t>
      </w:r>
    </w:p>
    <w:p>
      <w:pPr>
        <w:pStyle w:val="TextBody"/>
        <w:spacing w:lineRule="auto" w:line="288" w:before="120" w:after="283"/>
        <w:jc w:val="center"/>
        <w:rPr>
          <w:rFonts w:ascii="Helvetica;sans-serif" w:hAnsi="Helvetica;sans-serif"/>
          <w:b/>
          <w:color w:val="000000"/>
          <w:sz w:val="20"/>
        </w:rPr>
      </w:pPr>
      <w:r>
        <w:rPr>
          <w:rFonts w:ascii="Helvetica;sans-serif" w:hAnsi="Helvetica;sans-serif"/>
          <w:b/>
          <w:color w:val="000000"/>
          <w:sz w:val="20"/>
        </w:rPr>
        <w:t>For the quarterly period ended March 31, 2023</w:t>
      </w:r>
    </w:p>
    <w:p>
      <w:pPr>
        <w:pStyle w:val="TextBody"/>
        <w:spacing w:lineRule="auto" w:line="288" w:before="120" w:after="283"/>
        <w:jc w:val="center"/>
        <w:rPr>
          <w:rFonts w:ascii="Helvetica;sans-serif" w:hAnsi="Helvetica;sans-serif"/>
          <w:b/>
          <w:color w:val="000000"/>
          <w:sz w:val="20"/>
        </w:rPr>
      </w:pPr>
      <w:r>
        <w:rPr>
          <w:rFonts w:ascii="Helvetica;sans-serif" w:hAnsi="Helvetica;sans-serif"/>
          <w:b/>
          <w:color w:val="000000"/>
          <w:sz w:val="20"/>
        </w:rPr>
        <w:t>or</w:t>
      </w:r>
    </w:p>
    <w:p>
      <w:pPr>
        <w:pStyle w:val="TextBody"/>
        <w:spacing w:lineRule="auto" w:line="288" w:before="120" w:after="283"/>
        <w:rPr>
          <w:color w:val="000000"/>
        </w:rPr>
      </w:pPr>
      <w:r>
        <w:rPr>
          <w:color w:val="000000"/>
        </w:rPr>
        <w:t>☐    </w:t>
      </w:r>
      <w:r>
        <w:rPr>
          <w:rFonts w:ascii="Helvetica;sans-serif" w:hAnsi="Helvetica;sans-serif"/>
          <w:b/>
          <w:color w:val="000000"/>
          <w:sz w:val="20"/>
        </w:rPr>
        <w:t>TRANSITION REPORT PURSUANT TO SECTION 13 OR 15(d) OF THE SECURITIES EXCHANGE ACT OF 1934</w:t>
      </w:r>
    </w:p>
    <w:p>
      <w:pPr>
        <w:pStyle w:val="TextBody"/>
        <w:spacing w:lineRule="auto" w:line="288" w:before="120" w:after="283"/>
        <w:jc w:val="center"/>
        <w:rPr>
          <w:rFonts w:ascii="Helvetica;sans-serif" w:hAnsi="Helvetica;sans-serif"/>
          <w:b/>
          <w:color w:val="000000"/>
          <w:sz w:val="20"/>
        </w:rPr>
      </w:pPr>
      <w:r>
        <w:rPr>
          <w:rFonts w:ascii="Helvetica;sans-serif" w:hAnsi="Helvetica;sans-serif"/>
          <w:b/>
          <w:color w:val="000000"/>
          <w:sz w:val="20"/>
        </w:rPr>
        <w:t>For the transition period from ____________________ to ____________________</w:t>
      </w:r>
    </w:p>
    <w:p>
      <w:pPr>
        <w:pStyle w:val="TextBody"/>
        <w:spacing w:lineRule="auto" w:line="288" w:before="120" w:after="283"/>
        <w:jc w:val="center"/>
        <w:rPr>
          <w:rFonts w:ascii="Helvetica;sans-serif" w:hAnsi="Helvetica;sans-serif"/>
          <w:b/>
          <w:color w:val="000000"/>
          <w:sz w:val="20"/>
        </w:rPr>
      </w:pPr>
      <w:r>
        <w:rPr>
          <w:rFonts w:ascii="Helvetica;sans-serif" w:hAnsi="Helvetica;sans-serif"/>
          <w:b/>
          <w:color w:val="000000"/>
          <w:sz w:val="20"/>
        </w:rPr>
        <w:t>Commission File Number: 001-40249</w:t>
      </w:r>
    </w:p>
    <w:p>
      <w:pPr>
        <w:pStyle w:val="TextBody"/>
        <w:spacing w:before="120" w:after="283"/>
        <w:jc w:val="center"/>
        <w:rPr/>
      </w:pPr>
      <w:r>
        <w:rPr/>
        <w:drawing>
          <wp:inline distT="0" distB="63500" distL="0" distR="0">
            <wp:extent cx="17145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400050"/>
                    </a:xfrm>
                    <a:prstGeom prst="rect">
                      <a:avLst/>
                    </a:prstGeom>
                  </pic:spPr>
                </pic:pic>
              </a:graphicData>
            </a:graphic>
          </wp:inline>
        </w:drawing>
      </w:r>
    </w:p>
    <w:p>
      <w:pPr>
        <w:pStyle w:val="TextBody"/>
        <w:spacing w:lineRule="auto" w:line="288" w:before="120" w:after="283"/>
        <w:jc w:val="center"/>
        <w:rPr>
          <w:rFonts w:ascii="Helvetica;sans-serif" w:hAnsi="Helvetica;sans-serif"/>
          <w:b/>
          <w:color w:val="000000"/>
          <w:sz w:val="32"/>
        </w:rPr>
      </w:pPr>
      <w:r>
        <w:rPr>
          <w:rFonts w:ascii="Helvetica;sans-serif" w:hAnsi="Helvetica;sans-serif"/>
          <w:b/>
          <w:color w:val="000000"/>
          <w:sz w:val="32"/>
        </w:rPr>
        <w:t>ThredUp Inc.</w:t>
      </w:r>
    </w:p>
    <w:p>
      <w:pPr>
        <w:pStyle w:val="TextBody"/>
        <w:spacing w:lineRule="auto" w:line="288" w:before="0" w:after="0"/>
        <w:jc w:val="center"/>
        <w:rPr>
          <w:rFonts w:ascii="Helvetica;sans-serif" w:hAnsi="Helvetica;sans-serif"/>
          <w:b w:val="false"/>
          <w:i/>
          <w:color w:val="000000"/>
          <w:sz w:val="16"/>
        </w:rPr>
      </w:pPr>
      <w:r>
        <w:rPr>
          <w:rFonts w:ascii="Helvetica;sans-serif" w:hAnsi="Helvetica;sans-serif"/>
          <w:b w:val="false"/>
          <w:i/>
          <w:color w:val="000000"/>
          <w:sz w:val="16"/>
        </w:rPr>
        <w:t>(Exact name of registrant as specified in its charter)</w:t>
      </w:r>
    </w:p>
    <w:p>
      <w:pPr>
        <w:pStyle w:val="TextBody"/>
        <w:spacing w:before="0" w:after="0"/>
        <w:jc w:val="both"/>
        <w:rPr/>
      </w:pPr>
      <w:r>
        <w:rPr/>
      </w:r>
    </w:p>
    <w:tbl>
      <w:tblPr>
        <w:tblW w:w="6990" w:type="dxa"/>
        <w:jc w:val="left"/>
        <w:tblInd w:w="0" w:type="dxa"/>
        <w:tblCellMar>
          <w:top w:w="28" w:type="dxa"/>
          <w:left w:w="28" w:type="dxa"/>
          <w:bottom w:w="28" w:type="dxa"/>
          <w:right w:w="28" w:type="dxa"/>
        </w:tblCellMar>
      </w:tblPr>
      <w:tblGrid>
        <w:gridCol w:w="1566"/>
        <w:gridCol w:w="1378"/>
        <w:gridCol w:w="1391"/>
        <w:gridCol w:w="773"/>
        <w:gridCol w:w="773"/>
        <w:gridCol w:w="1109"/>
      </w:tblGrid>
      <w:tr>
        <w:trPr/>
        <w:tc>
          <w:tcPr>
            <w:tcW w:w="1566" w:type="dxa"/>
            <w:tcBorders/>
            <w:shd w:fill="auto" w:val="clear"/>
            <w:vAlign w:val="center"/>
          </w:tcPr>
          <w:p>
            <w:pPr>
              <w:pStyle w:val="TableContents"/>
              <w:spacing w:before="0" w:after="283"/>
              <w:rPr>
                <w:sz w:val="4"/>
                <w:szCs w:val="4"/>
              </w:rPr>
            </w:pPr>
            <w:r>
              <w:rPr>
                <w:sz w:val="4"/>
                <w:szCs w:val="4"/>
              </w:rPr>
            </w:r>
          </w:p>
        </w:tc>
        <w:tc>
          <w:tcPr>
            <w:tcW w:w="1378"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Delaware</w:t>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26-4009181</w:t>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(State or other jurisdiction of incorporation or organization)</w:t>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(I.R.S. Employer Identification No.)</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969 Broadway, Suite 200</w:t>
            </w:r>
          </w:p>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Oakland, California</w:t>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94607</w:t>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(Address of principal executive offices)</w:t>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(Zip Code)</w:t>
            </w:r>
          </w:p>
        </w:tc>
      </w:tr>
    </w:tbl>
    <w:p>
      <w:pPr>
        <w:pStyle w:val="TextBody"/>
        <w:spacing w:before="0" w:after="0"/>
        <w:jc w:val="both"/>
        <w:rPr/>
      </w:pPr>
      <w:r>
        <w:rPr/>
      </w:r>
    </w:p>
    <w:p>
      <w:pPr>
        <w:pStyle w:val="TextBody"/>
        <w:spacing w:lineRule="auto" w:line="288" w:before="40" w:after="283"/>
        <w:jc w:val="center"/>
        <w:rPr>
          <w:rFonts w:ascii="Helvetica;sans-serif" w:hAnsi="Helvetica;sans-serif"/>
          <w:b/>
          <w:color w:val="000000"/>
          <w:sz w:val="16"/>
        </w:rPr>
      </w:pPr>
      <w:r>
        <w:rPr>
          <w:rFonts w:ascii="Helvetica;sans-serif" w:hAnsi="Helvetica;sans-serif"/>
          <w:b/>
          <w:color w:val="000000"/>
          <w:sz w:val="16"/>
        </w:rPr>
        <w:t>(415) 402-5202</w:t>
      </w:r>
    </w:p>
    <w:p>
      <w:pPr>
        <w:pStyle w:val="TextBody"/>
        <w:spacing w:lineRule="auto" w:line="288" w:before="0" w:after="0"/>
        <w:jc w:val="center"/>
        <w:rPr>
          <w:rFonts w:ascii="Helvetica;sans-serif" w:hAnsi="Helvetica;sans-serif"/>
          <w:b w:val="false"/>
          <w:i/>
          <w:color w:val="000000"/>
          <w:sz w:val="16"/>
        </w:rPr>
      </w:pPr>
      <w:r>
        <w:rPr>
          <w:rFonts w:ascii="Helvetica;sans-serif" w:hAnsi="Helvetica;sans-serif"/>
          <w:b w:val="false"/>
          <w:i/>
          <w:color w:val="000000"/>
          <w:sz w:val="16"/>
        </w:rPr>
        <w:t>(Registrant’s telephone number, including area code)</w:t>
      </w:r>
    </w:p>
    <w:p>
      <w:pPr>
        <w:pStyle w:val="TextBody"/>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Securities registered pursuant to Section 12(b) of the Act:</w:t>
      </w:r>
    </w:p>
    <w:p>
      <w:pPr>
        <w:pStyle w:val="TextBody"/>
        <w:spacing w:before="0" w:after="0"/>
        <w:jc w:val="both"/>
        <w:rPr/>
      </w:pPr>
      <w:r>
        <w:rPr/>
      </w:r>
    </w:p>
    <w:tbl>
      <w:tblPr>
        <w:tblW w:w="9891" w:type="dxa"/>
        <w:jc w:val="left"/>
        <w:tblInd w:w="0" w:type="dxa"/>
        <w:tblCellMar>
          <w:top w:w="28" w:type="dxa"/>
          <w:left w:w="28" w:type="dxa"/>
          <w:bottom w:w="28" w:type="dxa"/>
          <w:right w:w="28" w:type="dxa"/>
        </w:tblCellMar>
      </w:tblPr>
      <w:tblGrid>
        <w:gridCol w:w="1447"/>
        <w:gridCol w:w="1271"/>
        <w:gridCol w:w="1286"/>
        <w:gridCol w:w="109"/>
        <w:gridCol w:w="109"/>
        <w:gridCol w:w="109"/>
        <w:gridCol w:w="524"/>
        <w:gridCol w:w="524"/>
        <w:gridCol w:w="526"/>
        <w:gridCol w:w="109"/>
        <w:gridCol w:w="109"/>
        <w:gridCol w:w="109"/>
        <w:gridCol w:w="1071"/>
        <w:gridCol w:w="1071"/>
        <w:gridCol w:w="1517"/>
      </w:tblGrid>
      <w:tr>
        <w:trPr/>
        <w:tc>
          <w:tcPr>
            <w:tcW w:w="1447"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517"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Name of each exchange on which registered</w:t>
            </w:r>
          </w:p>
        </w:tc>
      </w:tr>
      <w:tr>
        <w:trPr/>
        <w:tc>
          <w:tcPr>
            <w:tcW w:w="400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Class A Common Stock, $0.0001 par value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TDUP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The Nasdaq Stock Market LLC</w:t>
            </w:r>
          </w:p>
          <w:p>
            <w:pPr>
              <w:pStyle w:val="TableContents"/>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Long-Term Stock Exchange</w:t>
            </w:r>
          </w:p>
        </w:tc>
      </w:tr>
    </w:tbl>
    <w:p>
      <w:pPr>
        <w:pStyle w:val="TextBody"/>
        <w:spacing w:before="0" w:after="0"/>
        <w:jc w:val="both"/>
        <w:rPr/>
      </w:pPr>
      <w:r>
        <w:rPr/>
      </w:r>
    </w:p>
    <w:p>
      <w:pPr>
        <w:pStyle w:val="TextBody"/>
        <w:spacing w:lineRule="auto" w:line="288" w:before="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both"/>
        <w:rPr/>
      </w:pPr>
      <w:r>
        <w:rPr/>
      </w:r>
    </w:p>
    <w:tbl>
      <w:tblPr>
        <w:tblW w:w="4493" w:type="dxa"/>
        <w:jc w:val="center"/>
        <w:tblInd w:w="0" w:type="dxa"/>
        <w:tblCellMar>
          <w:top w:w="28" w:type="dxa"/>
          <w:left w:w="28" w:type="dxa"/>
          <w:bottom w:w="28" w:type="dxa"/>
          <w:right w:w="28" w:type="dxa"/>
        </w:tblCellMar>
      </w:tblPr>
      <w:tblGrid>
        <w:gridCol w:w="629"/>
        <w:gridCol w:w="554"/>
        <w:gridCol w:w="556"/>
        <w:gridCol w:w="109"/>
        <w:gridCol w:w="109"/>
        <w:gridCol w:w="109"/>
        <w:gridCol w:w="684"/>
        <w:gridCol w:w="684"/>
        <w:gridCol w:w="687"/>
        <w:gridCol w:w="109"/>
        <w:gridCol w:w="109"/>
        <w:gridCol w:w="154"/>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before="0" w:after="0"/>
        <w:jc w:val="both"/>
        <w:rPr/>
      </w:pPr>
      <w:r>
        <w:rPr/>
      </w:r>
    </w:p>
    <w:p>
      <w:pPr>
        <w:pStyle w:val="TextBody"/>
        <w:spacing w:lineRule="auto" w:line="288" w:before="40" w:after="283"/>
        <w:jc w:val="both"/>
        <w:rPr>
          <w:rFonts w:ascii="Helvetica;sans-serif" w:hAnsi="Helvetica;sans-serif"/>
          <w:b w:val="false"/>
          <w:color w:val="000000"/>
          <w:sz w:val="16"/>
        </w:rPr>
      </w:pPr>
      <w:r>
        <w:rPr>
          <w:rFonts w:ascii="Helvetica;sans-serif" w:hAnsi="Helvetica;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is a shell company (as defined in Rule 12b-2 of the Exchange Act).    Yes  ☐    No  ☒</w:t>
      </w:r>
    </w:p>
    <w:p>
      <w:pPr>
        <w:pStyle w:val="TextBody"/>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There were 72,605,495 shares of Class A common stock and 30,484,786 shares of Class B common stock outstanding as of May 2,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TABLE OF CONTENTS</w:t>
      </w:r>
    </w:p>
    <w:tbl>
      <w:tblPr>
        <w:tblW w:w="10141" w:type="dxa"/>
        <w:jc w:val="left"/>
        <w:tblInd w:w="0" w:type="dxa"/>
        <w:tblCellMar>
          <w:top w:w="28" w:type="dxa"/>
          <w:left w:w="28" w:type="dxa"/>
          <w:bottom w:w="28" w:type="dxa"/>
          <w:right w:w="28" w:type="dxa"/>
        </w:tblCellMar>
      </w:tblPr>
      <w:tblGrid>
        <w:gridCol w:w="320"/>
        <w:gridCol w:w="282"/>
        <w:gridCol w:w="284"/>
        <w:gridCol w:w="2614"/>
        <w:gridCol w:w="2614"/>
        <w:gridCol w:w="2617"/>
        <w:gridCol w:w="412"/>
        <w:gridCol w:w="412"/>
        <w:gridCol w:w="586"/>
      </w:tblGrid>
      <w:tr>
        <w:trPr/>
        <w:tc>
          <w:tcPr>
            <w:tcW w:w="32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614" w:type="dxa"/>
            <w:tcBorders/>
            <w:shd w:fill="auto" w:val="clear"/>
            <w:vAlign w:val="center"/>
          </w:tcPr>
          <w:p>
            <w:pPr>
              <w:pStyle w:val="TableContents"/>
              <w:spacing w:before="0" w:after="283"/>
              <w:rPr>
                <w:sz w:val="4"/>
                <w:szCs w:val="4"/>
              </w:rPr>
            </w:pPr>
            <w:r>
              <w:rPr>
                <w:sz w:val="4"/>
                <w:szCs w:val="4"/>
              </w:rPr>
            </w:r>
          </w:p>
        </w:tc>
        <w:tc>
          <w:tcPr>
            <w:tcW w:w="2614" w:type="dxa"/>
            <w:tcBorders/>
            <w:shd w:fill="auto" w:val="clear"/>
            <w:vAlign w:val="center"/>
          </w:tcPr>
          <w:p>
            <w:pPr>
              <w:pStyle w:val="TableContents"/>
              <w:spacing w:before="0" w:after="283"/>
              <w:rPr>
                <w:sz w:val="4"/>
                <w:szCs w:val="4"/>
              </w:rPr>
            </w:pPr>
            <w:r>
              <w:rPr>
                <w:sz w:val="4"/>
                <w:szCs w:val="4"/>
              </w:rPr>
            </w:r>
          </w:p>
        </w:tc>
        <w:tc>
          <w:tcPr>
            <w:tcW w:w="2617"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20"/>
              </w:rPr>
            </w:pPr>
            <w:r>
              <w:rPr>
                <w:rFonts w:ascii="Helvetica;sans-serif" w:hAnsi="Helvetica;sans-serif"/>
                <w:b/>
                <w:color w:val="000000"/>
                <w:sz w:val="20"/>
              </w:rPr>
              <w:t>Page Number</w:t>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20"/>
              </w:rPr>
            </w:pPr>
            <w:r>
              <w:rPr>
                <w:rFonts w:ascii="Helvetica;sans-serif" w:hAnsi="Helvetica;sans-serif"/>
                <w:b/>
                <w:color w:val="000000"/>
                <w:sz w:val="20"/>
              </w:rPr>
              <w:t>PART I. FINANCIAL INFORMATION</w:t>
            </w:r>
          </w:p>
        </w:tc>
        <w:tc>
          <w:tcPr>
            <w:tcW w:w="141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w:t>
            </w:r>
          </w:p>
        </w:tc>
        <w:tc>
          <w:tcPr>
            <w:tcW w:w="784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cf6cd6c2981485ca51dd6b50182b609_13">
              <w:r>
                <w:rPr>
                  <w:rStyle w:val="InternetLink"/>
                  <w:rFonts w:ascii="Helvetica;sans-serif" w:hAnsi="Helvetica;sans-serif"/>
                  <w:b w:val="false"/>
                  <w:color w:val="0000FF"/>
                  <w:sz w:val="20"/>
                  <w:u w:val="single"/>
                </w:rPr>
                <w:t>Financial Statements</w:t>
              </w:r>
            </w:hyperlink>
          </w:p>
        </w:tc>
        <w:tc>
          <w:tcPr>
            <w:tcW w:w="141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cf6cd6c2981485ca51dd6b50182b609_13">
              <w:r>
                <w:rPr>
                  <w:rStyle w:val="InternetLink"/>
                  <w:rFonts w:ascii="Helvetica;sans-serif" w:hAnsi="Helvetica;sans-serif"/>
                  <w:b w:val="false"/>
                  <w:strike w:val="false"/>
                  <w:dstrike w:val="false"/>
                  <w:color w:val="000000"/>
                  <w:sz w:val="20"/>
                  <w:u w:val="none"/>
                  <w:effect w:val="none"/>
                </w:rPr>
                <w:t>5</w:t>
              </w:r>
            </w:hyperlink>
          </w:p>
        </w:tc>
      </w:tr>
      <w:tr>
        <w:trPr/>
        <w:tc>
          <w:tcPr>
            <w:tcW w:w="8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cf6cd6c2981485ca51dd6b50182b609_19">
              <w:r>
                <w:rPr>
                  <w:rStyle w:val="InternetLink"/>
                  <w:rFonts w:ascii="Helvetica;sans-serif" w:hAnsi="Helvetica;sans-serif"/>
                  <w:b w:val="false"/>
                  <w:color w:val="0000FF"/>
                  <w:sz w:val="20"/>
                  <w:u w:val="single"/>
                </w:rPr>
                <w:t>Unaudited Condensed Consolidated Balance Sheets</w:t>
              </w:r>
            </w:hyperlink>
          </w:p>
        </w:tc>
        <w:tc>
          <w:tcPr>
            <w:tcW w:w="1410"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bcf6cd6c2981485ca51dd6b50182b609_19">
              <w:r>
                <w:rPr>
                  <w:rStyle w:val="InternetLink"/>
                  <w:rFonts w:ascii="Helvetica;sans-serif" w:hAnsi="Helvetica;sans-serif"/>
                  <w:b w:val="false"/>
                  <w:strike w:val="false"/>
                  <w:dstrike w:val="false"/>
                  <w:color w:val="000000"/>
                  <w:sz w:val="20"/>
                  <w:u w:val="none"/>
                  <w:effect w:val="none"/>
                </w:rPr>
                <w:t>5</w:t>
              </w:r>
            </w:hyperlink>
          </w:p>
        </w:tc>
      </w:tr>
      <w:tr>
        <w:trPr/>
        <w:tc>
          <w:tcPr>
            <w:tcW w:w="8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cf6cd6c2981485ca51dd6b50182b609_22">
              <w:r>
                <w:rPr>
                  <w:rStyle w:val="InternetLink"/>
                  <w:rFonts w:ascii="Helvetica;sans-serif" w:hAnsi="Helvetica;sans-serif"/>
                  <w:b w:val="false"/>
                  <w:color w:val="0000FF"/>
                  <w:sz w:val="20"/>
                  <w:u w:val="single"/>
                </w:rPr>
                <w:t>Unaudited Condensed Consolidated Statements of Operations</w:t>
              </w:r>
            </w:hyperlink>
          </w:p>
        </w:tc>
        <w:tc>
          <w:tcPr>
            <w:tcW w:w="141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cf6cd6c2981485ca51dd6b50182b609_22">
              <w:r>
                <w:rPr>
                  <w:rStyle w:val="InternetLink"/>
                  <w:rFonts w:ascii="Helvetica;sans-serif" w:hAnsi="Helvetica;sans-serif"/>
                  <w:b w:val="false"/>
                  <w:strike w:val="false"/>
                  <w:dstrike w:val="false"/>
                  <w:color w:val="000000"/>
                  <w:sz w:val="20"/>
                  <w:u w:val="none"/>
                  <w:effect w:val="none"/>
                </w:rPr>
                <w:t>6</w:t>
              </w:r>
            </w:hyperlink>
          </w:p>
        </w:tc>
      </w:tr>
      <w:tr>
        <w:trPr/>
        <w:tc>
          <w:tcPr>
            <w:tcW w:w="8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cf6cd6c2981485ca51dd6b50182b609_25">
              <w:r>
                <w:rPr>
                  <w:rStyle w:val="InternetLink"/>
                  <w:rFonts w:ascii="Helvetica;sans-serif" w:hAnsi="Helvetica;sans-serif"/>
                  <w:b w:val="false"/>
                  <w:color w:val="0000FF"/>
                  <w:sz w:val="20"/>
                  <w:u w:val="single"/>
                </w:rPr>
                <w:t>Unaudited Condensed Consolidated Statements of Comprehensive Loss</w:t>
              </w:r>
            </w:hyperlink>
          </w:p>
        </w:tc>
        <w:tc>
          <w:tcPr>
            <w:tcW w:w="1410"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bcf6cd6c2981485ca51dd6b50182b609_25">
              <w:r>
                <w:rPr>
                  <w:rStyle w:val="InternetLink"/>
                  <w:rFonts w:ascii="Helvetica;sans-serif" w:hAnsi="Helvetica;sans-serif"/>
                  <w:b w:val="false"/>
                  <w:strike w:val="false"/>
                  <w:dstrike w:val="false"/>
                  <w:color w:val="000000"/>
                  <w:sz w:val="20"/>
                  <w:u w:val="none"/>
                  <w:effect w:val="none"/>
                </w:rPr>
                <w:t>7</w:t>
              </w:r>
            </w:hyperlink>
          </w:p>
        </w:tc>
      </w:tr>
      <w:tr>
        <w:trPr/>
        <w:tc>
          <w:tcPr>
            <w:tcW w:w="8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cf6cd6c2981485ca51dd6b50182b609_28">
              <w:r>
                <w:rPr>
                  <w:rStyle w:val="InternetLink"/>
                </w:rPr>
                <w:t xml:space="preserve">Unaudited Condensed Consolidated Statements of </w:t>
              </w:r>
            </w:hyperlink>
            <w:hyperlink w:anchor="ibcf6cd6c2981485ca51dd6b50182b609_28">
              <w:r>
                <w:rPr>
                  <w:rStyle w:val="InternetLink"/>
                </w:rPr>
                <w:t>Stockholders’ Equity</w:t>
              </w:r>
            </w:hyperlink>
          </w:p>
        </w:tc>
        <w:tc>
          <w:tcPr>
            <w:tcW w:w="141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cf6cd6c2981485ca51dd6b50182b609_28">
              <w:r>
                <w:rPr>
                  <w:rStyle w:val="InternetLink"/>
                  <w:rFonts w:ascii="Helvetica;sans-serif" w:hAnsi="Helvetica;sans-serif"/>
                  <w:b w:val="false"/>
                  <w:strike w:val="false"/>
                  <w:dstrike w:val="false"/>
                  <w:color w:val="000000"/>
                  <w:sz w:val="20"/>
                  <w:u w:val="none"/>
                  <w:effect w:val="none"/>
                </w:rPr>
                <w:t>8</w:t>
              </w:r>
            </w:hyperlink>
          </w:p>
        </w:tc>
      </w:tr>
      <w:tr>
        <w:trPr/>
        <w:tc>
          <w:tcPr>
            <w:tcW w:w="8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cf6cd6c2981485ca51dd6b50182b609_31">
              <w:r>
                <w:rPr>
                  <w:rStyle w:val="InternetLink"/>
                  <w:rFonts w:ascii="Helvetica;sans-serif" w:hAnsi="Helvetica;sans-serif"/>
                  <w:b w:val="false"/>
                  <w:color w:val="0000FF"/>
                  <w:sz w:val="20"/>
                  <w:u w:val="single"/>
                </w:rPr>
                <w:t>Unaudited Condensed Consolidated Statements of Cash Flows</w:t>
              </w:r>
            </w:hyperlink>
          </w:p>
        </w:tc>
        <w:tc>
          <w:tcPr>
            <w:tcW w:w="1410"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bcf6cd6c2981485ca51dd6b50182b609_31">
              <w:r>
                <w:rPr>
                  <w:rStyle w:val="InternetLink"/>
                  <w:rFonts w:ascii="Helvetica;sans-serif" w:hAnsi="Helvetica;sans-serif"/>
                  <w:b w:val="false"/>
                  <w:strike w:val="false"/>
                  <w:dstrike w:val="false"/>
                  <w:color w:val="000000"/>
                  <w:sz w:val="20"/>
                  <w:u w:val="none"/>
                  <w:effect w:val="none"/>
                </w:rPr>
                <w:t>9</w:t>
              </w:r>
            </w:hyperlink>
          </w:p>
        </w:tc>
      </w:tr>
      <w:tr>
        <w:trPr/>
        <w:tc>
          <w:tcPr>
            <w:tcW w:w="8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cf6cd6c2981485ca51dd6b50182b609_34">
              <w:r>
                <w:rPr>
                  <w:rStyle w:val="InternetLink"/>
                  <w:rFonts w:ascii="Helvetica;sans-serif" w:hAnsi="Helvetica;sans-serif"/>
                  <w:b w:val="false"/>
                  <w:color w:val="0000FF"/>
                  <w:sz w:val="20"/>
                  <w:u w:val="single"/>
                </w:rPr>
                <w:t>Notes to Unaudited Condensed Consolidated Financial Statements</w:t>
              </w:r>
            </w:hyperlink>
          </w:p>
        </w:tc>
        <w:tc>
          <w:tcPr>
            <w:tcW w:w="141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cf6cd6c2981485ca51dd6b50182b609_34">
              <w:r>
                <w:rPr>
                  <w:rStyle w:val="InternetLink"/>
                  <w:rFonts w:ascii="Helvetica;sans-serif" w:hAnsi="Helvetica;sans-serif"/>
                  <w:b w:val="false"/>
                  <w:strike w:val="false"/>
                  <w:dstrike w:val="false"/>
                  <w:color w:val="000000"/>
                  <w:sz w:val="20"/>
                  <w:u w:val="none"/>
                  <w:effect w:val="none"/>
                </w:rPr>
                <w:t>10</w:t>
              </w:r>
            </w:hyperlink>
          </w:p>
        </w:tc>
      </w:tr>
      <w:tr>
        <w:trPr/>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2.</w:t>
            </w:r>
          </w:p>
        </w:tc>
        <w:tc>
          <w:tcPr>
            <w:tcW w:w="784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cf6cd6c2981485ca51dd6b50182b609_73">
              <w:r>
                <w:rPr>
                  <w:rStyle w:val="InternetLink"/>
                  <w:rFonts w:ascii="Helvetica;sans-serif" w:hAnsi="Helvetica;sans-serif"/>
                  <w:b w:val="false"/>
                  <w:color w:val="0000FF"/>
                  <w:sz w:val="20"/>
                  <w:u w:val="single"/>
                </w:rPr>
                <w:t>Management’s Discussion and Analysis of Financial Condition and Results of Operations</w:t>
              </w:r>
            </w:hyperlink>
          </w:p>
        </w:tc>
        <w:tc>
          <w:tcPr>
            <w:tcW w:w="1410"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bcf6cd6c2981485ca51dd6b50182b609_73">
              <w:r>
                <w:rPr>
                  <w:rStyle w:val="InternetLink"/>
                  <w:rFonts w:ascii="Helvetica;sans-serif" w:hAnsi="Helvetica;sans-serif"/>
                  <w:b w:val="false"/>
                  <w:strike w:val="false"/>
                  <w:dstrike w:val="false"/>
                  <w:color w:val="000000"/>
                  <w:sz w:val="20"/>
                  <w:u w:val="none"/>
                  <w:effect w:val="none"/>
                </w:rPr>
                <w:t>19</w:t>
              </w:r>
            </w:hyperlink>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3.</w:t>
            </w:r>
          </w:p>
        </w:tc>
        <w:tc>
          <w:tcPr>
            <w:tcW w:w="784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cf6cd6c2981485ca51dd6b50182b609_94">
              <w:r>
                <w:rPr>
                  <w:rStyle w:val="InternetLink"/>
                  <w:rFonts w:ascii="Helvetica;sans-serif" w:hAnsi="Helvetica;sans-serif"/>
                  <w:b w:val="false"/>
                  <w:color w:val="0000FF"/>
                  <w:sz w:val="20"/>
                  <w:u w:val="single"/>
                </w:rPr>
                <w:t>Quantitative and Qualitative Disclosures About Market Risk</w:t>
              </w:r>
            </w:hyperlink>
          </w:p>
        </w:tc>
        <w:tc>
          <w:tcPr>
            <w:tcW w:w="141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cf6cd6c2981485ca51dd6b50182b609_94">
              <w:r>
                <w:rPr>
                  <w:rStyle w:val="InternetLink"/>
                  <w:rFonts w:ascii="Helvetica;sans-serif" w:hAnsi="Helvetica;sans-serif"/>
                  <w:b w:val="false"/>
                  <w:strike w:val="false"/>
                  <w:dstrike w:val="false"/>
                  <w:color w:val="000000"/>
                  <w:sz w:val="20"/>
                  <w:u w:val="none"/>
                  <w:effect w:val="none"/>
                </w:rPr>
                <w:t>25</w:t>
              </w:r>
            </w:hyperlink>
          </w:p>
        </w:tc>
      </w:tr>
      <w:tr>
        <w:trPr/>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4.</w:t>
            </w:r>
          </w:p>
        </w:tc>
        <w:tc>
          <w:tcPr>
            <w:tcW w:w="784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cf6cd6c2981485ca51dd6b50182b609_97">
              <w:r>
                <w:rPr>
                  <w:rStyle w:val="InternetLink"/>
                  <w:rFonts w:ascii="Helvetica;sans-serif" w:hAnsi="Helvetica;sans-serif"/>
                  <w:b w:val="false"/>
                  <w:color w:val="0000FF"/>
                  <w:sz w:val="20"/>
                  <w:u w:val="single"/>
                </w:rPr>
                <w:t>Controls and Procedures</w:t>
              </w:r>
            </w:hyperlink>
          </w:p>
        </w:tc>
        <w:tc>
          <w:tcPr>
            <w:tcW w:w="1410"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bcf6cd6c2981485ca51dd6b50182b609_97">
              <w:r>
                <w:rPr>
                  <w:rStyle w:val="InternetLink"/>
                  <w:rFonts w:ascii="Helvetica;sans-serif" w:hAnsi="Helvetica;sans-serif"/>
                  <w:b w:val="false"/>
                  <w:strike w:val="false"/>
                  <w:dstrike w:val="false"/>
                  <w:color w:val="000000"/>
                  <w:sz w:val="20"/>
                  <w:u w:val="none"/>
                  <w:effect w:val="none"/>
                </w:rPr>
                <w:t>27</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20"/>
              </w:rPr>
            </w:pPr>
            <w:r>
              <w:rPr>
                <w:rFonts w:ascii="Helvetica;sans-serif" w:hAnsi="Helvetica;sans-serif"/>
                <w:b/>
                <w:color w:val="000000"/>
                <w:sz w:val="20"/>
              </w:rPr>
              <w:t>PART II. OTHER INFORMATION</w:t>
            </w:r>
          </w:p>
        </w:tc>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w:t>
            </w:r>
          </w:p>
        </w:tc>
        <w:tc>
          <w:tcPr>
            <w:tcW w:w="78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cf6cd6c2981485ca51dd6b50182b609_103">
              <w:r>
                <w:rPr>
                  <w:rStyle w:val="InternetLink"/>
                  <w:rFonts w:ascii="Helvetica;sans-serif" w:hAnsi="Helvetica;sans-serif"/>
                  <w:b w:val="false"/>
                  <w:color w:val="0000FF"/>
                  <w:sz w:val="20"/>
                  <w:u w:val="single"/>
                </w:rPr>
                <w:t>Legal Proceedings</w:t>
              </w:r>
            </w:hyperlink>
          </w:p>
        </w:tc>
        <w:tc>
          <w:tcPr>
            <w:tcW w:w="141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cf6cd6c2981485ca51dd6b50182b609_103">
              <w:r>
                <w:rPr>
                  <w:rStyle w:val="InternetLink"/>
                  <w:rFonts w:ascii="Helvetica;sans-serif" w:hAnsi="Helvetica;sans-serif"/>
                  <w:b w:val="false"/>
                  <w:strike w:val="false"/>
                  <w:dstrike w:val="false"/>
                  <w:color w:val="000000"/>
                  <w:sz w:val="20"/>
                  <w:u w:val="none"/>
                  <w:effect w:val="none"/>
                </w:rPr>
                <w:t>28</w:t>
              </w:r>
            </w:hyperlink>
          </w:p>
        </w:tc>
      </w:tr>
      <w:tr>
        <w:trPr/>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1A.</w:t>
            </w:r>
          </w:p>
        </w:tc>
        <w:tc>
          <w:tcPr>
            <w:tcW w:w="78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cf6cd6c2981485ca51dd6b50182b609_106">
              <w:r>
                <w:rPr>
                  <w:rStyle w:val="InternetLink"/>
                  <w:rFonts w:ascii="Helvetica;sans-serif" w:hAnsi="Helvetica;sans-serif"/>
                  <w:b w:val="false"/>
                  <w:color w:val="0000FF"/>
                  <w:sz w:val="20"/>
                  <w:u w:val="single"/>
                </w:rPr>
                <w:t>Risk Factors</w:t>
              </w:r>
            </w:hyperlink>
          </w:p>
        </w:tc>
        <w:tc>
          <w:tcPr>
            <w:tcW w:w="1410"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bcf6cd6c2981485ca51dd6b50182b609_106">
              <w:r>
                <w:rPr>
                  <w:rStyle w:val="InternetLink"/>
                  <w:rFonts w:ascii="Helvetica;sans-serif" w:hAnsi="Helvetica;sans-serif"/>
                  <w:b w:val="false"/>
                  <w:strike w:val="false"/>
                  <w:dstrike w:val="false"/>
                  <w:color w:val="000000"/>
                  <w:sz w:val="20"/>
                  <w:u w:val="none"/>
                  <w:effect w:val="none"/>
                </w:rPr>
                <w:t>28</w:t>
              </w:r>
            </w:hyperlink>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2.</w:t>
            </w:r>
          </w:p>
        </w:tc>
        <w:tc>
          <w:tcPr>
            <w:tcW w:w="78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cf6cd6c2981485ca51dd6b50182b609_109">
              <w:r>
                <w:rPr>
                  <w:rStyle w:val="InternetLink"/>
                  <w:rFonts w:ascii="Helvetica;sans-serif" w:hAnsi="Helvetica;sans-serif"/>
                  <w:b w:val="false"/>
                  <w:color w:val="0000FF"/>
                  <w:sz w:val="20"/>
                  <w:u w:val="single"/>
                </w:rPr>
                <w:t>Unregistered Sales of Equity Securities and Use of Proceeds</w:t>
              </w:r>
            </w:hyperlink>
          </w:p>
        </w:tc>
        <w:tc>
          <w:tcPr>
            <w:tcW w:w="141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cf6cd6c2981485ca51dd6b50182b609_109">
              <w:r>
                <w:rPr>
                  <w:rStyle w:val="InternetLink"/>
                  <w:rFonts w:ascii="Helvetica;sans-serif" w:hAnsi="Helvetica;sans-serif"/>
                  <w:b w:val="false"/>
                  <w:strike w:val="false"/>
                  <w:dstrike w:val="false"/>
                  <w:color w:val="000000"/>
                  <w:sz w:val="20"/>
                  <w:u w:val="none"/>
                  <w:effect w:val="none"/>
                </w:rPr>
                <w:t>28</w:t>
              </w:r>
            </w:hyperlink>
          </w:p>
        </w:tc>
      </w:tr>
      <w:tr>
        <w:trPr/>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3.</w:t>
            </w:r>
          </w:p>
        </w:tc>
        <w:tc>
          <w:tcPr>
            <w:tcW w:w="78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cf6cd6c2981485ca51dd6b50182b609_112">
              <w:r>
                <w:rPr>
                  <w:rStyle w:val="InternetLink"/>
                  <w:rFonts w:ascii="Helvetica;sans-serif" w:hAnsi="Helvetica;sans-serif"/>
                  <w:b w:val="false"/>
                  <w:color w:val="0000FF"/>
                  <w:sz w:val="20"/>
                  <w:u w:val="single"/>
                </w:rPr>
                <w:t>Defaults Upon Senior Securities</w:t>
              </w:r>
            </w:hyperlink>
          </w:p>
        </w:tc>
        <w:tc>
          <w:tcPr>
            <w:tcW w:w="1410"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bcf6cd6c2981485ca51dd6b50182b609_112">
              <w:r>
                <w:rPr>
                  <w:rStyle w:val="InternetLink"/>
                  <w:rFonts w:ascii="Helvetica;sans-serif" w:hAnsi="Helvetica;sans-serif"/>
                  <w:b w:val="false"/>
                  <w:strike w:val="false"/>
                  <w:dstrike w:val="false"/>
                  <w:color w:val="000000"/>
                  <w:sz w:val="20"/>
                  <w:u w:val="none"/>
                  <w:effect w:val="none"/>
                </w:rPr>
                <w:t>28</w:t>
              </w:r>
            </w:hyperlink>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4.</w:t>
            </w:r>
          </w:p>
        </w:tc>
        <w:tc>
          <w:tcPr>
            <w:tcW w:w="78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cf6cd6c2981485ca51dd6b50182b609_115">
              <w:r>
                <w:rPr>
                  <w:rStyle w:val="InternetLink"/>
                  <w:rFonts w:ascii="Helvetica;sans-serif" w:hAnsi="Helvetica;sans-serif"/>
                  <w:b w:val="false"/>
                  <w:color w:val="0000FF"/>
                  <w:sz w:val="20"/>
                  <w:u w:val="single"/>
                </w:rPr>
                <w:t>Mine Safety Disclosures</w:t>
              </w:r>
            </w:hyperlink>
          </w:p>
        </w:tc>
        <w:tc>
          <w:tcPr>
            <w:tcW w:w="141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cf6cd6c2981485ca51dd6b50182b609_115">
              <w:r>
                <w:rPr>
                  <w:rStyle w:val="InternetLink"/>
                  <w:rFonts w:ascii="Helvetica;sans-serif" w:hAnsi="Helvetica;sans-serif"/>
                  <w:b w:val="false"/>
                  <w:strike w:val="false"/>
                  <w:dstrike w:val="false"/>
                  <w:color w:val="000000"/>
                  <w:sz w:val="20"/>
                  <w:u w:val="none"/>
                  <w:effect w:val="none"/>
                </w:rPr>
                <w:t>29</w:t>
              </w:r>
            </w:hyperlink>
          </w:p>
        </w:tc>
      </w:tr>
      <w:tr>
        <w:trPr/>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5.</w:t>
            </w:r>
          </w:p>
        </w:tc>
        <w:tc>
          <w:tcPr>
            <w:tcW w:w="78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cf6cd6c2981485ca51dd6b50182b609_118">
              <w:r>
                <w:rPr>
                  <w:rStyle w:val="InternetLink"/>
                  <w:rFonts w:ascii="Helvetica;sans-serif" w:hAnsi="Helvetica;sans-serif"/>
                  <w:b w:val="false"/>
                  <w:color w:val="0000FF"/>
                  <w:sz w:val="20"/>
                  <w:u w:val="single"/>
                </w:rPr>
                <w:t>Other Information</w:t>
              </w:r>
            </w:hyperlink>
          </w:p>
        </w:tc>
        <w:tc>
          <w:tcPr>
            <w:tcW w:w="1410"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bcf6cd6c2981485ca51dd6b50182b609_118">
              <w:r>
                <w:rPr>
                  <w:rStyle w:val="InternetLink"/>
                  <w:rFonts w:ascii="Helvetica;sans-serif" w:hAnsi="Helvetica;sans-serif"/>
                  <w:b w:val="false"/>
                  <w:strike w:val="false"/>
                  <w:dstrike w:val="false"/>
                  <w:color w:val="000000"/>
                  <w:sz w:val="20"/>
                  <w:u w:val="none"/>
                  <w:effect w:val="none"/>
                </w:rPr>
                <w:t>29</w:t>
              </w:r>
            </w:hyperlink>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6.</w:t>
            </w:r>
          </w:p>
        </w:tc>
        <w:tc>
          <w:tcPr>
            <w:tcW w:w="78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cf6cd6c2981485ca51dd6b50182b609_121">
              <w:r>
                <w:rPr>
                  <w:rStyle w:val="InternetLink"/>
                  <w:rFonts w:ascii="Helvetica;sans-serif" w:hAnsi="Helvetica;sans-serif"/>
                  <w:b w:val="false"/>
                  <w:color w:val="0000FF"/>
                  <w:sz w:val="20"/>
                  <w:u w:val="single"/>
                </w:rPr>
                <w:t>Exhibits</w:t>
              </w:r>
            </w:hyperlink>
          </w:p>
        </w:tc>
        <w:tc>
          <w:tcPr>
            <w:tcW w:w="141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cf6cd6c2981485ca51dd6b50182b609_121">
              <w:r>
                <w:rPr>
                  <w:rStyle w:val="InternetLink"/>
                  <w:rFonts w:ascii="Helvetica;sans-serif" w:hAnsi="Helvetica;sans-serif"/>
                  <w:b w:val="false"/>
                  <w:strike w:val="false"/>
                  <w:dstrike w:val="false"/>
                  <w:color w:val="000000"/>
                  <w:sz w:val="20"/>
                  <w:u w:val="none"/>
                  <w:effect w:val="none"/>
                </w:rPr>
                <w:t>29</w:t>
              </w:r>
            </w:hyperlink>
          </w:p>
        </w:tc>
      </w:tr>
      <w:tr>
        <w:trPr/>
        <w:tc>
          <w:tcPr>
            <w:tcW w:w="8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cf6cd6c2981485ca51dd6b50182b609_124">
              <w:r>
                <w:rPr>
                  <w:rStyle w:val="InternetLink"/>
                  <w:rFonts w:ascii="Helvetica;sans-serif" w:hAnsi="Helvetica;sans-serif"/>
                  <w:b w:val="false"/>
                  <w:color w:val="0000FF"/>
                  <w:sz w:val="20"/>
                  <w:u w:val="single"/>
                </w:rPr>
                <w:t>Signatures</w:t>
              </w:r>
            </w:hyperlink>
          </w:p>
        </w:tc>
        <w:tc>
          <w:tcPr>
            <w:tcW w:w="1410"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bcf6cd6c2981485ca51dd6b50182b609_124">
              <w:r>
                <w:rPr>
                  <w:rStyle w:val="InternetLink"/>
                  <w:rFonts w:ascii="Helvetica;sans-serif" w:hAnsi="Helvetica;sans-serif"/>
                  <w:b w:val="false"/>
                  <w:strike w:val="false"/>
                  <w:dstrike w:val="false"/>
                  <w:color w:val="000000"/>
                  <w:sz w:val="20"/>
                  <w:u w:val="none"/>
                  <w:effect w:val="none"/>
                </w:rPr>
                <w:t>30</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w:t>
                      </w:r>
                    </w:p>
                  </w:txbxContent>
                </v:textbox>
              </v:rect>
            </w:pict>
          </mc:Fallback>
        </mc:AlternateContent>
      </w:r>
    </w:p>
    <w:p>
      <w:pPr>
        <w:pStyle w:val="TextBody"/>
        <w:spacing w:lineRule="auto" w:line="288" w:before="0" w:after="0"/>
        <w:rPr/>
      </w:pPr>
      <w:hyperlink w:anchor="ibcf6cd6c2981485ca51dd6b50182b609_7">
        <w:r>
          <w:rPr>
            <w:rStyle w:val="InternetLink"/>
            <w:rFonts w:ascii="Helvetica;sans-serif" w:hAnsi="Helvetica;sans-serif"/>
            <w:b w:val="false"/>
            <w:color w:val="0000FF"/>
            <w:sz w:val="20"/>
            <w:u w:val="single"/>
          </w:rPr>
          <w:t>Table of Contents</w:t>
        </w:r>
      </w:hyperlink>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SPECIAL NOTE REGARDING FORWARD-LOOKING STATEMENTS</w:t>
      </w:r>
    </w:p>
    <w:p>
      <w:pPr>
        <w:pStyle w:val="TextBody"/>
        <w:spacing w:lineRule="auto" w:line="288" w:before="120" w:after="283"/>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This Quarterly Report on Form 10-Q contains forward-looking statements within the meaning of the Private Securities Litigation Reform Act of 1995, Section 27A of the Securities Act of 1933, as amended, and Section 21E of the Securities Exchange Act of 1934, as amended,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spacing w:lineRule="auto" w:line="288" w:before="120" w:after="283"/>
        <w:ind w:left="0" w:right="0" w:hanging="360"/>
        <w:jc w:val="both"/>
        <w:rPr/>
      </w:pPr>
      <w:r>
        <w:rPr>
          <w:color w:val="000000"/>
        </w:rPr>
        <w:t>•</w:t>
      </w:r>
      <w:r>
        <w:rPr>
          <w:rFonts w:ascii="Helvetica;sans-serif" w:hAnsi="Helvetica;sans-serif"/>
          <w:b w:val="false"/>
          <w:i/>
          <w:color w:val="000000"/>
          <w:sz w:val="20"/>
        </w:rPr>
        <w:t>our future financial performance, including our revenue, cost of revenue and operating expenses and our ability to achieve and maintain future profitability;</w:t>
      </w:r>
    </w:p>
    <w:p>
      <w:pPr>
        <w:pStyle w:val="TextBody"/>
        <w:spacing w:lineRule="auto" w:line="288" w:before="120" w:after="283"/>
        <w:ind w:left="0" w:right="0" w:hanging="360"/>
        <w:jc w:val="both"/>
        <w:rPr/>
      </w:pPr>
      <w:r>
        <w:rPr>
          <w:color w:val="000000"/>
        </w:rPr>
        <w:t>•</w:t>
      </w:r>
      <w:r>
        <w:rPr>
          <w:rFonts w:ascii="Helvetica;sans-serif" w:hAnsi="Helvetica;sans-serif"/>
          <w:b w:val="false"/>
          <w:i/>
          <w:color w:val="000000"/>
          <w:sz w:val="20"/>
        </w:rPr>
        <w:t>the sufficiency of our cash, cash equivalents and capital resources to meet our liquidity needs;</w:t>
      </w:r>
    </w:p>
    <w:p>
      <w:pPr>
        <w:pStyle w:val="TextBody"/>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effectively manage or sustain our growth and to effectively expand our operations;</w:t>
      </w:r>
    </w:p>
    <w:p>
      <w:pPr>
        <w:pStyle w:val="TextBody"/>
        <w:spacing w:lineRule="auto" w:line="288" w:before="120" w:after="283"/>
        <w:ind w:left="0" w:right="0" w:hanging="360"/>
        <w:jc w:val="both"/>
        <w:rPr/>
      </w:pPr>
      <w:r>
        <w:rPr>
          <w:color w:val="000000"/>
        </w:rPr>
        <w:t>•</w:t>
      </w:r>
      <w:r>
        <w:rPr>
          <w:rFonts w:ascii="Helvetica;sans-serif" w:hAnsi="Helvetica;sans-serif"/>
          <w:b w:val="false"/>
          <w:i/>
          <w:color w:val="000000"/>
          <w:sz w:val="20"/>
        </w:rPr>
        <w:t>our strategies, plans, objectives and goals, including our expectations regarding future infrastructure investments as well as restructuring activities;</w:t>
      </w:r>
    </w:p>
    <w:p>
      <w:pPr>
        <w:pStyle w:val="TextBody"/>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attract and retain buyers and sellers and the continued impact of network effects as we scale our platform;</w:t>
      </w:r>
    </w:p>
    <w:p>
      <w:pPr>
        <w:pStyle w:val="TextBody"/>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continue to generate revenue from new Resale-as-a-Service (“RaaS”) offerings as sources of revenue;</w:t>
      </w:r>
    </w:p>
    <w:p>
      <w:pPr>
        <w:pStyle w:val="TextBody"/>
        <w:spacing w:lineRule="auto" w:line="288" w:before="120" w:after="283"/>
        <w:ind w:left="0" w:right="0" w:hanging="360"/>
        <w:jc w:val="both"/>
        <w:rPr/>
      </w:pPr>
      <w:r>
        <w:rPr>
          <w:color w:val="000000"/>
        </w:rPr>
        <w:t>•</w:t>
      </w:r>
      <w:r>
        <w:rPr>
          <w:rFonts w:ascii="Helvetica;sans-serif" w:hAnsi="Helvetica;sans-serif"/>
          <w:b w:val="false"/>
          <w:i/>
          <w:color w:val="000000"/>
          <w:sz w:val="20"/>
        </w:rPr>
        <w:t>trends in our key financial and operating metrics;</w:t>
      </w:r>
    </w:p>
    <w:p>
      <w:pPr>
        <w:pStyle w:val="TextBody"/>
        <w:spacing w:lineRule="auto" w:line="288" w:before="120" w:after="283"/>
        <w:ind w:left="0" w:right="0" w:hanging="360"/>
        <w:jc w:val="both"/>
        <w:rPr/>
      </w:pPr>
      <w:r>
        <w:rPr>
          <w:color w:val="000000"/>
        </w:rPr>
        <w:t>•</w:t>
      </w:r>
      <w:r>
        <w:rPr>
          <w:rFonts w:ascii="Helvetica;sans-serif" w:hAnsi="Helvetica;sans-serif"/>
          <w:b w:val="false"/>
          <w:i/>
          <w:color w:val="000000"/>
          <w:sz w:val="20"/>
        </w:rPr>
        <w:t>our estimated market opportunity;</w:t>
      </w:r>
    </w:p>
    <w:p>
      <w:pPr>
        <w:pStyle w:val="TextBody"/>
        <w:spacing w:lineRule="auto" w:line="288" w:before="120" w:after="283"/>
        <w:ind w:left="0" w:right="0" w:hanging="360"/>
        <w:jc w:val="both"/>
        <w:rPr/>
      </w:pPr>
      <w:r>
        <w:rPr>
          <w:color w:val="000000"/>
        </w:rPr>
        <w:t>•</w:t>
      </w:r>
      <w:r>
        <w:rPr>
          <w:rFonts w:ascii="Helvetica;sans-serif" w:hAnsi="Helvetica;sans-serif"/>
          <w:b w:val="false"/>
          <w:i/>
          <w:color w:val="000000"/>
          <w:sz w:val="20"/>
        </w:rPr>
        <w:t>economic and industry trends, projected growth or trend analysis, including the effects of foreign currency exchange rate fluctuations, inflationary pressures, increased interest rates, changing consumer habits and general global economic uncertainty;</w:t>
      </w:r>
    </w:p>
    <w:p>
      <w:pPr>
        <w:pStyle w:val="TextBody"/>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comply with applicable laws and regulations;</w:t>
      </w:r>
    </w:p>
    <w:p>
      <w:pPr>
        <w:pStyle w:val="TextBody"/>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remediate our material weakness in our internal control over financial reporting;</w:t>
      </w:r>
    </w:p>
    <w:p>
      <w:pPr>
        <w:pStyle w:val="TextBody"/>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successfully integrate and realize the benefits of our past or future strategic acquisitions or investments; and</w:t>
      </w:r>
    </w:p>
    <w:p>
      <w:pPr>
        <w:pStyle w:val="TextBody"/>
        <w:spacing w:lineRule="auto" w:line="288" w:before="120" w:after="283"/>
        <w:ind w:left="0" w:right="0" w:hanging="360"/>
        <w:jc w:val="both"/>
        <w:rPr/>
      </w:pPr>
      <w:r>
        <w:rPr>
          <w:color w:val="000000"/>
        </w:rPr>
        <w:t>•</w:t>
      </w:r>
      <w:r>
        <w:rPr>
          <w:rFonts w:ascii="Helvetica;sans-serif" w:hAnsi="Helvetica;sans-serif"/>
          <w:b w:val="false"/>
          <w:i/>
          <w:color w:val="000000"/>
          <w:sz w:val="20"/>
        </w:rPr>
        <w:t>the increased expenses associated with being a public company.</w:t>
      </w:r>
    </w:p>
    <w:p>
      <w:pPr>
        <w:pStyle w:val="TextBody"/>
        <w:spacing w:lineRule="auto" w:line="288" w:before="240" w:after="283"/>
        <w:ind w:left="0" w:right="0" w:firstLine="360"/>
        <w:jc w:val="both"/>
        <w:rPr/>
      </w:pPr>
      <w:r>
        <w:rPr>
          <w:rFonts w:ascii="Helvetica;sans-serif" w:hAnsi="Helvetica;sans-serif"/>
          <w:b w:val="false"/>
          <w:i/>
          <w:color w:val="000000"/>
          <w:sz w:val="20"/>
        </w:rPr>
        <w:t xml:space="preserve">You should not rely upon forward-looking statements as predictions of future events. The outcome of the events described in these forward-looking statements is subject to risks, uncertainties and other factors described in Part I, Item 1A, </w:t>
      </w:r>
      <w:r>
        <w:rPr>
          <w:rFonts w:ascii="Helvetica;sans-serif" w:hAnsi="Helvetica;sans-serif"/>
          <w:b w:val="false"/>
          <w:color w:val="000000"/>
          <w:sz w:val="20"/>
        </w:rPr>
        <w:t>Risk Factors</w:t>
      </w:r>
      <w:r>
        <w:rPr>
          <w:rFonts w:ascii="Helvetica;sans-serif" w:hAnsi="Helvetica;sans-serif"/>
          <w:b w:val="false"/>
          <w:i/>
          <w:color w:val="000000"/>
          <w:sz w:val="20"/>
        </w:rPr>
        <w:t>, of our Annual Report on Form 10-K for the year ended December 31, 2022 and elsewhere in this Quarterly Report on Form 10-Q, as well as in our other filings with the Securities and Exchange Commission (“SEC”).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spacing w:lineRule="auto" w:line="288" w:before="240" w:after="283"/>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pStyle w:val="TextBody"/>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Unless otherwise indicated or unless the context requires otherwise, all references in this document to “thredUP”, “the Company”, “we”, “us”, “our”, or similar references are to ThredUp Inc. and its consolidated subsidiaries.</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 is one of the world’s largest online resale platforms for women’s and kids’ apparel, shoes and accessories, based primarily on items processed, items sold and the capacity of our distribution centers.</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w:t>
                      </w:r>
                    </w:p>
                  </w:txbxContent>
                </v:textbox>
              </v:rect>
            </w:pict>
          </mc:Fallback>
        </mc:AlternateContent>
      </w:r>
    </w:p>
    <w:p>
      <w:pPr>
        <w:pStyle w:val="TextBody"/>
        <w:spacing w:lineRule="auto" w:line="288" w:before="0" w:after="0"/>
        <w:rPr/>
      </w:pPr>
      <w:hyperlink w:anchor="ibcf6cd6c2981485ca51dd6b50182b609_7">
        <w:r>
          <w:rPr>
            <w:rStyle w:val="InternetLink"/>
            <w:rFonts w:ascii="Helvetica;sans-serif" w:hAnsi="Helvetica;sans-serif"/>
            <w:b w:val="false"/>
            <w:color w:val="0000FF"/>
            <w:sz w:val="20"/>
            <w:u w:val="single"/>
          </w:rPr>
          <w:t>Table of Contents</w:t>
        </w:r>
      </w:hyperlink>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“estimated retail price” of an item is based on the estimated original retail price of a comparable item of the same quality, construction and material offered elsewhere in new condition. Our estimated original retail prices are set by our team of merchants who periodically monitor market prices for the brands and styles that we offer on our marketplaces.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w:t>
                      </w:r>
                    </w:p>
                  </w:txbxContent>
                </v:textbox>
              </v:rect>
            </w:pict>
          </mc:Fallback>
        </mc:AlternateContent>
      </w:r>
    </w:p>
    <w:p>
      <w:pPr>
        <w:pStyle w:val="TextBody"/>
        <w:spacing w:lineRule="auto" w:line="288" w:before="0" w:after="0"/>
        <w:rPr/>
      </w:pPr>
      <w:hyperlink w:anchor="ibcf6cd6c2981485ca51dd6b50182b609_7">
        <w:r>
          <w:rPr>
            <w:rStyle w:val="InternetLink"/>
            <w:rFonts w:ascii="Helvetica;sans-serif" w:hAnsi="Helvetica;sans-serif"/>
            <w:b w:val="false"/>
            <w:color w:val="0000FF"/>
            <w:sz w:val="20"/>
            <w:u w:val="single"/>
          </w:rPr>
          <w:t>Table of Contents</w:t>
        </w:r>
      </w:hyperlink>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Helvetica;sans-serif" w:hAnsi="Helvetica;sans-serif"/>
          <w:b/>
          <w:color w:val="000000"/>
          <w:sz w:val="20"/>
        </w:rPr>
      </w:pPr>
      <w:r>
        <w:rPr>
          <w:rFonts w:ascii="Helvetica;sans-serif" w:hAnsi="Helvetica;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BALANCE SHEETS</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center"/>
        <w:tblInd w:w="0" w:type="dxa"/>
        <w:tblCellMar>
          <w:top w:w="28" w:type="dxa"/>
          <w:left w:w="28" w:type="dxa"/>
          <w:bottom w:w="28" w:type="dxa"/>
          <w:right w:w="28" w:type="dxa"/>
        </w:tblCellMar>
      </w:tblPr>
      <w:tblGrid>
        <w:gridCol w:w="2781"/>
        <w:gridCol w:w="2153"/>
        <w:gridCol w:w="2089"/>
        <w:gridCol w:w="109"/>
        <w:gridCol w:w="109"/>
        <w:gridCol w:w="109"/>
        <w:gridCol w:w="221"/>
        <w:gridCol w:w="897"/>
        <w:gridCol w:w="114"/>
        <w:gridCol w:w="114"/>
        <w:gridCol w:w="114"/>
        <w:gridCol w:w="114"/>
        <w:gridCol w:w="221"/>
        <w:gridCol w:w="897"/>
        <w:gridCol w:w="163"/>
      </w:tblGrid>
      <w:tr>
        <w:trPr/>
        <w:tc>
          <w:tcPr>
            <w:tcW w:w="2781" w:type="dxa"/>
            <w:tcBorders/>
            <w:shd w:fill="auto" w:val="clear"/>
            <w:vAlign w:val="center"/>
          </w:tcPr>
          <w:p>
            <w:pPr>
              <w:pStyle w:val="TableContents"/>
              <w:spacing w:before="0" w:after="283"/>
              <w:rPr>
                <w:sz w:val="4"/>
                <w:szCs w:val="4"/>
              </w:rPr>
            </w:pPr>
            <w:r>
              <w:rPr>
                <w:sz w:val="4"/>
                <w:szCs w:val="4"/>
              </w:rPr>
            </w:r>
          </w:p>
        </w:tc>
        <w:tc>
          <w:tcPr>
            <w:tcW w:w="2153" w:type="dxa"/>
            <w:tcBorders/>
            <w:shd w:fill="auto" w:val="clear"/>
            <w:vAlign w:val="center"/>
          </w:tcPr>
          <w:p>
            <w:pPr>
              <w:pStyle w:val="TableContents"/>
              <w:spacing w:before="0" w:after="283"/>
              <w:rPr>
                <w:sz w:val="4"/>
                <w:szCs w:val="4"/>
              </w:rPr>
            </w:pPr>
            <w:r>
              <w:rPr>
                <w:sz w:val="4"/>
                <w:szCs w:val="4"/>
              </w:rPr>
            </w:r>
          </w:p>
        </w:tc>
        <w:tc>
          <w:tcPr>
            <w:tcW w:w="20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2023</w:t>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br/>
              <w:t>2022</w:t>
            </w:r>
          </w:p>
        </w:tc>
      </w:tr>
      <w:tr>
        <w:trPr/>
        <w:tc>
          <w:tcPr>
            <w:tcW w:w="7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5" w:type="dxa"/>
            <w:gridSpan w:val="9"/>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 except par value amounts)</w:t>
            </w:r>
          </w:p>
        </w:tc>
      </w:tr>
      <w:tr>
        <w:trPr/>
        <w:tc>
          <w:tcPr>
            <w:tcW w:w="10205" w:type="dxa"/>
            <w:gridSpan w:val="15"/>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color w:val="000000"/>
                <w:sz w:val="20"/>
              </w:rPr>
            </w:pPr>
            <w:r>
              <w:rPr>
                <w:rFonts w:ascii="Helvetica;sans-serif" w:hAnsi="Helvetica;sans-serif"/>
                <w:b/>
                <w:color w:val="000000"/>
                <w:sz w:val="20"/>
              </w:rPr>
              <w:t>ASSETS</w:t>
            </w:r>
          </w:p>
        </w:tc>
      </w:tr>
      <w:tr>
        <w:trPr/>
        <w:tc>
          <w:tcPr>
            <w:tcW w:w="70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50,739 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38,029 </w:t>
            </w:r>
          </w:p>
        </w:tc>
        <w:tc>
          <w:tcPr>
            <w:tcW w:w="16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42,733 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66,902 </w:t>
            </w:r>
          </w:p>
        </w:tc>
        <w:tc>
          <w:tcPr>
            <w:tcW w:w="16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4,232 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4,669 </w:t>
            </w:r>
          </w:p>
        </w:tc>
        <w:tc>
          <w:tcPr>
            <w:tcW w:w="16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20,933 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17,519 </w:t>
            </w:r>
          </w:p>
        </w:tc>
        <w:tc>
          <w:tcPr>
            <w:tcW w:w="16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6,338 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7,076 </w:t>
            </w:r>
          </w:p>
        </w:tc>
        <w:tc>
          <w:tcPr>
            <w:tcW w:w="16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124,975 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134,195 </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45,180 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46,153 </w:t>
            </w:r>
          </w:p>
        </w:tc>
        <w:tc>
          <w:tcPr>
            <w:tcW w:w="16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95,806 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92,482 </w:t>
            </w:r>
          </w:p>
        </w:tc>
        <w:tc>
          <w:tcPr>
            <w:tcW w:w="16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11,805 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11,592 </w:t>
            </w:r>
          </w:p>
        </w:tc>
        <w:tc>
          <w:tcPr>
            <w:tcW w:w="16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10,044 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10,499 </w:t>
            </w:r>
          </w:p>
        </w:tc>
        <w:tc>
          <w:tcPr>
            <w:tcW w:w="16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6,960 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7,027 </w:t>
            </w:r>
          </w:p>
        </w:tc>
        <w:tc>
          <w:tcPr>
            <w:tcW w:w="16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294,770 </w:t>
            </w:r>
          </w:p>
        </w:tc>
        <w:tc>
          <w:tcPr>
            <w:tcW w:w="11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301,948 </w:t>
            </w:r>
          </w:p>
        </w:tc>
        <w:tc>
          <w:tcPr>
            <w:tcW w:w="16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205" w:type="dxa"/>
            <w:gridSpan w:val="15"/>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color w:val="000000"/>
                <w:sz w:val="20"/>
              </w:rPr>
            </w:pPr>
            <w:r>
              <w:rPr>
                <w:rFonts w:ascii="Helvetica;sans-serif" w:hAnsi="Helvetica;sans-serif"/>
                <w:b/>
                <w:color w:val="000000"/>
                <w:sz w:val="20"/>
              </w:rPr>
              <w:t>LIABILITIES AND STOCKHOLDERS’ EQUITY</w:t>
            </w:r>
          </w:p>
        </w:tc>
      </w:tr>
      <w:tr>
        <w:trPr/>
        <w:tc>
          <w:tcPr>
            <w:tcW w:w="70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12,747 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7,800 </w:t>
            </w:r>
          </w:p>
        </w:tc>
        <w:tc>
          <w:tcPr>
            <w:tcW w:w="16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47,976 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50,155 </w:t>
            </w:r>
          </w:p>
        </w:tc>
        <w:tc>
          <w:tcPr>
            <w:tcW w:w="16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Seller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17,868 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16,166 </w:t>
            </w:r>
          </w:p>
        </w:tc>
        <w:tc>
          <w:tcPr>
            <w:tcW w:w="16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 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5,792 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6,413 </w:t>
            </w:r>
          </w:p>
        </w:tc>
        <w:tc>
          <w:tcPr>
            <w:tcW w:w="16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3,882 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3,879 </w:t>
            </w:r>
          </w:p>
        </w:tc>
        <w:tc>
          <w:tcPr>
            <w:tcW w:w="16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88,265 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84,413 </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47,521 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48,727 </w:t>
            </w:r>
          </w:p>
        </w:tc>
        <w:tc>
          <w:tcPr>
            <w:tcW w:w="16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24,831 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25,788 </w:t>
            </w:r>
          </w:p>
        </w:tc>
        <w:tc>
          <w:tcPr>
            <w:tcW w:w="16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3,066 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3,019 </w:t>
            </w:r>
          </w:p>
        </w:tc>
        <w:tc>
          <w:tcPr>
            <w:tcW w:w="16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163,683 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161,947 </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Commitments and contingencies (Note 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Class A and B common stock, $0.0001 par value; 1,120,000 shares authorized as of March 31, 2023 and December 31, 2022; 102,836 and 101,532 shares issued and outstanding as of March 31,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6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561,577 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551,852 </w:t>
            </w:r>
          </w:p>
        </w:tc>
        <w:tc>
          <w:tcPr>
            <w:tcW w:w="16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(3,080)</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(4,234)</w:t>
            </w:r>
          </w:p>
        </w:tc>
        <w:tc>
          <w:tcPr>
            <w:tcW w:w="16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(427,420)</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(407,627)</w:t>
            </w:r>
          </w:p>
        </w:tc>
        <w:tc>
          <w:tcPr>
            <w:tcW w:w="16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131,087 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140,001 </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294,770 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301,948 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w:t>
                      </w:r>
                    </w:p>
                  </w:txbxContent>
                </v:textbox>
              </v:rect>
            </w:pict>
          </mc:Fallback>
        </mc:AlternateContent>
      </w:r>
    </w:p>
    <w:p>
      <w:pPr>
        <w:pStyle w:val="TextBody"/>
        <w:spacing w:lineRule="auto" w:line="288" w:before="0" w:after="0"/>
        <w:rPr/>
      </w:pPr>
      <w:hyperlink w:anchor="ibcf6cd6c2981485ca51dd6b50182b609_7">
        <w:r>
          <w:rPr>
            <w:rStyle w:val="InternetLink"/>
            <w:rFonts w:ascii="Helvetica;sans-serif" w:hAnsi="Helvetica;sans-serif"/>
            <w:b w:val="false"/>
            <w:color w:val="0000FF"/>
            <w:sz w:val="20"/>
            <w:u w:val="single"/>
          </w:rPr>
          <w:t>Table of Contents</w:t>
        </w:r>
      </w:hyperlink>
    </w:p>
    <w:p>
      <w:pPr>
        <w:pStyle w:val="TextBody"/>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OPERATIONS</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center"/>
        <w:tblInd w:w="0" w:type="dxa"/>
        <w:tblCellMar>
          <w:top w:w="28" w:type="dxa"/>
          <w:left w:w="28" w:type="dxa"/>
          <w:bottom w:w="28" w:type="dxa"/>
          <w:right w:w="28" w:type="dxa"/>
        </w:tblCellMar>
      </w:tblPr>
      <w:tblGrid>
        <w:gridCol w:w="2430"/>
        <w:gridCol w:w="2124"/>
        <w:gridCol w:w="2139"/>
        <w:gridCol w:w="109"/>
        <w:gridCol w:w="109"/>
        <w:gridCol w:w="109"/>
        <w:gridCol w:w="255"/>
        <w:gridCol w:w="980"/>
        <w:gridCol w:w="131"/>
        <w:gridCol w:w="131"/>
        <w:gridCol w:w="131"/>
        <w:gridCol w:w="131"/>
        <w:gridCol w:w="255"/>
        <w:gridCol w:w="980"/>
        <w:gridCol w:w="191"/>
      </w:tblGrid>
      <w:tr>
        <w:trPr/>
        <w:tc>
          <w:tcPr>
            <w:tcW w:w="2430" w:type="dxa"/>
            <w:tcBorders/>
            <w:shd w:fill="auto" w:val="clear"/>
            <w:vAlign w:val="center"/>
          </w:tcPr>
          <w:p>
            <w:pPr>
              <w:pStyle w:val="TableContents"/>
              <w:spacing w:before="0" w:after="283"/>
              <w:rPr>
                <w:sz w:val="4"/>
                <w:szCs w:val="4"/>
              </w:rPr>
            </w:pPr>
            <w:r>
              <w:rPr>
                <w:sz w:val="4"/>
                <w:szCs w:val="4"/>
              </w:rPr>
            </w:r>
          </w:p>
        </w:tc>
        <w:tc>
          <w:tcPr>
            <w:tcW w:w="2124" w:type="dxa"/>
            <w:tcBorders/>
            <w:shd w:fill="auto" w:val="clear"/>
            <w:vAlign w:val="center"/>
          </w:tcPr>
          <w:p>
            <w:pPr>
              <w:pStyle w:val="TableContents"/>
              <w:spacing w:before="0" w:after="283"/>
              <w:rPr>
                <w:sz w:val="4"/>
                <w:szCs w:val="4"/>
              </w:rPr>
            </w:pPr>
            <w:r>
              <w:rPr>
                <w:sz w:val="4"/>
                <w:szCs w:val="4"/>
              </w:rPr>
            </w:r>
          </w:p>
        </w:tc>
        <w:tc>
          <w:tcPr>
            <w:tcW w:w="2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6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r>
      <w:tr>
        <w:trPr/>
        <w:tc>
          <w:tcPr>
            <w:tcW w:w="6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2023</w:t>
            </w:r>
          </w:p>
        </w:tc>
        <w:tc>
          <w:tcPr>
            <w:tcW w:w="39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2022</w:t>
            </w:r>
          </w:p>
        </w:tc>
      </w:tr>
      <w:tr>
        <w:trPr/>
        <w:tc>
          <w:tcPr>
            <w:tcW w:w="6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5" w:type="dxa"/>
            <w:gridSpan w:val="9"/>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 share amounts)</w:t>
            </w:r>
          </w:p>
        </w:tc>
      </w:tr>
      <w:tr>
        <w:trPr/>
        <w:tc>
          <w:tcPr>
            <w:tcW w:w="66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Consignment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46,479 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47,435 </w:t>
            </w:r>
          </w:p>
        </w:tc>
        <w:tc>
          <w:tcPr>
            <w:tcW w:w="19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Product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29,443 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25,260 </w:t>
            </w:r>
          </w:p>
        </w:tc>
        <w:tc>
          <w:tcPr>
            <w:tcW w:w="19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75,922 </w:t>
            </w:r>
          </w:p>
        </w:tc>
        <w:tc>
          <w:tcPr>
            <w:tcW w:w="13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72,695 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Consignment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9,220 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10,049 </w:t>
            </w:r>
          </w:p>
        </w:tc>
        <w:tc>
          <w:tcPr>
            <w:tcW w:w="19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Product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15,609 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12,418 </w:t>
            </w:r>
          </w:p>
        </w:tc>
        <w:tc>
          <w:tcPr>
            <w:tcW w:w="19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cost of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24,829 </w:t>
            </w:r>
          </w:p>
        </w:tc>
        <w:tc>
          <w:tcPr>
            <w:tcW w:w="13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22,467 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51,093 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50,228 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38,347 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39,161 </w:t>
            </w:r>
          </w:p>
        </w:tc>
        <w:tc>
          <w:tcPr>
            <w:tcW w:w="19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16,870 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16,978 </w:t>
            </w:r>
          </w:p>
        </w:tc>
        <w:tc>
          <w:tcPr>
            <w:tcW w:w="19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16,059 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14,664 </w:t>
            </w:r>
          </w:p>
        </w:tc>
        <w:tc>
          <w:tcPr>
            <w:tcW w:w="19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71,276 </w:t>
            </w:r>
          </w:p>
        </w:tc>
        <w:tc>
          <w:tcPr>
            <w:tcW w:w="13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70,803 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(20,183)</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(20,575)</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423 </w:t>
            </w:r>
          </w:p>
        </w:tc>
        <w:tc>
          <w:tcPr>
            <w:tcW w:w="19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(476)</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(303)</w:t>
            </w:r>
          </w:p>
        </w:tc>
        <w:tc>
          <w:tcPr>
            <w:tcW w:w="19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(19,784)</w:t>
            </w:r>
          </w:p>
        </w:tc>
        <w:tc>
          <w:tcPr>
            <w:tcW w:w="13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(20,695)</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9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(19,793)</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(20,708)</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per share, basic and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8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(0.19)</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8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(0.21)</w:t>
            </w:r>
          </w:p>
        </w:tc>
        <w:tc>
          <w:tcPr>
            <w:tcW w:w="19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shares used in computing loss per share, basic and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101,984 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98,624 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w:t>
                      </w:r>
                    </w:p>
                  </w:txbxContent>
                </v:textbox>
              </v:rect>
            </w:pict>
          </mc:Fallback>
        </mc:AlternateContent>
      </w:r>
    </w:p>
    <w:p>
      <w:pPr>
        <w:pStyle w:val="TextBody"/>
        <w:spacing w:lineRule="auto" w:line="288" w:before="0" w:after="0"/>
        <w:rPr/>
      </w:pPr>
      <w:hyperlink w:anchor="ibcf6cd6c2981485ca51dd6b50182b609_7">
        <w:r>
          <w:rPr>
            <w:rStyle w:val="InternetLink"/>
            <w:rFonts w:ascii="Helvetica;sans-serif" w:hAnsi="Helvetica;sans-serif"/>
            <w:b w:val="false"/>
            <w:color w:val="0000FF"/>
            <w:sz w:val="20"/>
            <w:u w:val="single"/>
          </w:rPr>
          <w:t>Table of Contents</w:t>
        </w:r>
      </w:hyperlink>
    </w:p>
    <w:p>
      <w:pPr>
        <w:pStyle w:val="TextBody"/>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COMPREHENSIVE LOSS</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7656" w:type="dxa"/>
        <w:jc w:val="center"/>
        <w:tblInd w:w="0" w:type="dxa"/>
        <w:tblCellMar>
          <w:top w:w="28" w:type="dxa"/>
          <w:left w:w="28" w:type="dxa"/>
          <w:bottom w:w="28" w:type="dxa"/>
          <w:right w:w="28" w:type="dxa"/>
        </w:tblCellMar>
      </w:tblPr>
      <w:tblGrid>
        <w:gridCol w:w="1698"/>
        <w:gridCol w:w="1492"/>
        <w:gridCol w:w="1505"/>
        <w:gridCol w:w="109"/>
        <w:gridCol w:w="109"/>
        <w:gridCol w:w="109"/>
        <w:gridCol w:w="211"/>
        <w:gridCol w:w="811"/>
        <w:gridCol w:w="109"/>
        <w:gridCol w:w="109"/>
        <w:gridCol w:w="109"/>
        <w:gridCol w:w="109"/>
        <w:gridCol w:w="211"/>
        <w:gridCol w:w="811"/>
        <w:gridCol w:w="154"/>
      </w:tblGrid>
      <w:tr>
        <w:trPr/>
        <w:tc>
          <w:tcPr>
            <w:tcW w:w="1698" w:type="dxa"/>
            <w:tcBorders/>
            <w:shd w:fill="auto" w:val="clear"/>
            <w:vAlign w:val="center"/>
          </w:tcPr>
          <w:p>
            <w:pPr>
              <w:pStyle w:val="TableContents"/>
              <w:spacing w:before="0" w:after="283"/>
              <w:rPr>
                <w:sz w:val="4"/>
                <w:szCs w:val="4"/>
              </w:rPr>
            </w:pPr>
            <w:r>
              <w:rPr>
                <w:sz w:val="4"/>
                <w:szCs w:val="4"/>
              </w:rPr>
            </w:r>
          </w:p>
        </w:tc>
        <w:tc>
          <w:tcPr>
            <w:tcW w:w="1492"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r>
      <w:tr>
        <w:trPr/>
        <w:tc>
          <w:tcPr>
            <w:tcW w:w="4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2022</w:t>
            </w:r>
          </w:p>
        </w:tc>
      </w:tr>
      <w:tr>
        <w:trPr/>
        <w:tc>
          <w:tcPr>
            <w:tcW w:w="4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4" w:type="dxa"/>
            <w:gridSpan w:val="9"/>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(19,793)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(20,708)</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(708)</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Unrealized gain (loss) on available-for-sale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(1,002)</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(1,710)</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comprehensive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(18,639)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(22,418)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w:t>
                      </w:r>
                    </w:p>
                  </w:txbxContent>
                </v:textbox>
              </v:rect>
            </w:pict>
          </mc:Fallback>
        </mc:AlternateContent>
      </w:r>
    </w:p>
    <w:p>
      <w:pPr>
        <w:pStyle w:val="TextBody"/>
        <w:spacing w:lineRule="auto" w:line="288" w:before="0" w:after="0"/>
        <w:rPr/>
      </w:pPr>
      <w:hyperlink w:anchor="ibcf6cd6c2981485ca51dd6b50182b609_7">
        <w:r>
          <w:rPr>
            <w:rStyle w:val="InternetLink"/>
            <w:rFonts w:ascii="Helvetica;sans-serif" w:hAnsi="Helvetica;sans-serif"/>
            <w:b w:val="false"/>
            <w:color w:val="0000FF"/>
            <w:sz w:val="20"/>
            <w:u w:val="single"/>
          </w:rPr>
          <w:t>Table of Contents</w:t>
        </w:r>
      </w:hyperlink>
    </w:p>
    <w:p>
      <w:pPr>
        <w:pStyle w:val="TextBody"/>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STOCKHOLDERS’ EQUITY</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center"/>
        <w:tblInd w:w="0" w:type="dxa"/>
        <w:tblCellMar>
          <w:top w:w="28" w:type="dxa"/>
          <w:left w:w="28" w:type="dxa"/>
          <w:bottom w:w="28" w:type="dxa"/>
          <w:right w:w="28" w:type="dxa"/>
        </w:tblCellMar>
      </w:tblPr>
      <w:tblGrid>
        <w:gridCol w:w="762"/>
        <w:gridCol w:w="370"/>
        <w:gridCol w:w="371"/>
        <w:gridCol w:w="109"/>
        <w:gridCol w:w="109"/>
        <w:gridCol w:w="109"/>
        <w:gridCol w:w="368"/>
        <w:gridCol w:w="368"/>
        <w:gridCol w:w="216"/>
        <w:gridCol w:w="109"/>
        <w:gridCol w:w="109"/>
        <w:gridCol w:w="109"/>
        <w:gridCol w:w="231"/>
        <w:gridCol w:w="390"/>
        <w:gridCol w:w="130"/>
        <w:gridCol w:w="109"/>
        <w:gridCol w:w="109"/>
        <w:gridCol w:w="109"/>
        <w:gridCol w:w="206"/>
        <w:gridCol w:w="775"/>
        <w:gridCol w:w="114"/>
        <w:gridCol w:w="109"/>
        <w:gridCol w:w="109"/>
        <w:gridCol w:w="109"/>
        <w:gridCol w:w="325"/>
        <w:gridCol w:w="948"/>
        <w:gridCol w:w="182"/>
        <w:gridCol w:w="109"/>
        <w:gridCol w:w="109"/>
        <w:gridCol w:w="109"/>
        <w:gridCol w:w="219"/>
        <w:gridCol w:w="842"/>
        <w:gridCol w:w="122"/>
        <w:gridCol w:w="109"/>
        <w:gridCol w:w="109"/>
        <w:gridCol w:w="109"/>
        <w:gridCol w:w="233"/>
        <w:gridCol w:w="879"/>
        <w:gridCol w:w="192"/>
      </w:tblGrid>
      <w:tr>
        <w:trPr/>
        <w:tc>
          <w:tcPr>
            <w:tcW w:w="762"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15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Other 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Stockholders’ Equity</w:t>
            </w:r>
          </w:p>
        </w:tc>
      </w:tr>
      <w:tr>
        <w:trPr/>
        <w:tc>
          <w:tcPr>
            <w:tcW w:w="15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5" w:type="dxa"/>
            <w:gridSpan w:val="3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5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101,532 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551,852 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9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(4,234)</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(407,627)</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140,001 </w:t>
            </w:r>
          </w:p>
        </w:tc>
        <w:tc>
          <w:tcPr>
            <w:tcW w:w="192"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from exercise of stock options and restricted stock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1,484 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275 </w:t>
            </w:r>
          </w:p>
        </w:tc>
        <w:tc>
          <w:tcPr>
            <w:tcW w:w="19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9,720 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9,720 </w:t>
            </w:r>
          </w:p>
        </w:tc>
        <w:tc>
          <w:tcPr>
            <w:tcW w:w="192"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Shares withheld related to net share settlement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(180)</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(270)</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(270)</w:t>
            </w:r>
          </w:p>
        </w:tc>
        <w:tc>
          <w:tcPr>
            <w:tcW w:w="19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(19,793)</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(19,793)</w:t>
            </w:r>
          </w:p>
        </w:tc>
        <w:tc>
          <w:tcPr>
            <w:tcW w:w="192"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1,154 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1,154 </w:t>
            </w:r>
          </w:p>
        </w:tc>
        <w:tc>
          <w:tcPr>
            <w:tcW w:w="19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102,836 </w:t>
            </w:r>
          </w:p>
        </w:tc>
        <w:tc>
          <w:tcPr>
            <w:tcW w:w="2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1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561,577 </w:t>
            </w:r>
          </w:p>
        </w:tc>
        <w:tc>
          <w:tcPr>
            <w:tcW w:w="1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(3,080)</w:t>
            </w:r>
          </w:p>
        </w:tc>
        <w:tc>
          <w:tcPr>
            <w:tcW w:w="18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(427,420)</w:t>
            </w:r>
          </w:p>
        </w:tc>
        <w:tc>
          <w:tcPr>
            <w:tcW w:w="1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131,087 </w:t>
            </w:r>
          </w:p>
        </w:tc>
        <w:tc>
          <w:tcPr>
            <w:tcW w:w="19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777"/>
        <w:gridCol w:w="385"/>
        <w:gridCol w:w="387"/>
        <w:gridCol w:w="109"/>
        <w:gridCol w:w="109"/>
        <w:gridCol w:w="109"/>
        <w:gridCol w:w="323"/>
        <w:gridCol w:w="323"/>
        <w:gridCol w:w="216"/>
        <w:gridCol w:w="109"/>
        <w:gridCol w:w="109"/>
        <w:gridCol w:w="109"/>
        <w:gridCol w:w="231"/>
        <w:gridCol w:w="390"/>
        <w:gridCol w:w="130"/>
        <w:gridCol w:w="109"/>
        <w:gridCol w:w="109"/>
        <w:gridCol w:w="109"/>
        <w:gridCol w:w="208"/>
        <w:gridCol w:w="782"/>
        <w:gridCol w:w="115"/>
        <w:gridCol w:w="109"/>
        <w:gridCol w:w="109"/>
        <w:gridCol w:w="109"/>
        <w:gridCol w:w="329"/>
        <w:gridCol w:w="960"/>
        <w:gridCol w:w="184"/>
        <w:gridCol w:w="109"/>
        <w:gridCol w:w="109"/>
        <w:gridCol w:w="109"/>
        <w:gridCol w:w="220"/>
        <w:gridCol w:w="846"/>
        <w:gridCol w:w="123"/>
        <w:gridCol w:w="109"/>
        <w:gridCol w:w="109"/>
        <w:gridCol w:w="109"/>
        <w:gridCol w:w="234"/>
        <w:gridCol w:w="885"/>
        <w:gridCol w:w="195"/>
      </w:tblGrid>
      <w:tr>
        <w:trPr/>
        <w:tc>
          <w:tcPr>
            <w:tcW w:w="777"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15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Other 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Stockholders’ Equity</w:t>
            </w:r>
          </w:p>
        </w:tc>
      </w:tr>
      <w:tr>
        <w:trPr/>
        <w:tc>
          <w:tcPr>
            <w:tcW w:w="15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9" w:type="dxa"/>
            <w:gridSpan w:val="3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98,435 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522,161 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9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(1,094)</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(315,343)</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205,734 </w:t>
            </w:r>
          </w:p>
        </w:tc>
        <w:tc>
          <w:tcPr>
            <w:tcW w:w="19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from exercise of stock options and restricted stock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507 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754 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754 </w:t>
            </w:r>
          </w:p>
        </w:tc>
        <w:tc>
          <w:tcPr>
            <w:tcW w:w="19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3,618 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3,618 </w:t>
            </w:r>
          </w:p>
        </w:tc>
        <w:tc>
          <w:tcPr>
            <w:tcW w:w="19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(20,708)</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(20,708)</w:t>
            </w:r>
          </w:p>
        </w:tc>
        <w:tc>
          <w:tcPr>
            <w:tcW w:w="19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(1,710)</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(1,710)</w:t>
            </w:r>
          </w:p>
        </w:tc>
        <w:tc>
          <w:tcPr>
            <w:tcW w:w="19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98,942 </w:t>
            </w:r>
          </w:p>
        </w:tc>
        <w:tc>
          <w:tcPr>
            <w:tcW w:w="2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1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526,533 </w:t>
            </w:r>
          </w:p>
        </w:tc>
        <w:tc>
          <w:tcPr>
            <w:tcW w:w="11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(2,804)</w:t>
            </w:r>
          </w:p>
        </w:tc>
        <w:tc>
          <w:tcPr>
            <w:tcW w:w="18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(336,051)</w:t>
            </w:r>
          </w:p>
        </w:tc>
        <w:tc>
          <w:tcPr>
            <w:tcW w:w="12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187,688 </w:t>
            </w:r>
          </w:p>
        </w:tc>
        <w:tc>
          <w:tcPr>
            <w:tcW w:w="19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w:t>
                      </w:r>
                    </w:p>
                  </w:txbxContent>
                </v:textbox>
              </v:rect>
            </w:pict>
          </mc:Fallback>
        </mc:AlternateContent>
      </w:r>
    </w:p>
    <w:p>
      <w:pPr>
        <w:pStyle w:val="TextBody"/>
        <w:spacing w:lineRule="auto" w:line="288" w:before="0" w:after="0"/>
        <w:rPr/>
      </w:pPr>
      <w:hyperlink w:anchor="ibcf6cd6c2981485ca51dd6b50182b609_7">
        <w:r>
          <w:rPr>
            <w:rStyle w:val="InternetLink"/>
            <w:rFonts w:ascii="Helvetica;sans-serif" w:hAnsi="Helvetica;sans-serif"/>
            <w:b w:val="false"/>
            <w:color w:val="0000FF"/>
            <w:sz w:val="20"/>
            <w:u w:val="single"/>
          </w:rPr>
          <w:t>Table of Contents</w:t>
        </w:r>
      </w:hyperlink>
    </w:p>
    <w:p>
      <w:pPr>
        <w:pStyle w:val="TextBody"/>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CASH FLOWS</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040" w:type="dxa"/>
        <w:jc w:val="center"/>
        <w:tblInd w:w="0" w:type="dxa"/>
        <w:tblCellMar>
          <w:top w:w="28" w:type="dxa"/>
          <w:left w:w="28" w:type="dxa"/>
          <w:bottom w:w="28" w:type="dxa"/>
          <w:right w:w="28" w:type="dxa"/>
        </w:tblCellMar>
      </w:tblPr>
      <w:tblGrid>
        <w:gridCol w:w="2566"/>
        <w:gridCol w:w="2248"/>
        <w:gridCol w:w="2265"/>
        <w:gridCol w:w="109"/>
        <w:gridCol w:w="109"/>
        <w:gridCol w:w="109"/>
        <w:gridCol w:w="211"/>
        <w:gridCol w:w="811"/>
        <w:gridCol w:w="109"/>
        <w:gridCol w:w="109"/>
        <w:gridCol w:w="109"/>
        <w:gridCol w:w="109"/>
        <w:gridCol w:w="211"/>
        <w:gridCol w:w="811"/>
        <w:gridCol w:w="154"/>
      </w:tblGrid>
      <w:tr>
        <w:trPr/>
        <w:tc>
          <w:tcPr>
            <w:tcW w:w="2566" w:type="dxa"/>
            <w:tcBorders/>
            <w:shd w:fill="auto" w:val="clear"/>
            <w:vAlign w:val="center"/>
          </w:tcPr>
          <w:p>
            <w:pPr>
              <w:pStyle w:val="TableContents"/>
              <w:spacing w:before="0" w:after="283"/>
              <w:rPr>
                <w:sz w:val="4"/>
                <w:szCs w:val="4"/>
              </w:rPr>
            </w:pPr>
            <w:r>
              <w:rPr>
                <w:sz w:val="4"/>
                <w:szCs w:val="4"/>
              </w:rPr>
            </w:r>
          </w:p>
        </w:tc>
        <w:tc>
          <w:tcPr>
            <w:tcW w:w="2248" w:type="dxa"/>
            <w:tcBorders/>
            <w:shd w:fill="auto" w:val="clear"/>
            <w:vAlign w:val="center"/>
          </w:tcPr>
          <w:p>
            <w:pPr>
              <w:pStyle w:val="TableContents"/>
              <w:spacing w:before="0" w:after="283"/>
              <w:rPr>
                <w:sz w:val="4"/>
                <w:szCs w:val="4"/>
              </w:rPr>
            </w:pPr>
            <w:r>
              <w:rPr>
                <w:sz w:val="4"/>
                <w:szCs w:val="4"/>
              </w:rPr>
            </w:r>
          </w:p>
        </w:tc>
        <w:tc>
          <w:tcPr>
            <w:tcW w:w="22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r>
      <w:tr>
        <w:trPr/>
        <w:tc>
          <w:tcPr>
            <w:tcW w:w="7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2022</w:t>
            </w:r>
          </w:p>
        </w:tc>
      </w:tr>
      <w:tr>
        <w:trPr/>
        <w:tc>
          <w:tcPr>
            <w:tcW w:w="7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4" w:type="dxa"/>
            <w:gridSpan w:val="9"/>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7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(19,793)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(20,708)</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Adjustments to reconcile net loss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3,271 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3,523 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Reduction in carrying amount of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1,398 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481 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1,143 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(2,313)</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(2,162)</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1,601 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4,912 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Seller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1,521 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(4,458)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(6,679)</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4"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Maturities of marketable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24,579 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4,726 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(12,638)</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18,900 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(7,912)</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4"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Repayment of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(2,000)</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Proceeds from exercise of stock options and employee stock purchase plan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Payment of withholding taxes on stock-based awards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(1,191)</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Effect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(172)</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change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12,710 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(15,954)</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cash equivalents,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44,051 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91,840 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56,761 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75,886 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w:t>
                      </w:r>
                    </w:p>
                  </w:txbxContent>
                </v:textbox>
              </v:rect>
            </w:pict>
          </mc:Fallback>
        </mc:AlternateContent>
      </w:r>
    </w:p>
    <w:p>
      <w:pPr>
        <w:pStyle w:val="TextBody"/>
        <w:spacing w:lineRule="auto" w:line="288" w:before="0" w:after="0"/>
        <w:rPr/>
      </w:pPr>
      <w:hyperlink w:anchor="ibcf6cd6c2981485ca51dd6b50182b609_7">
        <w:r>
          <w:rPr>
            <w:rStyle w:val="InternetLink"/>
            <w:rFonts w:ascii="Helvetica;sans-serif" w:hAnsi="Helvetica;sans-serif"/>
            <w:b w:val="false"/>
            <w:color w:val="0000FF"/>
            <w:sz w:val="20"/>
            <w:u w:val="single"/>
          </w:rPr>
          <w:t>Table of Contents</w:t>
        </w:r>
      </w:hyperlink>
    </w:p>
    <w:p>
      <w:pPr>
        <w:pStyle w:val="TextBody"/>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Helvetica;sans-serif" w:hAnsi="Helvetica;sans-serif"/>
          <w:b/>
          <w:color w:val="000000"/>
          <w:sz w:val="20"/>
        </w:rPr>
      </w:pPr>
      <w:r>
        <w:rPr>
          <w:rFonts w:ascii="Helvetica;sans-serif" w:hAnsi="Helvetica;sans-serif"/>
          <w:b/>
          <w:color w:val="000000"/>
          <w:sz w:val="20"/>
        </w:rPr>
        <w:t>1. Organization and Description of Business</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 Inc. (“thredUP” or the “Company”) was formed as a corporation in the State of Delaware in January 2009. thredUP operates a large resale platform that enables consumers to buy and sell primarily secondhand apparel, shoes, and accessories.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Helvetica;sans-serif" w:hAnsi="Helvetica;sans-serif"/>
          <w:b/>
          <w:color w:val="000000"/>
          <w:sz w:val="20"/>
        </w:rPr>
      </w:pPr>
      <w:r>
        <w:rPr>
          <w:rFonts w:ascii="Helvetica;sans-serif" w:hAnsi="Helvetica;sans-serif"/>
          <w:b/>
          <w:color w:val="000000"/>
          <w:sz w:val="20"/>
        </w:rPr>
        <w:t>2. Significant Accounting Policies</w:t>
      </w:r>
    </w:p>
    <w:p>
      <w:pPr>
        <w:pStyle w:val="TextBody"/>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Basis of Presentation and Use of Estimates</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accompanying unaudited condensed consolidated financial statements include the accounts of the Company and its wholly-owned subsidiaries. All intercompany account balances and transactions have been eliminated upon consolidation. The unaudited condensed consolidated financial statements were prepared in accordance with the United States (“U.S.”) Generally Accepted Accounting Principles (“GAAP”) for interim financial information and with the instructions to Quarterly Report on Form 10</w:t>
        <w:noBreakHyphen/>
        <w:t>Q and Article 10 of Regulation S-X. As permitted under those rules, certain footnotes or other financial information can be condensed or omitted.</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preparation of consolidated financial statements in accordance with GAAP requires management to make estimates and assumptions that affect the amounts that are reported in the consolidated financial statements and the related disclosures. Actual results could differ from those estimates. Significant items subject to such estimates and assumptions include, but are not limited to, the useful lives of property and equipment and intangibles, allowance for sales returns, breakage on loyalty points and rewards and gift cards, valuation of inventory, stock-based compensation, right-of-use assets, goodwill and acquired intangibles, and income taxes.</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the opinion of management, the accompanying unaudited condensed consolidated financial statements reflect all normal and recurring adjustments necessary to present fairly the financial position of the Company as of March 31, 2023, and the results of operations and cash flows for the interim periods presented.</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accompanying unaudited condensed consolidated financial statements and related financial information should be read in conjunction with the Company’s audited consolidated financial statements and related notes included in the Company’s Annual Report on Form 10-K for the year ended December 31, 2022 (the “2022 10-K”).</w:t>
      </w:r>
    </w:p>
    <w:p>
      <w:pPr>
        <w:pStyle w:val="TextBody"/>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Reclassifications</w:t>
      </w:r>
    </w:p>
    <w:p>
      <w:pPr>
        <w:pStyle w:val="TextBody"/>
        <w:spacing w:lineRule="auto" w:line="288" w:before="120" w:after="283"/>
        <w:ind w:left="0" w:right="0" w:firstLine="360"/>
        <w:rPr>
          <w:rFonts w:ascii="Helvetica;sans-serif" w:hAnsi="Helvetica;sans-serif"/>
          <w:b w:val="false"/>
          <w:color w:val="000000"/>
          <w:sz w:val="20"/>
        </w:rPr>
      </w:pPr>
      <w:r>
        <w:rPr>
          <w:rFonts w:ascii="Helvetica;sans-serif" w:hAnsi="Helvetica;sans-serif"/>
          <w:b w:val="false"/>
          <w:color w:val="000000"/>
          <w:sz w:val="20"/>
        </w:rPr>
        <w:t>Certain reclassifications were made to the prior period condensed consolidated statement of cash flows to conform to the current period presentation.</w:t>
      </w:r>
    </w:p>
    <w:p>
      <w:pPr>
        <w:pStyle w:val="TextBody"/>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Recently Adopted Accounting Pronouncements</w:t>
      </w:r>
    </w:p>
    <w:p>
      <w:pPr>
        <w:pStyle w:val="TextBody"/>
        <w:spacing w:lineRule="auto" w:line="288" w:before="120" w:after="283"/>
        <w:ind w:left="0" w:right="0" w:firstLine="360"/>
        <w:jc w:val="both"/>
        <w:rPr/>
      </w:pPr>
      <w:r>
        <w:rPr>
          <w:rFonts w:ascii="Helvetica;sans-serif" w:hAnsi="Helvetica;sans-serif"/>
          <w:b w:val="false"/>
          <w:color w:val="000000"/>
          <w:sz w:val="20"/>
        </w:rPr>
        <w:t xml:space="preserve">In June 2016, the Financial Accounting Standards Board (“FASB”) issued Accounting Standards Update (“ASU”) No. 2016-13, </w:t>
      </w:r>
      <w:r>
        <w:rPr>
          <w:rFonts w:ascii="Helvetica;sans-serif" w:hAnsi="Helvetica;sans-serif"/>
          <w:b w:val="false"/>
          <w:i/>
          <w:color w:val="000000"/>
          <w:sz w:val="20"/>
        </w:rPr>
        <w:t>Financial Instruments — Credit Losses (Topic 326): Measurement of Credit Losses on Financial Instruments</w:t>
      </w:r>
      <w:r>
        <w:rPr>
          <w:rFonts w:ascii="Helvetica;sans-serif" w:hAnsi="Helvetica;sans-serif"/>
          <w:b w:val="false"/>
          <w:color w:val="000000"/>
          <w:sz w:val="20"/>
        </w:rPr>
        <w:t>. This ASU changes the impairment model for most financial assets, requiring the use of an expected loss model which requires entities to estimate the lifetime expected credit loss on financial assets measured at amortized cost. Such credit losses will be recorded as an allowance to offset the amortized cost of the financial asset, resulting in a net presentation of the amount expected to be collected on the financial asset. In addition, credit losses relating to available-for-sale debt securities will now be recorded through an allowance for credit losses rather than as a direct write-down to the security. This standard is effective for fiscal years beginning after December 15, 2022, including interim periods within those fiscal years. The adoption of this guidance during the first quarter of 2023 did not have a material impact on the Company’s condensed consolidated financial statements.</w:t>
      </w:r>
    </w:p>
    <w:p>
      <w:pPr>
        <w:pStyle w:val="TextBody"/>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Revenue from Loyalty Reward Redemption and Expiration</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March 31, 2023 and December 31, 2022, the Company had a liability of $3.3 million and $3.3 million, respectively, related to its customer loyalty program, which is included in accrued and other current liabilities within the Company’s condensed consolidated balance sheets. The Company recognized revenue from loyalty reward redemption of $2.1 million and $2.7 million for the three months ended March 31, 2023 and 2022, respectively.</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10</w:t>
                      </w:r>
                    </w:p>
                  </w:txbxContent>
                </v:textbox>
              </v:rect>
            </w:pict>
          </mc:Fallback>
        </mc:AlternateContent>
      </w:r>
    </w:p>
    <w:p>
      <w:pPr>
        <w:pStyle w:val="TextBody"/>
        <w:spacing w:lineRule="auto" w:line="288" w:before="0" w:after="0"/>
        <w:rPr/>
      </w:pPr>
      <w:hyperlink w:anchor="ibcf6cd6c2981485ca51dd6b50182b609_7">
        <w:r>
          <w:rPr>
            <w:rStyle w:val="InternetLink"/>
            <w:rFonts w:ascii="Helvetica;sans-serif" w:hAnsi="Helvetica;sans-serif"/>
            <w:b w:val="false"/>
            <w:color w:val="0000FF"/>
            <w:sz w:val="20"/>
            <w:u w:val="single"/>
          </w:rPr>
          <w:t>Table of Contents</w:t>
        </w:r>
      </w:hyperlink>
    </w:p>
    <w:p>
      <w:pPr>
        <w:pStyle w:val="TextBody"/>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Gift Cards and Site Credits</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sells thredUP gift cards on its e-commerce website. thredUP gift cards do not expire or lose value over periods of inactivity. The Company accounts for gift cards by recognizing a gift card liability at the time a gift card is delivered to the customer. As of March 31, 2023 and December 31, 2022, $10.8 million and $10.9 million of gift card liability, respectively, was included in accrued and other current liabilities within the Company’s condensed consolidated balance sheets. Revenue from gift cards is generally recognized when the gift cards are redeemed by the customer and amounted to $0.5 million and $0.3 million for the three months ended March 31, 2023 and 2022, respectively.</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issues site credits for order refunds. Site credits can be applied toward future charges but may not be converted into cash. Site credits may also be converted to thredUP gift cards after one year at the discretion of the Company. These credits are recognized as revenue when used. As of March 31, 2023 and December 31, 2022, $6.3 million and $7.2 million, respectively, of such customer site credits were included in accrued and other current liabilities within the Company’s condensed consolidated balance sheets. Revenue recognized from the redemption of site credits was $9.4 million and $11.0 million for the three months ended March 31, 2023 and 2022, respectively.</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recognizes breakage revenue when it determines that the redemption of gift cards and site credits is remote. Breakage was not material for the three months ended March 31, 2023 and 2022.</w:t>
      </w:r>
    </w:p>
    <w:p>
      <w:pPr>
        <w:pStyle w:val="TextBody"/>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Cash, Cash Equivalents and Restricted Cash</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provides a reconciliation of cash, cash equivalents and restricted cash reported within the Company’s condensed consolidated balance sheets that sum to the total of the same such amounts shown in the Company’s condensed consolidated statements of cash flows:</w:t>
      </w:r>
    </w:p>
    <w:tbl>
      <w:tblPr>
        <w:tblW w:w="10205" w:type="dxa"/>
        <w:jc w:val="center"/>
        <w:tblInd w:w="0" w:type="dxa"/>
        <w:tblCellMar>
          <w:top w:w="28" w:type="dxa"/>
          <w:left w:w="28" w:type="dxa"/>
          <w:bottom w:w="28" w:type="dxa"/>
          <w:right w:w="28" w:type="dxa"/>
        </w:tblCellMar>
      </w:tblPr>
      <w:tblGrid>
        <w:gridCol w:w="2633"/>
        <w:gridCol w:w="2315"/>
        <w:gridCol w:w="2323"/>
        <w:gridCol w:w="109"/>
        <w:gridCol w:w="109"/>
        <w:gridCol w:w="109"/>
        <w:gridCol w:w="211"/>
        <w:gridCol w:w="751"/>
        <w:gridCol w:w="109"/>
        <w:gridCol w:w="109"/>
        <w:gridCol w:w="109"/>
        <w:gridCol w:w="109"/>
        <w:gridCol w:w="227"/>
        <w:gridCol w:w="813"/>
        <w:gridCol w:w="169"/>
      </w:tblGrid>
      <w:tr>
        <w:trPr/>
        <w:tc>
          <w:tcPr>
            <w:tcW w:w="2633" w:type="dxa"/>
            <w:tcBorders/>
            <w:shd w:fill="auto" w:val="clear"/>
            <w:vAlign w:val="center"/>
          </w:tcPr>
          <w:p>
            <w:pPr>
              <w:pStyle w:val="TableContents"/>
              <w:spacing w:before="0" w:after="283"/>
              <w:rPr>
                <w:sz w:val="4"/>
                <w:szCs w:val="4"/>
              </w:rPr>
            </w:pPr>
            <w:r>
              <w:rPr>
                <w:sz w:val="4"/>
                <w:szCs w:val="4"/>
              </w:rPr>
            </w:r>
          </w:p>
        </w:tc>
        <w:tc>
          <w:tcPr>
            <w:tcW w:w="2315" w:type="dxa"/>
            <w:tcBorders/>
            <w:shd w:fill="auto" w:val="clear"/>
            <w:vAlign w:val="center"/>
          </w:tcPr>
          <w:p>
            <w:pPr>
              <w:pStyle w:val="TableContents"/>
              <w:spacing w:before="0" w:after="283"/>
              <w:rPr>
                <w:sz w:val="4"/>
                <w:szCs w:val="4"/>
              </w:rPr>
            </w:pPr>
            <w:r>
              <w:rPr>
                <w:sz w:val="4"/>
                <w:szCs w:val="4"/>
              </w:rPr>
            </w:r>
          </w:p>
        </w:tc>
        <w:tc>
          <w:tcPr>
            <w:tcW w:w="23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72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br/>
              <w:t>2022</w:t>
            </w:r>
          </w:p>
        </w:tc>
      </w:tr>
      <w:tr>
        <w:trPr/>
        <w:tc>
          <w:tcPr>
            <w:tcW w:w="72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7" w:type="dxa"/>
            <w:gridSpan w:val="9"/>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72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50,739 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38,029 </w:t>
            </w:r>
          </w:p>
        </w:tc>
        <w:tc>
          <w:tcPr>
            <w:tcW w:w="16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Restricted cash included in 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383 </w:t>
            </w:r>
          </w:p>
        </w:tc>
        <w:tc>
          <w:tcPr>
            <w:tcW w:w="16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Restricted cash included in 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5,639 </w:t>
            </w:r>
          </w:p>
        </w:tc>
        <w:tc>
          <w:tcPr>
            <w:tcW w:w="16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cash, cash equivalents, and restricted cash shown in the statement of cash flows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56,761 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44,051 </w:t>
            </w:r>
          </w:p>
        </w:tc>
        <w:tc>
          <w:tcPr>
            <w:tcW w:w="1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Fair Value Measurements</w:t>
      </w:r>
    </w:p>
    <w:p>
      <w:pPr>
        <w:pStyle w:val="TextBody"/>
        <w:spacing w:lineRule="auto" w:line="288" w:before="120" w:after="283"/>
        <w:ind w:left="0" w:right="0" w:firstLine="360"/>
        <w:jc w:val="both"/>
        <w:rPr/>
      </w:pPr>
      <w:r>
        <w:rPr>
          <w:rFonts w:ascii="Helvetica;sans-serif" w:hAnsi="Helvetica;sans-serif"/>
          <w:b w:val="false"/>
          <w:color w:val="000000"/>
          <w:sz w:val="20"/>
        </w:rPr>
        <w:t xml:space="preserve">The Company applies the provisions of FASB ASC Topic 820, </w:t>
      </w:r>
      <w:r>
        <w:rPr>
          <w:rFonts w:ascii="Helvetica;sans-serif" w:hAnsi="Helvetica;sans-serif"/>
          <w:b w:val="false"/>
          <w:i/>
          <w:color w:val="000000"/>
          <w:sz w:val="20"/>
        </w:rPr>
        <w:t>Fair Value Measurements and Disclosures</w:t>
      </w:r>
      <w:r>
        <w:rPr>
          <w:rFonts w:ascii="Helvetica;sans-serif" w:hAnsi="Helvetica;sans-serif"/>
          <w:b w:val="false"/>
          <w:color w:val="000000"/>
          <w:sz w:val="20"/>
        </w:rPr>
        <w:t>, for its financial and non-financial assets and liabilities. ASC 820 defines fair value as the price that would be received to sell an asset or paid to transfer a liability in an orderly transaction between market participants at the measurement date. ASC 820 establishes a fair value hierarchy, which prioritizes the inputs used in measuring fair value into three broad levels as follows:</w:t>
      </w:r>
    </w:p>
    <w:p>
      <w:pPr>
        <w:pStyle w:val="TextBody"/>
        <w:spacing w:lineRule="auto" w:line="288" w:before="120" w:after="283"/>
        <w:ind w:left="0" w:right="0" w:hanging="360"/>
        <w:jc w:val="both"/>
        <w:rPr/>
      </w:pPr>
      <w:r>
        <w:rPr>
          <w:color w:val="000000"/>
        </w:rPr>
        <w:t>•</w:t>
      </w:r>
      <w:r>
        <w:rPr>
          <w:rFonts w:ascii="Helvetica;sans-serif" w:hAnsi="Helvetica;sans-serif"/>
          <w:b w:val="false"/>
          <w:color w:val="000000"/>
          <w:sz w:val="20"/>
        </w:rPr>
        <w:t>Level 1 inputs are quoted prices (unadjusted) in active markets for identical assets or liabilities that the reporting entity has the ability to access at the measurement date.</w:t>
      </w:r>
    </w:p>
    <w:p>
      <w:pPr>
        <w:pStyle w:val="TextBody"/>
        <w:spacing w:lineRule="auto" w:line="288" w:before="120" w:after="283"/>
        <w:ind w:left="0" w:right="0" w:hanging="360"/>
        <w:jc w:val="both"/>
        <w:rPr/>
      </w:pPr>
      <w:r>
        <w:rPr>
          <w:color w:val="000000"/>
        </w:rPr>
        <w:t>•</w:t>
      </w:r>
      <w:r>
        <w:rPr>
          <w:rFonts w:ascii="Helvetica;sans-serif" w:hAnsi="Helvetica;sans-serif"/>
          <w:b w:val="false"/>
          <w:color w:val="000000"/>
          <w:sz w:val="20"/>
        </w:rPr>
        <w:t>Level 2 inputs include quoted prices for similar assets or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pStyle w:val="TextBody"/>
        <w:spacing w:lineRule="auto" w:line="288" w:before="120" w:after="283"/>
        <w:ind w:left="0" w:right="0" w:hanging="360"/>
        <w:jc w:val="both"/>
        <w:rPr/>
      </w:pPr>
      <w:r>
        <w:rPr>
          <w:color w:val="000000"/>
        </w:rPr>
        <w:t>•</w:t>
      </w:r>
      <w:r>
        <w:rPr>
          <w:rFonts w:ascii="Helvetica;sans-serif" w:hAnsi="Helvetica;sans-serif"/>
          <w:b w:val="false"/>
          <w:color w:val="000000"/>
          <w:sz w:val="20"/>
        </w:rPr>
        <w:t>Level 3 inputs are unobservable inputs for the asset or liability.</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measures certain assets and liabilities at fair value as discussed throughout the notes to its condensed consolidated financial statements. As of March 31, 2023 and December 31, 2022, the carrying amounts of the Company’s accounts receivable, other current assets, other assets, accounts payable, seller payable and accrued and other current liabilities approximated their estimated fair values due to their relatively short maturities. Management believes the terms of its long-term variable-rate debt reflect current market conditions for an instrument with similar terms and maturity, and as such, the carrying value of the Company’s long-term debt approximated its fair value as of March 31, 2023 and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11</w:t>
                      </w:r>
                    </w:p>
                  </w:txbxContent>
                </v:textbox>
              </v:rect>
            </w:pict>
          </mc:Fallback>
        </mc:AlternateContent>
      </w:r>
    </w:p>
    <w:p>
      <w:pPr>
        <w:pStyle w:val="TextBody"/>
        <w:spacing w:lineRule="auto" w:line="288" w:before="0" w:after="0"/>
        <w:rPr/>
      </w:pPr>
      <w:hyperlink w:anchor="ibcf6cd6c2981485ca51dd6b50182b609_7">
        <w:r>
          <w:rPr>
            <w:rStyle w:val="InternetLink"/>
            <w:rFonts w:ascii="Helvetica;sans-serif" w:hAnsi="Helvetica;sans-serif"/>
            <w:b w:val="false"/>
            <w:color w:val="0000FF"/>
            <w:sz w:val="20"/>
            <w:u w:val="single"/>
          </w:rPr>
          <w:t>Table of Contents</w:t>
        </w:r>
      </w:hyperlink>
    </w:p>
    <w:p>
      <w:pPr>
        <w:pStyle w:val="TextBody"/>
        <w:spacing w:lineRule="auto" w:line="288" w:before="360" w:after="283"/>
        <w:jc w:val="both"/>
        <w:rPr>
          <w:rFonts w:ascii="Helvetica;sans-serif" w:hAnsi="Helvetica;sans-serif"/>
          <w:b/>
          <w:color w:val="000000"/>
          <w:sz w:val="20"/>
        </w:rPr>
      </w:pPr>
      <w:r>
        <w:rPr>
          <w:rFonts w:ascii="Helvetica;sans-serif" w:hAnsi="Helvetica;sans-serif"/>
          <w:b/>
          <w:color w:val="000000"/>
          <w:sz w:val="20"/>
        </w:rPr>
        <w:t>3. Financial Instruments and Fair Value Measurements</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tables provide information about the Company’s financial instruments that are measured at fair value on a recurring basis and indicate the fair value hierarchy of the valuation techniques utilized to determine such values as of March 31, 2023 and December 31, 2022:</w:t>
      </w:r>
    </w:p>
    <w:tbl>
      <w:tblPr>
        <w:tblW w:w="8906" w:type="dxa"/>
        <w:jc w:val="center"/>
        <w:tblInd w:w="0" w:type="dxa"/>
        <w:tblCellMar>
          <w:top w:w="28" w:type="dxa"/>
          <w:left w:w="28" w:type="dxa"/>
          <w:bottom w:w="28" w:type="dxa"/>
          <w:right w:w="28" w:type="dxa"/>
        </w:tblCellMar>
      </w:tblPr>
      <w:tblGrid>
        <w:gridCol w:w="1304"/>
        <w:gridCol w:w="1148"/>
        <w:gridCol w:w="1162"/>
        <w:gridCol w:w="109"/>
        <w:gridCol w:w="109"/>
        <w:gridCol w:w="109"/>
        <w:gridCol w:w="211"/>
        <w:gridCol w:w="751"/>
        <w:gridCol w:w="109"/>
        <w:gridCol w:w="109"/>
        <w:gridCol w:w="109"/>
        <w:gridCol w:w="109"/>
        <w:gridCol w:w="211"/>
        <w:gridCol w:w="751"/>
        <w:gridCol w:w="109"/>
        <w:gridCol w:w="109"/>
        <w:gridCol w:w="109"/>
        <w:gridCol w:w="109"/>
        <w:gridCol w:w="211"/>
        <w:gridCol w:w="406"/>
        <w:gridCol w:w="109"/>
        <w:gridCol w:w="109"/>
        <w:gridCol w:w="109"/>
        <w:gridCol w:w="109"/>
        <w:gridCol w:w="211"/>
        <w:gridCol w:w="751"/>
        <w:gridCol w:w="154"/>
      </w:tblGrid>
      <w:tr>
        <w:trPr/>
        <w:tc>
          <w:tcPr>
            <w:tcW w:w="1304"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 2023</w:t>
            </w:r>
          </w:p>
        </w:tc>
      </w:tr>
      <w:tr>
        <w:trPr/>
        <w:tc>
          <w:tcPr>
            <w:tcW w:w="3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3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5" w:type="dxa"/>
            <w:gridSpan w:val="21"/>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10,052 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21,062 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21,062 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discount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2,992 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13,044 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21,062 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34,106 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13,505 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12,322 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16,906 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16,906 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marketable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42,733 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42,733 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assets at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55,777 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21,062 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76,839 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8157" w:type="dxa"/>
        <w:jc w:val="center"/>
        <w:tblInd w:w="0" w:type="dxa"/>
        <w:tblCellMar>
          <w:top w:w="28" w:type="dxa"/>
          <w:left w:w="28" w:type="dxa"/>
          <w:bottom w:w="28" w:type="dxa"/>
          <w:right w:w="28" w:type="dxa"/>
        </w:tblCellMar>
      </w:tblPr>
      <w:tblGrid>
        <w:gridCol w:w="1034"/>
        <w:gridCol w:w="910"/>
        <w:gridCol w:w="921"/>
        <w:gridCol w:w="109"/>
        <w:gridCol w:w="109"/>
        <w:gridCol w:w="109"/>
        <w:gridCol w:w="211"/>
        <w:gridCol w:w="751"/>
        <w:gridCol w:w="109"/>
        <w:gridCol w:w="109"/>
        <w:gridCol w:w="109"/>
        <w:gridCol w:w="109"/>
        <w:gridCol w:w="211"/>
        <w:gridCol w:w="751"/>
        <w:gridCol w:w="109"/>
        <w:gridCol w:w="109"/>
        <w:gridCol w:w="109"/>
        <w:gridCol w:w="109"/>
        <w:gridCol w:w="211"/>
        <w:gridCol w:w="406"/>
        <w:gridCol w:w="109"/>
        <w:gridCol w:w="109"/>
        <w:gridCol w:w="109"/>
        <w:gridCol w:w="109"/>
        <w:gridCol w:w="211"/>
        <w:gridCol w:w="751"/>
        <w:gridCol w:w="154"/>
      </w:tblGrid>
      <w:tr>
        <w:trPr/>
        <w:tc>
          <w:tcPr>
            <w:tcW w:w="1034"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2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2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5" w:type="dxa"/>
            <w:gridSpan w:val="21"/>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1,110 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14,460 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14,460 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15,570 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4"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25,488 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19,176 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bonds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22,238 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marketable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66,902 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66,902 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assets at 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68,012 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14,460 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82,472 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tables summarize the cost, gross unrealized gains, gross unrealized losses and fair value of the marketable securities as of March 31, 2023 and December 31, 2022:</w:t>
      </w:r>
    </w:p>
    <w:tbl>
      <w:tblPr>
        <w:tblW w:w="8855" w:type="dxa"/>
        <w:jc w:val="left"/>
        <w:tblInd w:w="0" w:type="dxa"/>
        <w:tblCellMar>
          <w:top w:w="28" w:type="dxa"/>
          <w:left w:w="28" w:type="dxa"/>
          <w:bottom w:w="28" w:type="dxa"/>
          <w:right w:w="28" w:type="dxa"/>
        </w:tblCellMar>
      </w:tblPr>
      <w:tblGrid>
        <w:gridCol w:w="1037"/>
        <w:gridCol w:w="912"/>
        <w:gridCol w:w="915"/>
        <w:gridCol w:w="109"/>
        <w:gridCol w:w="109"/>
        <w:gridCol w:w="109"/>
        <w:gridCol w:w="390"/>
        <w:gridCol w:w="1389"/>
        <w:gridCol w:w="201"/>
        <w:gridCol w:w="109"/>
        <w:gridCol w:w="109"/>
        <w:gridCol w:w="109"/>
        <w:gridCol w:w="211"/>
        <w:gridCol w:w="406"/>
        <w:gridCol w:w="109"/>
        <w:gridCol w:w="109"/>
        <w:gridCol w:w="109"/>
        <w:gridCol w:w="109"/>
        <w:gridCol w:w="211"/>
        <w:gridCol w:w="541"/>
        <w:gridCol w:w="109"/>
        <w:gridCol w:w="109"/>
        <w:gridCol w:w="109"/>
        <w:gridCol w:w="109"/>
        <w:gridCol w:w="211"/>
        <w:gridCol w:w="751"/>
        <w:gridCol w:w="154"/>
      </w:tblGrid>
      <w:tr>
        <w:trPr/>
        <w:tc>
          <w:tcPr>
            <w:tcW w:w="1037"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6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 2023</w:t>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vMerge w:val="restart"/>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Cost or Amortized Cost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14" w:type="dxa"/>
            <w:gridSpan w:val="9"/>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Unrealized</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vMerge w:val="restart"/>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Fair Value</w:t>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vMerge w:val="continue"/>
            <w:tcBorders>
              <w:top w:val="single" w:sz="4"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Gains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vMerge w:val="continue"/>
            <w:tcBorders>
              <w:top w:val="single" w:sz="4" w:space="0" w:color="000000"/>
              <w:bottom w:val="single" w:sz="4" w:space="0" w:color="000000"/>
            </w:tcBorders>
            <w:shd w:fill="auto" w:val="clear"/>
            <w:tcMar>
              <w:top w:w="30" w:type="dxa"/>
              <w:left w:w="0" w:type="dxa"/>
              <w:bottom w:w="30" w:type="dxa"/>
              <w:right w:w="0" w:type="dxa"/>
            </w:tcMar>
            <w:vAlign w:val="center"/>
          </w:tcPr>
          <w:p>
            <w:pPr>
              <w:pStyle w:val="Normal"/>
              <w:rPr/>
            </w:pPr>
            <w:r>
              <w:rPr/>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64" w:type="dxa"/>
            <w:gridSpan w:val="21"/>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13,568 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13,505 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12,501 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12,322 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bonds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17,138 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16,906 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8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43,207 </w:t>
            </w:r>
          </w:p>
        </w:tc>
        <w:tc>
          <w:tcPr>
            <w:tcW w:w="2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(474)</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42,733 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12</w:t>
                      </w:r>
                    </w:p>
                  </w:txbxContent>
                </v:textbox>
              </v:rect>
            </w:pict>
          </mc:Fallback>
        </mc:AlternateContent>
      </w:r>
    </w:p>
    <w:p>
      <w:pPr>
        <w:pStyle w:val="TextBody"/>
        <w:spacing w:lineRule="auto" w:line="288" w:before="0" w:after="0"/>
        <w:rPr/>
      </w:pPr>
      <w:hyperlink w:anchor="ibcf6cd6c2981485ca51dd6b50182b609_7">
        <w:r>
          <w:rPr>
            <w:rStyle w:val="InternetLink"/>
            <w:rFonts w:ascii="Helvetica;sans-serif" w:hAnsi="Helvetica;sans-serif"/>
            <w:b w:val="false"/>
            <w:color w:val="0000FF"/>
            <w:sz w:val="20"/>
            <w:u w:val="single"/>
          </w:rPr>
          <w:t>Table of Contents</w:t>
        </w:r>
      </w:hyperlink>
    </w:p>
    <w:tbl>
      <w:tblPr>
        <w:tblW w:w="9020" w:type="dxa"/>
        <w:jc w:val="left"/>
        <w:tblInd w:w="0" w:type="dxa"/>
        <w:tblCellMar>
          <w:top w:w="28" w:type="dxa"/>
          <w:left w:w="28" w:type="dxa"/>
          <w:bottom w:w="28" w:type="dxa"/>
          <w:right w:w="28" w:type="dxa"/>
        </w:tblCellMar>
      </w:tblPr>
      <w:tblGrid>
        <w:gridCol w:w="1037"/>
        <w:gridCol w:w="912"/>
        <w:gridCol w:w="915"/>
        <w:gridCol w:w="109"/>
        <w:gridCol w:w="109"/>
        <w:gridCol w:w="109"/>
        <w:gridCol w:w="390"/>
        <w:gridCol w:w="1389"/>
        <w:gridCol w:w="201"/>
        <w:gridCol w:w="109"/>
        <w:gridCol w:w="109"/>
        <w:gridCol w:w="109"/>
        <w:gridCol w:w="211"/>
        <w:gridCol w:w="406"/>
        <w:gridCol w:w="109"/>
        <w:gridCol w:w="109"/>
        <w:gridCol w:w="109"/>
        <w:gridCol w:w="109"/>
        <w:gridCol w:w="211"/>
        <w:gridCol w:w="706"/>
        <w:gridCol w:w="109"/>
        <w:gridCol w:w="109"/>
        <w:gridCol w:w="109"/>
        <w:gridCol w:w="109"/>
        <w:gridCol w:w="211"/>
        <w:gridCol w:w="751"/>
        <w:gridCol w:w="154"/>
      </w:tblGrid>
      <w:tr>
        <w:trPr/>
        <w:tc>
          <w:tcPr>
            <w:tcW w:w="1037"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9"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vMerge w:val="restart"/>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Cost or Amortized Cost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79" w:type="dxa"/>
            <w:gridSpan w:val="9"/>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Unrealized</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vMerge w:val="restart"/>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Fair Value</w:t>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vMerge w:val="continue"/>
            <w:tcBorders>
              <w:top w:val="single" w:sz="4"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Gains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vMerge w:val="continue"/>
            <w:tcBorders>
              <w:top w:val="single" w:sz="4" w:space="0" w:color="000000"/>
              <w:bottom w:val="single" w:sz="4" w:space="0" w:color="000000"/>
            </w:tcBorders>
            <w:shd w:fill="auto" w:val="clear"/>
            <w:tcMar>
              <w:top w:w="30" w:type="dxa"/>
              <w:left w:w="0" w:type="dxa"/>
              <w:bottom w:w="30" w:type="dxa"/>
              <w:right w:w="0" w:type="dxa"/>
            </w:tcMar>
            <w:vAlign w:val="center"/>
          </w:tcPr>
          <w:p>
            <w:pPr>
              <w:pStyle w:val="Normal"/>
              <w:rPr/>
            </w:pPr>
            <w:r>
              <w:rPr/>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9" w:type="dxa"/>
            <w:gridSpan w:val="21"/>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25,774 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25,488 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19,531 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19,176 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bonds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22,679 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22,238 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8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67,984 </w:t>
            </w:r>
          </w:p>
        </w:tc>
        <w:tc>
          <w:tcPr>
            <w:tcW w:w="2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(1,082)</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66,902 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March 31, 2023 and December 31, 2022, the Company’s cash equivalents approximated their estimated fair value. As such, there are no unrealized gains or losses related to the Company’s cash equivalents.</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the Company’s marketable securities, which were all classified as available-for-sale, the Company utilizes third-party pricing services to obtain fair value. Third-party pricing methodologies incorporate bond terms and conditions, current performance data, proprietary pricing models, real-time quotes from contributing dealers, trade prices and other market data. The Company determined that the declines in the fair value of its marketable securities were not driven by credit-related factors. During the three months ended March 31, 2023 and 2022, the Company did not recognize any losses on its marketable securities due to credit-related factors.</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Company’s money market funds, corporate debt securities, U.S. treasury securities, U.S. government agency bonds, and U.S. government agency discount notes were valued using Level 1 inputs because they are valued using quoted prices in active markets.</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Company’s commercial paper is valued using Level 2 inputs because it is valued using quoted prices for similar assets or liabilities in active markets and quoted prices for identical or similar assets or liabilities in markets that are not active.</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were no transfers between levels during the three months ended March 31, 2023. As of March 31, 2023, all of the $42.7 million carrying amount of marketable securities, all had a contractual maturity date of less than one year.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Helvetica;sans-serif" w:hAnsi="Helvetica;sans-serif"/>
          <w:b/>
          <w:color w:val="000000"/>
          <w:sz w:val="20"/>
        </w:rPr>
      </w:pPr>
      <w:r>
        <w:rPr>
          <w:rFonts w:ascii="Helvetica;sans-serif" w:hAnsi="Helvetica;sans-serif"/>
          <w:b/>
          <w:color w:val="000000"/>
          <w:sz w:val="20"/>
        </w:rPr>
        <w:t>4. Property and Equipment, Net</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Property and equipment, net consisted of the following:</w:t>
      </w:r>
    </w:p>
    <w:tbl>
      <w:tblPr>
        <w:tblW w:w="7430" w:type="dxa"/>
        <w:jc w:val="center"/>
        <w:tblInd w:w="0" w:type="dxa"/>
        <w:tblCellMar>
          <w:top w:w="28" w:type="dxa"/>
          <w:left w:w="28" w:type="dxa"/>
          <w:bottom w:w="28" w:type="dxa"/>
          <w:right w:w="28" w:type="dxa"/>
        </w:tblCellMar>
      </w:tblPr>
      <w:tblGrid>
        <w:gridCol w:w="1587"/>
        <w:gridCol w:w="1394"/>
        <w:gridCol w:w="1398"/>
        <w:gridCol w:w="109"/>
        <w:gridCol w:w="109"/>
        <w:gridCol w:w="109"/>
        <w:gridCol w:w="211"/>
        <w:gridCol w:w="856"/>
        <w:gridCol w:w="109"/>
        <w:gridCol w:w="109"/>
        <w:gridCol w:w="109"/>
        <w:gridCol w:w="109"/>
        <w:gridCol w:w="211"/>
        <w:gridCol w:w="856"/>
        <w:gridCol w:w="154"/>
      </w:tblGrid>
      <w:tr>
        <w:trPr/>
        <w:tc>
          <w:tcPr>
            <w:tcW w:w="1587" w:type="dxa"/>
            <w:tcBorders/>
            <w:shd w:fill="auto" w:val="clear"/>
            <w:vAlign w:val="center"/>
          </w:tcPr>
          <w:p>
            <w:pPr>
              <w:pStyle w:val="TableContents"/>
              <w:spacing w:before="0" w:after="283"/>
              <w:rPr>
                <w:sz w:val="4"/>
                <w:szCs w:val="4"/>
              </w:rPr>
            </w:pPr>
            <w:r>
              <w:rPr>
                <w:sz w:val="4"/>
                <w:szCs w:val="4"/>
              </w:rPr>
            </w:r>
          </w:p>
        </w:tc>
        <w:tc>
          <w:tcPr>
            <w:tcW w:w="1394" w:type="dxa"/>
            <w:tcBorders/>
            <w:shd w:fill="auto" w:val="clear"/>
            <w:vAlign w:val="center"/>
          </w:tcPr>
          <w:p>
            <w:pPr>
              <w:pStyle w:val="TableContents"/>
              <w:spacing w:before="0" w:after="283"/>
              <w:rPr>
                <w:sz w:val="4"/>
                <w:szCs w:val="4"/>
              </w:rPr>
            </w:pPr>
            <w:r>
              <w:rPr>
                <w:sz w:val="4"/>
                <w:szCs w:val="4"/>
              </w:rPr>
            </w:r>
          </w:p>
        </w:tc>
        <w:tc>
          <w:tcPr>
            <w:tcW w:w="13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br/>
              <w:t>2022</w:t>
            </w:r>
          </w:p>
        </w:tc>
      </w:tr>
      <w:tr>
        <w:trPr/>
        <w:tc>
          <w:tcPr>
            <w:tcW w:w="4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4" w:type="dxa"/>
            <w:gridSpan w:val="9"/>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4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130,819 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124,412 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(35,013)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(31,930)</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95,806 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92,482 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Depreciation and amortization expense of property and equipment was $3.0 million and $2.6 million for the three months ended March 31, 2023 and 2022,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Helvetica;sans-serif" w:hAnsi="Helvetica;sans-serif"/>
          <w:b/>
          <w:color w:val="000000"/>
          <w:sz w:val="20"/>
        </w:rPr>
      </w:pPr>
      <w:r>
        <w:rPr>
          <w:rFonts w:ascii="Helvetica;sans-serif" w:hAnsi="Helvetica;sans-serif"/>
          <w:b/>
          <w:color w:val="000000"/>
          <w:sz w:val="20"/>
        </w:rPr>
        <w:t>5. Goodwill and Other Intangible Assets</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Goodwill is primarily attributable to the planned growth in the combined business after the acquisition of Remix Global EAD (“Remix”). Goodwill is reviewed for impairment at least annually, absent any interim indicators of impairment. Goodwill was $11.8 million and $11.6 million as of March 31, 2023 and December 31, 2022, respectively. The increase in goodwill during the three months ended March 31, 2023 was due to foreign currency translation adjustments.</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13</w:t>
                      </w:r>
                    </w:p>
                  </w:txbxContent>
                </v:textbox>
              </v:rect>
            </w:pict>
          </mc:Fallback>
        </mc:AlternateContent>
      </w:r>
    </w:p>
    <w:p>
      <w:pPr>
        <w:pStyle w:val="TextBody"/>
        <w:spacing w:lineRule="auto" w:line="288" w:before="0" w:after="0"/>
        <w:rPr/>
      </w:pPr>
      <w:hyperlink w:anchor="ibcf6cd6c2981485ca51dd6b50182b609_7">
        <w:r>
          <w:rPr>
            <w:rStyle w:val="InternetLink"/>
            <w:rFonts w:ascii="Helvetica;sans-serif" w:hAnsi="Helvetica;sans-serif"/>
            <w:b w:val="false"/>
            <w:color w:val="0000FF"/>
            <w:sz w:val="20"/>
            <w:u w:val="single"/>
          </w:rPr>
          <w:t>Table of Contents</w:t>
        </w:r>
      </w:hyperlink>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gross carrying amounts and accumulated amortization of the Company’s intangible assets with determinable lives as of March 31, 2023 and December 31, 2022 were as follows:</w:t>
      </w:r>
    </w:p>
    <w:tbl>
      <w:tblPr>
        <w:tblW w:w="10205" w:type="dxa"/>
        <w:jc w:val="center"/>
        <w:tblInd w:w="0" w:type="dxa"/>
        <w:tblCellMar>
          <w:top w:w="28" w:type="dxa"/>
          <w:left w:w="28" w:type="dxa"/>
          <w:bottom w:w="28" w:type="dxa"/>
          <w:right w:w="28" w:type="dxa"/>
        </w:tblCellMar>
      </w:tblPr>
      <w:tblGrid>
        <w:gridCol w:w="689"/>
        <w:gridCol w:w="606"/>
        <w:gridCol w:w="609"/>
        <w:gridCol w:w="109"/>
        <w:gridCol w:w="109"/>
        <w:gridCol w:w="109"/>
        <w:gridCol w:w="521"/>
        <w:gridCol w:w="521"/>
        <w:gridCol w:w="522"/>
        <w:gridCol w:w="109"/>
        <w:gridCol w:w="109"/>
        <w:gridCol w:w="109"/>
        <w:gridCol w:w="350"/>
        <w:gridCol w:w="1248"/>
        <w:gridCol w:w="181"/>
        <w:gridCol w:w="109"/>
        <w:gridCol w:w="109"/>
        <w:gridCol w:w="109"/>
        <w:gridCol w:w="432"/>
        <w:gridCol w:w="1326"/>
        <w:gridCol w:w="224"/>
        <w:gridCol w:w="109"/>
        <w:gridCol w:w="109"/>
        <w:gridCol w:w="109"/>
        <w:gridCol w:w="314"/>
        <w:gridCol w:w="1119"/>
        <w:gridCol w:w="235"/>
      </w:tblGrid>
      <w:tr>
        <w:trPr/>
        <w:tc>
          <w:tcPr>
            <w:tcW w:w="68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 2023</w:t>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Amortization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Gross Carrying Amount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82"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Amortization</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Net Carrying Amount</w:t>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3" w:type="dxa"/>
            <w:gridSpan w:val="15"/>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4,902 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(907)</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3,995 </w:t>
            </w:r>
          </w:p>
        </w:tc>
        <w:tc>
          <w:tcPr>
            <w:tcW w:w="23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4,619 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(2,278)</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2,341 </w:t>
            </w:r>
          </w:p>
        </w:tc>
        <w:tc>
          <w:tcPr>
            <w:tcW w:w="23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Trademarks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4,436 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(728)</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3,708 </w:t>
            </w:r>
          </w:p>
        </w:tc>
        <w:tc>
          <w:tcPr>
            <w:tcW w:w="23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13,957 </w:t>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(3,913)</w:t>
            </w:r>
          </w:p>
        </w:tc>
        <w:tc>
          <w:tcPr>
            <w:tcW w:w="22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10,044 </w:t>
            </w:r>
          </w:p>
        </w:tc>
        <w:tc>
          <w:tcPr>
            <w:tcW w:w="2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689"/>
        <w:gridCol w:w="606"/>
        <w:gridCol w:w="609"/>
        <w:gridCol w:w="109"/>
        <w:gridCol w:w="109"/>
        <w:gridCol w:w="109"/>
        <w:gridCol w:w="521"/>
        <w:gridCol w:w="521"/>
        <w:gridCol w:w="522"/>
        <w:gridCol w:w="109"/>
        <w:gridCol w:w="109"/>
        <w:gridCol w:w="109"/>
        <w:gridCol w:w="350"/>
        <w:gridCol w:w="1248"/>
        <w:gridCol w:w="181"/>
        <w:gridCol w:w="109"/>
        <w:gridCol w:w="109"/>
        <w:gridCol w:w="109"/>
        <w:gridCol w:w="432"/>
        <w:gridCol w:w="1326"/>
        <w:gridCol w:w="224"/>
        <w:gridCol w:w="109"/>
        <w:gridCol w:w="109"/>
        <w:gridCol w:w="109"/>
        <w:gridCol w:w="314"/>
        <w:gridCol w:w="1119"/>
        <w:gridCol w:w="235"/>
      </w:tblGrid>
      <w:tr>
        <w:trPr/>
        <w:tc>
          <w:tcPr>
            <w:tcW w:w="68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Amortization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Gross Carrying Amount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82"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Amortization</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Net Carrying Amount</w:t>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3" w:type="dxa"/>
            <w:gridSpan w:val="15"/>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4,814 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(742)</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4,072 </w:t>
            </w:r>
          </w:p>
        </w:tc>
        <w:tc>
          <w:tcPr>
            <w:tcW w:w="23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4,536 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(1,864)</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2,672 </w:t>
            </w:r>
          </w:p>
        </w:tc>
        <w:tc>
          <w:tcPr>
            <w:tcW w:w="23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Trademarks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4,351 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(596)</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3,755 </w:t>
            </w:r>
          </w:p>
        </w:tc>
        <w:tc>
          <w:tcPr>
            <w:tcW w:w="23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13,701 </w:t>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(3,202)</w:t>
            </w:r>
          </w:p>
        </w:tc>
        <w:tc>
          <w:tcPr>
            <w:tcW w:w="22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10,499 </w:t>
            </w:r>
          </w:p>
        </w:tc>
        <w:tc>
          <w:tcPr>
            <w:tcW w:w="2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changes in the gross carrying amounts were due to foreign currency translation adjustments.</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Amortization expense related to developed technology, customer relationships, and trademarks is recorded within operations, product, and technology; sales, general, and administrative; and marketing expense, respectively, within the Company’s condensed consolidated statements of operations. Amortization expense of intangible assets with determinable lives was $0.6 million and $0.7 million for the three months ended March 31, 2023 and 2022,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Helvetica;sans-serif" w:hAnsi="Helvetica;sans-serif"/>
          <w:b/>
          <w:color w:val="000000"/>
          <w:sz w:val="20"/>
        </w:rPr>
      </w:pPr>
      <w:r>
        <w:rPr>
          <w:rFonts w:ascii="Helvetica;sans-serif" w:hAnsi="Helvetica;sans-serif"/>
          <w:b/>
          <w:color w:val="000000"/>
          <w:sz w:val="20"/>
        </w:rPr>
        <w:t>6. Balance Sheet Components</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Inventories consisted of the following:</w:t>
      </w:r>
    </w:p>
    <w:tbl>
      <w:tblPr>
        <w:tblW w:w="4469" w:type="dxa"/>
        <w:jc w:val="center"/>
        <w:tblInd w:w="0" w:type="dxa"/>
        <w:tblCellMar>
          <w:top w:w="28" w:type="dxa"/>
          <w:left w:w="28" w:type="dxa"/>
          <w:bottom w:w="28" w:type="dxa"/>
          <w:right w:w="28" w:type="dxa"/>
        </w:tblCellMar>
      </w:tblPr>
      <w:tblGrid>
        <w:gridCol w:w="555"/>
        <w:gridCol w:w="487"/>
        <w:gridCol w:w="488"/>
        <w:gridCol w:w="109"/>
        <w:gridCol w:w="109"/>
        <w:gridCol w:w="109"/>
        <w:gridCol w:w="211"/>
        <w:gridCol w:w="751"/>
        <w:gridCol w:w="109"/>
        <w:gridCol w:w="109"/>
        <w:gridCol w:w="109"/>
        <w:gridCol w:w="109"/>
        <w:gridCol w:w="229"/>
        <w:gridCol w:w="818"/>
        <w:gridCol w:w="167"/>
      </w:tblGrid>
      <w:tr>
        <w:trPr/>
        <w:tc>
          <w:tcPr>
            <w:tcW w:w="555"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br/>
              <w:t>2022</w:t>
            </w:r>
          </w:p>
        </w:tc>
      </w:tr>
      <w:tr>
        <w:trPr/>
        <w:tc>
          <w:tcPr>
            <w:tcW w:w="1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2" w:type="dxa"/>
            <w:gridSpan w:val="9"/>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Work in process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2,639 </w:t>
            </w:r>
          </w:p>
        </w:tc>
        <w:tc>
          <w:tcPr>
            <w:tcW w:w="16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14,880 </w:t>
            </w:r>
          </w:p>
        </w:tc>
        <w:tc>
          <w:tcPr>
            <w:tcW w:w="16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20,933 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17,519 </w:t>
            </w:r>
          </w:p>
        </w:tc>
        <w:tc>
          <w:tcPr>
            <w:tcW w:w="1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Work in process inventory relates to items that are currently undergoing preparation for sale, including itemization, cleaning, and repair.</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Accrued and other current liabilities consisted of the following:</w:t>
      </w:r>
    </w:p>
    <w:tbl>
      <w:tblPr>
        <w:tblW w:w="5908" w:type="dxa"/>
        <w:jc w:val="center"/>
        <w:tblInd w:w="0" w:type="dxa"/>
        <w:tblCellMar>
          <w:top w:w="28" w:type="dxa"/>
          <w:left w:w="28" w:type="dxa"/>
          <w:bottom w:w="28" w:type="dxa"/>
          <w:right w:w="28" w:type="dxa"/>
        </w:tblCellMar>
      </w:tblPr>
      <w:tblGrid>
        <w:gridCol w:w="1074"/>
        <w:gridCol w:w="944"/>
        <w:gridCol w:w="951"/>
        <w:gridCol w:w="109"/>
        <w:gridCol w:w="109"/>
        <w:gridCol w:w="109"/>
        <w:gridCol w:w="211"/>
        <w:gridCol w:w="751"/>
        <w:gridCol w:w="109"/>
        <w:gridCol w:w="109"/>
        <w:gridCol w:w="109"/>
        <w:gridCol w:w="109"/>
        <w:gridCol w:w="229"/>
        <w:gridCol w:w="818"/>
        <w:gridCol w:w="167"/>
      </w:tblGrid>
      <w:tr>
        <w:trPr/>
        <w:tc>
          <w:tcPr>
            <w:tcW w:w="1074"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br/>
              <w:t>2022</w:t>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2" w:type="dxa"/>
            <w:gridSpan w:val="9"/>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Gift card and site credit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18,101 </w:t>
            </w:r>
          </w:p>
        </w:tc>
        <w:tc>
          <w:tcPr>
            <w:tcW w:w="16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vendor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9,116 </w:t>
            </w:r>
          </w:p>
        </w:tc>
        <w:tc>
          <w:tcPr>
            <w:tcW w:w="16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7,582 </w:t>
            </w:r>
          </w:p>
        </w:tc>
        <w:tc>
          <w:tcPr>
            <w:tcW w:w="16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4,993 </w:t>
            </w:r>
          </w:p>
        </w:tc>
        <w:tc>
          <w:tcPr>
            <w:tcW w:w="16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Allowance for returns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4,907 </w:t>
            </w:r>
          </w:p>
        </w:tc>
        <w:tc>
          <w:tcPr>
            <w:tcW w:w="16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4,326 </w:t>
            </w:r>
          </w:p>
        </w:tc>
        <w:tc>
          <w:tcPr>
            <w:tcW w:w="16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1,130 </w:t>
            </w:r>
          </w:p>
        </w:tc>
        <w:tc>
          <w:tcPr>
            <w:tcW w:w="16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47,976 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50,155 </w:t>
            </w:r>
          </w:p>
        </w:tc>
        <w:tc>
          <w:tcPr>
            <w:tcW w:w="1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14</w:t>
                      </w:r>
                    </w:p>
                  </w:txbxContent>
                </v:textbox>
              </v:rect>
            </w:pict>
          </mc:Fallback>
        </mc:AlternateContent>
      </w:r>
    </w:p>
    <w:p>
      <w:pPr>
        <w:pStyle w:val="TextBody"/>
        <w:spacing w:lineRule="auto" w:line="288" w:before="0" w:after="0"/>
        <w:rPr/>
      </w:pPr>
      <w:hyperlink w:anchor="ibcf6cd6c2981485ca51dd6b50182b609_7">
        <w:r>
          <w:rPr>
            <w:rStyle w:val="InternetLink"/>
            <w:rFonts w:ascii="Helvetica;sans-serif" w:hAnsi="Helvetica;sans-serif"/>
            <w:b w:val="false"/>
            <w:color w:val="0000FF"/>
            <w:sz w:val="20"/>
            <w:u w:val="single"/>
          </w:rPr>
          <w:t>Table of Contents</w:t>
        </w:r>
      </w:hyperlink>
    </w:p>
    <w:p>
      <w:pPr>
        <w:pStyle w:val="TextBody"/>
        <w:spacing w:lineRule="auto" w:line="288" w:before="360" w:after="283"/>
        <w:jc w:val="both"/>
        <w:rPr>
          <w:rFonts w:ascii="Helvetica;sans-serif" w:hAnsi="Helvetica;sans-serif"/>
          <w:b/>
          <w:color w:val="000000"/>
          <w:sz w:val="20"/>
        </w:rPr>
      </w:pPr>
      <w:r>
        <w:rPr>
          <w:rFonts w:ascii="Helvetica;sans-serif" w:hAnsi="Helvetica;sans-serif"/>
          <w:b/>
          <w:color w:val="000000"/>
          <w:sz w:val="20"/>
        </w:rPr>
        <w:t>7. Long-Term Debt</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February 2019, the Company entered into a loan and security agreement (“Term Loan”) with Western Alliance Bank for an aggregate amount of up to $40.0 million. The Company incurred an immaterial amount of debt issuance costs in connection with the Term Loan. The debt issuance costs are recorded on the Company’s condensed consolidated balance sheets and are being amortized over the life of the Term Loan using the effective-interest method.</w:t>
      </w:r>
    </w:p>
    <w:p>
      <w:pPr>
        <w:pStyle w:val="TextBody"/>
        <w:spacing w:lineRule="auto" w:line="288" w:before="240" w:after="283"/>
        <w:ind w:left="0" w:right="0" w:firstLine="360"/>
        <w:jc w:val="both"/>
        <w:rPr/>
      </w:pPr>
      <w:r>
        <w:rPr>
          <w:rFonts w:ascii="Helvetica;sans-serif" w:hAnsi="Helvetica;sans-serif"/>
          <w:b w:val="false"/>
          <w:color w:val="000000"/>
          <w:sz w:val="20"/>
        </w:rPr>
        <w:t xml:space="preserve">The Term Loan was subsequently amended several times, with the most recent amendment taking place in July 2022. As amended, the Term Loan matures on July 14, 2027 and provides for an aggregate borrowing amount of up to $70.0 million, which bears interest at the prime rate published in the Wall Street Journal plus a margin of 1.25%, with a floor of 6.00%. The Company incurred an immaterial amount of debt issuance costs in connection with the amendment. For accounting purposes, pursuant to FASB ASC Topic 470, </w:t>
      </w:r>
      <w:r>
        <w:rPr>
          <w:rFonts w:ascii="Helvetica;sans-serif" w:hAnsi="Helvetica;sans-serif"/>
          <w:b w:val="false"/>
          <w:i/>
          <w:color w:val="000000"/>
          <w:sz w:val="20"/>
        </w:rPr>
        <w:t>Debt</w:t>
      </w:r>
      <w:r>
        <w:rPr>
          <w:rFonts w:ascii="Helvetica;sans-serif" w:hAnsi="Helvetica;sans-serif"/>
          <w:b w:val="false"/>
          <w:color w:val="000000"/>
          <w:sz w:val="20"/>
        </w:rPr>
        <w:t>, this transaction was accounted for as a modification of the Term Loan. The debt issuance costs were recognized in interest expense within the Company’s condensed consolidated statement of operations during the third quarter of 2022.</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Term Loan requires the Company to comply with certain financial covenants, including, among other things, liquidity requirements, minimum cash deposits with Western Alliance bank, performance metrics, and a debt service coverage ratio. The Term Loan also contains affirmative and negative covenants customary for financings of this type, including, among other things, limitations or prohibitions on repurchasing common shares, declaring and paying dividends and other distributions, redeeming and repurchasing certain other indebtedness, loans and investments, additional indebtedness, liens, mergers, asset sales and transactions with affiliates. In addition, the Term Loan contains customary events of default. As of March 31, 2023 and December 31, 2022, the Company was in compliance with its debt covenants under the Term Loan.</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Term Loan is payable in consecutive monthly installments. Interest is due monthly on amounts outstanding under the Term Loan. The Company is also permitted to make voluntary prepayments without penalty or premium at any time.</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March 31, 2023 and December 31, 2022, the effective interest rate for borrowings under the Term Loan was 10.22% and 9.70%, respectively.</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three months ended March 31, 2023, the Company did not make any borrowings under the Term Loan and repaid a total of $1.0 million on amounts outstanding under the Term Loan. During the three months ended March 31, 2022, the Company did not make any borrowings under the Term Loan and repaid a total of $2.0 million on amounts outstanding under the Term Loan. As of March 31, 2023 and December 31, 2022, the amount outstanding under the Term Loan was $29.3 million and $30.3 million, respectively.</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three months ended March 31, 2023 and 2022, the Company incurred $0.7 million and $0.6 million, respectively, of interest costs relating to the Term Loan, of which $0.6 million and $0.1 million, respectively, was capitalized as part of an asset.</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March 31, 2023, annual scheduled principal payments of the Term Loan were as follows:</w:t>
      </w:r>
    </w:p>
    <w:tbl>
      <w:tblPr>
        <w:tblW w:w="4962" w:type="dxa"/>
        <w:jc w:val="center"/>
        <w:tblInd w:w="0" w:type="dxa"/>
        <w:tblCellMar>
          <w:top w:w="28" w:type="dxa"/>
          <w:left w:w="28" w:type="dxa"/>
          <w:bottom w:w="28" w:type="dxa"/>
          <w:right w:w="28" w:type="dxa"/>
        </w:tblCellMar>
      </w:tblPr>
      <w:tblGrid>
        <w:gridCol w:w="1243"/>
        <w:gridCol w:w="1091"/>
        <w:gridCol w:w="1101"/>
        <w:gridCol w:w="109"/>
        <w:gridCol w:w="109"/>
        <w:gridCol w:w="109"/>
        <w:gridCol w:w="227"/>
        <w:gridCol w:w="808"/>
        <w:gridCol w:w="165"/>
      </w:tblGrid>
      <w:tr>
        <w:trPr/>
        <w:tc>
          <w:tcPr>
            <w:tcW w:w="1243"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r>
      <w:tr>
        <w:trPr/>
        <w:tc>
          <w:tcPr>
            <w:tcW w:w="3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3,000 </w:t>
            </w:r>
          </w:p>
        </w:tc>
        <w:tc>
          <w:tcPr>
            <w:tcW w:w="16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4,000 </w:t>
            </w:r>
          </w:p>
        </w:tc>
        <w:tc>
          <w:tcPr>
            <w:tcW w:w="16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4,000 </w:t>
            </w:r>
          </w:p>
        </w:tc>
        <w:tc>
          <w:tcPr>
            <w:tcW w:w="16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4,000 </w:t>
            </w:r>
          </w:p>
        </w:tc>
        <w:tc>
          <w:tcPr>
            <w:tcW w:w="16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14,333 </w:t>
            </w:r>
          </w:p>
        </w:tc>
        <w:tc>
          <w:tcPr>
            <w:tcW w:w="16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principal payments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29,333 </w:t>
            </w:r>
          </w:p>
        </w:tc>
        <w:tc>
          <w:tcPr>
            <w:tcW w:w="165"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unamortized debt discount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(620)</w:t>
            </w:r>
          </w:p>
        </w:tc>
        <w:tc>
          <w:tcPr>
            <w:tcW w:w="16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(3,882)</w:t>
            </w:r>
          </w:p>
        </w:tc>
        <w:tc>
          <w:tcPr>
            <w:tcW w:w="16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24,831 </w:t>
            </w:r>
          </w:p>
        </w:tc>
        <w:tc>
          <w:tcPr>
            <w:tcW w:w="1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Helvetica;sans-serif" w:hAnsi="Helvetica;sans-serif"/>
          <w:b/>
          <w:color w:val="000000"/>
          <w:sz w:val="20"/>
        </w:rPr>
      </w:pPr>
      <w:r>
        <w:rPr>
          <w:rFonts w:ascii="Helvetica;sans-serif" w:hAnsi="Helvetica;sans-serif"/>
          <w:b/>
          <w:color w:val="000000"/>
          <w:sz w:val="20"/>
        </w:rPr>
        <w:t>8. Common Stock and Stockholders’ Equity</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Each share of Class A common stock is entitled to one vote per share. Each share of Class B common stock is entitled to ten votes per share and is convertible at any time into one share of Class A common stock.</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15</w:t>
                      </w:r>
                    </w:p>
                  </w:txbxContent>
                </v:textbox>
              </v:rect>
            </w:pict>
          </mc:Fallback>
        </mc:AlternateContent>
      </w:r>
    </w:p>
    <w:p>
      <w:pPr>
        <w:pStyle w:val="TextBody"/>
        <w:spacing w:lineRule="auto" w:line="288" w:before="0" w:after="0"/>
        <w:rPr/>
      </w:pPr>
      <w:hyperlink w:anchor="ibcf6cd6c2981485ca51dd6b50182b609_7">
        <w:r>
          <w:rPr>
            <w:rStyle w:val="InternetLink"/>
            <w:rFonts w:ascii="Helvetica;sans-serif" w:hAnsi="Helvetica;sans-serif"/>
            <w:b w:val="false"/>
            <w:color w:val="0000FF"/>
            <w:sz w:val="20"/>
            <w:u w:val="single"/>
          </w:rPr>
          <w:t>Table of Contents</w:t>
        </w:r>
      </w:hyperlink>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table below summarizes the Class A common stock and Class B common stock authorized, issued and outstanding as of March 31, 2023 and December 31, 2022:</w:t>
      </w:r>
    </w:p>
    <w:tbl>
      <w:tblPr>
        <w:tblW w:w="6322" w:type="dxa"/>
        <w:jc w:val="center"/>
        <w:tblInd w:w="0" w:type="dxa"/>
        <w:tblCellMar>
          <w:top w:w="28" w:type="dxa"/>
          <w:left w:w="28" w:type="dxa"/>
          <w:bottom w:w="28" w:type="dxa"/>
          <w:right w:w="28" w:type="dxa"/>
        </w:tblCellMar>
      </w:tblPr>
      <w:tblGrid>
        <w:gridCol w:w="781"/>
        <w:gridCol w:w="687"/>
        <w:gridCol w:w="692"/>
        <w:gridCol w:w="109"/>
        <w:gridCol w:w="109"/>
        <w:gridCol w:w="109"/>
        <w:gridCol w:w="510"/>
        <w:gridCol w:w="511"/>
        <w:gridCol w:w="331"/>
        <w:gridCol w:w="138"/>
        <w:gridCol w:w="138"/>
        <w:gridCol w:w="138"/>
        <w:gridCol w:w="605"/>
        <w:gridCol w:w="605"/>
        <w:gridCol w:w="859"/>
      </w:tblGrid>
      <w:tr>
        <w:trPr/>
        <w:tc>
          <w:tcPr>
            <w:tcW w:w="78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 2023</w:t>
            </w:r>
          </w:p>
        </w:tc>
      </w:tr>
      <w:tr>
        <w:trPr/>
        <w:tc>
          <w:tcPr>
            <w:tcW w:w="2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Authorized</w:t>
            </w:r>
          </w:p>
        </w:tc>
        <w:tc>
          <w:tcPr>
            <w:tcW w:w="41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Issued and Outstanding</w:t>
            </w:r>
          </w:p>
        </w:tc>
      </w:tr>
      <w:tr>
        <w:trPr/>
        <w:tc>
          <w:tcPr>
            <w:tcW w:w="2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5" w:type="dxa"/>
            <w:gridSpan w:val="9"/>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Class A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1,000,000 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72,351 </w:t>
            </w:r>
          </w:p>
        </w:tc>
        <w:tc>
          <w:tcPr>
            <w:tcW w:w="85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Class B 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120,000 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30,485 </w:t>
            </w:r>
          </w:p>
        </w:tc>
        <w:tc>
          <w:tcPr>
            <w:tcW w:w="85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1,120,000 </w:t>
            </w:r>
          </w:p>
        </w:tc>
        <w:tc>
          <w:tcPr>
            <w:tcW w:w="3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102,836 </w:t>
            </w:r>
          </w:p>
        </w:tc>
        <w:tc>
          <w:tcPr>
            <w:tcW w:w="8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424" w:type="dxa"/>
        <w:jc w:val="center"/>
        <w:tblInd w:w="0" w:type="dxa"/>
        <w:tblCellMar>
          <w:top w:w="28" w:type="dxa"/>
          <w:left w:w="28" w:type="dxa"/>
          <w:bottom w:w="28" w:type="dxa"/>
          <w:right w:w="28" w:type="dxa"/>
        </w:tblCellMar>
      </w:tblPr>
      <w:tblGrid>
        <w:gridCol w:w="781"/>
        <w:gridCol w:w="687"/>
        <w:gridCol w:w="692"/>
        <w:gridCol w:w="109"/>
        <w:gridCol w:w="109"/>
        <w:gridCol w:w="109"/>
        <w:gridCol w:w="510"/>
        <w:gridCol w:w="511"/>
        <w:gridCol w:w="331"/>
        <w:gridCol w:w="172"/>
        <w:gridCol w:w="172"/>
        <w:gridCol w:w="172"/>
        <w:gridCol w:w="605"/>
        <w:gridCol w:w="605"/>
        <w:gridCol w:w="859"/>
      </w:tblGrid>
      <w:tr>
        <w:trPr/>
        <w:tc>
          <w:tcPr>
            <w:tcW w:w="78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2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Authorized</w:t>
            </w:r>
          </w:p>
        </w:tc>
        <w:tc>
          <w:tcPr>
            <w:tcW w:w="51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Issued and Outstanding</w:t>
            </w:r>
          </w:p>
        </w:tc>
      </w:tr>
      <w:tr>
        <w:trPr/>
        <w:tc>
          <w:tcPr>
            <w:tcW w:w="2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7" w:type="dxa"/>
            <w:gridSpan w:val="9"/>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Class A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1,000,000 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70,723 </w:t>
            </w:r>
          </w:p>
        </w:tc>
        <w:tc>
          <w:tcPr>
            <w:tcW w:w="85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Class B 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120,000 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30,809 </w:t>
            </w:r>
          </w:p>
        </w:tc>
        <w:tc>
          <w:tcPr>
            <w:tcW w:w="85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1,120,000 </w:t>
            </w:r>
          </w:p>
        </w:tc>
        <w:tc>
          <w:tcPr>
            <w:tcW w:w="3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101,532 </w:t>
            </w:r>
          </w:p>
        </w:tc>
        <w:tc>
          <w:tcPr>
            <w:tcW w:w="8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Accumulated Other Comprehensive Loss</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changes in accumulated other comprehensive loss by component during the three months ended March 31, 2023 and 2022:</w:t>
      </w:r>
    </w:p>
    <w:tbl>
      <w:tblPr>
        <w:tblW w:w="10814" w:type="dxa"/>
        <w:jc w:val="left"/>
        <w:tblInd w:w="0" w:type="dxa"/>
        <w:tblCellMar>
          <w:top w:w="28" w:type="dxa"/>
          <w:left w:w="28" w:type="dxa"/>
          <w:bottom w:w="28" w:type="dxa"/>
          <w:right w:w="28" w:type="dxa"/>
        </w:tblCellMar>
      </w:tblPr>
      <w:tblGrid>
        <w:gridCol w:w="618"/>
        <w:gridCol w:w="545"/>
        <w:gridCol w:w="368"/>
        <w:gridCol w:w="109"/>
        <w:gridCol w:w="109"/>
        <w:gridCol w:w="109"/>
        <w:gridCol w:w="245"/>
        <w:gridCol w:w="752"/>
        <w:gridCol w:w="129"/>
        <w:gridCol w:w="109"/>
        <w:gridCol w:w="109"/>
        <w:gridCol w:w="109"/>
        <w:gridCol w:w="337"/>
        <w:gridCol w:w="1033"/>
        <w:gridCol w:w="176"/>
        <w:gridCol w:w="109"/>
        <w:gridCol w:w="109"/>
        <w:gridCol w:w="109"/>
        <w:gridCol w:w="211"/>
        <w:gridCol w:w="646"/>
        <w:gridCol w:w="109"/>
        <w:gridCol w:w="109"/>
        <w:gridCol w:w="109"/>
        <w:gridCol w:w="109"/>
        <w:gridCol w:w="245"/>
        <w:gridCol w:w="752"/>
        <w:gridCol w:w="129"/>
        <w:gridCol w:w="109"/>
        <w:gridCol w:w="109"/>
        <w:gridCol w:w="109"/>
        <w:gridCol w:w="337"/>
        <w:gridCol w:w="1033"/>
        <w:gridCol w:w="176"/>
        <w:gridCol w:w="109"/>
        <w:gridCol w:w="109"/>
        <w:gridCol w:w="109"/>
        <w:gridCol w:w="211"/>
        <w:gridCol w:w="646"/>
        <w:gridCol w:w="154"/>
      </w:tblGrid>
      <w:tr>
        <w:trPr/>
        <w:tc>
          <w:tcPr>
            <w:tcW w:w="618"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6" w:type="dxa"/>
            <w:gridSpan w:val="3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 in Accumulated Other Comprehensive Loss by Component</w:t>
            </w:r>
          </w:p>
        </w:tc>
      </w:tr>
      <w:tr>
        <w:trPr/>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6" w:type="dxa"/>
            <w:gridSpan w:val="3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r>
      <w:tr>
        <w:trPr/>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2" w:type="dxa"/>
            <w:gridSpan w:val="15"/>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37" w:type="dxa"/>
            <w:gridSpan w:val="15"/>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2022</w:t>
            </w:r>
          </w:p>
        </w:tc>
      </w:tr>
      <w:tr>
        <w:trPr/>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Foreign Currency Translation Adjustments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6"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Unrealized Gain (Loss) on Available-For-Sale Securities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Foreign Currency Translation Adjustments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6"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Unrealized Loss on Available-For-Sale Securities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6" w:type="dxa"/>
            <w:gridSpan w:val="3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(3,147)</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(1,087)</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(729)</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(365)</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(1,094)</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544 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610 </w:t>
            </w:r>
          </w:p>
        </w:tc>
        <w:tc>
          <w:tcPr>
            <w:tcW w:w="176"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(708)</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(1,002)</w:t>
            </w:r>
          </w:p>
        </w:tc>
        <w:tc>
          <w:tcPr>
            <w:tcW w:w="176"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(1,710)</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Amounts reclassified from accumulated other comprehensive loss to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other comprehensive income (loss), net of reclassifications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544 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610 </w:t>
            </w:r>
          </w:p>
        </w:tc>
        <w:tc>
          <w:tcPr>
            <w:tcW w:w="176"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(708)</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(1,002)</w:t>
            </w:r>
          </w:p>
        </w:tc>
        <w:tc>
          <w:tcPr>
            <w:tcW w:w="176"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(1,710)</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(2,603)</w:t>
            </w:r>
          </w:p>
        </w:tc>
        <w:tc>
          <w:tcPr>
            <w:tcW w:w="1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(477)</w:t>
            </w:r>
          </w:p>
        </w:tc>
        <w:tc>
          <w:tcPr>
            <w:tcW w:w="1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(3,080)</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(1,437)</w:t>
            </w:r>
          </w:p>
        </w:tc>
        <w:tc>
          <w:tcPr>
            <w:tcW w:w="1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(1,367)</w:t>
            </w:r>
          </w:p>
        </w:tc>
        <w:tc>
          <w:tcPr>
            <w:tcW w:w="1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(2,804)</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Helvetica;sans-serif" w:hAnsi="Helvetica;sans-serif"/>
          <w:b/>
          <w:color w:val="000000"/>
          <w:sz w:val="20"/>
        </w:rPr>
      </w:pPr>
      <w:r>
        <w:rPr>
          <w:rFonts w:ascii="Helvetica;sans-serif" w:hAnsi="Helvetica;sans-serif"/>
          <w:b/>
          <w:color w:val="000000"/>
          <w:sz w:val="20"/>
        </w:rPr>
        <w:t>9. Stock-Based Compensation</w:t>
      </w:r>
    </w:p>
    <w:p>
      <w:pPr>
        <w:pStyle w:val="TextBody"/>
        <w:spacing w:lineRule="auto" w:line="288" w:before="120" w:after="283"/>
        <w:ind w:left="0" w:right="0" w:firstLine="360"/>
        <w:jc w:val="both"/>
        <w:rPr/>
      </w:pPr>
      <w:r>
        <w:rPr>
          <w:rFonts w:ascii="Helvetica;sans-serif" w:hAnsi="Helvetica;sans-serif"/>
          <w:b w:val="false"/>
          <w:color w:val="000000"/>
          <w:sz w:val="20"/>
        </w:rPr>
        <w:t xml:space="preserve">The Company has stock-based compensation plans, which are more fully described in Note 11, </w:t>
      </w:r>
      <w:r>
        <w:rPr>
          <w:rFonts w:ascii="Helvetica;sans-serif" w:hAnsi="Helvetica;sans-serif"/>
          <w:b w:val="false"/>
          <w:i/>
          <w:color w:val="000000"/>
          <w:sz w:val="20"/>
        </w:rPr>
        <w:t>Stock-Based Compensation Plans</w:t>
      </w:r>
      <w:r>
        <w:rPr>
          <w:rFonts w:ascii="Helvetica;sans-serif" w:hAnsi="Helvetica;sans-serif"/>
          <w:b w:val="false"/>
          <w:color w:val="000000"/>
          <w:sz w:val="20"/>
        </w:rPr>
        <w:t>, to the Consolidated Financial Statements included in the 2022 10-K. During the three months ended March 31, 2023, the Company granted restricted stock units subject to service conditions.</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16</w:t>
                      </w:r>
                    </w:p>
                  </w:txbxContent>
                </v:textbox>
              </v:rect>
            </w:pict>
          </mc:Fallback>
        </mc:AlternateContent>
      </w:r>
    </w:p>
    <w:p>
      <w:pPr>
        <w:pStyle w:val="TextBody"/>
        <w:spacing w:lineRule="auto" w:line="288" w:before="0" w:after="0"/>
        <w:rPr/>
      </w:pPr>
      <w:hyperlink w:anchor="ibcf6cd6c2981485ca51dd6b50182b609_7">
        <w:r>
          <w:rPr>
            <w:rStyle w:val="InternetLink"/>
            <w:rFonts w:ascii="Helvetica;sans-serif" w:hAnsi="Helvetica;sans-serif"/>
            <w:b w:val="false"/>
            <w:color w:val="0000FF"/>
            <w:sz w:val="20"/>
            <w:u w:val="single"/>
          </w:rPr>
          <w:t>Table of Contents</w:t>
        </w:r>
      </w:hyperlink>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provides information about stock-based compensation expense by financial statement line item:</w:t>
      </w:r>
    </w:p>
    <w:tbl>
      <w:tblPr>
        <w:tblW w:w="6381" w:type="dxa"/>
        <w:jc w:val="center"/>
        <w:tblInd w:w="0" w:type="dxa"/>
        <w:tblCellMar>
          <w:top w:w="28" w:type="dxa"/>
          <w:left w:w="28" w:type="dxa"/>
          <w:bottom w:w="28" w:type="dxa"/>
          <w:right w:w="28" w:type="dxa"/>
        </w:tblCellMar>
      </w:tblPr>
      <w:tblGrid>
        <w:gridCol w:w="1359"/>
        <w:gridCol w:w="1192"/>
        <w:gridCol w:w="1199"/>
        <w:gridCol w:w="109"/>
        <w:gridCol w:w="109"/>
        <w:gridCol w:w="109"/>
        <w:gridCol w:w="211"/>
        <w:gridCol w:w="646"/>
        <w:gridCol w:w="109"/>
        <w:gridCol w:w="109"/>
        <w:gridCol w:w="109"/>
        <w:gridCol w:w="109"/>
        <w:gridCol w:w="211"/>
        <w:gridCol w:w="646"/>
        <w:gridCol w:w="154"/>
      </w:tblGrid>
      <w:tr>
        <w:trPr/>
        <w:tc>
          <w:tcPr>
            <w:tcW w:w="1359"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r>
      <w:tr>
        <w:trPr/>
        <w:tc>
          <w:tcPr>
            <w:tcW w:w="3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2022</w:t>
            </w:r>
          </w:p>
        </w:tc>
      </w:tr>
      <w:tr>
        <w:trPr/>
        <w:tc>
          <w:tcPr>
            <w:tcW w:w="3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9"/>
            <w:tcBorders>
              <w:top w:val="single" w:sz="4" w:space="0" w:color="000000"/>
            </w:tcBorders>
            <w:shd w:fill="auto"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333 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1,798 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9,391 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3,523 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three months ended March 31, 2023, the Company modified the vesting schedule of substantially all restricted stock unit awards outstanding as of December 31, 2022 from 4 years to 3 years and recognized compensation expense of $2.4 million related to the acceleration of the vesting schedule. As of March 31, 2023, the total unrecognized compensation cost related to all nonvested stock options was $3.1 million and the related weighted-average period over which it is expected to be recognized was approximately 1.27 years. As of March 31, 2023, the total unrecognized compensation cost related to all nonvested restricted stock units was $64.0 million and the related weighted-average period over which it is expected to be recognized was approximately 2.36 years.</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the activities for all stock options under the Company’s share-based compensation plans for the three months ended March 31, 2023:</w:t>
      </w:r>
    </w:p>
    <w:tbl>
      <w:tblPr>
        <w:tblW w:w="10205" w:type="dxa"/>
        <w:jc w:val="center"/>
        <w:tblInd w:w="0" w:type="dxa"/>
        <w:tblCellMar>
          <w:top w:w="28" w:type="dxa"/>
          <w:left w:w="28" w:type="dxa"/>
          <w:bottom w:w="28" w:type="dxa"/>
          <w:right w:w="28" w:type="dxa"/>
        </w:tblCellMar>
      </w:tblPr>
      <w:tblGrid>
        <w:gridCol w:w="667"/>
        <w:gridCol w:w="586"/>
        <w:gridCol w:w="589"/>
        <w:gridCol w:w="109"/>
        <w:gridCol w:w="109"/>
        <w:gridCol w:w="109"/>
        <w:gridCol w:w="505"/>
        <w:gridCol w:w="497"/>
        <w:gridCol w:w="498"/>
        <w:gridCol w:w="109"/>
        <w:gridCol w:w="109"/>
        <w:gridCol w:w="109"/>
        <w:gridCol w:w="497"/>
        <w:gridCol w:w="1275"/>
        <w:gridCol w:w="258"/>
        <w:gridCol w:w="109"/>
        <w:gridCol w:w="109"/>
        <w:gridCol w:w="109"/>
        <w:gridCol w:w="700"/>
        <w:gridCol w:w="700"/>
        <w:gridCol w:w="701"/>
        <w:gridCol w:w="109"/>
        <w:gridCol w:w="109"/>
        <w:gridCol w:w="109"/>
        <w:gridCol w:w="267"/>
        <w:gridCol w:w="954"/>
        <w:gridCol w:w="203"/>
      </w:tblGrid>
      <w:tr>
        <w:trPr/>
        <w:tc>
          <w:tcPr>
            <w:tcW w:w="667"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1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Options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Weighted-Average Exercise Price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Weighted-Average Remaining Contractual Life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Aggregate Intrinsic Value(1)</w:t>
            </w:r>
          </w:p>
        </w:tc>
      </w:tr>
      <w:tr>
        <w:trPr/>
        <w:tc>
          <w:tcPr>
            <w:tcW w:w="1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8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as of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17,872 </w:t>
            </w:r>
          </w:p>
        </w:tc>
        <w:tc>
          <w:tcPr>
            <w:tcW w:w="4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1.97 </w:t>
            </w:r>
          </w:p>
        </w:tc>
        <w:tc>
          <w:tcPr>
            <w:tcW w:w="2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5.20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1,442 </w:t>
            </w:r>
          </w:p>
        </w:tc>
        <w:tc>
          <w:tcPr>
            <w:tcW w:w="20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7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(178)</w:t>
            </w:r>
          </w:p>
        </w:tc>
        <w:tc>
          <w:tcPr>
            <w:tcW w:w="4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1.48 </w:t>
            </w:r>
          </w:p>
        </w:tc>
        <w:tc>
          <w:tcPr>
            <w:tcW w:w="2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 or expired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w:t>
            </w:r>
          </w:p>
        </w:tc>
        <w:tc>
          <w:tcPr>
            <w:tcW w:w="4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3.61 </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as of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17,568 </w:t>
            </w:r>
          </w:p>
        </w:tc>
        <w:tc>
          <w:tcPr>
            <w:tcW w:w="49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1.96 </w:t>
            </w:r>
          </w:p>
        </w:tc>
        <w:tc>
          <w:tcPr>
            <w:tcW w:w="2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4.98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11,622 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Exercisable as of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14,787 </w:t>
            </w:r>
          </w:p>
        </w:tc>
        <w:tc>
          <w:tcPr>
            <w:tcW w:w="49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1.91 </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4.55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10,351 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(1)The intrinsic value is the amount by which the current market value of the underlying stock exceeds the exercise price of the stock awards.</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were no options granted during the three months ended March 31, 2023 and 2022. The total intrinsic value of stock options exercised during the three months ended March 31, 2023 and 2022 was $0.1 million and $2.1 million, respectively.</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the activities for all restricted stock units under the Company’s share-based compensation plans for the three months ended March 31, 2023:</w:t>
      </w:r>
    </w:p>
    <w:tbl>
      <w:tblPr>
        <w:tblW w:w="10205" w:type="dxa"/>
        <w:jc w:val="center"/>
        <w:tblInd w:w="0" w:type="dxa"/>
        <w:tblCellMar>
          <w:top w:w="28" w:type="dxa"/>
          <w:left w:w="28" w:type="dxa"/>
          <w:bottom w:w="28" w:type="dxa"/>
          <w:right w:w="28" w:type="dxa"/>
        </w:tblCellMar>
      </w:tblPr>
      <w:tblGrid>
        <w:gridCol w:w="1558"/>
        <w:gridCol w:w="1368"/>
        <w:gridCol w:w="1375"/>
        <w:gridCol w:w="109"/>
        <w:gridCol w:w="109"/>
        <w:gridCol w:w="109"/>
        <w:gridCol w:w="508"/>
        <w:gridCol w:w="474"/>
        <w:gridCol w:w="475"/>
        <w:gridCol w:w="109"/>
        <w:gridCol w:w="109"/>
        <w:gridCol w:w="109"/>
        <w:gridCol w:w="882"/>
        <w:gridCol w:w="2262"/>
        <w:gridCol w:w="649"/>
      </w:tblGrid>
      <w:tr>
        <w:trPr/>
        <w:tc>
          <w:tcPr>
            <w:tcW w:w="1558" w:type="dxa"/>
            <w:tcBorders/>
            <w:shd w:fill="auto" w:val="clear"/>
            <w:vAlign w:val="center"/>
          </w:tcPr>
          <w:p>
            <w:pPr>
              <w:pStyle w:val="TableContents"/>
              <w:spacing w:before="0" w:after="283"/>
              <w:rPr>
                <w:sz w:val="4"/>
                <w:szCs w:val="4"/>
              </w:rPr>
            </w:pPr>
            <w:r>
              <w:rPr>
                <w:sz w:val="4"/>
                <w:szCs w:val="4"/>
              </w:rPr>
            </w:r>
          </w:p>
        </w:tc>
        <w:tc>
          <w:tcPr>
            <w:tcW w:w="1368"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2262"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r>
      <w:tr>
        <w:trPr/>
        <w:tc>
          <w:tcPr>
            <w:tcW w:w="4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Weighted-Average Grant Date Fair Value Per Share</w:t>
            </w:r>
          </w:p>
        </w:tc>
      </w:tr>
      <w:tr>
        <w:trPr/>
        <w:tc>
          <w:tcPr>
            <w:tcW w:w="4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3" w:type="dxa"/>
            <w:gridSpan w:val="3"/>
            <w:tcBorders>
              <w:top w:val="single" w:sz="4" w:space="0" w:color="000000"/>
            </w:tcBorders>
            <w:shd w:fill="auto"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and nonvested as of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7,855 </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8.01 </w:t>
            </w:r>
          </w:p>
        </w:tc>
        <w:tc>
          <w:tcPr>
            <w:tcW w:w="64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8,310 </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1.78 </w:t>
            </w:r>
          </w:p>
        </w:tc>
        <w:tc>
          <w:tcPr>
            <w:tcW w:w="64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(1,383)</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5.79 </w:t>
            </w:r>
          </w:p>
        </w:tc>
        <w:tc>
          <w:tcPr>
            <w:tcW w:w="64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(167)</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5.70 </w:t>
            </w:r>
          </w:p>
        </w:tc>
        <w:tc>
          <w:tcPr>
            <w:tcW w:w="64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and nonvested as of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14,615 </w:t>
            </w:r>
          </w:p>
        </w:tc>
        <w:tc>
          <w:tcPr>
            <w:tcW w:w="47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4.71 </w:t>
            </w:r>
          </w:p>
        </w:tc>
        <w:tc>
          <w:tcPr>
            <w:tcW w:w="6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total vesting date fair value of restricted stock units which vested during the three months ended March 31, 2023 and 2022 was $8.0 million and $2.7 million,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17</w:t>
                      </w:r>
                    </w:p>
                  </w:txbxContent>
                </v:textbox>
              </v:rect>
            </w:pict>
          </mc:Fallback>
        </mc:AlternateContent>
      </w:r>
    </w:p>
    <w:p>
      <w:pPr>
        <w:pStyle w:val="TextBody"/>
        <w:spacing w:lineRule="auto" w:line="288" w:before="0" w:after="0"/>
        <w:rPr/>
      </w:pPr>
      <w:hyperlink w:anchor="ibcf6cd6c2981485ca51dd6b50182b609_7">
        <w:r>
          <w:rPr>
            <w:rStyle w:val="InternetLink"/>
            <w:rFonts w:ascii="Helvetica;sans-serif" w:hAnsi="Helvetica;sans-serif"/>
            <w:b w:val="false"/>
            <w:color w:val="0000FF"/>
            <w:sz w:val="20"/>
            <w:u w:val="single"/>
          </w:rPr>
          <w:t>Table of Contents</w:t>
        </w:r>
      </w:hyperlink>
    </w:p>
    <w:p>
      <w:pPr>
        <w:pStyle w:val="TextBody"/>
        <w:spacing w:lineRule="auto" w:line="288" w:before="360" w:after="283"/>
        <w:jc w:val="both"/>
        <w:rPr>
          <w:rFonts w:ascii="Helvetica;sans-serif" w:hAnsi="Helvetica;sans-serif"/>
          <w:b/>
          <w:color w:val="000000"/>
          <w:sz w:val="20"/>
        </w:rPr>
      </w:pPr>
      <w:r>
        <w:rPr>
          <w:rFonts w:ascii="Helvetica;sans-serif" w:hAnsi="Helvetica;sans-serif"/>
          <w:b/>
          <w:color w:val="000000"/>
          <w:sz w:val="20"/>
        </w:rPr>
        <w:t>10. Commitments and Contingencies</w:t>
      </w:r>
    </w:p>
    <w:p>
      <w:pPr>
        <w:pStyle w:val="TextBody"/>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Legal Contingencies</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is subject to litigation claims and assessments from time to time in the ordinary course of business. The Company’s management does not believe that any such matters, individually or in the aggregate, will have a material adverse effect on the Company’s business, financial condition, results of operations or cash flows.</w:t>
      </w:r>
    </w:p>
    <w:p>
      <w:pPr>
        <w:pStyle w:val="TextBody"/>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Indemnifications</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the normal course of business, the Company enters into contracts and agreements that contain a variety of representations and warranties and provide for limited and customary indemnification obligations. The Company’s exposure under these agreements is unknown because it involves claims that may be made against the Company in the future, but that have not yet been made.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Helvetica;sans-serif" w:hAnsi="Helvetica;sans-serif"/>
          <w:b/>
          <w:color w:val="000000"/>
          <w:sz w:val="20"/>
        </w:rPr>
      </w:pPr>
      <w:r>
        <w:rPr>
          <w:rFonts w:ascii="Helvetica;sans-serif" w:hAnsi="Helvetica;sans-serif"/>
          <w:b/>
          <w:color w:val="000000"/>
          <w:sz w:val="20"/>
        </w:rPr>
        <w:t>11. Income Taxes</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quarterly income tax provision reflects an estimate of the corresponding quarter’s state taxes in the United States. The provision for income tax expense for the three months ended March 31, 2023 and 2022 was determined based upon estimates of the Company’s annual effective tax rate for the years ending December 31, 2023 and 2022, respectively. Since the Company is in a full valuation allowance position due to losses incurred since inception, the provision for taxes consists solely of certain state income taxes.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Helvetica;sans-serif" w:hAnsi="Helvetica;sans-serif"/>
          <w:b/>
          <w:color w:val="000000"/>
          <w:sz w:val="20"/>
        </w:rPr>
      </w:pPr>
      <w:r>
        <w:rPr>
          <w:rFonts w:ascii="Helvetica;sans-serif" w:hAnsi="Helvetica;sans-serif"/>
          <w:b/>
          <w:color w:val="000000"/>
          <w:sz w:val="20"/>
        </w:rPr>
        <w:t>12. Loss Per Share</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participating securities have been excluded from the computation of diluted loss per share for the periods presented because including them would have been anti-dilutive:</w:t>
      </w:r>
    </w:p>
    <w:tbl>
      <w:tblPr>
        <w:tblW w:w="6881" w:type="dxa"/>
        <w:jc w:val="center"/>
        <w:tblInd w:w="0" w:type="dxa"/>
        <w:tblCellMar>
          <w:top w:w="28" w:type="dxa"/>
          <w:left w:w="28" w:type="dxa"/>
          <w:bottom w:w="28" w:type="dxa"/>
          <w:right w:w="28" w:type="dxa"/>
        </w:tblCellMar>
      </w:tblPr>
      <w:tblGrid>
        <w:gridCol w:w="1472"/>
        <w:gridCol w:w="1294"/>
        <w:gridCol w:w="1298"/>
        <w:gridCol w:w="109"/>
        <w:gridCol w:w="109"/>
        <w:gridCol w:w="109"/>
        <w:gridCol w:w="375"/>
        <w:gridCol w:w="376"/>
        <w:gridCol w:w="286"/>
        <w:gridCol w:w="109"/>
        <w:gridCol w:w="109"/>
        <w:gridCol w:w="109"/>
        <w:gridCol w:w="375"/>
        <w:gridCol w:w="376"/>
        <w:gridCol w:w="375"/>
      </w:tblGrid>
      <w:tr>
        <w:trPr/>
        <w:tc>
          <w:tcPr>
            <w:tcW w:w="1472"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2022</w:t>
            </w:r>
          </w:p>
        </w:tc>
      </w:tr>
      <w:tr>
        <w:trPr/>
        <w:tc>
          <w:tcPr>
            <w:tcW w:w="4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0" w:type="dxa"/>
            <w:gridSpan w:val="9"/>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stock options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17,569 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18,825 </w:t>
            </w:r>
          </w:p>
        </w:tc>
        <w:tc>
          <w:tcPr>
            <w:tcW w:w="37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14,615 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1,830 </w:t>
            </w:r>
          </w:p>
        </w:tc>
        <w:tc>
          <w:tcPr>
            <w:tcW w:w="37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Delayed share issuance related to acquisition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130 </w:t>
            </w:r>
          </w:p>
        </w:tc>
        <w:tc>
          <w:tcPr>
            <w:tcW w:w="37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stock purchase plan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105 </w:t>
            </w:r>
          </w:p>
        </w:tc>
        <w:tc>
          <w:tcPr>
            <w:tcW w:w="37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32,466 </w:t>
            </w:r>
          </w:p>
        </w:tc>
        <w:tc>
          <w:tcPr>
            <w:tcW w:w="28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20,890 </w:t>
            </w:r>
          </w:p>
        </w:tc>
        <w:tc>
          <w:tcPr>
            <w:tcW w:w="37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18</w:t>
                      </w:r>
                    </w:p>
                  </w:txbxContent>
                </v:textbox>
              </v:rect>
            </w:pict>
          </mc:Fallback>
        </mc:AlternateContent>
      </w:r>
    </w:p>
    <w:p>
      <w:pPr>
        <w:pStyle w:val="TextBody"/>
        <w:spacing w:lineRule="auto" w:line="288" w:before="0" w:after="0"/>
        <w:rPr/>
      </w:pPr>
      <w:hyperlink w:anchor="ibcf6cd6c2981485ca51dd6b50182b609_7">
        <w:r>
          <w:rPr>
            <w:rStyle w:val="InternetLink"/>
            <w:rFonts w:ascii="Helvetica;sans-serif" w:hAnsi="Helvetica;sans-serif"/>
            <w:b w:val="false"/>
            <w:color w:val="0000FF"/>
            <w:sz w:val="20"/>
            <w:u w:val="single"/>
          </w:rPr>
          <w:t>Table of Contents</w:t>
        </w:r>
      </w:hyperlink>
    </w:p>
    <w:p>
      <w:pPr>
        <w:pStyle w:val="TextBody"/>
        <w:spacing w:lineRule="auto" w:line="288" w:before="0" w:after="0"/>
        <w:jc w:val="both"/>
        <w:rPr>
          <w:rFonts w:ascii="Helvetica;sans-serif" w:hAnsi="Helvetica;sans-serif"/>
          <w:b/>
          <w:color w:val="000000"/>
          <w:sz w:val="20"/>
        </w:rPr>
      </w:pPr>
      <w:r>
        <w:rPr>
          <w:rFonts w:ascii="Helvetica;sans-serif" w:hAnsi="Helvetica;sans-serif"/>
          <w:b/>
          <w:color w:val="000000"/>
          <w:sz w:val="20"/>
        </w:rPr>
        <w:t>Item 2.    Management’s Discussion and Analysis of Financial Condition and Results of Operations</w:t>
      </w:r>
    </w:p>
    <w:p>
      <w:pPr>
        <w:pStyle w:val="TextBody"/>
        <w:spacing w:lineRule="auto" w:line="288" w:before="120" w:after="283"/>
        <w:ind w:left="0" w:right="0" w:firstLine="360"/>
        <w:jc w:val="both"/>
        <w:rPr/>
      </w:pPr>
      <w:r>
        <w:rPr>
          <w:rFonts w:ascii="Helvetica;sans-serif" w:hAnsi="Helvetica;sans-serif"/>
          <w:b w:val="false"/>
          <w:i/>
          <w:color w:val="000000"/>
          <w:sz w:val="20"/>
        </w:rPr>
        <w:t xml:space="preserve">The following discussion and analysis of our financial condition and results of operations should be read in conjunction with other information, including our condensed consolidated financial statements and related notes included in Part I, Item 1, </w:t>
      </w:r>
      <w:r>
        <w:rPr>
          <w:rFonts w:ascii="Helvetica;sans-serif" w:hAnsi="Helvetica;sans-serif"/>
          <w:b w:val="false"/>
          <w:color w:val="000000"/>
          <w:sz w:val="20"/>
        </w:rPr>
        <w:t>Financial Statements</w:t>
      </w:r>
      <w:r>
        <w:rPr>
          <w:rFonts w:ascii="Helvetica;sans-serif" w:hAnsi="Helvetica;sans-serif"/>
          <w:b w:val="false"/>
          <w:i/>
          <w:color w:val="000000"/>
          <w:sz w:val="20"/>
        </w:rPr>
        <w:t xml:space="preserve">, of this Quarterly Report on Form 10-Q; Part I, Item 1A, </w:t>
      </w:r>
      <w:r>
        <w:rPr>
          <w:rFonts w:ascii="Helvetica;sans-serif" w:hAnsi="Helvetica;sans-serif"/>
          <w:b w:val="false"/>
          <w:color w:val="000000"/>
          <w:sz w:val="20"/>
        </w:rPr>
        <w:t>Risk Factors</w:t>
      </w:r>
      <w:r>
        <w:rPr>
          <w:rFonts w:ascii="Helvetica;sans-serif" w:hAnsi="Helvetica;sans-serif"/>
          <w:b w:val="false"/>
          <w:i/>
          <w:color w:val="000000"/>
          <w:sz w:val="20"/>
        </w:rPr>
        <w:t>, of this Quarterly Report on Form 10-Q; and our consolidated financial statements and related notes appearing in our Annual Report on Form 10-K for the year ended December 31, 2022 (the “2022 10-K”). The following discussion contains forward-looking statements that reflect our plans, estimates and beliefs. Our actual results could differ materially from those discussed in the forward-looking statements. You should review the section titled “Special Note Regarding Forward-Looking Statements” for a discussion of forward-looking statements and the section titled “Risk Factors” for a discussion of factors that could cause actual results to differ materially from the results described in or implied by the forward-looking statements contained in the following discussion and analysis. Our historical results are not necessarily indicative of the results that may be expected for any period in the future, and our interim results are not necessarily indicative of the results we expect for the full calendar year or any other 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Helvetica;sans-serif" w:hAnsi="Helvetica;sans-serif"/>
          <w:b/>
          <w:color w:val="000000"/>
          <w:sz w:val="20"/>
        </w:rPr>
      </w:pPr>
      <w:r>
        <w:rPr>
          <w:rFonts w:ascii="Helvetica;sans-serif" w:hAnsi="Helvetica;sans-serif"/>
          <w:b/>
          <w:color w:val="000000"/>
          <w:sz w:val="20"/>
        </w:rPr>
        <w:t>Overview</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 operates one of the world’s largest online resale platforms for apparel, shoes and accessories. Our mission is to inspire a new generation of consumers to think secondhand first. We believe in a sustainable fashion future and we are proud that our business model creates a positive impact to the benefit of our buyers, sellers, clients, employees, investors and the environment. Our custom-built operating platform consists of distributed processing infrastructure, proprietary software and systems and data science expertise. This platform is powering the rapidly emerging resale economy, one of the fastest growing sectors in retail, according to a GlobalData market survey conducted in January 2023.</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thredUP’s proprietary operating platform is the foundation for our managed marketplace, where we have bridged online and offline technology to make the buying and selling of tens of millions of unique items easy and fun. The core marketplace we have built in the U.S. enables buyers to browse and purchase resale items for primarily women’s and kids’ apparel, shoes and accessories across a wide range of price points. Buyers love shopping value, premium and luxury brands all in one place, at up to 90% off estimated retail price. Sellers love thredUP because we make it easy to clean out their closets and unlock value for themselves or for the charity of their choice while doing good for the planet. thredUP’s sellers order a Clean Out Kit, fill it and return it to us using our prepaid label. We take it from there and do the work to make those items available for resale.</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to our core marketplace, some of the world’s leading brands and retailers are already taking advantage of our RaaS offering, which allows them to conveniently offer a scalable closet clean out service and/or resale shop to their customers. We believe RaaS will accelerate the growth of this emerging category and form the backbone of the modern resale experience domestically and internationally.</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2021, we acquired Remix Global EAD (“Remix”), a fashion resale company based in Sofia, Bulgaria. With this acquisition, we further expanded our reach to European customers, added a complementary operational infrastructure and added an experienced management team to enable our expansion into Europe. In addition, Remix’s product assortment extended our resale offering to include men’s items and items sourced from a variety of supply channels, such as wholesale supply.</w:t>
      </w:r>
    </w:p>
    <w:p>
      <w:pPr>
        <w:pStyle w:val="TextBody"/>
        <w:spacing w:lineRule="auto" w:line="288" w:before="360" w:after="283"/>
        <w:jc w:val="both"/>
        <w:rPr>
          <w:rFonts w:ascii="Helvetica;sans-serif" w:hAnsi="Helvetica;sans-serif"/>
          <w:b/>
          <w:color w:val="000000"/>
          <w:sz w:val="20"/>
        </w:rPr>
      </w:pPr>
      <w:r>
        <w:rPr>
          <w:rFonts w:ascii="Helvetica;sans-serif" w:hAnsi="Helvetica;sans-serif"/>
          <w:b/>
          <w:color w:val="000000"/>
          <w:sz w:val="20"/>
        </w:rPr>
        <w:t>Key Factors Affecting Our Performance</w:t>
      </w:r>
    </w:p>
    <w:p>
      <w:pPr>
        <w:pStyle w:val="TextBody"/>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Macroeconomic Factors</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Macroeconomic factors, including inflation, increased interest rates, significant capital market volatility, and global economic and geopolitical developments have direct and indirect impacts on our results of operations that are difficult to isolate and quantify. These factors contributed to increases in our operating costs during 2022 and the first quarter of 2023 primarily due to increased transportation costs and wage rates. In addition, rising fuel, utility, and food costs, rising interest rates, and recessionary fears may impact customer demand and our ability to forecast consumer spending patterns. We expect some or all of these factors to continue to impact our operations throughout the rest of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Helvetica;sans-serif" w:hAnsi="Helvetica;sans-serif"/>
          <w:b/>
          <w:color w:val="000000"/>
          <w:sz w:val="20"/>
        </w:rPr>
      </w:pPr>
      <w:r>
        <w:rPr>
          <w:rFonts w:ascii="Helvetica;sans-serif" w:hAnsi="Helvetica;sans-serif"/>
          <w:b/>
          <w:color w:val="000000"/>
          <w:sz w:val="20"/>
        </w:rPr>
        <w:t>Overview of First Quarter Results</w:t>
      </w:r>
    </w:p>
    <w:p>
      <w:pPr>
        <w:pStyle w:val="TextBody"/>
        <w:spacing w:lineRule="auto" w:line="288" w:before="120" w:after="283"/>
        <w:ind w:left="0" w:right="0" w:firstLine="360"/>
        <w:jc w:val="both"/>
        <w:rPr/>
      </w:pPr>
      <w:r>
        <w:rPr>
          <w:rFonts w:ascii="Helvetica;sans-serif" w:hAnsi="Helvetica;sans-serif"/>
          <w:b/>
          <w:color w:val="000000"/>
          <w:sz w:val="20"/>
        </w:rPr>
        <w:t>Revenue:</w:t>
      </w:r>
      <w:r>
        <w:rPr>
          <w:color w:val="000000"/>
        </w:rPr>
        <w:t xml:space="preserve"> </w:t>
      </w:r>
      <w:r>
        <w:rPr>
          <w:rFonts w:ascii="Helvetica;sans-serif" w:hAnsi="Helvetica;sans-serif"/>
          <w:b w:val="false"/>
          <w:color w:val="000000"/>
          <w:sz w:val="20"/>
        </w:rPr>
        <w:t>Total revenue was $75.9 million, representing an increase of 4.4% year-over-year.</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19</w:t>
                      </w:r>
                    </w:p>
                  </w:txbxContent>
                </v:textbox>
              </v:rect>
            </w:pict>
          </mc:Fallback>
        </mc:AlternateContent>
      </w:r>
    </w:p>
    <w:p>
      <w:pPr>
        <w:pStyle w:val="TextBody"/>
        <w:spacing w:lineRule="auto" w:line="288" w:before="0" w:after="0"/>
        <w:rPr/>
      </w:pPr>
      <w:hyperlink w:anchor="ibcf6cd6c2981485ca51dd6b50182b609_7">
        <w:r>
          <w:rPr>
            <w:rStyle w:val="InternetLink"/>
            <w:rFonts w:ascii="Helvetica;sans-serif" w:hAnsi="Helvetica;sans-serif"/>
            <w:b w:val="false"/>
            <w:color w:val="0000FF"/>
            <w:sz w:val="20"/>
            <w:u w:val="single"/>
          </w:rPr>
          <w:t>Table of Contents</w:t>
        </w:r>
      </w:hyperlink>
    </w:p>
    <w:p>
      <w:pPr>
        <w:pStyle w:val="TextBody"/>
        <w:spacing w:lineRule="auto" w:line="288" w:before="240" w:after="283"/>
        <w:ind w:left="0" w:right="0" w:firstLine="360"/>
        <w:jc w:val="both"/>
        <w:rPr/>
      </w:pPr>
      <w:r>
        <w:rPr>
          <w:rFonts w:ascii="Helvetica;sans-serif" w:hAnsi="Helvetica;sans-serif"/>
          <w:b/>
          <w:color w:val="000000"/>
          <w:sz w:val="20"/>
        </w:rPr>
        <w:t>Gross Profit and Margin:</w:t>
      </w:r>
      <w:r>
        <w:rPr>
          <w:color w:val="000000"/>
        </w:rPr>
        <w:t xml:space="preserve"> </w:t>
      </w:r>
      <w:r>
        <w:rPr>
          <w:rFonts w:ascii="Helvetica;sans-serif" w:hAnsi="Helvetica;sans-serif"/>
          <w:b w:val="false"/>
          <w:color w:val="000000"/>
          <w:sz w:val="20"/>
        </w:rPr>
        <w:t>Gross profit totaled $51.1 million, representing an increase of 1.7% year-over-year. Gross margin was 67.3%, a decrease of 180 basis points from 69.1% in the comparable quarter last year.</w:t>
      </w:r>
    </w:p>
    <w:p>
      <w:pPr>
        <w:pStyle w:val="TextBody"/>
        <w:spacing w:lineRule="auto" w:line="288" w:before="240" w:after="283"/>
        <w:ind w:left="0" w:right="0" w:firstLine="360"/>
        <w:jc w:val="both"/>
        <w:rPr/>
      </w:pPr>
      <w:r>
        <w:rPr>
          <w:rFonts w:ascii="Helvetica;sans-serif" w:hAnsi="Helvetica;sans-serif"/>
          <w:b/>
          <w:color w:val="000000"/>
          <w:sz w:val="20"/>
        </w:rPr>
        <w:t>Net Loss:</w:t>
      </w:r>
      <w:r>
        <w:rPr>
          <w:color w:val="000000"/>
        </w:rPr>
        <w:t xml:space="preserve"> </w:t>
      </w:r>
      <w:r>
        <w:rPr>
          <w:rFonts w:ascii="Helvetica;sans-serif" w:hAnsi="Helvetica;sans-serif"/>
          <w:b w:val="false"/>
          <w:color w:val="000000"/>
          <w:sz w:val="20"/>
        </w:rPr>
        <w:t>Net loss was $19.8 million, or a negative 26.1% of revenue, for the first quarter of 2023, compared to a net loss of $20.7 million for the first quarter of 2022.</w:t>
      </w:r>
    </w:p>
    <w:p>
      <w:pPr>
        <w:pStyle w:val="TextBody"/>
        <w:spacing w:lineRule="auto" w:line="288" w:before="240" w:after="283"/>
        <w:ind w:left="0" w:right="0" w:firstLine="360"/>
        <w:jc w:val="both"/>
        <w:rPr/>
      </w:pPr>
      <w:r>
        <w:rPr>
          <w:rFonts w:ascii="Helvetica;sans-serif" w:hAnsi="Helvetica;sans-serif"/>
          <w:b/>
          <w:color w:val="000000"/>
          <w:sz w:val="20"/>
        </w:rPr>
        <w:t>Non-GAAP Adjusted EBITDA Loss:</w:t>
      </w:r>
      <w:r>
        <w:rPr>
          <w:color w:val="000000"/>
        </w:rPr>
        <w:t xml:space="preserve"> </w:t>
      </w:r>
      <w:r>
        <w:rPr>
          <w:rFonts w:ascii="Helvetica;sans-serif" w:hAnsi="Helvetica;sans-serif"/>
          <w:b w:val="false"/>
          <w:color w:val="000000"/>
          <w:sz w:val="20"/>
        </w:rPr>
        <w:t>Non-GAAP Adjusted EBITDA loss was $6.6 million, or a negative 8.7% of revenue, for the first quarter of 2023, compared to Non-GAAP Adjusted EBITDA loss of $13.0 million, or a negative 17.8% of revenue, for the first quarter of 2022. Non-GAAP Adjusted EBITDA loss and Non-GAAP Adjusted EBITDA loss margin are non-GAAP measures which may not be comparable to similarly-titled measures used by other companies. See below for a reconciliation of Non-GAAP Adjusted EBITDA loss to net loss.</w:t>
      </w:r>
    </w:p>
    <w:p>
      <w:pPr>
        <w:pStyle w:val="TextBody"/>
        <w:spacing w:lineRule="auto" w:line="288" w:before="240" w:after="283"/>
        <w:ind w:left="0" w:right="0" w:firstLine="360"/>
        <w:jc w:val="both"/>
        <w:rPr/>
      </w:pPr>
      <w:r>
        <w:rPr>
          <w:rFonts w:ascii="Helvetica;sans-serif" w:hAnsi="Helvetica;sans-serif"/>
          <w:b/>
          <w:color w:val="000000"/>
          <w:sz w:val="20"/>
        </w:rPr>
        <w:t>Active Buyers and Orders:</w:t>
      </w:r>
      <w:r>
        <w:rPr>
          <w:color w:val="000000"/>
        </w:rPr>
        <w:t xml:space="preserve"> </w:t>
      </w:r>
      <w:r>
        <w:rPr>
          <w:rFonts w:ascii="Helvetica;sans-serif" w:hAnsi="Helvetica;sans-serif"/>
          <w:b w:val="false"/>
          <w:color w:val="000000"/>
          <w:sz w:val="20"/>
        </w:rPr>
        <w:t>Active Buyers totaled 1.7 million and Orders totaled 1.5 million in the first quarter of 2023, representing a decrease of 2.7% and 7.9%, respectively, compared to the first quarter of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Helvetica;sans-serif" w:hAnsi="Helvetica;sans-serif"/>
          <w:b/>
          <w:color w:val="000000"/>
          <w:sz w:val="20"/>
        </w:rPr>
      </w:pPr>
      <w:r>
        <w:rPr>
          <w:rFonts w:ascii="Helvetica;sans-serif" w:hAnsi="Helvetica;sans-serif"/>
          <w:b/>
          <w:color w:val="000000"/>
          <w:sz w:val="20"/>
        </w:rPr>
        <w:t>Key Financial and Operating Metrics</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review a number of operating and financial metrics, including the following key business and non-GAAP metrics, to evaluate our business, measure our performance, identify trends affecting our business, formulate business plans and make strategic decisions. These key financial and operating metrics are set forth below for the periods presented.</w:t>
      </w:r>
    </w:p>
    <w:tbl>
      <w:tblPr>
        <w:tblW w:w="8714" w:type="dxa"/>
        <w:jc w:val="center"/>
        <w:tblInd w:w="0" w:type="dxa"/>
        <w:tblCellMar>
          <w:top w:w="28" w:type="dxa"/>
          <w:left w:w="28" w:type="dxa"/>
          <w:bottom w:w="28" w:type="dxa"/>
          <w:right w:w="28" w:type="dxa"/>
        </w:tblCellMar>
      </w:tblPr>
      <w:tblGrid>
        <w:gridCol w:w="1436"/>
        <w:gridCol w:w="1264"/>
        <w:gridCol w:w="1275"/>
        <w:gridCol w:w="109"/>
        <w:gridCol w:w="109"/>
        <w:gridCol w:w="109"/>
        <w:gridCol w:w="211"/>
        <w:gridCol w:w="811"/>
        <w:gridCol w:w="286"/>
        <w:gridCol w:w="109"/>
        <w:gridCol w:w="109"/>
        <w:gridCol w:w="109"/>
        <w:gridCol w:w="211"/>
        <w:gridCol w:w="811"/>
        <w:gridCol w:w="286"/>
        <w:gridCol w:w="109"/>
        <w:gridCol w:w="109"/>
        <w:gridCol w:w="109"/>
        <w:gridCol w:w="304"/>
        <w:gridCol w:w="296"/>
        <w:gridCol w:w="542"/>
      </w:tblGrid>
      <w:tr>
        <w:trPr/>
        <w:tc>
          <w:tcPr>
            <w:tcW w:w="1436"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r>
      <w:tr>
        <w:trPr/>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r>
      <w:tr>
        <w:trPr/>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2022</w:t>
            </w:r>
          </w:p>
        </w:tc>
        <w:tc>
          <w:tcPr>
            <w:tcW w:w="327" w:type="dxa"/>
            <w:gridSpan w:val="3"/>
            <w:tcBorders>
              <w:top w:val="single" w:sz="4" w:space="0" w:color="000000"/>
              <w:bottom w:val="single" w:sz="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2" w:type="dxa"/>
            <w:gridSpan w:val="15"/>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3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Active Buyers (as of period end)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1,668 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1,715 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Orders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1,640 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75,922 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72,695 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51,093 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50,228 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67.3 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69.1 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color w:val="000000"/>
              </w:rPr>
            </w:pPr>
            <w:r>
              <w:rPr>
                <w:color w:val="000000"/>
              </w:rPr>
              <w:t> </w:t>
            </w:r>
            <w:r>
              <w:rPr>
                <w:rFonts w:ascii="Helvetica;sans-serif" w:hAnsi="Helvetica;sans-serif"/>
                <w:b w:val="false"/>
                <w:color w:val="000000"/>
                <w:sz w:val="20"/>
              </w:rPr>
              <w:t>bps</w:t>
            </w:r>
          </w:p>
        </w:tc>
      </w:tr>
      <w:tr>
        <w:trPr/>
        <w:tc>
          <w:tcPr>
            <w:tcW w:w="3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(19,793)</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(20,708)</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(26.1)</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(28.5)</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color w:val="000000"/>
              </w:rPr>
            </w:pPr>
            <w:r>
              <w:rPr>
                <w:color w:val="000000"/>
              </w:rPr>
              <w:t> </w:t>
            </w:r>
            <w:r>
              <w:rPr>
                <w:rFonts w:ascii="Helvetica;sans-serif" w:hAnsi="Helvetica;sans-serif"/>
                <w:b w:val="false"/>
                <w:color w:val="000000"/>
                <w:sz w:val="20"/>
              </w:rPr>
              <w:t>bps</w:t>
            </w:r>
          </w:p>
        </w:tc>
      </w:tr>
      <w:tr>
        <w:trPr/>
        <w:tc>
          <w:tcPr>
            <w:tcW w:w="3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Adjusted EBITDA loss(1)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(6,635)</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(12,963)</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(48.8)</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Adjusted EBITDA loss margin(1)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(17.8)</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910 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20"/>
              </w:rPr>
              <w:t>bps</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(1)Non-GAAP Adjusted EBITDA loss and Non-GAAP Adjusted EBITDA loss margin are non-GAAP measures which may not be comparable to similarly-titled measures used by other companies. See below for a reconciliation of Non-GAAP Adjusted EBITDA loss to net loss.</w:t>
      </w:r>
    </w:p>
    <w:p>
      <w:pPr>
        <w:pStyle w:val="TextBody"/>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Active Buyers</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An Active Buyer is a thredUP buyer who has made at least one purchase in the last twelve months. A thredUP buyer is a customer who has created an account and purchased in our marketplaces, including through our RaaS clients, and is identified by a unique email address. A single person could have multiple thredUP accounts and count as multiple Active Buyers. The number of Active Buyers is a key driver of revenue for our marketplaces.</w:t>
      </w:r>
    </w:p>
    <w:p>
      <w:pPr>
        <w:pStyle w:val="TextBody"/>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Orders</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Orders means the total number of orders placed by buyers across our marketplaces, including through our RaaS clients, in a given period, net of cancellations.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20</w:t>
                      </w:r>
                    </w:p>
                  </w:txbxContent>
                </v:textbox>
              </v:rect>
            </w:pict>
          </mc:Fallback>
        </mc:AlternateContent>
      </w:r>
    </w:p>
    <w:p>
      <w:pPr>
        <w:pStyle w:val="TextBody"/>
        <w:spacing w:lineRule="auto" w:line="288" w:before="0" w:after="0"/>
        <w:rPr/>
      </w:pPr>
      <w:hyperlink w:anchor="ibcf6cd6c2981485ca51dd6b50182b609_7">
        <w:r>
          <w:rPr>
            <w:rStyle w:val="InternetLink"/>
            <w:rFonts w:ascii="Helvetica;sans-serif" w:hAnsi="Helvetica;sans-serif"/>
            <w:b w:val="false"/>
            <w:color w:val="0000FF"/>
            <w:sz w:val="20"/>
            <w:u w:val="single"/>
          </w:rPr>
          <w:t>Table of Contents</w:t>
        </w:r>
      </w:hyperlink>
    </w:p>
    <w:p>
      <w:pPr>
        <w:pStyle w:val="TextBody"/>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Non-GAAP Financial Metrics</w:t>
      </w:r>
    </w:p>
    <w:p>
      <w:pPr>
        <w:pStyle w:val="TextBody"/>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Non-GAAP Adjusted EBITDA Loss and Non-GAAP Adjusted EBITDA Loss Margin</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Non-GAAP Adjusted EBITDA loss means net loss adjusted to exclude, where applicable in a given period, interest expense, provision for income taxes, depreciation and amortization, stock-based compensation expense, acquisition-related expenses, and restructuring charges. Non-GAAP Adjusted EBITDA loss margin represents Non-GAAP Adjusted EBITDA loss divided by Total revenue. We use Non-GAAP Adjusted EBITDA loss and Non-GAAP Adjusted EBITDA loss margin, non-GAAP metrics, to evaluate and assess our operating performance and the operating leverage in our business, and for internal planning and forecasting purposes. We believe that Non-GAAP Adjusted EBITDA loss and Non-GAAP Adjusted EBITDA loss margin, when taken collectively with our GAAP results, may be helpful to investors because they provide consistency and comparability with past financial performance and assist in comparisons with other companies, some of which use similar non-GAAP financial information to supplement their GAAP results.</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provides a reconciliation of net loss to Non-GAAP Adjusted EBITDA loss:</w:t>
      </w:r>
    </w:p>
    <w:tbl>
      <w:tblPr>
        <w:tblW w:w="7065" w:type="dxa"/>
        <w:jc w:val="center"/>
        <w:tblInd w:w="0" w:type="dxa"/>
        <w:tblCellMar>
          <w:top w:w="28" w:type="dxa"/>
          <w:left w:w="28" w:type="dxa"/>
          <w:bottom w:w="28" w:type="dxa"/>
          <w:right w:w="28" w:type="dxa"/>
        </w:tblCellMar>
      </w:tblPr>
      <w:tblGrid>
        <w:gridCol w:w="1353"/>
        <w:gridCol w:w="1192"/>
        <w:gridCol w:w="1205"/>
        <w:gridCol w:w="109"/>
        <w:gridCol w:w="109"/>
        <w:gridCol w:w="109"/>
        <w:gridCol w:w="211"/>
        <w:gridCol w:w="811"/>
        <w:gridCol w:w="286"/>
        <w:gridCol w:w="109"/>
        <w:gridCol w:w="109"/>
        <w:gridCol w:w="109"/>
        <w:gridCol w:w="211"/>
        <w:gridCol w:w="811"/>
        <w:gridCol w:w="331"/>
      </w:tblGrid>
      <w:tr>
        <w:trPr/>
        <w:tc>
          <w:tcPr>
            <w:tcW w:w="1353"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3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r>
      <w:tr>
        <w:trPr/>
        <w:tc>
          <w:tcPr>
            <w:tcW w:w="3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2022</w:t>
            </w:r>
          </w:p>
        </w:tc>
      </w:tr>
      <w:tr>
        <w:trPr/>
        <w:tc>
          <w:tcPr>
            <w:tcW w:w="3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8" w:type="dxa"/>
            <w:gridSpan w:val="9"/>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3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(19,793)</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(20,708)</w:t>
            </w:r>
          </w:p>
        </w:tc>
        <w:tc>
          <w:tcPr>
            <w:tcW w:w="33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423 </w:t>
            </w:r>
          </w:p>
        </w:tc>
        <w:tc>
          <w:tcPr>
            <w:tcW w:w="33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33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3,681 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3,271 </w:t>
            </w:r>
          </w:p>
        </w:tc>
        <w:tc>
          <w:tcPr>
            <w:tcW w:w="33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9,391 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3,523 </w:t>
            </w:r>
          </w:p>
        </w:tc>
        <w:tc>
          <w:tcPr>
            <w:tcW w:w="33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Acquisition-related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204 </w:t>
            </w:r>
          </w:p>
        </w:tc>
        <w:tc>
          <w:tcPr>
            <w:tcW w:w="33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311 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Adjusted EBITDA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(6,635)</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(12,963)</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75,922 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72,695 </w:t>
            </w:r>
          </w:p>
        </w:tc>
        <w:tc>
          <w:tcPr>
            <w:tcW w:w="33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Adjusted EBITDA loss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(17.8)</w:t>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Helvetica;sans-serif" w:hAnsi="Helvetica;sans-serif"/>
          <w:b/>
          <w:color w:val="000000"/>
          <w:sz w:val="20"/>
        </w:rPr>
      </w:pPr>
      <w:r>
        <w:rPr>
          <w:rFonts w:ascii="Helvetica;sans-serif" w:hAnsi="Helvetica;sans-serif"/>
          <w:b/>
          <w:color w:val="000000"/>
          <w:sz w:val="20"/>
        </w:rPr>
        <w:t>Comparison of the Three Months Ended March 31, 2023 and 2022</w:t>
      </w:r>
    </w:p>
    <w:p>
      <w:pPr>
        <w:pStyle w:val="TextBody"/>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Revenue</w:t>
      </w:r>
    </w:p>
    <w:tbl>
      <w:tblPr>
        <w:tblW w:w="10205" w:type="dxa"/>
        <w:jc w:val="center"/>
        <w:tblInd w:w="0" w:type="dxa"/>
        <w:tblCellMar>
          <w:top w:w="28" w:type="dxa"/>
          <w:left w:w="28" w:type="dxa"/>
          <w:bottom w:w="28" w:type="dxa"/>
          <w:right w:w="28" w:type="dxa"/>
        </w:tblCellMar>
      </w:tblPr>
      <w:tblGrid>
        <w:gridCol w:w="1658"/>
        <w:gridCol w:w="1455"/>
        <w:gridCol w:w="1463"/>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318"/>
      </w:tblGrid>
      <w:tr>
        <w:trPr/>
        <w:tc>
          <w:tcPr>
            <w:tcW w:w="1658" w:type="dxa"/>
            <w:tcBorders/>
            <w:shd w:fill="auto" w:val="clear"/>
            <w:vAlign w:val="center"/>
          </w:tcPr>
          <w:p>
            <w:pPr>
              <w:pStyle w:val="TableContents"/>
              <w:spacing w:before="0" w:after="283"/>
              <w:rPr>
                <w:sz w:val="4"/>
                <w:szCs w:val="4"/>
              </w:rPr>
            </w:pPr>
            <w:r>
              <w:rPr>
                <w:sz w:val="4"/>
                <w:szCs w:val="4"/>
              </w:rPr>
            </w:r>
          </w:p>
        </w:tc>
        <w:tc>
          <w:tcPr>
            <w:tcW w:w="1455" w:type="dxa"/>
            <w:tcBorders/>
            <w:shd w:fill="auto" w:val="clear"/>
            <w:vAlign w:val="center"/>
          </w:tcPr>
          <w:p>
            <w:pPr>
              <w:pStyle w:val="TableContents"/>
              <w:spacing w:before="0" w:after="283"/>
              <w:rPr>
                <w:sz w:val="4"/>
                <w:szCs w:val="4"/>
              </w:rPr>
            </w:pPr>
            <w:r>
              <w:rPr>
                <w:sz w:val="4"/>
                <w:szCs w:val="4"/>
              </w:rPr>
            </w:r>
          </w:p>
        </w:tc>
        <w:tc>
          <w:tcPr>
            <w:tcW w:w="14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4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4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4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2" w:type="dxa"/>
            <w:gridSpan w:val="21"/>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45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Consignment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46,479 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47,435 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w:t>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5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Product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29,443 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25,260 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16.6 </w:t>
            </w:r>
          </w:p>
        </w:tc>
        <w:tc>
          <w:tcPr>
            <w:tcW w:w="318" w:type="dxa"/>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5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75,922 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72,695 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3,227 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5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Consignment revenue as a percentage of total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61.2 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65.3 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Product revenue as a percentage of 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38.8 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34.7 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Total revenue increased $3.2 million, or 4.4%, for the three months ended March 31, 2023 as compared to the same period in 2022. The increase in revenue for the three months ended March 31, 2023 as compared to the same period in 2022 was primarily due to a $4.2 million increase in product revenue as our European operations continue to scale and grow as well as a mix shift due to growth in supply from our RaaS partners, which are recognized as part of product revenue, partially offset by a $1.0 million decrease in consignment revenue due to the mix shift described previously.</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21</w:t>
                      </w:r>
                    </w:p>
                  </w:txbxContent>
                </v:textbox>
              </v:rect>
            </w:pict>
          </mc:Fallback>
        </mc:AlternateContent>
      </w:r>
    </w:p>
    <w:p>
      <w:pPr>
        <w:pStyle w:val="TextBody"/>
        <w:spacing w:lineRule="auto" w:line="288" w:before="0" w:after="0"/>
        <w:rPr/>
      </w:pPr>
      <w:hyperlink w:anchor="ibcf6cd6c2981485ca51dd6b50182b609_7">
        <w:r>
          <w:rPr>
            <w:rStyle w:val="InternetLink"/>
            <w:rFonts w:ascii="Helvetica;sans-serif" w:hAnsi="Helvetica;sans-serif"/>
            <w:b w:val="false"/>
            <w:color w:val="0000FF"/>
            <w:sz w:val="20"/>
            <w:u w:val="single"/>
          </w:rPr>
          <w:t>Table of Contents</w:t>
        </w:r>
      </w:hyperlink>
    </w:p>
    <w:p>
      <w:pPr>
        <w:pStyle w:val="TextBody"/>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Cost of Revenue</w:t>
      </w:r>
    </w:p>
    <w:tbl>
      <w:tblPr>
        <w:tblW w:w="8311" w:type="dxa"/>
        <w:jc w:val="center"/>
        <w:tblInd w:w="0" w:type="dxa"/>
        <w:tblCellMar>
          <w:top w:w="28" w:type="dxa"/>
          <w:left w:w="28" w:type="dxa"/>
          <w:bottom w:w="28" w:type="dxa"/>
          <w:right w:w="28" w:type="dxa"/>
        </w:tblCellMar>
      </w:tblPr>
      <w:tblGrid>
        <w:gridCol w:w="967"/>
        <w:gridCol w:w="850"/>
        <w:gridCol w:w="852"/>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331"/>
      </w:tblGrid>
      <w:tr>
        <w:trPr/>
        <w:tc>
          <w:tcPr>
            <w:tcW w:w="967"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5" w:type="dxa"/>
            <w:gridSpan w:val="21"/>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consignment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9,220 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10,049 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product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15,609 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12,418 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25.7 </w:t>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cost of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24,829 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22,467 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2,362 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10.5 </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51,093 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50,228 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67.3 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69.1 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pPr>
      <w:r>
        <w:rPr>
          <w:rFonts w:ascii="Helvetica;sans-serif" w:hAnsi="Helvetica;sans-serif"/>
          <w:b w:val="false"/>
          <w:color w:val="000000"/>
          <w:sz w:val="20"/>
        </w:rPr>
        <w:t>Gross margin was 67.3% and 69.1% for the three months ended</w:t>
      </w:r>
      <w:r>
        <w:rPr>
          <w:color w:val="000000"/>
        </w:rPr>
        <w:t xml:space="preserve"> </w:t>
      </w:r>
      <w:r>
        <w:rPr>
          <w:rFonts w:ascii="Helvetica;sans-serif" w:hAnsi="Helvetica;sans-serif"/>
          <w:b w:val="false"/>
          <w:color w:val="000000"/>
          <w:sz w:val="20"/>
        </w:rPr>
        <w:t>March 31, 2023 and 2022, respectively, or an unfavorable change of 180 basis points.</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decrease in gross margin for the three months ended March 31, 2023 as compared to the same period in 2022 was primarily due to a 410 basis point increase in product revenue as a percentage of total revenue, partially offset by favorable labor variances for cost of consignment revenue. Consignment revenue is recognized net of seller payouts and cost of items sold, whereas for product revenue, seller payouts and cost of items sold are included as a component of cost of revenue. As such, product revenue has a lower gross margin than consignment revenue.</w:t>
      </w:r>
    </w:p>
    <w:p>
      <w:pPr>
        <w:pStyle w:val="TextBody"/>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Cost of Consignment Revenue</w:t>
      </w:r>
    </w:p>
    <w:tbl>
      <w:tblPr>
        <w:tblW w:w="8056" w:type="dxa"/>
        <w:jc w:val="center"/>
        <w:tblInd w:w="0" w:type="dxa"/>
        <w:tblCellMar>
          <w:top w:w="28" w:type="dxa"/>
          <w:left w:w="28" w:type="dxa"/>
          <w:bottom w:w="28" w:type="dxa"/>
          <w:right w:w="28" w:type="dxa"/>
        </w:tblCellMar>
      </w:tblPr>
      <w:tblGrid>
        <w:gridCol w:w="967"/>
        <w:gridCol w:w="850"/>
        <w:gridCol w:w="852"/>
        <w:gridCol w:w="109"/>
        <w:gridCol w:w="109"/>
        <w:gridCol w:w="109"/>
        <w:gridCol w:w="211"/>
        <w:gridCol w:w="646"/>
        <w:gridCol w:w="286"/>
        <w:gridCol w:w="109"/>
        <w:gridCol w:w="109"/>
        <w:gridCol w:w="109"/>
        <w:gridCol w:w="211"/>
        <w:gridCol w:w="751"/>
        <w:gridCol w:w="286"/>
        <w:gridCol w:w="109"/>
        <w:gridCol w:w="109"/>
        <w:gridCol w:w="109"/>
        <w:gridCol w:w="211"/>
        <w:gridCol w:w="541"/>
        <w:gridCol w:w="109"/>
        <w:gridCol w:w="109"/>
        <w:gridCol w:w="109"/>
        <w:gridCol w:w="109"/>
        <w:gridCol w:w="248"/>
        <w:gridCol w:w="248"/>
        <w:gridCol w:w="331"/>
      </w:tblGrid>
      <w:tr>
        <w:trPr/>
        <w:tc>
          <w:tcPr>
            <w:tcW w:w="967"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0" w:type="dxa"/>
            <w:gridSpan w:val="21"/>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consignment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9,220 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10,049 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Consignment gross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80.2 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78.8 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pPr>
      <w:r>
        <w:rPr>
          <w:rFonts w:ascii="Helvetica;sans-serif" w:hAnsi="Helvetica;sans-serif"/>
          <w:b w:val="false"/>
          <w:color w:val="000000"/>
          <w:sz w:val="20"/>
        </w:rPr>
        <w:t>Consignment gross margin was 80.2% and 78.8% for the three months ended</w:t>
      </w:r>
      <w:r>
        <w:rPr>
          <w:color w:val="000000"/>
        </w:rPr>
        <w:t xml:space="preserve"> </w:t>
      </w:r>
      <w:r>
        <w:rPr>
          <w:rFonts w:ascii="Helvetica;sans-serif" w:hAnsi="Helvetica;sans-serif"/>
          <w:b w:val="false"/>
          <w:color w:val="000000"/>
          <w:sz w:val="20"/>
        </w:rPr>
        <w:t>March 31, 2023 and 2022, respectively, or a favorable change of 140 basis points. Consignment gross profit dollars were flat year-over-year.</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increase in consignment gross margin for the three months ended March 31, 2023 as compared to the same period in 2022 was primarily due to 120 basis points of lower direct labor costs.</w:t>
      </w:r>
    </w:p>
    <w:p>
      <w:pPr>
        <w:pStyle w:val="TextBody"/>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Cost of Product Revenue</w:t>
      </w:r>
    </w:p>
    <w:tbl>
      <w:tblPr>
        <w:tblW w:w="7846" w:type="dxa"/>
        <w:jc w:val="center"/>
        <w:tblInd w:w="0" w:type="dxa"/>
        <w:tblCellMar>
          <w:top w:w="28" w:type="dxa"/>
          <w:left w:w="28" w:type="dxa"/>
          <w:bottom w:w="28" w:type="dxa"/>
          <w:right w:w="28" w:type="dxa"/>
        </w:tblCellMar>
      </w:tblPr>
      <w:tblGrid>
        <w:gridCol w:w="799"/>
        <w:gridCol w:w="701"/>
        <w:gridCol w:w="704"/>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331"/>
      </w:tblGrid>
      <w:tr>
        <w:trPr/>
        <w:tc>
          <w:tcPr>
            <w:tcW w:w="79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2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2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6" w:type="dxa"/>
            <w:gridSpan w:val="15"/>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4" w:space="0" w:color="000000"/>
            </w:tcBorders>
            <w:shd w:fill="auto"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product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15,609 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12,418 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25.7 </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Product gross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47.0 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50.8 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pPr>
      <w:r>
        <w:rPr>
          <w:rFonts w:ascii="Helvetica;sans-serif" w:hAnsi="Helvetica;sans-serif"/>
          <w:b w:val="false"/>
          <w:color w:val="000000"/>
          <w:sz w:val="20"/>
        </w:rPr>
        <w:t>Product gross margin was 47.0% and 50.8% for the three months ended</w:t>
      </w:r>
      <w:r>
        <w:rPr>
          <w:color w:val="000000"/>
        </w:rPr>
        <w:t xml:space="preserve"> </w:t>
      </w:r>
      <w:r>
        <w:rPr>
          <w:rFonts w:ascii="Helvetica;sans-serif" w:hAnsi="Helvetica;sans-serif"/>
          <w:b w:val="false"/>
          <w:color w:val="000000"/>
          <w:sz w:val="20"/>
        </w:rPr>
        <w:t>March 31, 2023 and 2022, respectively, or an unfavorable change of 380 basis points. Product gross profit dollars were up 8% year-over-year.</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decrease in product gross margin for the three months ended March 31, 2023 as compared to the same period in 2022 was primarily due to 290 basis points of higher inventory costs and an 60 basis points of higher packaging and other costs.</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22</w:t>
                      </w:r>
                    </w:p>
                  </w:txbxContent>
                </v:textbox>
              </v:rect>
            </w:pict>
          </mc:Fallback>
        </mc:AlternateContent>
      </w:r>
    </w:p>
    <w:p>
      <w:pPr>
        <w:pStyle w:val="TextBody"/>
        <w:spacing w:lineRule="auto" w:line="288" w:before="0" w:after="0"/>
        <w:rPr/>
      </w:pPr>
      <w:hyperlink w:anchor="ibcf6cd6c2981485ca51dd6b50182b609_7">
        <w:r>
          <w:rPr>
            <w:rStyle w:val="InternetLink"/>
            <w:rFonts w:ascii="Helvetica;sans-serif" w:hAnsi="Helvetica;sans-serif"/>
            <w:b w:val="false"/>
            <w:color w:val="0000FF"/>
            <w:sz w:val="20"/>
            <w:u w:val="single"/>
          </w:rPr>
          <w:t>Table of Contents</w:t>
        </w:r>
      </w:hyperlink>
    </w:p>
    <w:p>
      <w:pPr>
        <w:pStyle w:val="TextBody"/>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Operations, Product, and Technology</w:t>
      </w:r>
    </w:p>
    <w:tbl>
      <w:tblPr>
        <w:tblW w:w="10205" w:type="dxa"/>
        <w:jc w:val="center"/>
        <w:tblInd w:w="0" w:type="dxa"/>
        <w:tblCellMar>
          <w:top w:w="28" w:type="dxa"/>
          <w:left w:w="28" w:type="dxa"/>
          <w:bottom w:w="28" w:type="dxa"/>
          <w:right w:w="28" w:type="dxa"/>
        </w:tblCellMar>
      </w:tblPr>
      <w:tblGrid>
        <w:gridCol w:w="1737"/>
        <w:gridCol w:w="1523"/>
        <w:gridCol w:w="1531"/>
        <w:gridCol w:w="109"/>
        <w:gridCol w:w="109"/>
        <w:gridCol w:w="109"/>
        <w:gridCol w:w="211"/>
        <w:gridCol w:w="751"/>
        <w:gridCol w:w="286"/>
        <w:gridCol w:w="109"/>
        <w:gridCol w:w="109"/>
        <w:gridCol w:w="109"/>
        <w:gridCol w:w="211"/>
        <w:gridCol w:w="751"/>
        <w:gridCol w:w="286"/>
        <w:gridCol w:w="109"/>
        <w:gridCol w:w="109"/>
        <w:gridCol w:w="109"/>
        <w:gridCol w:w="211"/>
        <w:gridCol w:w="524"/>
        <w:gridCol w:w="109"/>
        <w:gridCol w:w="109"/>
        <w:gridCol w:w="109"/>
        <w:gridCol w:w="109"/>
        <w:gridCol w:w="239"/>
        <w:gridCol w:w="239"/>
        <w:gridCol w:w="288"/>
      </w:tblGrid>
      <w:tr>
        <w:trPr/>
        <w:tc>
          <w:tcPr>
            <w:tcW w:w="1737" w:type="dxa"/>
            <w:tcBorders/>
            <w:shd w:fill="auto" w:val="clear"/>
            <w:vAlign w:val="center"/>
          </w:tcPr>
          <w:p>
            <w:pPr>
              <w:pStyle w:val="TableContents"/>
              <w:spacing w:before="0" w:after="283"/>
              <w:rPr>
                <w:sz w:val="4"/>
                <w:szCs w:val="4"/>
              </w:rPr>
            </w:pPr>
            <w:r>
              <w:rPr>
                <w:sz w:val="4"/>
                <w:szCs w:val="4"/>
              </w:rPr>
            </w:r>
          </w:p>
        </w:tc>
        <w:tc>
          <w:tcPr>
            <w:tcW w:w="1523"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r>
      <w:tr>
        <w:trPr/>
        <w:tc>
          <w:tcPr>
            <w:tcW w:w="47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47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47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7" w:type="dxa"/>
            <w:gridSpan w:val="21"/>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47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38,347 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39,161 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w:t>
            </w:r>
          </w:p>
        </w:tc>
        <w:tc>
          <w:tcPr>
            <w:tcW w:w="288"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7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 as a percentage of total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50.5 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53.9 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$0.8 million decrease in operations, product, and technology expenses for the three months ended March 31, 2023 as compared to the same period in 2022 was primarily due to a $1.4 million decrease in personnel-related costs, partially offset by a $0.8 million increase in inbound shipping and other costs.</w:t>
      </w:r>
    </w:p>
    <w:p>
      <w:pPr>
        <w:pStyle w:val="TextBody"/>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Marketing</w:t>
      </w:r>
    </w:p>
    <w:tbl>
      <w:tblPr>
        <w:tblW w:w="9331" w:type="dxa"/>
        <w:jc w:val="center"/>
        <w:tblInd w:w="0" w:type="dxa"/>
        <w:tblCellMar>
          <w:top w:w="28" w:type="dxa"/>
          <w:left w:w="28" w:type="dxa"/>
          <w:bottom w:w="28" w:type="dxa"/>
          <w:right w:w="28" w:type="dxa"/>
        </w:tblCellMar>
      </w:tblPr>
      <w:tblGrid>
        <w:gridCol w:w="1385"/>
        <w:gridCol w:w="1222"/>
        <w:gridCol w:w="1232"/>
        <w:gridCol w:w="109"/>
        <w:gridCol w:w="109"/>
        <w:gridCol w:w="109"/>
        <w:gridCol w:w="211"/>
        <w:gridCol w:w="751"/>
        <w:gridCol w:w="286"/>
        <w:gridCol w:w="109"/>
        <w:gridCol w:w="109"/>
        <w:gridCol w:w="109"/>
        <w:gridCol w:w="211"/>
        <w:gridCol w:w="751"/>
        <w:gridCol w:w="286"/>
        <w:gridCol w:w="109"/>
        <w:gridCol w:w="109"/>
        <w:gridCol w:w="109"/>
        <w:gridCol w:w="211"/>
        <w:gridCol w:w="541"/>
        <w:gridCol w:w="109"/>
        <w:gridCol w:w="109"/>
        <w:gridCol w:w="109"/>
        <w:gridCol w:w="109"/>
        <w:gridCol w:w="248"/>
        <w:gridCol w:w="248"/>
        <w:gridCol w:w="331"/>
      </w:tblGrid>
      <w:tr>
        <w:trPr/>
        <w:tc>
          <w:tcPr>
            <w:tcW w:w="1385"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c>
          <w:tcPr>
            <w:tcW w:w="1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38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38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38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5" w:type="dxa"/>
            <w:gridSpan w:val="21"/>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38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16,870 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16,978 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(0.6)</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 as a percentage of total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$0.1 million decrease in marketing expenses for the three months ended March 31, 2023 as compared to the same period in 2022 was primarily due to a $1.1 million decrease in social and other advertising costs and a $0.2 million decrease in professional services, partially offset by a $1.0 million increase in personnel-related costs, of which $0.9 million was related to stock-based compensation expense and a $0.2 million increase in facilities, technology, and other allocated costs.</w:t>
      </w:r>
    </w:p>
    <w:p>
      <w:pPr>
        <w:pStyle w:val="TextBody"/>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Sales, General and Administrative</w:t>
      </w:r>
    </w:p>
    <w:tbl>
      <w:tblPr>
        <w:tblW w:w="10205" w:type="dxa"/>
        <w:jc w:val="center"/>
        <w:tblInd w:w="0" w:type="dxa"/>
        <w:tblCellMar>
          <w:top w:w="28" w:type="dxa"/>
          <w:left w:w="28" w:type="dxa"/>
          <w:bottom w:w="28" w:type="dxa"/>
          <w:right w:w="28" w:type="dxa"/>
        </w:tblCellMar>
      </w:tblPr>
      <w:tblGrid>
        <w:gridCol w:w="1708"/>
        <w:gridCol w:w="1499"/>
        <w:gridCol w:w="1507"/>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18"/>
        <w:gridCol w:w="218"/>
        <w:gridCol w:w="285"/>
      </w:tblGrid>
      <w:tr>
        <w:trPr/>
        <w:tc>
          <w:tcPr>
            <w:tcW w:w="1708" w:type="dxa"/>
            <w:tcBorders/>
            <w:shd w:fill="auto" w:val="clear"/>
            <w:vAlign w:val="center"/>
          </w:tcPr>
          <w:p>
            <w:pPr>
              <w:pStyle w:val="TableContents"/>
              <w:spacing w:before="0" w:after="283"/>
              <w:rPr>
                <w:sz w:val="4"/>
                <w:szCs w:val="4"/>
              </w:rPr>
            </w:pPr>
            <w:r>
              <w:rPr>
                <w:sz w:val="4"/>
                <w:szCs w:val="4"/>
              </w:rPr>
            </w:r>
          </w:p>
        </w:tc>
        <w:tc>
          <w:tcPr>
            <w:tcW w:w="1499" w:type="dxa"/>
            <w:tcBorders/>
            <w:shd w:fill="auto" w:val="clear"/>
            <w:vAlign w:val="center"/>
          </w:tcPr>
          <w:p>
            <w:pPr>
              <w:pStyle w:val="TableContents"/>
              <w:spacing w:before="0" w:after="283"/>
              <w:rPr>
                <w:sz w:val="4"/>
                <w:szCs w:val="4"/>
              </w:rPr>
            </w:pPr>
            <w:r>
              <w:rPr>
                <w:sz w:val="4"/>
                <w:szCs w:val="4"/>
              </w:rPr>
            </w:r>
          </w:p>
        </w:tc>
        <w:tc>
          <w:tcPr>
            <w:tcW w:w="15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r>
      <w:tr>
        <w:trPr/>
        <w:tc>
          <w:tcPr>
            <w:tcW w:w="4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4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4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6" w:type="dxa"/>
            <w:gridSpan w:val="15"/>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4" w:space="0" w:color="000000"/>
            </w:tcBorders>
            <w:shd w:fill="auto"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16,059 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14,664 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9.5 </w:t>
            </w:r>
          </w:p>
        </w:tc>
        <w:tc>
          <w:tcPr>
            <w:tcW w:w="285"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 as a percentage of total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21.2 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20.2 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$1.4 million increase in sales, general, and administrative expenses for the three months ended March 31, 2023 as compared to the same period in 2022 was primarily due to a $3.0 million increase in personnel-related costs, of which $2.7 million was related to stock-based compensation expense, and a $0.1 million increase in facilities, technology, and other allocated costs, partially offset by a $1.2 million decrease in professional services and a $0.5 million decrease in other corporate expenses.</w:t>
      </w:r>
    </w:p>
    <w:p>
      <w:pPr>
        <w:pStyle w:val="TextBody"/>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Interest Expense</w:t>
      </w:r>
    </w:p>
    <w:tbl>
      <w:tblPr>
        <w:tblW w:w="6384" w:type="dxa"/>
        <w:jc w:val="left"/>
        <w:tblInd w:w="0" w:type="dxa"/>
        <w:tblCellMar>
          <w:top w:w="28" w:type="dxa"/>
          <w:left w:w="28" w:type="dxa"/>
          <w:bottom w:w="28" w:type="dxa"/>
          <w:right w:w="28" w:type="dxa"/>
        </w:tblCellMar>
      </w:tblPr>
      <w:tblGrid>
        <w:gridCol w:w="570"/>
        <w:gridCol w:w="500"/>
        <w:gridCol w:w="504"/>
        <w:gridCol w:w="109"/>
        <w:gridCol w:w="109"/>
        <w:gridCol w:w="109"/>
        <w:gridCol w:w="259"/>
        <w:gridCol w:w="462"/>
        <w:gridCol w:w="134"/>
        <w:gridCol w:w="109"/>
        <w:gridCol w:w="109"/>
        <w:gridCol w:w="109"/>
        <w:gridCol w:w="225"/>
        <w:gridCol w:w="514"/>
        <w:gridCol w:w="116"/>
        <w:gridCol w:w="109"/>
        <w:gridCol w:w="109"/>
        <w:gridCol w:w="109"/>
        <w:gridCol w:w="211"/>
        <w:gridCol w:w="541"/>
        <w:gridCol w:w="109"/>
        <w:gridCol w:w="109"/>
        <w:gridCol w:w="109"/>
        <w:gridCol w:w="109"/>
        <w:gridCol w:w="299"/>
        <w:gridCol w:w="301"/>
        <w:gridCol w:w="331"/>
      </w:tblGrid>
      <w:tr>
        <w:trPr/>
        <w:tc>
          <w:tcPr>
            <w:tcW w:w="57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15"/>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4" w:space="0" w:color="000000"/>
            </w:tcBorders>
            <w:shd w:fill="auto"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423 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(81.8)</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$0.3 million decrease in interest expense for the three months ended March 31, 2023 as compared to the same period in 2022 was primarily due to an increase in amounts capitalized as part of an asset in conjunction with the build-out of our distribution centers and reclassified from interest expense.</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23</w:t>
                      </w:r>
                    </w:p>
                  </w:txbxContent>
                </v:textbox>
              </v:rect>
            </w:pict>
          </mc:Fallback>
        </mc:AlternateContent>
      </w:r>
    </w:p>
    <w:p>
      <w:pPr>
        <w:pStyle w:val="TextBody"/>
        <w:spacing w:lineRule="auto" w:line="288" w:before="0" w:after="0"/>
        <w:rPr/>
      </w:pPr>
      <w:hyperlink w:anchor="ibcf6cd6c2981485ca51dd6b50182b609_7">
        <w:r>
          <w:rPr>
            <w:rStyle w:val="InternetLink"/>
            <w:rFonts w:ascii="Helvetica;sans-serif" w:hAnsi="Helvetica;sans-serif"/>
            <w:b w:val="false"/>
            <w:color w:val="0000FF"/>
            <w:sz w:val="20"/>
            <w:u w:val="single"/>
          </w:rPr>
          <w:t>Table of Contents</w:t>
        </w:r>
      </w:hyperlink>
    </w:p>
    <w:p>
      <w:pPr>
        <w:pStyle w:val="TextBody"/>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Other Income, Net</w:t>
      </w:r>
    </w:p>
    <w:tbl>
      <w:tblPr>
        <w:tblW w:w="6442" w:type="dxa"/>
        <w:jc w:val="left"/>
        <w:tblInd w:w="0" w:type="dxa"/>
        <w:tblCellMar>
          <w:top w:w="28" w:type="dxa"/>
          <w:left w:w="28" w:type="dxa"/>
          <w:bottom w:w="28" w:type="dxa"/>
          <w:right w:w="28" w:type="dxa"/>
        </w:tblCellMar>
      </w:tblPr>
      <w:tblGrid>
        <w:gridCol w:w="609"/>
        <w:gridCol w:w="534"/>
        <w:gridCol w:w="536"/>
        <w:gridCol w:w="109"/>
        <w:gridCol w:w="109"/>
        <w:gridCol w:w="109"/>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70"/>
        <w:gridCol w:w="271"/>
        <w:gridCol w:w="331"/>
      </w:tblGrid>
      <w:tr>
        <w:trPr/>
        <w:tc>
          <w:tcPr>
            <w:tcW w:w="609"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1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1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1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7" w:type="dxa"/>
            <w:gridSpan w:val="15"/>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4" w:space="0" w:color="000000"/>
            </w:tcBorders>
            <w:shd w:fill="auto"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57.1 </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$0.2 million increase in other income, net for the three months ended March 31, 2023 as compared to the same period in 2022 was primarily due to an increase in interest income on our marketable securities due to a higher interest rate environment.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Helvetica;sans-serif" w:hAnsi="Helvetica;sans-serif"/>
          <w:b/>
          <w:color w:val="000000"/>
          <w:sz w:val="20"/>
        </w:rPr>
      </w:pPr>
      <w:r>
        <w:rPr>
          <w:rFonts w:ascii="Helvetica;sans-serif" w:hAnsi="Helvetica;sans-serif"/>
          <w:b/>
          <w:color w:val="000000"/>
          <w:sz w:val="20"/>
        </w:rPr>
        <w:t>Liquidity and Capital Resources</w:t>
      </w:r>
    </w:p>
    <w:p>
      <w:pPr>
        <w:pStyle w:val="TextBody"/>
        <w:spacing w:lineRule="auto" w:line="288" w:before="120" w:after="283"/>
        <w:ind w:left="0" w:right="0" w:firstLine="360"/>
        <w:jc w:val="both"/>
        <w:rPr/>
      </w:pPr>
      <w:r>
        <w:rPr>
          <w:rFonts w:ascii="Helvetica;sans-serif" w:hAnsi="Helvetica;sans-serif"/>
          <w:b w:val="false"/>
          <w:color w:val="000000"/>
          <w:sz w:val="20"/>
        </w:rPr>
        <w:t xml:space="preserve">We have historically generated negative cash flows from operations and have primarily financed our operations through private and public sales of equity securities and debt. As of March 31, 2023, we had cash, cash equivalents and short-term marketable securities of $93.5 million. Additionally, we have a term loan facility (“Term Loan”) under which $38.0 million remained available to be drawn as of March 31, 2023 and we were in full compliance with our debt covenants under the Term Loan as of that date. See Note 7, </w:t>
      </w:r>
      <w:r>
        <w:rPr>
          <w:rFonts w:ascii="Helvetica;sans-serif" w:hAnsi="Helvetica;sans-serif"/>
          <w:b w:val="false"/>
          <w:i/>
          <w:color w:val="000000"/>
          <w:sz w:val="20"/>
        </w:rPr>
        <w:t>Long-Term Debt</w:t>
      </w:r>
      <w:r>
        <w:rPr>
          <w:rFonts w:ascii="Helvetica;sans-serif" w:hAnsi="Helvetica;sans-serif"/>
          <w:b w:val="false"/>
          <w:color w:val="000000"/>
          <w:sz w:val="20"/>
        </w:rPr>
        <w:t xml:space="preserve">, to the Condensed Consolidated Financial Statements included in Part I, Item 1, </w:t>
      </w:r>
      <w:r>
        <w:rPr>
          <w:rFonts w:ascii="Helvetica;sans-serif" w:hAnsi="Helvetica;sans-serif"/>
          <w:b w:val="false"/>
          <w:i/>
          <w:color w:val="000000"/>
          <w:sz w:val="20"/>
        </w:rPr>
        <w:t>Financial Statements</w:t>
      </w:r>
      <w:r>
        <w:rPr>
          <w:rFonts w:ascii="Helvetica;sans-serif" w:hAnsi="Helvetica;sans-serif"/>
          <w:b w:val="false"/>
          <w:color w:val="000000"/>
          <w:sz w:val="20"/>
        </w:rPr>
        <w:t>, of this Quarterly Report on Form 10-Q for a further discussion on our Term Loan.</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expect operating losses and negative cash flows from operations to continue in the near term as we continue to invest in growing our business and expanding our infrastructure. Our primary use of cash includes operating costs such as distribution network spend, product and technology expenses, marketing expenses, personnel expenses and other expenditures necessary to support our operations and our growth. Additionally, our primary capital expenditures are related to the set-up, expansion and/or automation of our distribution network. Based upon our current operating plans, we believe that our existing cash, cash equivalents and short-term marketable securities will be sufficient to meet our short- and long-term capital requirements and we do not anticipate expanding our distribution network to include additional locations in the near term. Our forecast of the period of time through which our financial resources will be adequate to support our operations is a forward-looking statement that involves risks and uncertainties, and actual results could vary materially.</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future capital requirements will depend on many factors, including, but not limited to the timing of our increased distribution center automation and expansion plans to support planned revenue growth, the expansion of sales and marketing activities, the potential introduction of new offerings and new RaaS clients, the continuing growth of our marketplaces and overall economic conditions. However, we expect that our capital expenditures will decline significantly in 2023 as we complete the first phase of our new distribution center in Texas. We may seek additional equity or debt financing. See the section titled “Risk Factors—Risks Relating to Our Indebtedness and Liquidity—We may require additional capital to support business growth, and this capital might not be available or may be available only by diluting existing stockholders” within the 2022 10-K.</w:t>
      </w:r>
    </w:p>
    <w:p>
      <w:pPr>
        <w:pStyle w:val="TextBody"/>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Cash Flows</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our cash flows for the periods indicated:</w:t>
      </w:r>
    </w:p>
    <w:tbl>
      <w:tblPr>
        <w:tblW w:w="9921" w:type="dxa"/>
        <w:jc w:val="center"/>
        <w:tblInd w:w="0" w:type="dxa"/>
        <w:tblCellMar>
          <w:top w:w="28" w:type="dxa"/>
          <w:left w:w="28" w:type="dxa"/>
          <w:bottom w:w="28" w:type="dxa"/>
          <w:right w:w="28" w:type="dxa"/>
        </w:tblCellMar>
      </w:tblPr>
      <w:tblGrid>
        <w:gridCol w:w="2543"/>
        <w:gridCol w:w="2231"/>
        <w:gridCol w:w="2246"/>
        <w:gridCol w:w="109"/>
        <w:gridCol w:w="109"/>
        <w:gridCol w:w="109"/>
        <w:gridCol w:w="211"/>
        <w:gridCol w:w="751"/>
        <w:gridCol w:w="109"/>
        <w:gridCol w:w="109"/>
        <w:gridCol w:w="109"/>
        <w:gridCol w:w="109"/>
        <w:gridCol w:w="211"/>
        <w:gridCol w:w="811"/>
        <w:gridCol w:w="154"/>
      </w:tblGrid>
      <w:tr>
        <w:trPr/>
        <w:tc>
          <w:tcPr>
            <w:tcW w:w="2543" w:type="dxa"/>
            <w:tcBorders/>
            <w:shd w:fill="auto" w:val="clear"/>
            <w:vAlign w:val="center"/>
          </w:tcPr>
          <w:p>
            <w:pPr>
              <w:pStyle w:val="TableContents"/>
              <w:spacing w:before="0" w:after="283"/>
              <w:rPr>
                <w:sz w:val="4"/>
                <w:szCs w:val="4"/>
              </w:rPr>
            </w:pPr>
            <w:r>
              <w:rPr>
                <w:sz w:val="4"/>
                <w:szCs w:val="4"/>
              </w:rPr>
            </w:r>
          </w:p>
        </w:tc>
        <w:tc>
          <w:tcPr>
            <w:tcW w:w="2231" w:type="dxa"/>
            <w:tcBorders/>
            <w:shd w:fill="auto" w:val="clear"/>
            <w:vAlign w:val="center"/>
          </w:tcPr>
          <w:p>
            <w:pPr>
              <w:pStyle w:val="TableContents"/>
              <w:spacing w:before="0" w:after="283"/>
              <w:rPr>
                <w:sz w:val="4"/>
                <w:szCs w:val="4"/>
              </w:rPr>
            </w:pPr>
            <w:r>
              <w:rPr>
                <w:sz w:val="4"/>
                <w:szCs w:val="4"/>
              </w:rPr>
            </w:r>
          </w:p>
        </w:tc>
        <w:tc>
          <w:tcPr>
            <w:tcW w:w="2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r>
      <w:tr>
        <w:trPr/>
        <w:tc>
          <w:tcPr>
            <w:tcW w:w="7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br/>
              <w:t>2022</w:t>
            </w:r>
          </w:p>
        </w:tc>
      </w:tr>
      <w:tr>
        <w:trPr/>
        <w:tc>
          <w:tcPr>
            <w:tcW w:w="7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4" w:type="dxa"/>
            <w:gridSpan w:val="9"/>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7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(6,679)</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18,900 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(7,912)</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(1,191)</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Effect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(172)</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change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12,710 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(15,954)</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24</w:t>
                      </w:r>
                    </w:p>
                  </w:txbxContent>
                </v:textbox>
              </v:rect>
            </w:pict>
          </mc:Fallback>
        </mc:AlternateContent>
      </w:r>
    </w:p>
    <w:p>
      <w:pPr>
        <w:pStyle w:val="TextBody"/>
        <w:spacing w:lineRule="auto" w:line="288" w:before="0" w:after="0"/>
        <w:rPr/>
      </w:pPr>
      <w:hyperlink w:anchor="ibcf6cd6c2981485ca51dd6b50182b609_7">
        <w:r>
          <w:rPr>
            <w:rStyle w:val="InternetLink"/>
            <w:rFonts w:ascii="Helvetica;sans-serif" w:hAnsi="Helvetica;sans-serif"/>
            <w:b w:val="false"/>
            <w:color w:val="0000FF"/>
            <w:sz w:val="20"/>
            <w:u w:val="single"/>
          </w:rPr>
          <w:t>Table of Contents</w:t>
        </w:r>
      </w:hyperlink>
    </w:p>
    <w:p>
      <w:pPr>
        <w:pStyle w:val="TextBody"/>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Changes in Cash Flows from Operating Activities</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cash used in operating activities for the three months ended March 31, 2023 decreased $2.2 million, or 33.3%, as compared to the same period in 2022. The decrease in net cash used in operating activities was due to a $6.6 million decrease in net loss excluding non-cash and reconciling items disclosed within our consolidated statement of cash flows, partially offset by $4.3 million of unfavorable changes in operating assets and liabilities. The $6.6 million decrease in net loss excluding non-cash and reconciling items was primarily driven by a favorable change in the reconciling impact of stock-based compensation expense as well as lower net loss. The $4.3 million of unfavorable changes in operating assets and liabilities was primarily driven by unfavorable changes in accrued and other current liabilities, operating lease liabilities, and inventory, partially offset by favorable changes in accounts payable, other current and non-current assets, and other non-current liabilities.</w:t>
      </w:r>
    </w:p>
    <w:p>
      <w:pPr>
        <w:pStyle w:val="TextBody"/>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Changes in Cash Flows from Investing Activities</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cash provided by investing activities for the three months ended March 31, 2023 increased $26.8 million as compared to the same period in 2022. The increase in net cash provided by investing activities was primarily due to a $19.9 million increase in maturities of marketable securities and a $7.0 million decrease in purchases of property and equipment.</w:t>
      </w:r>
    </w:p>
    <w:p>
      <w:pPr>
        <w:pStyle w:val="TextBody"/>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Changes in Cash Flows from Financing Activities</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cash used in financing activities for the three months ended March 31, 2023 remained flat as compared the same period in 2022 due to offsetting impacts of a $1.0 million decrease in repayments of debt against a $1.0 million net increase in cash outflows related to stock-based award activity.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Helvetica;sans-serif" w:hAnsi="Helvetica;sans-serif"/>
          <w:b/>
          <w:color w:val="000000"/>
          <w:sz w:val="20"/>
        </w:rPr>
      </w:pPr>
      <w:r>
        <w:rPr>
          <w:rFonts w:ascii="Helvetica;sans-serif" w:hAnsi="Helvetica;sans-serif"/>
          <w:b/>
          <w:color w:val="000000"/>
          <w:sz w:val="20"/>
        </w:rPr>
        <w:t>Critical Accounting Policies and Estimates</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U.S. GAAP requires us to make estimates and assumptions that affect the reported amounts of assets and liabilities and disclosures of contingent assets and liabilities at the date of the financial statements and the reported amounts of revenue and expenses during the year. We base our estimates and assumptions on current facts, historical experience and various other factors that we believe to be reasonable under the circumstances, the results of which form the basis for making judgments about the carrying values of assets and liabilities and the recording of revenue, costs and expenses. Actual results could differ from those estimates.</w:t>
      </w:r>
    </w:p>
    <w:p>
      <w:pPr>
        <w:pStyle w:val="TextBody"/>
        <w:spacing w:lineRule="auto" w:line="288" w:before="240" w:after="283"/>
        <w:ind w:left="0" w:right="0" w:firstLine="360"/>
        <w:jc w:val="both"/>
        <w:rPr/>
      </w:pPr>
      <w:r>
        <w:rPr>
          <w:rFonts w:ascii="Helvetica;sans-serif" w:hAnsi="Helvetica;sans-serif"/>
          <w:b w:val="false"/>
          <w:color w:val="000000"/>
          <w:sz w:val="20"/>
        </w:rPr>
        <w:t xml:space="preserve">There have been no material changes to our critical accounting policies since the 2022 10-K. For a description of critical accounting policies that affect our significant judgments and estimates used in the preparation of our condensed consolidated financial statements, see Part II, Item 7, </w:t>
      </w:r>
      <w:r>
        <w:rPr>
          <w:rFonts w:ascii="Helvetica;sans-serif" w:hAnsi="Helvetica;sans-serif"/>
          <w:b w:val="false"/>
          <w:i/>
          <w:color w:val="000000"/>
          <w:sz w:val="20"/>
        </w:rPr>
        <w:t>Management’s Discussion and Analysis of Financial Condition and Results of Operations</w:t>
      </w:r>
      <w:r>
        <w:rPr>
          <w:rFonts w:ascii="Helvetica;sans-serif" w:hAnsi="Helvetica;sans-serif"/>
          <w:b w:val="false"/>
          <w:color w:val="000000"/>
          <w:sz w:val="20"/>
        </w:rPr>
        <w:t>, of the 2022 10-K.</w:t>
      </w:r>
    </w:p>
    <w:p>
      <w:pPr>
        <w:pStyle w:val="TextBody"/>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JOBS Act Accounting Election</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an “emerging growth company,” as defined in the Jumpstart Our Business Startups Act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condensed consolidated financial statements may not be comparable to companies that comply with new or revised accounting pronouncements as of public company effective dates.</w:t>
      </w:r>
    </w:p>
    <w:p>
      <w:pPr>
        <w:pStyle w:val="TextBody"/>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New Accounting Pronouncements</w:t>
      </w:r>
    </w:p>
    <w:p>
      <w:pPr>
        <w:pStyle w:val="TextBody"/>
        <w:spacing w:lineRule="auto" w:line="288" w:before="120" w:after="283"/>
        <w:ind w:left="0" w:right="0" w:firstLine="360"/>
        <w:jc w:val="both"/>
        <w:rPr/>
      </w:pPr>
      <w:r>
        <w:rPr>
          <w:rFonts w:ascii="Helvetica;sans-serif" w:hAnsi="Helvetica;sans-serif"/>
          <w:b w:val="false"/>
          <w:color w:val="000000"/>
          <w:sz w:val="20"/>
        </w:rPr>
        <w:t xml:space="preserve">See discussion under Note 2, </w:t>
      </w:r>
      <w:r>
        <w:rPr>
          <w:rFonts w:ascii="Helvetica;sans-serif" w:hAnsi="Helvetica;sans-serif"/>
          <w:b w:val="false"/>
          <w:i/>
          <w:color w:val="000000"/>
          <w:sz w:val="20"/>
        </w:rPr>
        <w:t>Significant Accounting Policies</w:t>
      </w:r>
      <w:r>
        <w:rPr>
          <w:rFonts w:ascii="Helvetica;sans-serif" w:hAnsi="Helvetica;sans-serif"/>
          <w:b w:val="false"/>
          <w:color w:val="000000"/>
          <w:sz w:val="20"/>
        </w:rPr>
        <w:t xml:space="preserve">, to the Condensed Consolidated Financial Statements included in Part I, Item 1, </w:t>
      </w:r>
      <w:r>
        <w:rPr>
          <w:rFonts w:ascii="Helvetica;sans-serif" w:hAnsi="Helvetica;sans-serif"/>
          <w:b w:val="false"/>
          <w:i/>
          <w:color w:val="000000"/>
          <w:sz w:val="20"/>
        </w:rPr>
        <w:t>Financial Statements</w:t>
      </w:r>
      <w:r>
        <w:rPr>
          <w:rFonts w:ascii="Helvetica;sans-serif" w:hAnsi="Helvetica;sans-serif"/>
          <w:b w:val="false"/>
          <w:color w:val="000000"/>
          <w:sz w:val="20"/>
        </w:rPr>
        <w:t>, of this Quarterly Report on Form 10-Q for information on new accounting pronouncements.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3.    Quantitative and Qualitative Disclosures About Market Risk</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exposed to market risks in the ordinary course of our business. These risks primarily include:</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25</w:t>
                      </w:r>
                    </w:p>
                  </w:txbxContent>
                </v:textbox>
              </v:rect>
            </w:pict>
          </mc:Fallback>
        </mc:AlternateContent>
      </w:r>
    </w:p>
    <w:p>
      <w:pPr>
        <w:pStyle w:val="TextBody"/>
        <w:spacing w:lineRule="auto" w:line="288" w:before="0" w:after="0"/>
        <w:rPr/>
      </w:pPr>
      <w:hyperlink w:anchor="ibcf6cd6c2981485ca51dd6b50182b609_7">
        <w:r>
          <w:rPr>
            <w:rStyle w:val="InternetLink"/>
            <w:rFonts w:ascii="Helvetica;sans-serif" w:hAnsi="Helvetica;sans-serif"/>
            <w:b w:val="false"/>
            <w:color w:val="0000FF"/>
            <w:sz w:val="20"/>
            <w:u w:val="single"/>
          </w:rPr>
          <w:t>Table of Contents</w:t>
        </w:r>
      </w:hyperlink>
    </w:p>
    <w:p>
      <w:pPr>
        <w:pStyle w:val="TextBody"/>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Interest Rate Risk</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March 31, 2023, we had cash and cash equivalents of $50.7 million and marketable securities of $42.7 million, consisting primarily of money market funds, commercial paper, corporate debt securities, U.S. treasury securities and U.S. government agency bonds, which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 to intermediate-term nature of our investments, we have not been exposed to, nor do we anticipate being exposed to, material risks due to fluctuations in interest rates.</w:t>
      </w:r>
    </w:p>
    <w:p>
      <w:pPr>
        <w:pStyle w:val="TextBody"/>
        <w:spacing w:lineRule="auto" w:line="288" w:before="240" w:after="283"/>
        <w:ind w:left="0" w:right="0" w:firstLine="360"/>
        <w:jc w:val="both"/>
        <w:rPr/>
      </w:pPr>
      <w:r>
        <w:rPr>
          <w:rFonts w:ascii="Helvetica;sans-serif" w:hAnsi="Helvetica;sans-serif"/>
          <w:b w:val="false"/>
          <w:color w:val="000000"/>
          <w:sz w:val="20"/>
        </w:rPr>
        <w:t xml:space="preserve">The Term Loan bears variable interest rates tied to the prime rate, with a floor of 6.00%, and therefore carries interest rate risk. If interest rates were to increase or decrease by 1% for the year and our borrowing amounts on the Term Loan remained constant, our annual interest expense could increase or decrease by approximately $0.3 million, respectively. See the risk factor discussion captioned </w:t>
      </w:r>
      <w:r>
        <w:rPr>
          <w:rFonts w:ascii="Helvetica;sans-serif" w:hAnsi="Helvetica;sans-serif"/>
          <w:b w:val="false"/>
          <w:i/>
          <w:color w:val="000000"/>
          <w:sz w:val="20"/>
        </w:rPr>
        <w:t>"Risks Relating to Our Indebtedness and Liquidity—Recent events affecting the financial services industry could have an adverse impact on our business, results of operations and financial conditions"</w:t>
      </w:r>
      <w:r>
        <w:rPr>
          <w:color w:val="000000"/>
        </w:rPr>
        <w:t xml:space="preserve"> </w:t>
      </w:r>
      <w:r>
        <w:rPr>
          <w:rFonts w:ascii="Helvetica;sans-serif" w:hAnsi="Helvetica;sans-serif"/>
          <w:b w:val="false"/>
          <w:color w:val="000000"/>
          <w:sz w:val="20"/>
        </w:rPr>
        <w:t>under Part II, Item 1A of this Quarterly Report on Form 10-Q for more discussion on adverse developments affecting the financial services industry that may have an adverse impact on our business, results of operations and financial conditions.</w:t>
      </w:r>
    </w:p>
    <w:p>
      <w:pPr>
        <w:pStyle w:val="TextBody"/>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Inflation Risk</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recent months, inflation has increased significantly in the U.S. and overseas where we conduct our business, resulting in rising interest rates and fuel, labor and processing, freight and other costs that have affected our gross margin and operating expenses. We believe these increases have negatively impacted our business, and although difficult to quantify, inflation is potentially having an adverse effect on our customers’ ability to purchase in our marketplaces, resulting in slowing revenue and Order growth. If we are unable to increase our prices to sufficiently offset the rising costs of doing business, our profitability and financial position could be adversely impacted.</w:t>
      </w:r>
    </w:p>
    <w:p>
      <w:pPr>
        <w:pStyle w:val="TextBody"/>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Foreign Currency Exchange Rate Risk</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transact business in Europe through Remix in multiple currencies. As a result, our operating results, cash flows and net investment in Remix are subject to fluctuations due to changes in foreign currency exchange rates. As of March 31, 2023, our most significant currency exposure was the Bulgarian lev. We manage our foreign currency exchange rate risks through natural hedges including foreign currency revenue and costs matching, as well as foreign currency assets offsetting liabilities. We have not entered into any hedging arrangements with respect to foreign currency risk, but we may do so in the future if our exposure to foreign currency becomes more significant.</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Assets and liabilities of our foreign operations are translated into dollars at period-end rates, while income and expenses are translated using the average exchange rate during the period in which the transactions occurred. The related translation adjustments were reflected as an unfavorable foreign currency translation adjustment of $0.5 million during the three months ended March 31, 2023, which was recognized in accumulated other comprehensive loss within our condensed consolidated balance sheet.</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 hypothetical 10% change in foreign currency exchange rates would not have had a material impact on our financial condition or results of operations during any of the periods presented.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26</w:t>
                      </w:r>
                    </w:p>
                  </w:txbxContent>
                </v:textbox>
              </v:rect>
            </w:pict>
          </mc:Fallback>
        </mc:AlternateContent>
      </w:r>
    </w:p>
    <w:p>
      <w:pPr>
        <w:pStyle w:val="TextBody"/>
        <w:spacing w:lineRule="auto" w:line="288" w:before="0" w:after="0"/>
        <w:rPr/>
      </w:pPr>
      <w:hyperlink w:anchor="ibcf6cd6c2981485ca51dd6b50182b609_7">
        <w:r>
          <w:rPr>
            <w:rStyle w:val="InternetLink"/>
            <w:rFonts w:ascii="Helvetica;sans-serif" w:hAnsi="Helvetica;sans-serif"/>
            <w:b w:val="false"/>
            <w:color w:val="0000FF"/>
            <w:sz w:val="20"/>
            <w:u w:val="single"/>
          </w:rPr>
          <w:t>Table of Contents</w:t>
        </w:r>
      </w:hyperlink>
    </w:p>
    <w:p>
      <w:pPr>
        <w:pStyle w:val="TextBody"/>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4.    Controls and Procedures</w:t>
      </w:r>
    </w:p>
    <w:p>
      <w:pPr>
        <w:pStyle w:val="TextBody"/>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Evaluation of Disclosure Controls and Procedures</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Under the supervision and with the participation of our management, including our Chief Executive Officer and Chief Financial Officer, we evaluated the effectiveness of the design and operation of our disclosure controls and procedures pursuant to Rules 13a-15(e) and 15d-15(e) under the Securities Exchange Act of 1934, as amended (“Exchange Act”) as of the end of the period covered by this report. The term “disclosure controls and procedures,” as defined under the Exchange Act, means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not absolute, assurance of achieving the desired control objective and management necessarily applies its judgment in evaluating the cost-benefit relationship of possible controls and procedures. Further, no evaluation of control can provide absolute assurance that misstatements due to error or fraud will not occur or that all control issues and instances of fraud, if any, within the Company have been detected.</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Because of the material weakness in our internal control over financial reporting discussed below, our Chief Executive Officer and Chief Financial Officer concluded that, as of March 31, 2023, our disclosure controls and procedures were not effective. In light of this fact, our management, including our Chief Executive Officer and Chief Financial Officer, has put in place processes and controls and other post-closing procedures and has concluded that, notwithstanding the material weakness in our internal control over financial reporting, the unaudited interim condensed consolidated financial statements for the periods covered by and included in this Quarterly Report on Form 10-Q fairly present, in all material respects, our financial position, results of operations and cash flows for the periods presented in conformity with GAAP.</w:t>
      </w:r>
    </w:p>
    <w:p>
      <w:pPr>
        <w:pStyle w:val="TextBody"/>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Previously Reported Material Weaknesses in Internal Control Over Financial Reporting</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previously described in the 2022 10-K, in connection with the audits of our consolidated financial statements in certain prior years, we and our independent registered public accounting firms identified certain control deficiencies in the design and implementation of our internal control over financial reporting that, in the aggregate, constituted a material weakness. A material weakness is a deficiency, or a combination of deficiencies, in internal control over financial reporting such that there is a reasonable possibility that a material misstatement of our consolidated financial statements will not be prevented or detected on a timely basis.</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material weakness related to the following control deficiency:</w:t>
      </w:r>
    </w:p>
    <w:p>
      <w:pPr>
        <w:pStyle w:val="TextBody"/>
        <w:spacing w:lineRule="auto" w:line="288" w:before="120" w:after="283"/>
        <w:ind w:left="0" w:right="0" w:hanging="360"/>
        <w:jc w:val="both"/>
        <w:rPr/>
      </w:pPr>
      <w:r>
        <w:rPr>
          <w:color w:val="000000"/>
        </w:rPr>
        <w:t>•</w:t>
      </w:r>
      <w:r>
        <w:rPr>
          <w:rFonts w:ascii="Helvetica;sans-serif" w:hAnsi="Helvetica;sans-serif"/>
          <w:b w:val="false"/>
          <w:color w:val="000000"/>
          <w:sz w:val="20"/>
        </w:rPr>
        <w:t>We did not design and maintain adequate controls over the preparation and review of certain account reconciliations and journal entries. Specifically, we did not design and maintain controls and we did not maintain a sufficient complement of accounting personnel to ensure account reconciliations were prepared and reviewed at the appropriate level of precision on a consistent and timely basis.</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deficiency described above, if not remediated, could result in a misstatement of one or more account balances or disclosures in our annual or interim consolidated financial statements that would not be prevented or detected, and, accordingly, we determined that this control deficiency constitutes a material weakness.</w:t>
      </w:r>
    </w:p>
    <w:p>
      <w:pPr>
        <w:pStyle w:val="TextBody"/>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Remediation Plans</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To address our material weakness, we have added accounting and finance personnel and implemented new financial accounting processes, controls, and systems. We are continuing to take steps to remediate the material weakness described above through hiring additional qualified accounting and finance resources and further evolving our accounting close processes. We will not be able to fully remediate this control deficiency until these steps have been completed and the controls have been operating effectively for a sufficient period of time.</w:t>
      </w:r>
    </w:p>
    <w:p>
      <w:pPr>
        <w:pStyle w:val="TextBody"/>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Changes in Internal Control over Financial Reporting</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taking actions to remediate the material weakness relating to our internal control over financial reporting, as described above. Except as described above, there was not any change in our internal control over financial reporting (as such term is defined in Rules 13a-15(f) and 15d-15(f) under the Exchange Act) during our most recent fiscal quarter that has materially affected, or is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27</w:t>
                      </w:r>
                    </w:p>
                  </w:txbxContent>
                </v:textbox>
              </v:rect>
            </w:pict>
          </mc:Fallback>
        </mc:AlternateContent>
      </w:r>
    </w:p>
    <w:p>
      <w:pPr>
        <w:pStyle w:val="TextBody"/>
        <w:spacing w:lineRule="auto" w:line="288" w:before="0" w:after="0"/>
        <w:rPr/>
      </w:pPr>
      <w:hyperlink w:anchor="ibcf6cd6c2981485ca51dd6b50182b609_7">
        <w:r>
          <w:rPr>
            <w:rStyle w:val="InternetLink"/>
            <w:rFonts w:ascii="Helvetica;sans-serif" w:hAnsi="Helvetica;sans-serif"/>
            <w:b w:val="false"/>
            <w:color w:val="0000FF"/>
            <w:sz w:val="20"/>
            <w:u w:val="single"/>
          </w:rPr>
          <w:t>Table of Contents</w:t>
        </w:r>
      </w:hyperlink>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Helvetica;sans-serif" w:hAnsi="Helvetica;sans-serif"/>
          <w:b/>
          <w:color w:val="000000"/>
          <w:sz w:val="20"/>
        </w:rPr>
      </w:pPr>
      <w:r>
        <w:rPr>
          <w:rFonts w:ascii="Helvetica;sans-serif" w:hAnsi="Helvetica;sans-serif"/>
          <w:b/>
          <w:color w:val="000000"/>
          <w:sz w:val="20"/>
        </w:rPr>
        <w:t>Item 1.    Legal Proceedings</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not a party to any material pending legal proceedings. From time to time, we may be subject to legal proceedings and claims arising in the ordinary course of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1A.    Risk Factors</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is supplementing the risk factors previously disclosed in the section titled “Risk Factors” in Part I, Item 1A of our Annual Report on Form 10-K for the fiscal year ended December 31, 2022 filed with the SEC on March 7, 2023 (our “Fiscal 2022 10-K”) to include the following risk factor, which should be read in conjunction with the other risk factors presented in our Fiscal 2022 10-K.</w:t>
      </w:r>
    </w:p>
    <w:p>
      <w:pPr>
        <w:pStyle w:val="TextBody"/>
        <w:spacing w:lineRule="auto" w:line="288" w:before="360" w:after="283"/>
        <w:jc w:val="center"/>
        <w:rPr>
          <w:rFonts w:ascii="Helvetica;sans-serif" w:hAnsi="Helvetica;sans-serif"/>
          <w:b/>
          <w:color w:val="000000"/>
          <w:sz w:val="20"/>
        </w:rPr>
      </w:pPr>
      <w:r>
        <w:rPr>
          <w:rFonts w:ascii="Helvetica;sans-serif" w:hAnsi="Helvetica;sans-serif"/>
          <w:b/>
          <w:color w:val="000000"/>
          <w:sz w:val="20"/>
        </w:rPr>
        <w:t>Risks Relating to Our Indebtedness and Liquidity</w:t>
      </w:r>
    </w:p>
    <w:p>
      <w:pPr>
        <w:pStyle w:val="TextBody"/>
        <w:spacing w:lineRule="auto" w:line="288" w:before="120" w:after="283"/>
        <w:jc w:val="both"/>
        <w:rPr>
          <w:rFonts w:ascii="Helvetica;sans-serif" w:hAnsi="Helvetica;sans-serif"/>
          <w:b/>
          <w:i/>
          <w:color w:val="000000"/>
          <w:sz w:val="20"/>
        </w:rPr>
      </w:pPr>
      <w:r>
        <w:rPr>
          <w:rFonts w:ascii="Helvetica;sans-serif" w:hAnsi="Helvetica;sans-serif"/>
          <w:b/>
          <w:i/>
          <w:color w:val="000000"/>
          <w:sz w:val="20"/>
        </w:rPr>
        <w:t>Recent events affecting the financial services industry could have an adverse impact on our business, results of operations and financial conditions.</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March 10, March 12 and May 1 of 2023, the Federal Deposit Insurance Corporation (the “FDIC”) took control and was appointed receiver of Silicon Valley Bank, Signature Bank and First Republic Bank, respectively, after each bank was unable to continue their operations. These events exposed vulnerabilities in the regional banking sector, including liquidity constraints, contagion and solvency risk and other legal uncertainties and caused significant volatility in the market prices of the common stock of certain other regional banks.</w:t>
      </w:r>
    </w:p>
    <w:p>
      <w:pPr>
        <w:pStyle w:val="TextBody"/>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Although we do not have any deposits with any of the banks that have been placed into receivership to date, we are unable to predict the extent or nature of the impacts of these evolving circumstances at this time. For example, we are party to an amended and restated loan and security agreement with Western Alliance Bank, a regional bank, which provides a term loan and credit facility for an aggregate borrowing amount of up to $70.0 million. As of March 31, 2023, the balance of this debt is $29.3 million. While our restated loan and security agreement requires that we maintain minimum cash deposits with Western Alliance Bank that exceed the FDIC insurance limits, we utilize an insured cash sweep program to extend FDIC insurance to this balance. Further, while we maintain the contractual minimum cash deposits with Western Alliance Bank, most of our cash is invested in managed assets outside of Western Alliance Bank. If Western Alliance Bank or other financial institutions with which we have relationships were to enter into receivership or become insolvent, our ability to access the cash and cash equivalents that we hold at such institutions, as well as our ability to draw on our credit facility, may be impacted. In such an event, it could become more difficult for us to access sufficient liquidity or acquire financing on commercially reasonable terms or at all. Any such event could adversely impact our ability to meet our operating expenses, financial obligations or fulfill our other obligations, which could result in breaches of our financial and other contractual obligations, any of which could materially and adversely impact our business, results of operations and financial condition.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2.    Unregistered Sales of Equity Securities and Use of Proceeds</w:t>
      </w:r>
    </w:p>
    <w:p>
      <w:pPr>
        <w:pStyle w:val="TextBody"/>
        <w:spacing w:lineRule="auto" w:line="288" w:before="12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(a)Pursuant to a share purchase agreement entered into on July 24, 2021, on April 17, 2023 we issued 130,597 shares of our Class A common stock to four sellers who were accredited investors in connection with the acquisition of Remix Global EAD. The share issuance was exempt from registration pursuant to Section 4(a)(2) of the Securities Act.</w:t>
      </w:r>
    </w:p>
    <w:p>
      <w:pPr>
        <w:pStyle w:val="TextBody"/>
        <w:spacing w:lineRule="auto" w:line="288" w:before="12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(b)On March 30, 2021, we closed our IPO, in which we sold 13,800,000 shares of our Class A common stock at an offering price of $14.00 per share, including 1,800,000 shares pursuant to the exercise of the underwriters’ option to purchase additional shares of our Class A common stock, resulting in net proceeds to us of $175.5 million after deducting offering costs, underwriting discounts and commissions of $17.7 million. All of the shares offered, issued and sold in our IPO were registered under the Securities Act pursuant to a registration statement on Form S-1 (File No. 333-253834), which was declared effective by the SEC on March 25, 2021. There has been no material change in the planned use of proceeds from the IPO as disclosed in our final prospectus filed pursuant to Rule 424(b) on March 26, 2021.</w:t>
      </w:r>
    </w:p>
    <w:p>
      <w:pPr>
        <w:pStyle w:val="TextBody"/>
        <w:spacing w:lineRule="auto" w:line="288" w:before="12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(c)None.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3.    Defaults Upon Senior Securities</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28</w:t>
                      </w:r>
                    </w:p>
                  </w:txbxContent>
                </v:textbox>
              </v:rect>
            </w:pict>
          </mc:Fallback>
        </mc:AlternateContent>
      </w:r>
    </w:p>
    <w:p>
      <w:pPr>
        <w:pStyle w:val="TextBody"/>
        <w:spacing w:lineRule="auto" w:line="288" w:before="0" w:after="0"/>
        <w:rPr/>
      </w:pPr>
      <w:hyperlink w:anchor="ibcf6cd6c2981485ca51dd6b50182b609_7">
        <w:r>
          <w:rPr>
            <w:rStyle w:val="InternetLink"/>
            <w:rFonts w:ascii="Helvetica;sans-serif" w:hAnsi="Helvetica;sans-serif"/>
            <w:b w:val="false"/>
            <w:color w:val="0000FF"/>
            <w:sz w:val="20"/>
            <w:u w:val="single"/>
          </w:rPr>
          <w:t>Table of Contents</w:t>
        </w:r>
      </w:hyperlink>
    </w:p>
    <w:p>
      <w:pPr>
        <w:pStyle w:val="TextBody"/>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4.    Mine Safety Disclosures</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5.    Other Information</w:t>
      </w:r>
    </w:p>
    <w:p>
      <w:pPr>
        <w:pStyle w:val="TextBody"/>
        <w:spacing w:lineRule="auto" w:line="288" w:before="12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(a)None.</w:t>
      </w:r>
    </w:p>
    <w:p>
      <w:pPr>
        <w:pStyle w:val="TextBody"/>
        <w:spacing w:lineRule="auto" w:line="288" w:before="12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Helvetica;sans-serif" w:hAnsi="Helvetica;sans-serif"/>
          <w:b/>
          <w:color w:val="000000"/>
          <w:sz w:val="20"/>
        </w:rPr>
      </w:pPr>
      <w:r>
        <w:rPr>
          <w:rFonts w:ascii="Helvetica;sans-serif" w:hAnsi="Helvetica;sans-serif"/>
          <w:b/>
          <w:color w:val="000000"/>
          <w:sz w:val="20"/>
        </w:rPr>
        <w:t>Item 6.    Exhibits</w:t>
      </w:r>
    </w:p>
    <w:p>
      <w:pPr>
        <w:pStyle w:val="TextBody"/>
        <w:spacing w:lineRule="auto" w:line="288" w:before="12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(a)Exhibit Index:</w:t>
      </w:r>
    </w:p>
    <w:tbl>
      <w:tblPr>
        <w:tblW w:w="10205" w:type="dxa"/>
        <w:jc w:val="center"/>
        <w:tblInd w:w="0" w:type="dxa"/>
        <w:tblCellMar>
          <w:top w:w="28" w:type="dxa"/>
          <w:left w:w="28" w:type="dxa"/>
          <w:bottom w:w="28" w:type="dxa"/>
          <w:right w:w="28" w:type="dxa"/>
        </w:tblCellMar>
      </w:tblPr>
      <w:tblGrid>
        <w:gridCol w:w="320"/>
        <w:gridCol w:w="281"/>
        <w:gridCol w:w="282"/>
        <w:gridCol w:w="109"/>
        <w:gridCol w:w="109"/>
        <w:gridCol w:w="109"/>
        <w:gridCol w:w="2162"/>
        <w:gridCol w:w="1952"/>
        <w:gridCol w:w="1971"/>
        <w:gridCol w:w="109"/>
        <w:gridCol w:w="109"/>
        <w:gridCol w:w="109"/>
        <w:gridCol w:w="175"/>
        <w:gridCol w:w="175"/>
        <w:gridCol w:w="176"/>
        <w:gridCol w:w="117"/>
        <w:gridCol w:w="117"/>
        <w:gridCol w:w="117"/>
        <w:gridCol w:w="220"/>
        <w:gridCol w:w="220"/>
        <w:gridCol w:w="221"/>
        <w:gridCol w:w="117"/>
        <w:gridCol w:w="117"/>
        <w:gridCol w:w="117"/>
        <w:gridCol w:w="202"/>
        <w:gridCol w:w="202"/>
        <w:gridCol w:w="290"/>
      </w:tblGrid>
      <w:tr>
        <w:trPr/>
        <w:tc>
          <w:tcPr>
            <w:tcW w:w="32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2" w:type="dxa"/>
            <w:tcBorders/>
            <w:shd w:fill="auto" w:val="clear"/>
            <w:vAlign w:val="center"/>
          </w:tcPr>
          <w:p>
            <w:pPr>
              <w:pStyle w:val="TableContents"/>
              <w:spacing w:before="0" w:after="283"/>
              <w:rPr>
                <w:sz w:val="4"/>
                <w:szCs w:val="4"/>
              </w:rPr>
            </w:pPr>
            <w:r>
              <w:rPr>
                <w:sz w:val="4"/>
                <w:szCs w:val="4"/>
              </w:rPr>
            </w:r>
          </w:p>
        </w:tc>
        <w:tc>
          <w:tcPr>
            <w:tcW w:w="1952" w:type="dxa"/>
            <w:tcBorders/>
            <w:shd w:fill="auto" w:val="clear"/>
            <w:vAlign w:val="center"/>
          </w:tcPr>
          <w:p>
            <w:pPr>
              <w:pStyle w:val="TableContents"/>
              <w:spacing w:before="0" w:after="283"/>
              <w:rPr>
                <w:sz w:val="4"/>
                <w:szCs w:val="4"/>
              </w:rPr>
            </w:pPr>
            <w:r>
              <w:rPr>
                <w:sz w:val="4"/>
                <w:szCs w:val="4"/>
              </w:rPr>
            </w:r>
          </w:p>
        </w:tc>
        <w:tc>
          <w:tcPr>
            <w:tcW w:w="19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8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Incorporated by Reference</w:t>
            </w:r>
          </w:p>
        </w:tc>
      </w:tr>
      <w:tr>
        <w:trPr/>
        <w:tc>
          <w:tcPr>
            <w:tcW w:w="8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Form</w:t>
            </w:r>
          </w:p>
        </w:tc>
        <w:tc>
          <w:tcPr>
            <w:tcW w:w="35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Exhibit</w:t>
            </w:r>
          </w:p>
        </w:tc>
        <w:tc>
          <w:tcPr>
            <w:tcW w:w="35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Filing Date</w:t>
            </w:r>
          </w:p>
        </w:tc>
      </w:tr>
      <w:tr>
        <w:trPr/>
        <w:tc>
          <w:tcPr>
            <w:tcW w:w="883"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hyperlink r:id="rId3">
              <w:r>
                <w:rPr>
                  <w:rStyle w:val="InternetLink"/>
                  <w:rFonts w:ascii="Helvetica;sans-serif" w:hAnsi="Helvetica;sans-serif"/>
                  <w:b w:val="false"/>
                  <w:color w:val="0000FF"/>
                  <w:sz w:val="20"/>
                  <w:u w:val="single"/>
                </w:rPr>
                <w:t>Amended and Restated Certificate of Incorporation of the Registrant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3.2</w:t>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8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Helvetica;sans-serif" w:hAnsi="Helvetica;sans-serif"/>
                  <w:b w:val="false"/>
                  <w:color w:val="0000FF"/>
                  <w:sz w:val="20"/>
                  <w:u w:val="single"/>
                </w:rPr>
                <w:t>Amended and Restated Bylaws of the Registrant, as adopted on February 16, 2023</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8-K</w:t>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w:t>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2/21/2023</w:t>
            </w:r>
          </w:p>
        </w:tc>
      </w:tr>
      <w:tr>
        <w:trPr/>
        <w:tc>
          <w:tcPr>
            <w:tcW w:w="8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Helvetica;sans-serif" w:hAnsi="Helvetica;sans-serif"/>
                  <w:b w:val="false"/>
                  <w:color w:val="0000FF"/>
                  <w:sz w:val="20"/>
                  <w:u w:val="single"/>
                </w:rPr>
                <w:t>Form of Class A common stock certificate of the Registrant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4.1</w:t>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8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Helvetica;sans-serif" w:hAnsi="Helvetica;sans-serif"/>
                  <w:b w:val="false"/>
                  <w:color w:val="0000FF"/>
                  <w:sz w:val="20"/>
                  <w:u w:val="single"/>
                </w:rPr>
                <w:t>Tenth Amended and Restated Investors’ Rights Agreement, dated February 16, 2021, by and among the Registrant and certain of its stockholders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4.2</w:t>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8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 xml:space="preserve">10.1†^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Helvetica;sans-serif" w:hAnsi="Helvetica;sans-serif"/>
                  <w:b w:val="false"/>
                  <w:color w:val="0000FF"/>
                  <w:sz w:val="20"/>
                  <w:u w:val="single"/>
                </w:rPr>
                <w:t>Second Amended and Restated Loan and Security Agreement dated as of July 14, 2022, by and among ThredUp Inc., ThredUp Intermediary Holdings LLC, Knitwit GC LLC, the lenders from time to time party thereto, and Western Alliance Bank, as agent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8-K</w:t>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w:t>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7/20/2022</w:t>
            </w:r>
          </w:p>
        </w:tc>
      </w:tr>
      <w:tr>
        <w:trPr/>
        <w:tc>
          <w:tcPr>
            <w:tcW w:w="8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exhibit311q12023.htm">
              <w:r>
                <w:rPr>
                  <w:rStyle w:val="InternetLink"/>
                  <w:rFonts w:ascii="Helvetica;sans-serif" w:hAnsi="Helvetica;sans-serif"/>
                  <w:b w:val="false"/>
                  <w:color w:val="0000FF"/>
                  <w:sz w:val="20"/>
                  <w:u w:val="single"/>
                </w:rPr>
                <w:t>Certification of Principal Executive Officer pursuant to Exchange Act Rules 13a-14(a) and 15d-14(a),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exhibit312q12023.htm">
              <w:r>
                <w:rPr>
                  <w:rStyle w:val="InternetLink"/>
                  <w:rFonts w:ascii="Helvetica;sans-serif" w:hAnsi="Helvetica;sans-serif"/>
                  <w:b w:val="false"/>
                  <w:color w:val="0000FF"/>
                  <w:sz w:val="20"/>
                  <w:u w:val="single"/>
                </w:rPr>
                <w:t>Certification of Principal Financial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exhibit321q12023.htm">
              <w:r>
                <w:rPr>
                  <w:rStyle w:val="InternetLink"/>
                  <w:rFonts w:ascii="Helvetica;sans-serif" w:hAnsi="Helvetica;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exhibit322q12023.htm">
              <w:r>
                <w:rPr>
                  <w:rStyle w:val="InternetLink"/>
                  <w:rFonts w:ascii="Helvetica;sans-serif" w:hAnsi="Helvetica;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Cover Page Interactive Data File (formatted as inline XBRL with applicable taxonomy extension information contained in Exhibits 101)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    Filed herewith.</w:t>
      </w:r>
    </w:p>
    <w:p>
      <w:pPr>
        <w:pStyle w:val="TextBody"/>
        <w:spacing w:lineRule="auto" w:line="288" w:before="0" w:after="0"/>
        <w:ind w:left="0" w:right="0" w:hanging="360"/>
        <w:jc w:val="both"/>
        <w:rPr>
          <w:rFonts w:ascii="Helvetica;sans-serif" w:hAnsi="Helvetica;sans-serif"/>
          <w:b w:val="false"/>
          <w:color w:val="000000"/>
          <w:sz w:val="20"/>
        </w:rPr>
      </w:pPr>
      <w:r>
        <w:rPr>
          <w:rFonts w:ascii="Helvetica;sans-serif" w:hAnsi="Helvetica;sans-serif"/>
          <w:b w:val="false"/>
          <w:color w:val="000000"/>
          <w:sz w:val="20"/>
        </w:rPr>
        <w:t>**    Furnished herewith.</w:t>
      </w:r>
    </w:p>
    <w:p>
      <w:pPr>
        <w:pStyle w:val="TextBody"/>
        <w:spacing w:lineRule="auto" w:line="288" w:before="0" w:after="0"/>
        <w:ind w:left="0" w:right="0" w:hanging="360"/>
        <w:jc w:val="both"/>
        <w:rPr>
          <w:color w:val="000000"/>
        </w:rPr>
      </w:pPr>
      <w:r>
        <w:rPr>
          <w:color w:val="000000"/>
        </w:rPr>
        <w:t>†    </w:t>
      </w:r>
      <w:r>
        <w:rPr>
          <w:rFonts w:ascii="Helvetica;sans-serif" w:hAnsi="Helvetica;sans-serif"/>
          <w:b w:val="false"/>
          <w:color w:val="000000"/>
          <w:sz w:val="20"/>
        </w:rPr>
        <w:t>Certain schedules have been omitted pursuant to Item 601(a)(5) of Regulation S-K under the Securities Act. The Company agrees to furnish supplementally any omitted schedules to the Securities and Exchange Commission upon request.</w:t>
      </w:r>
    </w:p>
    <w:p>
      <w:pPr>
        <w:pStyle w:val="TextBody"/>
        <w:spacing w:lineRule="auto" w:line="288" w:before="0" w:after="0"/>
        <w:ind w:left="0" w:right="0" w:hanging="360"/>
        <w:jc w:val="both"/>
        <w:rPr>
          <w:rFonts w:ascii="Helvetica;sans-serif" w:hAnsi="Helvetica;sans-serif"/>
          <w:b w:val="false"/>
          <w:color w:val="000000"/>
          <w:sz w:val="20"/>
        </w:rPr>
      </w:pPr>
      <w:r>
        <w:rPr>
          <w:rFonts w:ascii="Helvetica;sans-serif" w:hAnsi="Helvetica;sans-serif"/>
          <w:b w:val="false"/>
          <w:color w:val="000000"/>
          <w:sz w:val="20"/>
        </w:rPr>
        <w:t>^    Portions of this exhibit have been omitted pursuant to Item 601(b)(10)(iv) of Regulation S-K because they are both (i) not material and (ii) the type that the registrant treats as private or confidential. A copy of the omitted portions will be furnished to the Securities and Exchange Commission upon request.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Helvetica;sans-serif" w:hAnsi="Helvetica;sans-serif"/>
                                <w:b w:val="false"/>
                                <w:color w:val="000000"/>
                                <w:sz w:val="20"/>
                              </w:rPr>
                            </w:pPr>
                            <w:r>
                              <w:rPr>
                                <w:rFonts w:ascii="Helvetica;sans-serif" w:hAnsi="Helvetica;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Helvetica;sans-serif" w:hAnsi="Helvetica;sans-serif"/>
                          <w:b w:val="false"/>
                          <w:color w:val="000000"/>
                          <w:sz w:val="20"/>
                        </w:rPr>
                      </w:pPr>
                      <w:r>
                        <w:rPr>
                          <w:rFonts w:ascii="Helvetica;sans-serif" w:hAnsi="Helvetica;sans-serif"/>
                          <w:b w:val="false"/>
                          <w:color w:val="000000"/>
                          <w:sz w:val="20"/>
                        </w:rPr>
                        <w:t>29</w:t>
                      </w:r>
                    </w:p>
                  </w:txbxContent>
                </v:textbox>
              </v:rect>
            </w:pict>
          </mc:Fallback>
        </mc:AlternateContent>
      </w:r>
    </w:p>
    <w:p>
      <w:pPr>
        <w:pStyle w:val="TextBody"/>
        <w:spacing w:lineRule="auto" w:line="288" w:before="0" w:after="0"/>
        <w:rPr/>
      </w:pPr>
      <w:hyperlink w:anchor="ibcf6cd6c2981485ca51dd6b50182b609_7">
        <w:r>
          <w:rPr>
            <w:rStyle w:val="InternetLink"/>
            <w:rFonts w:ascii="Helvetica;sans-serif" w:hAnsi="Helvetica;sans-serif"/>
            <w:b w:val="false"/>
            <w:color w:val="0000FF"/>
            <w:sz w:val="20"/>
            <w:u w:val="single"/>
          </w:rPr>
          <w:t>Table of Contents</w:t>
        </w:r>
      </w:hyperlink>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SIGNATURES</w:t>
      </w:r>
    </w:p>
    <w:p>
      <w:pPr>
        <w:pStyle w:val="TextBody"/>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Pursuant to the requirements of the Securities Exchange Act of 1934, the registrant has duly caused this report to be signed on its behalf by the undersigned thereunto duly authorized.</w:t>
      </w:r>
    </w:p>
    <w:tbl>
      <w:tblPr>
        <w:tblW w:w="4968" w:type="dxa"/>
        <w:jc w:val="center"/>
        <w:tblInd w:w="0" w:type="dxa"/>
        <w:tblCellMar>
          <w:top w:w="28" w:type="dxa"/>
          <w:left w:w="28" w:type="dxa"/>
          <w:bottom w:w="28" w:type="dxa"/>
          <w:right w:w="28" w:type="dxa"/>
        </w:tblCellMar>
      </w:tblPr>
      <w:tblGrid>
        <w:gridCol w:w="124"/>
        <w:gridCol w:w="109"/>
        <w:gridCol w:w="109"/>
        <w:gridCol w:w="237"/>
        <w:gridCol w:w="237"/>
        <w:gridCol w:w="237"/>
        <w:gridCol w:w="1140"/>
        <w:gridCol w:w="1140"/>
        <w:gridCol w:w="163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63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THREDUP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SEAN SOBERS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Sean Sobers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Financial and Accounting Officer)</w:t>
            </w:r>
          </w:p>
        </w:tc>
      </w:tr>
    </w:tbl>
    <w:p>
      <w:pPr>
        <w:pStyle w:val="TextBody"/>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Date: May 9, 2023</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30</w:t>
                      </w:r>
                    </w:p>
                  </w:txbxContent>
                </v:textbox>
              </v:rect>
            </w:pict>
          </mc:Fallback>
        </mc:AlternateContent>
      </w:r>
    </w:p>
    <w:p>
      <w:pPr>
        <w:pStyle w:val="TextBody"/>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31.1</w:t>
      </w:r>
    </w:p>
    <w:p>
      <w:pPr>
        <w:pStyle w:val="TextBody"/>
        <w:spacing w:lineRule="auto" w:line="288" w:before="240" w:after="283"/>
        <w:jc w:val="center"/>
        <w:rPr>
          <w:rFonts w:ascii="Helvetica;sans-serif" w:hAnsi="Helvetica;sans-serif"/>
          <w:b/>
          <w:color w:val="000000"/>
          <w:sz w:val="20"/>
        </w:rPr>
      </w:pPr>
      <w:r>
        <w:rPr>
          <w:rFonts w:ascii="Helvetica;sans-serif" w:hAnsi="Helvetica;sans-serif"/>
          <w:b/>
          <w:color w:val="000000"/>
          <w:sz w:val="20"/>
        </w:rPr>
        <w:t>CERTIFICATION OF PERIODIC REPORT UNDER SECTION 302 OF</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THE SARBANES-OXLEY ACT OF 2002</w:t>
      </w:r>
    </w:p>
    <w:p>
      <w:pPr>
        <w:pStyle w:val="TextBody"/>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I, James Reinhart, certify that:</w:t>
      </w:r>
    </w:p>
    <w:p>
      <w:pPr>
        <w:pStyle w:val="TextBody"/>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1.I have reviewed this Quarterly Report on Form 10-Q of ThredUp Inc.;</w:t>
      </w:r>
    </w:p>
    <w:p>
      <w:pPr>
        <w:pStyle w:val="TextBody"/>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b.Any fraud, whether or not material, that involves management or other employees who have a significant role in the registrant’s internal control over financial reporting.</w:t>
      </w:r>
    </w:p>
    <w:tbl>
      <w:tblPr>
        <w:tblW w:w="3341" w:type="dxa"/>
        <w:jc w:val="center"/>
        <w:tblInd w:w="0" w:type="dxa"/>
        <w:tblCellMar>
          <w:top w:w="28" w:type="dxa"/>
          <w:left w:w="28" w:type="dxa"/>
          <w:bottom w:w="28" w:type="dxa"/>
          <w:right w:w="28" w:type="dxa"/>
        </w:tblCellMar>
      </w:tblPr>
      <w:tblGrid>
        <w:gridCol w:w="124"/>
        <w:gridCol w:w="109"/>
        <w:gridCol w:w="109"/>
        <w:gridCol w:w="134"/>
        <w:gridCol w:w="134"/>
        <w:gridCol w:w="136"/>
        <w:gridCol w:w="759"/>
        <w:gridCol w:w="759"/>
        <w:gridCol w:w="107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JAMES REINHART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James Reinhart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Executive Officer)</w:t>
            </w:r>
          </w:p>
        </w:tc>
      </w:tr>
    </w:tbl>
    <w:p>
      <w:pPr>
        <w:pStyle w:val="TextBody"/>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Date: May 9, 2023</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p>
      <w:pPr>
        <w:pStyle w:val="TextBody"/>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31.2</w:t>
      </w:r>
    </w:p>
    <w:p>
      <w:pPr>
        <w:pStyle w:val="TextBody"/>
        <w:spacing w:lineRule="auto" w:line="288" w:before="240" w:after="283"/>
        <w:jc w:val="center"/>
        <w:rPr>
          <w:rFonts w:ascii="Helvetica;sans-serif" w:hAnsi="Helvetica;sans-serif"/>
          <w:b/>
          <w:color w:val="000000"/>
          <w:sz w:val="20"/>
        </w:rPr>
      </w:pPr>
      <w:r>
        <w:rPr>
          <w:rFonts w:ascii="Helvetica;sans-serif" w:hAnsi="Helvetica;sans-serif"/>
          <w:b/>
          <w:color w:val="000000"/>
          <w:sz w:val="20"/>
        </w:rPr>
        <w:t>CERTIFICATION OF PERIODIC REPORT UNDER SECTION 302 OF</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THE SARBANES-OXLEY ACT OF 2002</w:t>
      </w:r>
    </w:p>
    <w:p>
      <w:pPr>
        <w:pStyle w:val="TextBody"/>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I, Sean Sobers, certify that:</w:t>
      </w:r>
    </w:p>
    <w:p>
      <w:pPr>
        <w:pStyle w:val="TextBody"/>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1.I have reviewed this Quarterly Report on Form 10-Q of ThredUp Inc.;</w:t>
      </w:r>
    </w:p>
    <w:p>
      <w:pPr>
        <w:pStyle w:val="TextBody"/>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b.Any fraud, whether or not material, that involves management or other employees who have a significant role in the registrant’s internal control over financial reporting.</w:t>
      </w:r>
    </w:p>
    <w:tbl>
      <w:tblPr>
        <w:tblW w:w="4661" w:type="dxa"/>
        <w:jc w:val="center"/>
        <w:tblInd w:w="0" w:type="dxa"/>
        <w:tblCellMar>
          <w:top w:w="28" w:type="dxa"/>
          <w:left w:w="28" w:type="dxa"/>
          <w:bottom w:w="28" w:type="dxa"/>
          <w:right w:w="28" w:type="dxa"/>
        </w:tblCellMar>
      </w:tblPr>
      <w:tblGrid>
        <w:gridCol w:w="124"/>
        <w:gridCol w:w="109"/>
        <w:gridCol w:w="109"/>
        <w:gridCol w:w="134"/>
        <w:gridCol w:w="134"/>
        <w:gridCol w:w="136"/>
        <w:gridCol w:w="1142"/>
        <w:gridCol w:w="1142"/>
        <w:gridCol w:w="163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63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SEAN SOBERS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Sean Sobers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Financial and Accounting Officer)</w:t>
            </w:r>
          </w:p>
        </w:tc>
      </w:tr>
    </w:tbl>
    <w:p>
      <w:pPr>
        <w:pStyle w:val="TextBody"/>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Date: May 9, 2023</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p>
      <w:pPr>
        <w:pStyle w:val="TextBody"/>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32.1</w:t>
      </w:r>
    </w:p>
    <w:p>
      <w:pPr>
        <w:pStyle w:val="TextBody"/>
        <w:spacing w:lineRule="auto" w:line="288" w:before="240" w:after="283"/>
        <w:jc w:val="center"/>
        <w:rPr>
          <w:rFonts w:ascii="Helvetica;sans-serif" w:hAnsi="Helvetica;sans-serif"/>
          <w:b/>
          <w:color w:val="000000"/>
          <w:sz w:val="20"/>
        </w:rPr>
      </w:pPr>
      <w:r>
        <w:rPr>
          <w:rFonts w:ascii="Helvetica;sans-serif" w:hAnsi="Helvetica;sans-serif"/>
          <w:b/>
          <w:color w:val="000000"/>
          <w:sz w:val="20"/>
        </w:rPr>
        <w:t>CERTIFICATION PURSUANT TO</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18 U.S.C. SECTION 1350</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AS ADOPTED PURSUANT TO SECTION 906</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OF THE SARBANES-OXLEY ACT OF 2002</w:t>
      </w:r>
    </w:p>
    <w:p>
      <w:pPr>
        <w:pStyle w:val="TextBody"/>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I, James Reinhart, Chief Executive Officer of ThredUp Inc. (the “Company”), do hereby certify, pursuant to 18 U.S.C. Section 1350, as adopted pursuant to Section 906 of the Sarbanes-Oxley Act of 2002, that to the best of my knowledge:</w:t>
      </w:r>
    </w:p>
    <w:p>
      <w:pPr>
        <w:pStyle w:val="TextBody"/>
        <w:spacing w:lineRule="auto" w:line="288" w:before="240" w:after="283"/>
        <w:ind w:left="0" w:right="0" w:hanging="360"/>
        <w:jc w:val="both"/>
        <w:rPr/>
      </w:pPr>
      <w:r>
        <w:rPr>
          <w:color w:val="000000"/>
        </w:rPr>
        <w:t>•</w:t>
      </w:r>
      <w:r>
        <w:rPr>
          <w:rFonts w:ascii="Helvetica;sans-serif" w:hAnsi="Helvetica;sans-serif"/>
          <w:b w:val="false"/>
          <w:color w:val="000000"/>
          <w:sz w:val="20"/>
        </w:rPr>
        <w:t>the Quarterly Report on Form 10-Q of the Company for the quarter ended March 31, 2023 (the “Report”) fully complies with the requirements of Section 13(a) or 15(d) of the Securities Exchange Act of 1934; and</w:t>
      </w:r>
    </w:p>
    <w:p>
      <w:pPr>
        <w:pStyle w:val="TextBody"/>
        <w:spacing w:lineRule="auto" w:line="288" w:before="240" w:after="283"/>
        <w:ind w:left="0" w:right="0" w:hanging="360"/>
        <w:jc w:val="both"/>
        <w:rPr/>
      </w:pPr>
      <w:r>
        <w:rPr>
          <w:color w:val="000000"/>
        </w:rPr>
        <w:t>•</w:t>
      </w:r>
      <w:r>
        <w:rPr>
          <w:rFonts w:ascii="Helvetica;sans-serif" w:hAnsi="Helvetica;sans-serif"/>
          <w:b w:val="false"/>
          <w:color w:val="000000"/>
          <w:sz w:val="20"/>
        </w:rPr>
        <w:t>the information contained in the Report fairly presents, in all material respects, the financial condition and results of operations of the Company for the periods presented therein.</w:t>
      </w:r>
    </w:p>
    <w:tbl>
      <w:tblPr>
        <w:tblW w:w="3341" w:type="dxa"/>
        <w:jc w:val="center"/>
        <w:tblInd w:w="0" w:type="dxa"/>
        <w:tblCellMar>
          <w:top w:w="28" w:type="dxa"/>
          <w:left w:w="28" w:type="dxa"/>
          <w:bottom w:w="28" w:type="dxa"/>
          <w:right w:w="28" w:type="dxa"/>
        </w:tblCellMar>
      </w:tblPr>
      <w:tblGrid>
        <w:gridCol w:w="124"/>
        <w:gridCol w:w="109"/>
        <w:gridCol w:w="109"/>
        <w:gridCol w:w="134"/>
        <w:gridCol w:w="134"/>
        <w:gridCol w:w="136"/>
        <w:gridCol w:w="759"/>
        <w:gridCol w:w="759"/>
        <w:gridCol w:w="107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JAMES REINHART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James Reinhart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Executive Officer)</w:t>
            </w:r>
          </w:p>
        </w:tc>
      </w:tr>
    </w:tbl>
    <w:p>
      <w:pPr>
        <w:pStyle w:val="TextBody"/>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Date: May 9, 2023</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p>
      <w:pPr>
        <w:pStyle w:val="TextBody"/>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32.2</w:t>
      </w:r>
    </w:p>
    <w:p>
      <w:pPr>
        <w:pStyle w:val="TextBody"/>
        <w:spacing w:lineRule="auto" w:line="288" w:before="240" w:after="283"/>
        <w:jc w:val="center"/>
        <w:rPr>
          <w:rFonts w:ascii="Helvetica;sans-serif" w:hAnsi="Helvetica;sans-serif"/>
          <w:b/>
          <w:color w:val="000000"/>
          <w:sz w:val="20"/>
        </w:rPr>
      </w:pPr>
      <w:r>
        <w:rPr>
          <w:rFonts w:ascii="Helvetica;sans-serif" w:hAnsi="Helvetica;sans-serif"/>
          <w:b/>
          <w:color w:val="000000"/>
          <w:sz w:val="20"/>
        </w:rPr>
        <w:t>CERTIFICATION PURSUANT TO</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18 U.S.C. SECTION 1350</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AS ADOPTED PURSUANT TO SECTION 906</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OF THE SARBANES-OXLEY ACT OF 2002</w:t>
      </w:r>
    </w:p>
    <w:p>
      <w:pPr>
        <w:pStyle w:val="TextBody"/>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I, Sean Sobers, Chief Financial Officer of ThredUp Inc. (the “Company”), do hereby certify, pursuant to 18 U.S.C. Section 1350, as adopted pursuant to Section 906 of the Sarbanes-Oxley Act of 2002, that to the best of my knowledge:</w:t>
      </w:r>
    </w:p>
    <w:p>
      <w:pPr>
        <w:pStyle w:val="TextBody"/>
        <w:spacing w:lineRule="auto" w:line="288" w:before="240" w:after="283"/>
        <w:ind w:left="0" w:right="0" w:hanging="360"/>
        <w:jc w:val="both"/>
        <w:rPr/>
      </w:pPr>
      <w:r>
        <w:rPr>
          <w:color w:val="000000"/>
        </w:rPr>
        <w:t>•</w:t>
      </w:r>
      <w:r>
        <w:rPr>
          <w:rFonts w:ascii="Helvetica;sans-serif" w:hAnsi="Helvetica;sans-serif"/>
          <w:b w:val="false"/>
          <w:color w:val="000000"/>
          <w:sz w:val="20"/>
        </w:rPr>
        <w:t>the Quarterly Report on Form 10-Q of the Company for the quarter ended March 31, 2023 (the “Report”) fully complies with the requirements of Section 13(a) or 15(d) of the Securities Exchange Act of 1934; and</w:t>
      </w:r>
    </w:p>
    <w:p>
      <w:pPr>
        <w:pStyle w:val="TextBody"/>
        <w:spacing w:lineRule="auto" w:line="288" w:before="240" w:after="283"/>
        <w:ind w:left="0" w:right="0" w:hanging="360"/>
        <w:jc w:val="both"/>
        <w:rPr/>
      </w:pPr>
      <w:r>
        <w:rPr>
          <w:color w:val="000000"/>
        </w:rPr>
        <w:t>•</w:t>
      </w:r>
      <w:r>
        <w:rPr>
          <w:rFonts w:ascii="Helvetica;sans-serif" w:hAnsi="Helvetica;sans-serif"/>
          <w:b w:val="false"/>
          <w:color w:val="000000"/>
          <w:sz w:val="20"/>
        </w:rPr>
        <w:t>the information contained in the Report fairly presents, in all material respects, the financial condition and results of operations of the Company for the periods presented therein.</w:t>
      </w:r>
    </w:p>
    <w:tbl>
      <w:tblPr>
        <w:tblW w:w="4661" w:type="dxa"/>
        <w:jc w:val="center"/>
        <w:tblInd w:w="0" w:type="dxa"/>
        <w:tblCellMar>
          <w:top w:w="28" w:type="dxa"/>
          <w:left w:w="28" w:type="dxa"/>
          <w:bottom w:w="28" w:type="dxa"/>
          <w:right w:w="28" w:type="dxa"/>
        </w:tblCellMar>
      </w:tblPr>
      <w:tblGrid>
        <w:gridCol w:w="124"/>
        <w:gridCol w:w="109"/>
        <w:gridCol w:w="109"/>
        <w:gridCol w:w="134"/>
        <w:gridCol w:w="134"/>
        <w:gridCol w:w="136"/>
        <w:gridCol w:w="1142"/>
        <w:gridCol w:w="1142"/>
        <w:gridCol w:w="163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63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SEAN SOBERS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Sean Sobers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Financial and Accounting Officer)</w:t>
            </w:r>
          </w:p>
        </w:tc>
      </w:tr>
    </w:tbl>
    <w:p>
      <w:pPr>
        <w:pStyle w:val="TextBody"/>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Date: May 9, 2023</w:t>
      </w:r>
      <w:r>
        <w:br w:type="page"/>
      </w:r>
    </w:p>
    <w:p>
      <w:pPr>
        <w:pStyle w:val="TextBody"/>
        <w:spacing w:before="0" w:after="283"/>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Helvetica">
    <w:altName w:val="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84778/000162828021003857/exhibit32-sx1.htm" TargetMode="External"/><Relationship Id="rId4" Type="http://schemas.openxmlformats.org/officeDocument/2006/relationships/hyperlink" Target="https://www.sec.gov/Archives/edgar/data/1484778/000148477823000037/thredup-arpubliccompanybyl.htm" TargetMode="External"/><Relationship Id="rId5" Type="http://schemas.openxmlformats.org/officeDocument/2006/relationships/hyperlink" Target="https://www.sec.gov/Archives/edgar/data/1484778/000162828021003857/exhibit41-sx1.htm" TargetMode="External"/><Relationship Id="rId6" Type="http://schemas.openxmlformats.org/officeDocument/2006/relationships/hyperlink" Target="https://www.sec.gov/Archives/edgar/data/1484778/000162828021003857/exhibit42-sx1.htm" TargetMode="External"/><Relationship Id="rId7" Type="http://schemas.openxmlformats.org/officeDocument/2006/relationships/hyperlink" Target="https://www.sec.gov/Archives/edgar/data/1484778/000148477822000120/ex101july2022creditagreeme.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13430</Words>
  <CharactersWithSpaces>86710</CharactersWithSpaces>
  <Paragraphs>1792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