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 w:lineRule="exact"/>
        <w:rPr>
          <w:sz w:val="24"/>
          <w:szCs w:val="24"/>
          <w:color w:val="auto"/>
        </w:rPr>
      </w:pPr>
    </w:p>
    <w:p>
      <w:pPr>
        <w:ind w:left="3660" w:right="1640" w:hanging="3652"/>
        <w:spacing w:after="0" w:line="367" w:lineRule="auto"/>
        <w:tabs>
          <w:tab w:leader="none" w:pos="37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200" w:right="1640" w:hanging="2192"/>
        <w:spacing w:after="0" w:line="375" w:lineRule="auto"/>
        <w:tabs>
          <w:tab w:leader="none" w:pos="37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____________________ to 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86360</wp:posOffset>
            </wp:positionV>
            <wp:extent cx="154305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ThredUp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Delaware</w:t>
            </w:r>
          </w:p>
        </w:tc>
        <w:tc>
          <w:tcPr>
            <w:tcW w:w="2480" w:type="dxa"/>
            <w:vAlign w:val="bottom"/>
          </w:tcPr>
          <w:p>
            <w:pPr>
              <w:spacing w:after="0"/>
              <w:rPr>
                <w:sz w:val="17"/>
                <w:szCs w:val="17"/>
                <w:color w:val="auto"/>
              </w:rPr>
            </w:pPr>
          </w:p>
        </w:tc>
        <w:tc>
          <w:tcPr>
            <w:tcW w:w="3920" w:type="dxa"/>
            <w:vAlign w:val="bottom"/>
            <w:gridSpan w:val="3"/>
          </w:tcPr>
          <w:p>
            <w:pPr>
              <w:jc w:val="right"/>
              <w:ind w:right="2348"/>
              <w:spacing w:after="0"/>
              <w:rPr>
                <w:sz w:val="20"/>
                <w:szCs w:val="20"/>
                <w:color w:val="auto"/>
              </w:rPr>
            </w:pPr>
            <w:r>
              <w:rPr>
                <w:rFonts w:ascii="Arial" w:cs="Arial" w:eastAsia="Arial" w:hAnsi="Arial"/>
                <w:sz w:val="14"/>
                <w:szCs w:val="14"/>
                <w:b w:val="1"/>
                <w:bCs w:val="1"/>
                <w:color w:val="auto"/>
              </w:rPr>
              <w:t>26-4009181</w:t>
            </w:r>
          </w:p>
        </w:tc>
        <w:tc>
          <w:tcPr>
            <w:tcW w:w="0" w:type="dxa"/>
            <w:vAlign w:val="bottom"/>
          </w:tcPr>
          <w:p>
            <w:pPr>
              <w:spacing w:after="0"/>
              <w:rPr>
                <w:sz w:val="1"/>
                <w:szCs w:val="1"/>
                <w:color w:val="auto"/>
              </w:rPr>
            </w:pPr>
          </w:p>
        </w:tc>
      </w:tr>
      <w:tr>
        <w:trPr>
          <w:trHeight w:val="197"/>
        </w:trPr>
        <w:tc>
          <w:tcPr>
            <w:tcW w:w="4840" w:type="dxa"/>
            <w:vAlign w:val="bottom"/>
            <w:gridSpan w:val="3"/>
          </w:tcPr>
          <w:p>
            <w:pPr>
              <w:jc w:val="center"/>
              <w:ind w:left="728"/>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2480" w:type="dxa"/>
            <w:vAlign w:val="bottom"/>
          </w:tcPr>
          <w:p>
            <w:pPr>
              <w:spacing w:after="0"/>
              <w:rPr>
                <w:sz w:val="17"/>
                <w:szCs w:val="17"/>
                <w:color w:val="auto"/>
              </w:rPr>
            </w:pPr>
          </w:p>
        </w:tc>
        <w:tc>
          <w:tcPr>
            <w:tcW w:w="3920" w:type="dxa"/>
            <w:vAlign w:val="bottom"/>
            <w:gridSpan w:val="3"/>
          </w:tcPr>
          <w:p>
            <w:pPr>
              <w:jc w:val="center"/>
              <w:ind w:right="1628"/>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373"/>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969 Broadway, Suite 200</w:t>
            </w:r>
          </w:p>
        </w:tc>
        <w:tc>
          <w:tcPr>
            <w:tcW w:w="2480" w:type="dxa"/>
            <w:vAlign w:val="bottom"/>
          </w:tcPr>
          <w:p>
            <w:pPr>
              <w:spacing w:after="0"/>
              <w:rPr>
                <w:sz w:val="24"/>
                <w:szCs w:val="24"/>
                <w:color w:val="auto"/>
              </w:rPr>
            </w:pPr>
          </w:p>
        </w:tc>
        <w:tc>
          <w:tcPr>
            <w:tcW w:w="3920" w:type="dxa"/>
            <w:vAlign w:val="bottom"/>
            <w:gridSpan w:val="3"/>
            <w:vMerge w:val="restart"/>
          </w:tcPr>
          <w:p>
            <w:pPr>
              <w:jc w:val="right"/>
              <w:ind w:right="2528"/>
              <w:spacing w:after="0"/>
              <w:rPr>
                <w:sz w:val="20"/>
                <w:szCs w:val="20"/>
                <w:color w:val="auto"/>
              </w:rPr>
            </w:pPr>
            <w:r>
              <w:rPr>
                <w:rFonts w:ascii="Arial" w:cs="Arial" w:eastAsia="Arial" w:hAnsi="Arial"/>
                <w:sz w:val="14"/>
                <w:szCs w:val="14"/>
                <w:b w:val="1"/>
                <w:bCs w:val="1"/>
                <w:color w:val="auto"/>
              </w:rPr>
              <w:t>94607</w:t>
            </w:r>
          </w:p>
        </w:tc>
        <w:tc>
          <w:tcPr>
            <w:tcW w:w="0" w:type="dxa"/>
            <w:vAlign w:val="bottom"/>
          </w:tcPr>
          <w:p>
            <w:pPr>
              <w:spacing w:after="0"/>
              <w:rPr>
                <w:sz w:val="1"/>
                <w:szCs w:val="1"/>
                <w:color w:val="auto"/>
              </w:rPr>
            </w:pPr>
          </w:p>
        </w:tc>
      </w:tr>
      <w:tr>
        <w:trPr>
          <w:trHeight w:val="195"/>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Oakland, California</w:t>
            </w:r>
          </w:p>
        </w:tc>
        <w:tc>
          <w:tcPr>
            <w:tcW w:w="2480" w:type="dxa"/>
            <w:vAlign w:val="bottom"/>
          </w:tcPr>
          <w:p>
            <w:pPr>
              <w:spacing w:after="0"/>
              <w:rPr>
                <w:sz w:val="16"/>
                <w:szCs w:val="16"/>
                <w:color w:val="auto"/>
              </w:rPr>
            </w:pPr>
          </w:p>
        </w:tc>
        <w:tc>
          <w:tcPr>
            <w:tcW w:w="3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40" w:type="dxa"/>
            <w:vAlign w:val="bottom"/>
            <w:gridSpan w:val="3"/>
          </w:tcPr>
          <w:p>
            <w:pPr>
              <w:jc w:val="center"/>
              <w:ind w:left="708"/>
              <w:spacing w:after="0"/>
              <w:rPr>
                <w:sz w:val="20"/>
                <w:szCs w:val="20"/>
                <w:color w:val="auto"/>
              </w:rPr>
            </w:pPr>
            <w:r>
              <w:rPr>
                <w:rFonts w:ascii="Arial" w:cs="Arial" w:eastAsia="Arial" w:hAnsi="Arial"/>
                <w:sz w:val="14"/>
                <w:szCs w:val="14"/>
                <w:i w:val="1"/>
                <w:iCs w:val="1"/>
                <w:color w:val="auto"/>
              </w:rPr>
              <w:t>(Address of principal executive offices)</w:t>
            </w: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jc w:val="center"/>
              <w:ind w:right="184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541"/>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jc w:val="center"/>
              <w:ind w:right="828"/>
              <w:spacing w:after="0"/>
              <w:rPr>
                <w:sz w:val="20"/>
                <w:szCs w:val="20"/>
                <w:color w:val="auto"/>
              </w:rPr>
            </w:pPr>
            <w:r>
              <w:rPr>
                <w:rFonts w:ascii="Arial" w:cs="Arial" w:eastAsia="Arial" w:hAnsi="Arial"/>
                <w:sz w:val="14"/>
                <w:szCs w:val="14"/>
                <w:b w:val="1"/>
                <w:bCs w:val="1"/>
                <w:color w:val="auto"/>
              </w:rPr>
              <w:t>(415) 402-5202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2"/>
          </w:tcPr>
          <w:p>
            <w:pPr>
              <w:jc w:val="center"/>
              <w:ind w:left="128"/>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4840" w:type="dxa"/>
            <w:vAlign w:val="bottom"/>
            <w:gridSpan w:val="3"/>
          </w:tcPr>
          <w:p>
            <w:pPr>
              <w:jc w:val="center"/>
              <w:ind w:right="1108"/>
              <w:spacing w:after="0"/>
              <w:rPr>
                <w:sz w:val="20"/>
                <w:szCs w:val="20"/>
                <w:color w:val="auto"/>
              </w:rPr>
            </w:pPr>
            <w:r>
              <w:rPr>
                <w:rFonts w:ascii="Arial" w:cs="Arial" w:eastAsia="Arial" w:hAnsi="Arial"/>
                <w:sz w:val="14"/>
                <w:szCs w:val="14"/>
                <w:color w:val="auto"/>
              </w:rPr>
              <w:t>Securities registered pursuant to Section 12(b) of the Act:</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868"/>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7"/>
        </w:trPr>
        <w:tc>
          <w:tcPr>
            <w:tcW w:w="4840" w:type="dxa"/>
            <w:vAlign w:val="bottom"/>
            <w:gridSpan w:val="3"/>
          </w:tcPr>
          <w:p>
            <w:pPr>
              <w:jc w:val="center"/>
              <w:ind w:right="1088"/>
              <w:spacing w:after="0" w:line="147" w:lineRule="exact"/>
              <w:rPr>
                <w:sz w:val="20"/>
                <w:szCs w:val="20"/>
                <w:color w:val="auto"/>
              </w:rPr>
            </w:pPr>
            <w:r>
              <w:rPr>
                <w:rFonts w:ascii="Arial" w:cs="Arial" w:eastAsia="Arial" w:hAnsi="Arial"/>
                <w:sz w:val="14"/>
                <w:szCs w:val="14"/>
                <w:color w:val="auto"/>
              </w:rPr>
              <w:t>Class A Common Stock, $0.0001 par value per share</w:t>
            </w:r>
          </w:p>
        </w:tc>
        <w:tc>
          <w:tcPr>
            <w:tcW w:w="2480" w:type="dxa"/>
            <w:vAlign w:val="bottom"/>
          </w:tcPr>
          <w:p>
            <w:pPr>
              <w:jc w:val="center"/>
              <w:ind w:right="848"/>
              <w:spacing w:after="0" w:line="147" w:lineRule="exact"/>
              <w:rPr>
                <w:sz w:val="20"/>
                <w:szCs w:val="20"/>
                <w:color w:val="auto"/>
              </w:rPr>
            </w:pPr>
            <w:r>
              <w:rPr>
                <w:rFonts w:ascii="Arial" w:cs="Arial" w:eastAsia="Arial" w:hAnsi="Arial"/>
                <w:sz w:val="14"/>
                <w:szCs w:val="14"/>
                <w:color w:val="auto"/>
              </w:rPr>
              <w:t>TDUP</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tcPr>
          <w:p>
            <w:pPr>
              <w:jc w:val="center"/>
              <w:spacing w:after="0" w:line="147" w:lineRule="exact"/>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color w:val="auto"/>
              </w:rPr>
              <w:t>Long-Term Stock Exchange</w:t>
            </w:r>
          </w:p>
        </w:tc>
        <w:tc>
          <w:tcPr>
            <w:tcW w:w="0" w:type="dxa"/>
            <w:vAlign w:val="bottom"/>
          </w:tcPr>
          <w:p>
            <w:pPr>
              <w:spacing w:after="0"/>
              <w:rPr>
                <w:sz w:val="1"/>
                <w:szCs w:val="1"/>
                <w:color w:val="auto"/>
              </w:rPr>
            </w:pPr>
          </w:p>
        </w:tc>
      </w:tr>
    </w:tbl>
    <w:p>
      <w:pPr>
        <w:spacing w:after="0" w:line="363" w:lineRule="exact"/>
        <w:rPr>
          <w:sz w:val="24"/>
          <w:szCs w:val="24"/>
          <w:color w:val="auto"/>
        </w:rPr>
      </w:pPr>
    </w:p>
    <w:p>
      <w:pPr>
        <w:jc w:val="both"/>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1"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2"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6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6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5060" w:type="dxa"/>
            <w:vAlign w:val="bottom"/>
          </w:tcPr>
          <w:p>
            <w:pPr>
              <w:ind w:left="306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57"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1"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There were 80,571,704 shares of Class A common stock and 29,684,496 shares of Class B common stock outstanding as of April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0" w:type="dxa"/>
            <w:vAlign w:val="bottom"/>
            <w:gridSpan w:val="10"/>
            <w:vMerge w:val="restart"/>
          </w:tcPr>
          <w:p>
            <w:pPr>
              <w:jc w:val="center"/>
              <w:ind w:right="2560"/>
              <w:spacing w:after="0"/>
              <w:rPr>
                <w:sz w:val="20"/>
                <w:szCs w:val="20"/>
                <w:color w:val="auto"/>
              </w:rPr>
            </w:pPr>
            <w:r>
              <w:rPr>
                <w:rFonts w:ascii="Arial" w:cs="Arial" w:eastAsia="Arial" w:hAnsi="Arial"/>
                <w:sz w:val="18"/>
                <w:szCs w:val="18"/>
                <w:b w:val="1"/>
                <w:bCs w:val="1"/>
                <w:color w:val="auto"/>
                <w:w w:val="99"/>
              </w:rPr>
              <w:t>PART I. FINANCIAL INFORMATION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0" w:type="dxa"/>
            <w:vAlign w:val="bottom"/>
            <w:gridSpan w:val="10"/>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200" w:type="dxa"/>
            <w:vAlign w:val="bottom"/>
            <w:shd w:val="clear" w:color="auto" w:fill="CCEEFF"/>
          </w:tcPr>
          <w:p>
            <w:pPr>
              <w:spacing w:after="0"/>
              <w:rPr>
                <w:sz w:val="16"/>
                <w:szCs w:val="16"/>
                <w:color w:val="auto"/>
              </w:rPr>
            </w:pPr>
          </w:p>
        </w:tc>
        <w:tc>
          <w:tcPr>
            <w:tcW w:w="896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ind w:left="160"/>
              <w:spacing w:after="0" w:line="189" w:lineRule="exact"/>
              <w:rPr>
                <w:sz w:val="20"/>
                <w:szCs w:val="20"/>
                <w:color w:val="auto"/>
              </w:rPr>
            </w:pPr>
            <w:r>
              <w:rPr>
                <w:rFonts w:ascii="Arial" w:cs="Arial" w:eastAsia="Arial" w:hAnsi="Arial"/>
                <w:sz w:val="18"/>
                <w:szCs w:val="18"/>
                <w:color w:val="0000FF"/>
              </w:rPr>
              <w:t>Unaudited Condensed Consolidated Balance Sheets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Statements of Operations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0" w:type="dxa"/>
            <w:vAlign w:val="bottom"/>
            <w:gridSpan w:val="19"/>
          </w:tcPr>
          <w:p>
            <w:pPr>
              <w:spacing w:after="0" w:line="189" w:lineRule="exact"/>
              <w:rPr>
                <w:sz w:val="20"/>
                <w:szCs w:val="20"/>
                <w:color w:val="auto"/>
              </w:rPr>
            </w:pPr>
            <w:r>
              <w:rPr>
                <w:rFonts w:ascii="Arial" w:cs="Arial" w:eastAsia="Arial" w:hAnsi="Arial"/>
                <w:sz w:val="18"/>
                <w:szCs w:val="18"/>
                <w:color w:val="0000FF"/>
              </w:rPr>
              <w:t>Unaudited Condensed Consolidated Statements of Comprehensive Loss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740" w:type="dxa"/>
            <w:vAlign w:val="bottom"/>
            <w:tcBorders>
              <w:bottom w:val="single" w:sz="8" w:color="0000FF"/>
            </w:tcBorders>
            <w:gridSpan w:val="16"/>
            <w:shd w:val="clear" w:color="auto" w:fill="CCEEFF"/>
          </w:tcPr>
          <w:p>
            <w:pPr>
              <w:spacing w:after="0" w:line="189" w:lineRule="exact"/>
              <w:rPr>
                <w:sz w:val="20"/>
                <w:szCs w:val="20"/>
                <w:color w:val="auto"/>
              </w:rPr>
            </w:pPr>
            <w:r>
              <w:rPr>
                <w:rFonts w:ascii="Arial" w:cs="Arial" w:eastAsia="Arial" w:hAnsi="Arial"/>
                <w:sz w:val="18"/>
                <w:szCs w:val="18"/>
                <w:color w:val="0000FF"/>
                <w:w w:val="99"/>
              </w:rPr>
              <w:t>Unaudited Condensed Consolidated Statements of Stockholders’ Equity</w:t>
            </w:r>
          </w:p>
        </w:tc>
        <w:tc>
          <w:tcPr>
            <w:tcW w:w="3060" w:type="dxa"/>
            <w:vAlign w:val="bottom"/>
            <w:tcBorders>
              <w:bottom w:val="single" w:sz="8" w:color="CCEEFF"/>
            </w:tcBorders>
            <w:gridSpan w:val="3"/>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ind w:left="160"/>
              <w:spacing w:after="0" w:line="189" w:lineRule="exact"/>
              <w:rPr>
                <w:sz w:val="20"/>
                <w:szCs w:val="20"/>
                <w:color w:val="auto"/>
              </w:rPr>
            </w:pPr>
            <w:r>
              <w:rPr>
                <w:rFonts w:ascii="Arial" w:cs="Arial" w:eastAsia="Arial" w:hAnsi="Arial"/>
                <w:sz w:val="18"/>
                <w:szCs w:val="18"/>
                <w:color w:val="0000FF"/>
              </w:rPr>
              <w:t>Unaudited Condensed Consolidated Statements of Cash Flows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Notes to Unaudited Condensed Consolidated 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2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2"/>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240" w:type="dxa"/>
            <w:vAlign w:val="bottom"/>
            <w:tcBorders>
              <w:bottom w:val="single" w:sz="8" w:color="CCEEFF"/>
            </w:tcBorders>
            <w:gridSpan w:val="8"/>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Controls and Procedures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50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00" w:type="dxa"/>
            <w:vAlign w:val="bottom"/>
            <w:gridSpan w:val="10"/>
          </w:tcPr>
          <w:p>
            <w:pPr>
              <w:jc w:val="center"/>
              <w:ind w:right="2580"/>
              <w:spacing w:after="0"/>
              <w:rPr>
                <w:sz w:val="20"/>
                <w:szCs w:val="20"/>
                <w:color w:val="auto"/>
              </w:rPr>
            </w:pPr>
            <w:r>
              <w:rPr>
                <w:rFonts w:ascii="Arial" w:cs="Arial" w:eastAsia="Arial" w:hAnsi="Arial"/>
                <w:sz w:val="18"/>
                <w:szCs w:val="18"/>
                <w:b w:val="1"/>
                <w:bCs w:val="1"/>
                <w:color w:val="auto"/>
                <w:w w:val="98"/>
              </w:rPr>
              <w:t>PART II. OTHER INFORMATION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460" w:type="dxa"/>
            <w:vAlign w:val="bottom"/>
            <w:tcBorders>
              <w:bottom w:val="single" w:sz="8" w:color="CCEEFF"/>
            </w:tcBorders>
            <w:gridSpan w:val="14"/>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Risk Factors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20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100" w:type="dxa"/>
            <w:vAlign w:val="bottom"/>
            <w:tcBorders>
              <w:bottom w:val="single" w:sz="8" w:color="CCEEFF"/>
            </w:tcBorders>
            <w:gridSpan w:val="7"/>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Defaults Upon Senior Securities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2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7020" w:type="dxa"/>
            <w:vAlign w:val="bottom"/>
            <w:tcBorders>
              <w:bottom w:val="single" w:sz="8" w:color="CCEEFF"/>
            </w:tcBorders>
            <w:gridSpan w:val="12"/>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5.</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Other Information</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98"/>
              </w:rPr>
              <w:t>Exhibits</w:t>
            </w:r>
          </w:p>
        </w:tc>
        <w:tc>
          <w:tcPr>
            <w:tcW w:w="8320" w:type="dxa"/>
            <w:vAlign w:val="bottom"/>
            <w:tcBorders>
              <w:bottom w:val="single" w:sz="8" w:color="CCEEFF"/>
            </w:tcBorders>
            <w:gridSpan w:val="18"/>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spacing w:after="0" w:line="189" w:lineRule="exact"/>
              <w:rPr>
                <w:sz w:val="20"/>
                <w:szCs w:val="20"/>
                <w:color w:val="auto"/>
              </w:rPr>
            </w:pPr>
            <w:r>
              <w:rPr>
                <w:rFonts w:ascii="Arial" w:cs="Arial" w:eastAsia="Arial" w:hAnsi="Arial"/>
                <w:sz w:val="18"/>
                <w:szCs w:val="18"/>
                <w:color w:val="0000FF"/>
              </w:rPr>
              <w:t>Signatures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76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top w:val="single" w:sz="8" w:color="0000FF"/>
            </w:tcBorders>
            <w:gridSpan w:val="3"/>
          </w:tcPr>
          <w:p>
            <w:pPr>
              <w:spacing w:after="0"/>
              <w:rPr>
                <w:sz w:val="24"/>
                <w:szCs w:val="24"/>
                <w:color w:val="auto"/>
              </w:rPr>
            </w:pPr>
          </w:p>
        </w:tc>
        <w:tc>
          <w:tcPr>
            <w:tcW w:w="3860" w:type="dxa"/>
            <w:vAlign w:val="bottom"/>
            <w:gridSpan w:val="9"/>
          </w:tcPr>
          <w:p>
            <w:pPr>
              <w:jc w:val="center"/>
              <w:ind w:left="331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77" w:lineRule="exact"/>
        <w:rPr>
          <w:sz w:val="20"/>
          <w:szCs w:val="20"/>
          <w:color w:val="auto"/>
        </w:rPr>
      </w:pPr>
    </w:p>
    <w:p>
      <w:pPr>
        <w:ind w:left="660" w:hanging="328"/>
        <w:spacing w:after="0" w:line="285"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including our revenue, cost of revenue and operating expenses and our ability to achieve and maintain future profitability;</w:t>
      </w:r>
    </w:p>
    <w:p>
      <w:pPr>
        <w:spacing w:after="0" w:line="48"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our cash, cash equivalents and capital resources to meet our liquidity needs;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to effectively expand our operations;</w:t>
      </w:r>
    </w:p>
    <w:p>
      <w:pPr>
        <w:spacing w:after="0" w:line="117"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 including our expectations regarding future infrastructure investments as well as reorganization activities;</w:t>
      </w:r>
    </w:p>
    <w:p>
      <w:pPr>
        <w:spacing w:after="0" w:line="48"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deploy new and evolving technologies, such as artificial intelligence and machine learning, in our offerings;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the continued impact of network effects as we scale our platform;</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generate revenue from new Resale-as-a-Service (“RaaS”) offerings as sources of revenue;</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our key financial and operating metrics;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117" w:lineRule="exact"/>
        <w:rPr>
          <w:rFonts w:ascii="Arial" w:cs="Arial" w:eastAsia="Arial" w:hAnsi="Arial"/>
          <w:sz w:val="18"/>
          <w:szCs w:val="18"/>
          <w:i w:val="1"/>
          <w:iCs w:val="1"/>
          <w:color w:val="auto"/>
        </w:rPr>
      </w:pPr>
    </w:p>
    <w:p>
      <w:pPr>
        <w:jc w:val="both"/>
        <w:ind w:left="660" w:hanging="328"/>
        <w:spacing w:after="0" w:line="267"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 including the effects of foreign currency exchange rate fluctuations, inflationary pressures, increased interest rates, cybersecurity risks, changing consumer habits, climate change and extreme weather events and general global economic uncertainty;</w:t>
      </w:r>
    </w:p>
    <w:p>
      <w:pPr>
        <w:spacing w:after="0" w:line="65"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applicable laws and regulations; and</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and realize the benefits of our past or future strategic acquisitions or investments.</w:t>
      </w:r>
    </w:p>
    <w:p>
      <w:pPr>
        <w:spacing w:after="0" w:line="252"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i w:val="1"/>
          <w:iCs w:val="1"/>
          <w:color w:val="auto"/>
        </w:rPr>
        <w:t xml:space="preserve">You should not rely upon forward-looking statements as predictions of future events. Forward-looking statements are neither historical facts nor assurances of future performance. Forward-looking statements involve substantial risks and uncertainties that may cause actual results to differ materially from those that we expect. These risks and uncertainties include, but are not limited to: our ability to attract new users and convert users into buyers and active buyers; the sufficiency of our cash, cash equivalents and capital resources to meet our liquidity needs; our ability to effectively manage or sustain our growth and to effectively expand our operations; our ability to continue to generate revenue from new RaaS offerings as sources of revenue; risks from an intensely competitive market; our ability to effectively deploy new and evolving technologies, such as artificial intelligence and machine learning, in our offerings; risks arising from economic and industry trends, including the effects of foreign currency exchange rate fluctuations, inflationary pressures, increased interest rates, changing consumer habits, climate change and general global economic uncertainty; our ability to comply with applicable laws and regulations; our ability to recognize realize expected savings or benefits from reorganization activities; and our ability to successfully integrate and realize the benefits of our past or future strategic acquisitions or investments. More information on these risks and other potential factors that could affect the Company’s business, reputation, results of operations, financial condition, and stock price is included in the Company’s filings with the Securities and Exchange Commission (“SEC”), including in Part I, Item 1A, </w:t>
      </w:r>
      <w:r>
        <w:rPr>
          <w:rFonts w:ascii="Arial" w:cs="Arial" w:eastAsia="Arial" w:hAnsi="Arial"/>
          <w:sz w:val="18"/>
          <w:szCs w:val="18"/>
          <w:color w:val="auto"/>
        </w:rPr>
        <w:t>Risk Factors</w:t>
      </w:r>
      <w:r>
        <w:rPr>
          <w:rFonts w:ascii="Arial" w:cs="Arial" w:eastAsia="Arial" w:hAnsi="Arial"/>
          <w:sz w:val="18"/>
          <w:szCs w:val="18"/>
          <w:i w:val="1"/>
          <w:iCs w:val="1"/>
          <w:color w:val="auto"/>
        </w:rPr>
        <w:t>, of our Annual Report on Form 10-K for the year ended December 31, 2023, in Part II, Item 1A, Risk Factors, and elsewhere in this Quarterly Report on Form 10-Q,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Unless otherwise indicated or unless the context requires otherwise, all references in this document to “ThredUp”, “the Company”, “we”, “us”, “our”, or similar references are to ThredUp Inc. and its consolidated subsidiaries.</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ThredUp is one of the world’s largest online resale platforms for apparel, shoes and accessories, based primarily on items processed, items sold and the capacity of our distribution centers.</w:t>
      </w: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ThredUp intends to announce material information to the public through the ThredUp Investor Relations website (ir.thredup.com), SEC filings, press releases, public conference calls, and public webcasts. ThredUp uses these channels, as well as social media, to communicate with its investors, customers, and the public about the company, its offerings, and other issues. It is possible that the information ThredUp posts on social media could be deemed to be material information. As such, ThredUp encourages investors, the media, and others to follow the channels listed above, including the social media channels listed on ThredUp’s investor relations website, and to review the information disclosed through such channels.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4"/>
          </w:tcPr>
          <w:p>
            <w:pPr>
              <w:jc w:val="right"/>
              <w:ind w:right="311"/>
              <w:spacing w:after="0"/>
              <w:rPr>
                <w:sz w:val="20"/>
                <w:szCs w:val="20"/>
                <w:color w:val="auto"/>
              </w:rPr>
            </w:pPr>
            <w:r>
              <w:rPr>
                <w:rFonts w:ascii="Arial" w:cs="Arial" w:eastAsia="Arial" w:hAnsi="Arial"/>
                <w:sz w:val="14"/>
                <w:szCs w:val="14"/>
                <w:i w:val="1"/>
                <w:iCs w:val="1"/>
                <w:color w:val="auto"/>
              </w:rPr>
              <w:t>(in thousands, except par value amounts)</w:t>
            </w:r>
          </w:p>
        </w:tc>
        <w:tc>
          <w:tcPr>
            <w:tcW w:w="0" w:type="dxa"/>
            <w:vAlign w:val="bottom"/>
          </w:tcPr>
          <w:p>
            <w:pPr>
              <w:spacing w:after="0"/>
              <w:rPr>
                <w:sz w:val="1"/>
                <w:szCs w:val="1"/>
                <w:color w:val="auto"/>
              </w:rPr>
            </w:pPr>
          </w:p>
        </w:tc>
      </w:tr>
      <w:tr>
        <w:trPr>
          <w:trHeight w:val="234"/>
        </w:trPr>
        <w:tc>
          <w:tcPr>
            <w:tcW w:w="778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56,084</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15,687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86,856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93,888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85,083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87,672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244,279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249,967</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37,541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35,934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Seller payable</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77,071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76,673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44,621</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21,044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22,006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150,749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146,050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Class A and B common stock, $0.0001 par value; 1,120,000 shares authorized as of</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8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March 31, 2024 and December 31, 2023; 110,217 and 108,784 shares issued and</w:t>
            </w:r>
          </w:p>
        </w:tc>
        <w:tc>
          <w:tcPr>
            <w:tcW w:w="2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5"/>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as of March 31, 2024 and December 31, 2023, respectively</w:t>
            </w:r>
          </w:p>
        </w:tc>
        <w:tc>
          <w:tcPr>
            <w:tcW w:w="26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592,193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585,156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(495,429)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(478,875)</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103,917</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244,279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7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ind w:left="260"/>
              <w:spacing w:after="0" w:line="147"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2"/>
                <w:szCs w:val="12"/>
                <w:color w:val="auto"/>
              </w:rPr>
            </w:pPr>
          </w:p>
        </w:tc>
        <w:tc>
          <w:tcPr>
            <w:tcW w:w="1360" w:type="dxa"/>
            <w:vAlign w:val="bottom"/>
          </w:tcPr>
          <w:p>
            <w:pPr>
              <w:jc w:val="right"/>
              <w:ind w:right="412"/>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r>
      <w:tr>
        <w:trPr>
          <w:trHeight w:val="192"/>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4"/>
          </w:tcPr>
          <w:p>
            <w:pPr>
              <w:jc w:val="right"/>
              <w:ind w:right="312"/>
              <w:spacing w:after="0"/>
              <w:rPr>
                <w:sz w:val="20"/>
                <w:szCs w:val="20"/>
                <w:color w:val="auto"/>
              </w:rPr>
            </w:pPr>
            <w:r>
              <w:rPr>
                <w:rFonts w:ascii="Arial" w:cs="Arial" w:eastAsia="Arial" w:hAnsi="Arial"/>
                <w:sz w:val="14"/>
                <w:szCs w:val="14"/>
                <w:i w:val="1"/>
                <w:iCs w:val="1"/>
                <w:color w:val="auto"/>
              </w:rPr>
              <w:t>(in thousands, except per share amounts)</w:t>
            </w: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61,225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46,479</w:t>
            </w: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29,443</w:t>
            </w:r>
          </w:p>
        </w:tc>
      </w:tr>
      <w:tr>
        <w:trPr>
          <w:trHeight w:val="22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75,922</w:t>
            </w: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9,220</w:t>
            </w: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15,609</w:t>
            </w:r>
          </w:p>
        </w:tc>
      </w:tr>
      <w:tr>
        <w:trPr>
          <w:trHeight w:val="22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24,829</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51,093</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product, and technology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38,347</w:t>
            </w:r>
          </w:p>
        </w:tc>
      </w:tr>
      <w:tr>
        <w:trPr>
          <w:trHeight w:val="229"/>
        </w:trPr>
        <w:tc>
          <w:tcPr>
            <w:tcW w:w="776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16,870</w:t>
            </w: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16,059</w:t>
            </w:r>
          </w:p>
        </w:tc>
      </w:tr>
      <w:tr>
        <w:trPr>
          <w:trHeight w:val="22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72,037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71,276</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(20,183)</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(19,784)</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(19,793)</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 basic and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39"/>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shares used in computing loss per share, basic and diluted</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109,292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101,984</w:t>
            </w:r>
          </w:p>
        </w:tc>
      </w:tr>
    </w:tbl>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7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220" w:type="dxa"/>
            <w:vAlign w:val="bottom"/>
          </w:tcPr>
          <w:p>
            <w:pPr>
              <w:jc w:val="right"/>
              <w:ind w:right="415"/>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r>
      <w:tr>
        <w:trPr>
          <w:trHeight w:val="192"/>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6"/>
                <w:szCs w:val="16"/>
                <w:color w:val="auto"/>
              </w:rPr>
            </w:pP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(16,554)</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(19,793)</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29"/>
        </w:trPr>
        <w:tc>
          <w:tcPr>
            <w:tcW w:w="7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Unrealized gain (loss) on available-for-sale securities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(18,639)</w:t>
            </w:r>
          </w:p>
        </w:tc>
      </w:tr>
      <w:tr>
        <w:trPr>
          <w:trHeight w:val="21"/>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ind w:left="66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2023</w:t>
            </w:r>
          </w:p>
        </w:tc>
        <w:tc>
          <w:tcPr>
            <w:tcW w:w="1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108,784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585,156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(478,875)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103,917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00" w:type="dxa"/>
            <w:vAlign w:val="bottom"/>
          </w:tcPr>
          <w:p>
            <w:pPr>
              <w:spacing w:after="0" w:line="153" w:lineRule="exact"/>
              <w:rPr>
                <w:sz w:val="20"/>
                <w:szCs w:val="20"/>
                <w:color w:val="auto"/>
              </w:rPr>
            </w:pPr>
            <w:r>
              <w:rPr>
                <w:rFonts w:ascii="Arial" w:cs="Arial" w:eastAsia="Arial" w:hAnsi="Arial"/>
                <w:sz w:val="14"/>
                <w:szCs w:val="14"/>
                <w:color w:val="auto"/>
              </w:rPr>
              <w:t>Issuance of common stock from exercise of stock</w:t>
            </w:r>
          </w:p>
        </w:tc>
        <w:tc>
          <w:tcPr>
            <w:tcW w:w="12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1,694</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options and restricted stock units</w:t>
            </w:r>
          </w:p>
        </w:tc>
        <w:tc>
          <w:tcPr>
            <w:tcW w:w="1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4"/>
                <w:szCs w:val="14"/>
                <w:color w:val="auto"/>
              </w:rPr>
              <w:t>Shares withheld for net share settlement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loss</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March 31, 2024</w:t>
            </w:r>
          </w:p>
        </w:tc>
        <w:tc>
          <w:tcPr>
            <w:tcW w:w="1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110,217</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592,193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93,530</w:t>
            </w: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ind w:left="68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101,532</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551,852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(407,627)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Issuance of common stock from exercise of stock</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1,484</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ind w:left="160"/>
              <w:spacing w:after="0"/>
              <w:rPr>
                <w:sz w:val="20"/>
                <w:szCs w:val="20"/>
                <w:color w:val="auto"/>
              </w:rPr>
            </w:pPr>
            <w:r>
              <w:rPr>
                <w:rFonts w:ascii="Arial" w:cs="Arial" w:eastAsia="Arial" w:hAnsi="Arial"/>
                <w:sz w:val="14"/>
                <w:szCs w:val="14"/>
                <w:color w:val="auto"/>
              </w:rPr>
              <w:t>options and restricted stock units</w:t>
            </w:r>
          </w:p>
        </w:tc>
        <w:tc>
          <w:tcPr>
            <w:tcW w:w="1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4"/>
                <w:szCs w:val="14"/>
                <w:color w:val="auto"/>
              </w:rPr>
              <w:t>Shares withheld for net share settlement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(19,793)</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income</w:t>
            </w:r>
          </w:p>
        </w:tc>
        <w:tc>
          <w:tcPr>
            <w:tcW w:w="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March 31, 2023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102,836</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561,577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(427,420)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131,087</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7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220" w:type="dxa"/>
            <w:vAlign w:val="bottom"/>
          </w:tcPr>
          <w:p>
            <w:pPr>
              <w:jc w:val="right"/>
              <w:ind w:right="431"/>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7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2023</w:t>
            </w:r>
          </w:p>
        </w:tc>
      </w:tr>
      <w:tr>
        <w:trPr>
          <w:trHeight w:val="192"/>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6"/>
                <w:szCs w:val="16"/>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(16,554)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(19,793)</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4,933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3,681</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Reduction in carrying amount of right-of-use assets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29"/>
        </w:trPr>
        <w:tc>
          <w:tcPr>
            <w:tcW w:w="7780" w:type="dxa"/>
            <w:vAlign w:val="bottom"/>
          </w:tcPr>
          <w:p>
            <w:pPr>
              <w:ind w:left="5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(3,157)</w:t>
            </w:r>
          </w:p>
        </w:tc>
      </w:tr>
      <w:tr>
        <w:trPr>
          <w:trHeight w:val="230"/>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and non-current assets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78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4,102</w:t>
            </w: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Seller payable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r>
      <w:tr>
        <w:trPr>
          <w:trHeight w:val="230"/>
        </w:trPr>
        <w:tc>
          <w:tcPr>
            <w:tcW w:w="77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Maturities of marketable securities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24,579</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18,900</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Repayment of debt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stock-based awards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Payments of withholding taxes on stock-based awards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44,051</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ThredUp Inc. (“ThredUp” or the “Company”) was formed as a corporation in the State of Delaware in January 2009. ThredUp operates a large resale platform that enables consumers to buy and sell primarily secondhand apparel, shoes, and accessories.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Presentation and Use of Estimates</w:t>
      </w:r>
    </w:p>
    <w:p>
      <w:pPr>
        <w:spacing w:after="0" w:line="11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As permitted under those rules, certain footnotes or other financial information may be condensed or omitted.</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and intangibles, allowance for sales returns, breakage on loyalty points and rewards and gift cards, valuation of inventory, stock-based compensation, lease liabilities, goodwill and acquired intangible assets, and income taxes.</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and recurring adjustments necessary to present fairly the financial position of the Company as of March 31, 2024, and the results of operations and cash flows for the interim periods presented.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accompanying unaudited condensed consolidated financial statements and related financial information should be read in conjunction with the Company’s audited consolidated financial statements and related notes included in the Company’s Annual Report on Form 10-K for the year ended December 31, 2023 (the “2023 10-K”).</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accounting pronouncements adopted during the three months ended March 31, 2024.</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Not Yet Effective</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October 2023, the Financial Accounting Standards Board (the “FASB”) issued Accounting Standards Update (“ASU”) 2023-06, “Disclosure Improvements: Codification Amendments in Response to the SEC’s Disclosure Update and Simplification Initiative,” to amend certain disclosure and presentation requirements for a variety of topics within the Accounting Standards Codification (the “ASC”).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does not expect that the application of this standard will have an impact on our consolidated financial statements and disclosures.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2023, the FASB issued ASU 2023-07, Improvements to Reportable Segment Disclosures. This new guidance is designed to improve reportable segment disclosure requirements, primarily through enhanced disclosures about significant segment expenses. ASU 2023-07 is effective for fiscal years beginning after December 15, 2023, and interim periods within fiscal years beginning after December 15, 2024 on a retrospective basis. Early adoption is permitted. The Company is currently assessing the impact of adopting this new accounting standard on its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ASU 2023-09 requires additional quantitative and qualitative income tax disclosures to enable financial statements users to better assess how an entity’s operations and related tax risks and tax planning and operational opportunities affect its tax rate and prospects for future cash flows. For public business entities, ASU 2023-09 is effective for annual periods beginning after December 15, 2024, which will be the fiscal year ending December 31, 2025 for us. We expect the adoption will result in enhanced income tax disclosures.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from Loyalty Reward Redemption and Expiration</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a customer loyalty program, which allows end-customers to earn and accumulate points with each qualifying purchase. Earned points can be redeemed for loyalty rewards, such as non-cashoutable shopping credit, free shipping, or waived restocking fee, which can be applied to future purchases or returns. Unredeemed points expire after one year from the date the points were earned. Reward coupons expire six months from the date the reward is claimed. Points earned on purchases are a material right, representing a separate performance obligation.</w:t>
      </w:r>
    </w:p>
    <w:p>
      <w:pPr>
        <w:spacing w:after="0" w:line="1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allocated consideration for the points earned through qualifying purchase transactions is deferred based on the standalone selling price of the points, adjusted for expected breakage in proportion to the pattern of redemption, and recorded within deferred revenue under accrued and other current liabilities within the Company’s condensed consolidated balance sheets. Revenue is recognized for these performance obligations at a point in time when rewards are redeemed by the end customer or expired.</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2024 and December 31, 2023, the Company had a deferred revenue liability of $1.6 million and $3.1 million, respectively, related to its customer loyalty program, which is included in accrued and other current liabilities within the Company’s condensed consolidated balance sheets. The Company recognized revenue from loyalty reward redemption of $3.7 million and $2.1 million for the three months ended March 31, 2024 and 2023, respectively. As our loyalty points expire in 12 months and coupon rewards expire in six months, the revenue for the remaining performance obligation is expected to be recognized within a 12-month period.</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Gift Cards and Site Credits</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sells ThredUp gift cards on its e-commerce website and may also convert seller payables and site credits to ThredUp gift cards beginning after one year at the discretion of the Company. ThredUp gift cards do not expire or lose value over periods of inactivity. The Company accounts for gift cards by recognizing a gift card liability at the time a gift card is delivered to the customer. As of March 31, 2024 and December 31, 2023, $6.9 million and $6.6 million, respectively, of gift card liability was included in accrued and other current liabilities within the Company’s condensed consolidated balance sheets. Revenue from gift cards is generally recognized when the gift cards are redeemed by the customer and amounted to $0.3 million and $0.5 million for the three months ended March 31, 2024 and 2023, respectively.</w:t>
      </w:r>
    </w:p>
    <w:p>
      <w:pPr>
        <w:spacing w:after="0" w:line="1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recognizes breakage revenue when it determines that the redemption of gift cards is remote. Breakage revenue was $1.3 million for the three months ended March 31, 2024. Breakage revenue was not material for the three months ended March 31, 2023.</w:t>
      </w:r>
    </w:p>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issues site credits for returns, which can be applied toward future charges but may not be converted into cash. Site credits may also be converted to ThredUp gift cards beginning after one year at the discretion of the Company. These credits are recognized as revenue when used. As of March 31, 2024 and December 31, 2023, $5.2 million and $4.8 million, respectively, of such customer site credits were included in accrued and other current liabilities within the Company’s condensed consolidated balance sheets. Revenue recognized from the redemption of site credits was $13.5 million and $9.4 million for the three months ended March 31, 2024 and 2023,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Company’s condensed consolidated balance sheets that sum to the total of the same such amounts shown in the Company’s condensed consolidated statements of cash flows: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r>
      <w:tr>
        <w:trPr>
          <w:trHeight w:val="192"/>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4"/>
          </w:tcPr>
          <w:p>
            <w:pPr>
              <w:jc w:val="right"/>
              <w:ind w:right="1176"/>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56,084</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61,469</w:t>
            </w:r>
          </w:p>
        </w:tc>
      </w:tr>
      <w:tr>
        <w:trPr>
          <w:trHeight w:val="21"/>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 xml:space="preserve">The Company applies the provisions of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and non-financial assets and liabilities. ASC 820 defines fair value as the price that would be received to sell an asset or paid to transfer a liability in an orderly transaction between market participants at the measurement date. ASC 820 establishes a fair value hierarchy, which prioritizes the inputs used in measuring fair value into three broad levels as follows:</w:t>
      </w:r>
    </w:p>
    <w:p>
      <w:pPr>
        <w:spacing w:after="0" w:line="68" w:lineRule="exact"/>
        <w:rPr>
          <w:sz w:val="20"/>
          <w:szCs w:val="20"/>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measures certain assets and liabilities at fair value as discussed throughout the notes to its condensed consolidated financial statements. As of March 31, 2024 and December 31, 2023, the carrying amounts of the Company’s accounts receivable, other current assets, other assets, accounts payable, seller payable and accrued and other current liabilities approximated their estimated fair values due to their relatively short maturities. Management believes the terms of its long-term variable-rate debt reflect current market conditions for an instrument with similar terms and maturity, and as such, the carrying value of the Company’s long-term debt approximated its fair value as of March 31, 2024 and December 31, 2023.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 Measurements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tables provide information about the Company’s financial instruments that are measured at fair value on a recurring basis and indicate the fair value hierarchy of the valuation techniques utilized to determine such values as of March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 2024</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43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193"/>
        </w:trPr>
        <w:tc>
          <w:tcPr>
            <w:tcW w:w="4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7,647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7,647</w:t>
            </w: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w:t>
            </w:r>
          </w:p>
        </w:tc>
      </w:tr>
      <w:tr>
        <w:trPr>
          <w:trHeight w:val="223"/>
        </w:trPr>
        <w:tc>
          <w:tcPr>
            <w:tcW w:w="4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cash equivalents</w:t>
            </w:r>
          </w:p>
        </w:tc>
        <w:tc>
          <w:tcPr>
            <w:tcW w:w="1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5,067</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20,215</w:t>
            </w: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25,282</w:t>
            </w: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10,419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10,419</w:t>
            </w: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r>
      <w:tr>
        <w:trPr>
          <w:trHeight w:val="223"/>
        </w:trPr>
        <w:tc>
          <w:tcPr>
            <w:tcW w:w="4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marketable securities</w:t>
            </w:r>
          </w:p>
        </w:tc>
        <w:tc>
          <w:tcPr>
            <w:tcW w:w="1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12,399</w:t>
            </w: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12,399</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13"/>
        </w:trPr>
        <w:tc>
          <w:tcPr>
            <w:tcW w:w="43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6"/>
        </w:trPr>
        <w:tc>
          <w:tcPr>
            <w:tcW w:w="43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193"/>
        </w:trPr>
        <w:tc>
          <w:tcPr>
            <w:tcW w:w="4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14,954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14,954</w:t>
            </w: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U.S. government agency bonds</w:t>
            </w:r>
          </w:p>
        </w:tc>
        <w:tc>
          <w:tcPr>
            <w:tcW w:w="1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23"/>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32,066</w:t>
            </w:r>
          </w:p>
        </w:tc>
      </w:tr>
      <w:tr>
        <w:trPr>
          <w:trHeight w:val="210"/>
        </w:trPr>
        <w:tc>
          <w:tcPr>
            <w:tcW w:w="43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U.S. government agency bonds</w:t>
            </w:r>
          </w:p>
        </w:tc>
        <w:tc>
          <w:tcPr>
            <w:tcW w:w="1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23"/>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32,138</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40,166</w:t>
            </w:r>
          </w:p>
        </w:tc>
      </w:tr>
      <w:tr>
        <w:trPr>
          <w:trHeight w:val="20"/>
        </w:trPr>
        <w:tc>
          <w:tcPr>
            <w:tcW w:w="4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summarize the cost, gross unrealized gains, gross unrealized losses and fair value of the marketable securities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March 31, 2024 and December 31,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 2024</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195"/>
        </w:trPr>
        <w:tc>
          <w:tcPr>
            <w:tcW w:w="4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Unrealized</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7"/>
        </w:trPr>
        <w:tc>
          <w:tcPr>
            <w:tcW w:w="4300" w:type="dxa"/>
            <w:vAlign w:val="bottom"/>
          </w:tcPr>
          <w:p>
            <w:pPr>
              <w:spacing w:after="0"/>
              <w:rPr>
                <w:sz w:val="17"/>
                <w:szCs w:val="17"/>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Cost or Amortized Cost</w:t>
            </w: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Gains</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Losses</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Fair Value</w:t>
            </w:r>
          </w:p>
        </w:tc>
      </w:tr>
      <w:tr>
        <w:trPr>
          <w:trHeight w:val="193"/>
        </w:trPr>
        <w:tc>
          <w:tcPr>
            <w:tcW w:w="4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2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U.S. government agency bonds</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1,980</w:t>
            </w:r>
          </w:p>
        </w:tc>
      </w:tr>
      <w:tr>
        <w:trPr>
          <w:trHeight w:val="24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720"/>
        </w:trPr>
        <w:tc>
          <w:tcPr>
            <w:tcW w:w="4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1"/>
        </w:trPr>
        <w:tc>
          <w:tcPr>
            <w:tcW w:w="43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rPr>
              <w:t>December 31, 2023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195"/>
        </w:trPr>
        <w:tc>
          <w:tcPr>
            <w:tcW w:w="4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rPr>
              <w:t>Unrealized</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7"/>
        </w:trPr>
        <w:tc>
          <w:tcPr>
            <w:tcW w:w="4300" w:type="dxa"/>
            <w:vAlign w:val="bottom"/>
          </w:tcPr>
          <w:p>
            <w:pPr>
              <w:spacing w:after="0"/>
              <w:rPr>
                <w:sz w:val="17"/>
                <w:szCs w:val="17"/>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Cost or Amortized Cost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Gains</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Losses</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Fair Value</w:t>
            </w:r>
          </w:p>
        </w:tc>
      </w:tr>
      <w:tr>
        <w:trPr>
          <w:trHeight w:val="193"/>
        </w:trPr>
        <w:tc>
          <w:tcPr>
            <w:tcW w:w="4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3"/>
          </w:tcPr>
          <w:p>
            <w:pPr>
              <w:jc w:val="center"/>
              <w:ind w:right="536"/>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U.S. government agency bonds</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4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March 31, 2024 and December 31, 2023, the Company’s cash equivalents approximated their estimated fair value. As such, there were no unrealized gains or losses related to the Company’s cash equivalents.</w:t>
      </w:r>
    </w:p>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three months ended March 31, 2024 and 2023, the Company did not recognize any losses on its marketable securities due to credit-related factors.</w:t>
      </w:r>
    </w:p>
    <w:p>
      <w:pPr>
        <w:spacing w:after="0" w:line="1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March 31, 2024, the Company’s money market funds were valued using Level 1 inputs because they were valued using quoted prices in active markets. The Company’s U.S. treasury securities, commercial paper and U.S. government agency bonds were valued using Level 2 inputs because they were valued using quoted prices for similar assets or liabilities in active markets and quoted prices for identical or similar assets or liabilities in markets that are not active.</w:t>
      </w:r>
    </w:p>
    <w:p>
      <w:pPr>
        <w:spacing w:after="0" w:line="17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There were no transfers into or out of Level 3 during the three months ended March 31, 2024. As of March 31, 2024, all of the $12.4 million carrying amount of marketable securities had a contractual maturity date of less than one year.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r>
      <w:tr>
        <w:trPr>
          <w:trHeight w:val="192"/>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4"/>
          </w:tcPr>
          <w:p>
            <w:pPr>
              <w:jc w:val="right"/>
              <w:ind w:right="1173"/>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Machinery and equipment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79,166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79,273</w:t>
            </w: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27,620</w:t>
            </w: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color w:val="auto"/>
              </w:rPr>
              <w:t>Internal-use software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11,284</w:t>
            </w: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Computers and software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6,542</w:t>
            </w: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 property and equipment, at cost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136,614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135,553</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(47,881)</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87,672</w:t>
            </w: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Depreciation and amortization expense of property and equipment was $4.3 million and $3.0 million for the three months ended March 31, 2024 and 2023,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Goodwill is primarily attributable to the planned growth in the combined business after the acquisition of Remix Global EAD (“Remix”). Goodwill is reviewed for impairment at least annually, absent any interim indicators of impairment. Goodwill was $11.7 million and $12.0 million as of March 31, 2024 and December 31, 2023, respectively. The change in goodwill during the three months ended March 31, 2024 was due to foreign currency translation adjustments.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gross carrying amounts and accumulated amortization of the Company’s intangible assets with determinable lives as of March 31, 2024 and December 31, 2023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31, 2024</w:t>
            </w: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80" w:type="dxa"/>
            <w:vAlign w:val="bottom"/>
            <w:vMerge w:val="restart"/>
          </w:tcPr>
          <w:p>
            <w:pPr>
              <w:spacing w:after="0"/>
              <w:rPr>
                <w:sz w:val="12"/>
                <w:szCs w:val="12"/>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years)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(3,776)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2023</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80" w:type="dxa"/>
            <w:vAlign w:val="bottom"/>
            <w:vMerge w:val="restart"/>
          </w:tcPr>
          <w:p>
            <w:pPr>
              <w:spacing w:after="0"/>
              <w:rPr>
                <w:sz w:val="12"/>
                <w:szCs w:val="12"/>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years)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(3,482)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(5,982)</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gross carrying amounts were due to foreign currency translation adjustments.</w:t>
      </w:r>
    </w:p>
    <w:p>
      <w:pPr>
        <w:spacing w:after="0" w:line="2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Amortization expense related to developed technology, customer relationships, and trademarks is recorded within operations, product, and technology; sales, general, and administrative; and marketing expense, respectively, within the Company’s condensed consolidated statements of operations. Amortization expense of intangible assets with determinable lives was $0.6 million and $0.6 million for the three months ended March 31, 2024 and 2023, respectively.</w:t>
      </w:r>
    </w:p>
    <w:p>
      <w:pPr>
        <w:spacing w:after="0" w:line="284" w:lineRule="exact"/>
        <w:rPr>
          <w:sz w:val="20"/>
          <w:szCs w:val="20"/>
          <w:color w:val="auto"/>
        </w:rPr>
      </w:pPr>
    </w:p>
    <w:p>
      <w:pPr>
        <w:ind w:left="340" w:right="7920" w:hanging="332"/>
        <w:spacing w:after="0" w:line="451" w:lineRule="auto"/>
        <w:tabs>
          <w:tab w:leader="none" w:pos="216"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color w:val="auto"/>
        </w:rPr>
        <w:t>Inventories consisted of the following:</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r>
      <w:tr>
        <w:trPr>
          <w:trHeight w:val="192"/>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4"/>
          </w:tcPr>
          <w:p>
            <w:pPr>
              <w:jc w:val="right"/>
              <w:ind w:right="1177"/>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12,354</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Work in process inventory relates to items that are currently undergoing preparation for sale, including itemization, cleaning, and repair.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r>
      <w:tr>
        <w:trPr>
          <w:trHeight w:val="192"/>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4"/>
          </w:tcPr>
          <w:p>
            <w:pPr>
              <w:jc w:val="right"/>
              <w:ind w:right="1174"/>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and site credit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4,092</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vendor liabilities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4,967</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returns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6,377</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35,934</w:t>
            </w: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February 2019, the Company entered into a loan and security agreement (“Term Loan”) with Western Alliance Bank for an aggregate amount of up to $40.0 million.</w:t>
      </w:r>
    </w:p>
    <w:p>
      <w:pPr>
        <w:spacing w:after="0" w:line="15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Term Loan was subsequently amended several times, with the most recent amendment taking place in December 2023. As amended, the Term Loan matures on July 14, 2027 and provides for an aggregate borrowing amount of up to $48.8 million, of which $22.5 million is designated for the purchase of certain equipment. The Term Loan bears interest at the prime rate published in the Wall Street Journal plus a margin of 1.25%, with a floor of 4.75%.</w:t>
      </w:r>
    </w:p>
    <w:p>
      <w:pPr>
        <w:spacing w:after="0" w:line="1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Term Loan requires the Company to comply with certain financial covenants, including, among other things, liquidity requirements, minimum cash deposits with Western Alliance Bank,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March 31, 2024 and December 31, 2023, the Company was in compliance with its debt covenants under the Term Loan.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Loan is payable in consecutive monthly installments. Interest is due monthly on amounts outstanding under the Term Loan.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permitted to make voluntary prepayments without penalty or premium at any time.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2024 and December 31, 2023, the effective interest rate for borrowings under the Term Loan was 10.73%.</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three months ended March 31, 2024 and 2023, the Company did not make any borrowings under the Term Loan and repaid a total of $ 1.0 million in each of the periods on amounts outstanding under the Term Loan. As of March 31, 2024 and December 31, 2023, the amounts outstanding under the Term Loan were $25.3 million and $26.3 million, respectively.</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incurred $0.7 million of interest costs relating to the Term Loan during each of the three months ended March 31, 2024 and 2023. There was no capitalized interest during the three months ended March 31, 2024, and $0.6 million was capitalized as part of an asset for the three months ended March 31,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2024, the future annual principal payments of the Term Loan were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9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Amount</w:t>
            </w:r>
          </w:p>
        </w:tc>
      </w:tr>
      <w:tr>
        <w:trPr>
          <w:trHeight w:val="193"/>
        </w:trPr>
        <w:tc>
          <w:tcPr>
            <w:tcW w:w="9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294"/>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(Remaining nine months)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14,333</w:t>
            </w: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25,333</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Less: unamortized debt discount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Non-current portion of long-term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21,044</w:t>
            </w:r>
          </w:p>
        </w:tc>
      </w:tr>
      <w:tr>
        <w:trPr>
          <w:trHeight w:val="21"/>
        </w:trPr>
        <w:tc>
          <w:tcPr>
            <w:tcW w:w="9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and Stockholders’ Equity</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Each share of Class A common stock is entitled to one vote per share. Each share of Class B common stock is entitled to ten votes per share and is convertible at any time into one share of Class A common stock.</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table below summarizes the Class A common stock and Class B common stock authorized, issued and outstanding as of March 31, 2024 and December 31, 2023:</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3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147"/>
        </w:trPr>
        <w:tc>
          <w:tcPr>
            <w:tcW w:w="7780" w:type="dxa"/>
            <w:vAlign w:val="bottom"/>
          </w:tcPr>
          <w:p>
            <w:pPr>
              <w:spacing w:after="0"/>
              <w:rPr>
                <w:sz w:val="12"/>
                <w:szCs w:val="12"/>
                <w:color w:val="auto"/>
              </w:rPr>
            </w:pPr>
          </w:p>
        </w:tc>
        <w:tc>
          <w:tcPr>
            <w:tcW w:w="21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Authorized</w:t>
            </w:r>
          </w:p>
        </w:tc>
        <w:tc>
          <w:tcPr>
            <w:tcW w:w="1260" w:type="dxa"/>
            <w:vAlign w:val="bottom"/>
          </w:tcPr>
          <w:p>
            <w:pPr>
              <w:jc w:val="center"/>
              <w:ind w:right="317"/>
              <w:spacing w:after="0" w:line="147" w:lineRule="exact"/>
              <w:rPr>
                <w:sz w:val="20"/>
                <w:szCs w:val="20"/>
                <w:color w:val="auto"/>
              </w:rPr>
            </w:pPr>
            <w:r>
              <w:rPr>
                <w:rFonts w:ascii="Arial" w:cs="Arial" w:eastAsia="Arial" w:hAnsi="Arial"/>
                <w:sz w:val="14"/>
                <w:szCs w:val="14"/>
                <w:b w:val="1"/>
                <w:bCs w:val="1"/>
                <w:color w:val="auto"/>
              </w:rPr>
              <w:t>Issued and</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216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2160" w:type="dxa"/>
            <w:vAlign w:val="bottom"/>
            <w:gridSpan w:val="3"/>
          </w:tcPr>
          <w:p>
            <w:pPr>
              <w:jc w:val="center"/>
              <w:ind w:left="1179"/>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29,944</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7780" w:type="dxa"/>
            <w:vAlign w:val="bottom"/>
          </w:tcPr>
          <w:p>
            <w:pPr>
              <w:spacing w:after="0"/>
              <w:rPr>
                <w:sz w:val="24"/>
                <w:szCs w:val="24"/>
                <w:color w:val="auto"/>
              </w:rPr>
            </w:pPr>
          </w:p>
        </w:tc>
        <w:tc>
          <w:tcPr>
            <w:tcW w:w="3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43"/>
        </w:trPr>
        <w:tc>
          <w:tcPr>
            <w:tcW w:w="7780" w:type="dxa"/>
            <w:vAlign w:val="bottom"/>
          </w:tcPr>
          <w:p>
            <w:pPr>
              <w:spacing w:after="0"/>
              <w:rPr>
                <w:sz w:val="12"/>
                <w:szCs w:val="12"/>
                <w:color w:val="auto"/>
              </w:rPr>
            </w:pPr>
          </w:p>
        </w:tc>
        <w:tc>
          <w:tcPr>
            <w:tcW w:w="21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Authorized</w:t>
            </w:r>
          </w:p>
        </w:tc>
        <w:tc>
          <w:tcPr>
            <w:tcW w:w="1260" w:type="dxa"/>
            <w:vAlign w:val="bottom"/>
          </w:tcPr>
          <w:p>
            <w:pPr>
              <w:jc w:val="center"/>
              <w:ind w:right="317"/>
              <w:spacing w:after="0" w:line="143" w:lineRule="exact"/>
              <w:rPr>
                <w:sz w:val="20"/>
                <w:szCs w:val="20"/>
                <w:color w:val="auto"/>
              </w:rPr>
            </w:pPr>
            <w:r>
              <w:rPr>
                <w:rFonts w:ascii="Arial" w:cs="Arial" w:eastAsia="Arial" w:hAnsi="Arial"/>
                <w:sz w:val="14"/>
                <w:szCs w:val="14"/>
                <w:b w:val="1"/>
                <w:bCs w:val="1"/>
                <w:color w:val="auto"/>
              </w:rPr>
              <w:t>Issued and</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16"/>
                <w:szCs w:val="16"/>
                <w:color w:val="auto"/>
              </w:rPr>
            </w:pPr>
          </w:p>
        </w:tc>
        <w:tc>
          <w:tcPr>
            <w:tcW w:w="216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2160" w:type="dxa"/>
            <w:vAlign w:val="bottom"/>
            <w:gridSpan w:val="3"/>
          </w:tcPr>
          <w:p>
            <w:pPr>
              <w:jc w:val="center"/>
              <w:ind w:left="1179"/>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29,954</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108,784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has stock-based compensation plans, which are more fully described in Note 10, Stock-Based Compensation Plans, to the Consolidated Financial Statements included in the 2023 10-K. During the three months ended March 31, 2024, the Company granted restricted stock units subject to service conditions.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stock-based compensation expense by financial statement line item:</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7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2"/>
                <w:szCs w:val="12"/>
                <w:color w:val="auto"/>
              </w:rPr>
            </w:pPr>
          </w:p>
        </w:tc>
        <w:tc>
          <w:tcPr>
            <w:tcW w:w="1220" w:type="dxa"/>
            <w:vAlign w:val="bottom"/>
          </w:tcPr>
          <w:p>
            <w:pPr>
              <w:jc w:val="right"/>
              <w:ind w:right="416"/>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7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r>
      <w:tr>
        <w:trPr>
          <w:trHeight w:val="192"/>
        </w:trPr>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6"/>
                <w:szCs w:val="16"/>
                <w:color w:val="auto"/>
              </w:rPr>
            </w:pPr>
          </w:p>
        </w:tc>
      </w:tr>
      <w:tr>
        <w:trPr>
          <w:trHeight w:val="234"/>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Operations, product, and technology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2,571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Marketing</w:t>
            </w:r>
          </w:p>
        </w:tc>
        <w:tc>
          <w:tcPr>
            <w:tcW w:w="3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229"/>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Sales,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4,438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7,211</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r>
      <w:tr>
        <w:trPr>
          <w:trHeight w:val="21"/>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Stock-based compensation expense capitalized in internal use software was not material for the three months ended March 31, 2024 and 2023, respectively.</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11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the activities for all stock options under the Company’s share-based compensation plans for the three months ended March 31,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Weighted-Average</w:t>
            </w:r>
          </w:p>
        </w:tc>
        <w:tc>
          <w:tcPr>
            <w:tcW w:w="16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Exercise Price Per</w:t>
            </w:r>
          </w:p>
        </w:tc>
        <w:tc>
          <w:tcPr>
            <w:tcW w:w="1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Remaining Contractual</w:t>
            </w: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6"/>
                <w:szCs w:val="16"/>
                <w:color w:val="auto"/>
              </w:rPr>
            </w:pPr>
          </w:p>
        </w:tc>
        <w:tc>
          <w:tcPr>
            <w:tcW w:w="1520" w:type="dxa"/>
            <w:vAlign w:val="bottom"/>
          </w:tcPr>
          <w:p>
            <w:pPr>
              <w:jc w:val="center"/>
              <w:ind w:right="79"/>
              <w:spacing w:after="0"/>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79"/>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4.14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3.84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tcPr>
          <w:p>
            <w:pPr>
              <w:ind w:left="20"/>
              <w:spacing w:after="0" w:line="203" w:lineRule="exact"/>
              <w:rPr>
                <w:sz w:val="20"/>
                <w:szCs w:val="20"/>
                <w:color w:val="auto"/>
              </w:rPr>
            </w:pPr>
            <w:r>
              <w:rPr>
                <w:rFonts w:ascii="Arial" w:cs="Arial" w:eastAsia="Arial" w:hAnsi="Arial"/>
                <w:sz w:val="18"/>
                <w:szCs w:val="18"/>
                <w:color w:val="auto"/>
              </w:rPr>
              <w:t>Exercisable as of March 31, 2024</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14,977</w:t>
            </w:r>
          </w:p>
        </w:tc>
        <w:tc>
          <w:tcPr>
            <w:tcW w:w="2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1.97</w:t>
            </w:r>
          </w:p>
        </w:tc>
        <w:tc>
          <w:tcPr>
            <w:tcW w:w="80" w:type="dxa"/>
            <w:vAlign w:val="bottom"/>
          </w:tcPr>
          <w:p>
            <w:pPr>
              <w:spacing w:after="0"/>
              <w:rPr>
                <w:sz w:val="17"/>
                <w:szCs w:val="17"/>
                <w:color w:val="auto"/>
              </w:rPr>
            </w:pPr>
          </w:p>
        </w:tc>
        <w:tc>
          <w:tcPr>
            <w:tcW w:w="1740" w:type="dxa"/>
            <w:vAlign w:val="bottom"/>
            <w:gridSpan w:val="2"/>
          </w:tcPr>
          <w:p>
            <w:pPr>
              <w:ind w:left="800"/>
              <w:spacing w:after="0" w:line="203" w:lineRule="exact"/>
              <w:rPr>
                <w:sz w:val="20"/>
                <w:szCs w:val="20"/>
                <w:color w:val="auto"/>
              </w:rPr>
            </w:pPr>
            <w:r>
              <w:rPr>
                <w:rFonts w:ascii="Arial" w:cs="Arial" w:eastAsia="Arial" w:hAnsi="Arial"/>
                <w:sz w:val="18"/>
                <w:szCs w:val="18"/>
                <w:color w:val="auto"/>
              </w:rPr>
              <w:t>3.65 years</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line="203" w:lineRule="exact"/>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42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hanging="332"/>
        <w:spacing w:after="0" w:line="287"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intrinsic value is the amount by which the current market value of the underlying stock exceeds the exercise price of the stock awards.</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There were no options granted during the three months ended March 31, 2024 and 2023. The total intrinsic value of stock options exercised during the three months ended March 31, 2024 and 2023 was not material.</w:t>
      </w:r>
    </w:p>
    <w:p>
      <w:pPr>
        <w:spacing w:after="0" w:line="153"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As of March 31, 2024, the total unrecognized compensation cost related to all nonvested stock options was $0.8 million and the related weighted-average period over which it is expected to be recognized was approximately 0.83 years.</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Restricted Stock Units</w:t>
      </w:r>
    </w:p>
    <w:p>
      <w:pPr>
        <w:spacing w:after="0" w:line="223" w:lineRule="exact"/>
        <w:rPr>
          <w:sz w:val="20"/>
          <w:szCs w:val="20"/>
          <w:color w:val="auto"/>
        </w:rPr>
      </w:pPr>
    </w:p>
    <w:p>
      <w:pPr>
        <w:ind w:left="180" w:right="20" w:firstLine="324"/>
        <w:spacing w:after="0" w:line="287" w:lineRule="auto"/>
        <w:rPr>
          <w:sz w:val="20"/>
          <w:szCs w:val="20"/>
          <w:color w:val="auto"/>
        </w:rPr>
      </w:pPr>
      <w:r>
        <w:rPr>
          <w:rFonts w:ascii="Arial" w:cs="Arial" w:eastAsia="Arial" w:hAnsi="Arial"/>
          <w:sz w:val="18"/>
          <w:szCs w:val="18"/>
          <w:color w:val="auto"/>
        </w:rPr>
        <w:t>The following table summarizes the activities for all restricted stock units (“RSUs”) under the Company’s share-based compensation plans for the three months ended March 31, 2024:</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17"/>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6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5"/>
        </w:trPr>
        <w:tc>
          <w:tcPr>
            <w:tcW w:w="776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1680" w:type="dxa"/>
            <w:vAlign w:val="bottom"/>
          </w:tcPr>
          <w:p>
            <w:pPr>
              <w:jc w:val="right"/>
              <w:ind w:right="295"/>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December 31, 2023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5,058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March 31,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total vesting date fair value of RSUs that vested during the three months ended March 31, 2024 and 2023 was $3.5 million and $8.0 million, respectively.</w:t>
      </w: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three months ended March 31, 2023, the Company modified the vesting schedule of substantially all RSUs outstanding as of December 31, 2022 from 4 years to 3 years and recognized compensation expense of $2.4 million related to the acceleration of the vesting schedule.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March 31, 2024, the total unrecognized compensation cost related to all nonvested RSUs was $32.4 million and the related weighted-average period over which it is expected to be recognized was approximately 1.94 years.</w:t>
      </w:r>
    </w:p>
    <w:p>
      <w:pPr>
        <w:spacing w:after="0" w:line="261" w:lineRule="exact"/>
        <w:rPr>
          <w:sz w:val="20"/>
          <w:szCs w:val="20"/>
          <w:color w:val="auto"/>
        </w:rPr>
      </w:pPr>
    </w:p>
    <w:p>
      <w:pPr>
        <w:ind w:left="180" w:right="8080" w:hanging="172"/>
        <w:spacing w:after="0" w:line="375" w:lineRule="auto"/>
        <w:tabs>
          <w:tab w:leader="none" w:pos="31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 Contingencies</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115"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quarterly income tax provision reflects an estimate of the corresponding quarter’s state taxes in the U.S. The provision for income tax expense for the three months ended March 31, 2024 and 2023 was determined based upon estimates of the Company’s annual effective tax rate for the years ending December 31, 2024 and 2023, respectively. Since the Company is in a full valuation allowance position due to losses incurred since inception, the provision for taxes consists solely of certain state income taxes.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Loss Per Share</w:t>
      </w:r>
    </w:p>
    <w:p>
      <w:pPr>
        <w:spacing w:after="0" w:line="117"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following participating securities have been excluded from the computation of diluted loss per share for the periods presented because including them would have been anti-dilutive: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20" w:type="dxa"/>
            <w:vAlign w:val="bottom"/>
            <w:gridSpan w:val="3"/>
          </w:tcPr>
          <w:p>
            <w:pPr>
              <w:ind w:left="50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880" w:type="dxa"/>
            <w:vAlign w:val="bottom"/>
            <w:gridSpan w:val="2"/>
          </w:tcPr>
          <w:p>
            <w:pPr>
              <w:jc w:val="right"/>
              <w:ind w:right="59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20" w:type="dxa"/>
            <w:vAlign w:val="bottom"/>
            <w:tcBorders>
              <w:top w:val="single" w:sz="8" w:color="auto"/>
            </w:tcBorders>
            <w:gridSpan w:val="3"/>
          </w:tcPr>
          <w:p>
            <w:pPr>
              <w:ind w:left="126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10,988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Delayed share issuance related to acquisition</w:t>
            </w:r>
          </w:p>
        </w:tc>
        <w:tc>
          <w:tcPr>
            <w:tcW w:w="320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1994"/>
              <w:spacing w:after="0"/>
              <w:rPr>
                <w:sz w:val="20"/>
                <w:szCs w:val="20"/>
                <w:color w:val="auto"/>
              </w:rPr>
            </w:pPr>
            <w:r>
              <w:rPr>
                <w:rFonts w:ascii="Arial" w:cs="Arial" w:eastAsia="Arial" w:hAnsi="Arial"/>
                <w:sz w:val="18"/>
                <w:szCs w:val="18"/>
                <w:color w:val="auto"/>
              </w:rPr>
              <w:t>19</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other information, including our condensed consolidated financial statements and related notes included in Part I, Item 1, </w:t>
      </w:r>
      <w:r>
        <w:rPr>
          <w:rFonts w:ascii="Arial" w:cs="Arial" w:eastAsia="Arial" w:hAnsi="Arial"/>
          <w:sz w:val="18"/>
          <w:szCs w:val="18"/>
          <w:color w:val="auto"/>
        </w:rPr>
        <w:t>Financial Statements</w:t>
      </w:r>
      <w:r>
        <w:rPr>
          <w:rFonts w:ascii="Arial" w:cs="Arial" w:eastAsia="Arial" w:hAnsi="Arial"/>
          <w:sz w:val="18"/>
          <w:szCs w:val="18"/>
          <w:i w:val="1"/>
          <w:iCs w:val="1"/>
          <w:color w:val="auto"/>
        </w:rPr>
        <w:t xml:space="preserve">, of this Quarterly Report on Form 10-Q; Part I, Item 1A, </w:t>
      </w:r>
      <w:r>
        <w:rPr>
          <w:rFonts w:ascii="Arial" w:cs="Arial" w:eastAsia="Arial" w:hAnsi="Arial"/>
          <w:sz w:val="18"/>
          <w:szCs w:val="18"/>
          <w:color w:val="auto"/>
        </w:rPr>
        <w:t>Risk Factors</w:t>
      </w:r>
      <w:r>
        <w:rPr>
          <w:rFonts w:ascii="Arial" w:cs="Arial" w:eastAsia="Arial" w:hAnsi="Arial"/>
          <w:sz w:val="18"/>
          <w:szCs w:val="18"/>
          <w:i w:val="1"/>
          <w:iCs w:val="1"/>
          <w:color w:val="auto"/>
        </w:rPr>
        <w:t>, of this Quarterly Report on Form 10-Q; and our consolidated financial statements and related notes appearing in our Annual Report on Form 10-K for the year ended December 31, 2023 (the “</w:t>
      </w:r>
      <w:r>
        <w:rPr>
          <w:rFonts w:ascii="Arial" w:cs="Arial" w:eastAsia="Arial" w:hAnsi="Arial"/>
          <w:sz w:val="18"/>
          <w:szCs w:val="18"/>
          <w:color w:val="auto"/>
        </w:rPr>
        <w:t>2023</w:t>
      </w:r>
      <w:r>
        <w:rPr>
          <w:rFonts w:ascii="Arial" w:cs="Arial" w:eastAsia="Arial" w:hAnsi="Arial"/>
          <w:sz w:val="18"/>
          <w:szCs w:val="18"/>
          <w:i w:val="1"/>
          <w:iCs w:val="1"/>
          <w:color w:val="auto"/>
        </w:rPr>
        <w:t xml:space="preserve"> 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ThredUp operates one of the world’s largest online resale platforms for apparel, shoes and accessories. Our mission is to inspire the world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January 2023.</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marketplaces we have built enable buyers in the U.S. and in Europe to browse and purchase resale items for primarily apparel, shoes and accessories across a wide range of price points. Buyers enjoy shopping value, premium and luxury brands all in one place, at up to 90% off estimated retail price. Sellers enjoy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 Aside from Clean Out Kits, ThredUp also sources inventory from a variety of supply channels, such as wholesale supply in Europe.</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to our core marketplace, some of the world’s leading brands and retailers are taking advantage of our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Business Developments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Workforce Reorganization</w:t>
      </w:r>
    </w:p>
    <w:p>
      <w:pPr>
        <w:spacing w:after="0" w:line="115"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In March 2024, we reorganized certain corporate functions to improve efficiencies and reduce overhead costs, ensuring better alignment with the operational needs of the business, resulting in an estimated annualized reduction of operating expenses of $17 million. This and other reorganization activities we may undertake in the future are expected to provide future growth and efficiency benefits; however, the actual results may differ.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First Quarter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$79.6 million, representing an increase of 4.8% year-over-year.</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color w:val="auto"/>
        </w:rPr>
        <w:t xml:space="preserve">Gross Profit and Margin: </w:t>
      </w:r>
      <w:r>
        <w:rPr>
          <w:rFonts w:ascii="Arial" w:cs="Arial" w:eastAsia="Arial" w:hAnsi="Arial"/>
          <w:sz w:val="18"/>
          <w:szCs w:val="18"/>
          <w:color w:val="auto"/>
        </w:rPr>
        <w:t>Gross profit totaled $55.3 million, representing an increase of 8.3% year-over-year. Gross margin was 69.5%,</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of 220 basis points from 67.3% in the comparable quarter last year.</w:t>
      </w:r>
    </w:p>
    <w:p>
      <w:pPr>
        <w:spacing w:after="0" w:line="15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$16.6 million, or a negative 20.8% of revenue, for the first quarter of 2024, compared to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$19.8 million, or a negative 26.1% of revenue, for the first quarter of 2023.</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Non-GAAP Adjusted EBITDA Loss: </w:t>
      </w:r>
      <w:r>
        <w:rPr>
          <w:rFonts w:ascii="Arial" w:cs="Arial" w:eastAsia="Arial" w:hAnsi="Arial"/>
          <w:sz w:val="18"/>
          <w:szCs w:val="18"/>
          <w:color w:val="auto"/>
        </w:rPr>
        <w:t>Non-GAAP Adjusted EBITDA loss was $ 0.7 million, or a negative 0.9% of revenue,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2024, compared to Non-GAAP Adjusted EBITDA loss of $ 6.6 million, or a negative 8.7% of revenue, for the first quarter of 2023. Non-GAAP Adjusted EBITDA loss and Non-GAAP Adjusted EBITDA loss margin are non-GAAP measures which may not be comparable to similarly-titled measures used by other companies. See below for a reconciliation of Non-GAAP Adjusted EBITDA loss to net loss.</w:t>
      </w:r>
    </w:p>
    <w:p>
      <w:pPr>
        <w:spacing w:after="0" w:line="17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Active Buyers and Orders: </w:t>
      </w:r>
      <w:r>
        <w:rPr>
          <w:rFonts w:ascii="Arial" w:cs="Arial" w:eastAsia="Arial" w:hAnsi="Arial"/>
          <w:sz w:val="18"/>
          <w:szCs w:val="18"/>
          <w:color w:val="auto"/>
        </w:rPr>
        <w:t>Active Buyers totaled 1.7 million and Orders totaled 1.7 million in the first quarter of 2024, representing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of 3.7% and an increase of 9.3%, respectively, compared to the first quarter of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315"/>
              <w:spacing w:after="0" w:line="147"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2"/>
                <w:szCs w:val="12"/>
                <w:color w:val="auto"/>
              </w:rPr>
            </w:pPr>
          </w:p>
        </w:tc>
        <w:tc>
          <w:tcPr>
            <w:tcW w:w="1700" w:type="dxa"/>
            <w:vAlign w:val="bottom"/>
          </w:tcPr>
          <w:p>
            <w:pPr>
              <w:jc w:val="right"/>
              <w:ind w:right="833"/>
              <w:spacing w:after="0" w:line="147" w:lineRule="exact"/>
              <w:rPr>
                <w:sz w:val="20"/>
                <w:szCs w:val="20"/>
                <w:color w:val="auto"/>
              </w:rPr>
            </w:pPr>
            <w:r>
              <w:rPr>
                <w:rFonts w:ascii="Arial" w:cs="Arial" w:eastAsia="Arial" w:hAnsi="Arial"/>
                <w:sz w:val="14"/>
                <w:szCs w:val="14"/>
                <w:b w:val="1"/>
                <w:bCs w:val="1"/>
                <w:color w:val="auto"/>
              </w:rPr>
              <w:t>March 31,</w:t>
            </w:r>
          </w:p>
        </w:tc>
        <w:tc>
          <w:tcPr>
            <w:tcW w:w="7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93"/>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 except percentages)</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Active Buyers (as of period end)</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1,729</w:t>
            </w: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rPr>
              <w:t>1,668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Orders</w:t>
            </w:r>
          </w:p>
        </w:tc>
        <w:tc>
          <w:tcPr>
            <w:tcW w:w="240" w:type="dxa"/>
            <w:vAlign w:val="bottom"/>
          </w:tcPr>
          <w:p>
            <w:pPr>
              <w:spacing w:after="0"/>
              <w:rPr>
                <w:sz w:val="19"/>
                <w:szCs w:val="19"/>
                <w:color w:val="auto"/>
              </w:rPr>
            </w:pP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1,651</w:t>
            </w:r>
          </w:p>
        </w:tc>
        <w:tc>
          <w:tcPr>
            <w:tcW w:w="280" w:type="dxa"/>
            <w:vAlign w:val="bottom"/>
          </w:tcPr>
          <w:p>
            <w:pPr>
              <w:spacing w:after="0"/>
              <w:rPr>
                <w:sz w:val="19"/>
                <w:szCs w:val="19"/>
                <w:color w:val="auto"/>
              </w:rPr>
            </w:pPr>
          </w:p>
        </w:tc>
        <w:tc>
          <w:tcPr>
            <w:tcW w:w="1700" w:type="dxa"/>
            <w:vAlign w:val="bottom"/>
          </w:tcPr>
          <w:p>
            <w:pPr>
              <w:jc w:val="right"/>
              <w:ind w:right="713"/>
              <w:spacing w:after="0"/>
              <w:rPr>
                <w:sz w:val="20"/>
                <w:szCs w:val="20"/>
                <w:color w:val="auto"/>
              </w:rPr>
            </w:pPr>
            <w:r>
              <w:rPr>
                <w:rFonts w:ascii="Arial" w:cs="Arial" w:eastAsia="Arial" w:hAnsi="Arial"/>
                <w:sz w:val="18"/>
                <w:szCs w:val="18"/>
                <w:color w:val="auto"/>
              </w:rPr>
              <w:t>1,511</w:t>
            </w: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79,588</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rPr>
              <w:t>75,922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55,326</w:t>
            </w:r>
          </w:p>
        </w:tc>
        <w:tc>
          <w:tcPr>
            <w:tcW w:w="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13"/>
              <w:spacing w:after="0"/>
              <w:rPr>
                <w:sz w:val="20"/>
                <w:szCs w:val="20"/>
                <w:color w:val="auto"/>
              </w:rPr>
            </w:pPr>
            <w:r>
              <w:rPr>
                <w:rFonts w:ascii="Arial" w:cs="Arial" w:eastAsia="Arial" w:hAnsi="Arial"/>
                <w:sz w:val="18"/>
                <w:szCs w:val="18"/>
                <w:color w:val="auto"/>
              </w:rPr>
              <w:t>51,093</w:t>
            </w: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69.5 %</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67.3 %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bps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(16,554)</w:t>
            </w:r>
          </w:p>
        </w:tc>
        <w:tc>
          <w:tcPr>
            <w:tcW w:w="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(19,793)</w:t>
            </w: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(26.1)%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bps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Non-GAAP Adjusted EBITDA loss(1)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(736)</w:t>
            </w:r>
          </w:p>
        </w:tc>
        <w:tc>
          <w:tcPr>
            <w:tcW w:w="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(6,635)</w:t>
            </w:r>
          </w:p>
        </w:tc>
        <w:tc>
          <w:tcPr>
            <w:tcW w:w="740" w:type="dxa"/>
            <w:vAlign w:val="bottom"/>
          </w:tcPr>
          <w:p>
            <w:pPr>
              <w:jc w:val="right"/>
              <w:spacing w:after="0"/>
              <w:rPr>
                <w:sz w:val="20"/>
                <w:szCs w:val="20"/>
                <w:color w:val="auto"/>
              </w:rPr>
            </w:pPr>
            <w:r>
              <w:rPr>
                <w:rFonts w:ascii="Arial" w:cs="Arial" w:eastAsia="Arial" w:hAnsi="Arial"/>
                <w:sz w:val="18"/>
                <w:szCs w:val="18"/>
                <w:color w:val="auto"/>
              </w:rPr>
              <w:t>(88.9)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Non-GAAP Adjusted EBITDA loss margin(1)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(8.7)%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bps</w:t>
            </w: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40" w:hanging="332"/>
        <w:spacing w:after="0" w:line="268" w:lineRule="auto"/>
        <w:tabs>
          <w:tab w:leader="none" w:pos="33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Adjusted EBITDA loss and Non-GAAP Adjusted EBITDA loss margin are non-GAAP measures which may not be comparable to similarly-titled measures used by other companies. See below for a reconciliation of Non-GAAP Adjusted EBITDA loss to net loss.</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Active Buyers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An Active Buyer is a ThredUp buyer who has made at least one purchase in the last twelve months. A ThredUp buyer is a customer who has created an account and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Orders</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Orders means the total number of orders placed by buyers across our marketplaces, including through our RaaS clients, in a given period, net of cancellations.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Metrics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Non-GAAP Adjusted EBITDA Loss and Non-GAAP Adjusted EBITDA Loss Margin</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Non-GAAP Adjusted EBITDA loss means net loss adjusted to exclude, where applicable in a given period, stock-based compensation expense, depreciation and amortization, severance and other reorganization costs, interest expense, and provision for income taxes. Non-GAAP Adjusted EBITDA loss margin represents Non-GAAP Adjusted EBITDA loss divided by Total revenue. We use Non-GAAP Adjusted EBITDA loss and Non-GAAP Adjusted EBITDA loss margin, which are non-GAAP measures, to evaluate and assess our operating performance and the operating leverage in our business, and for internal planning and forecasting purposes. We believe that Non-GAAP Adjusted EBITDA loss and Non-GAAP Adjusted EBITDA loss margin,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net loss to Non-GAAP Adjusted EBITDA loss:</w:t>
      </w:r>
    </w:p>
    <w:p>
      <w:pPr>
        <w:spacing w:after="0" w:line="275"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w:t>
      </w:r>
    </w:p>
    <w:p>
      <w:pPr>
        <w:spacing w:after="0" w:line="35" w:lineRule="exact"/>
        <w:rPr>
          <w:sz w:val="20"/>
          <w:szCs w:val="20"/>
          <w:color w:val="auto"/>
        </w:rPr>
      </w:pPr>
    </w:p>
    <w:tbl>
      <w:tblPr>
        <w:tblLayout w:type="fixed"/>
        <w:tblInd w:w="7520" w:type="dxa"/>
        <w:tblCellMar>
          <w:top w:w="0" w:type="dxa"/>
          <w:left w:w="0" w:type="dxa"/>
          <w:bottom w:w="0" w:type="dxa"/>
          <w:right w:w="0" w:type="dxa"/>
        </w:tblCellMar>
      </w:tblPr>
      <w:tr>
        <w:trPr>
          <w:trHeight w:val="148"/>
        </w:trPr>
        <w:tc>
          <w:tcPr>
            <w:tcW w:w="1320" w:type="dxa"/>
            <w:vAlign w:val="bottom"/>
            <w:tcBorders>
              <w:top w:val="single" w:sz="8" w:color="auto"/>
            </w:tcBorders>
          </w:tcPr>
          <w:p>
            <w:pPr>
              <w:jc w:val="center"/>
              <w:ind w:left="428"/>
              <w:spacing w:after="0" w:line="149" w:lineRule="exact"/>
              <w:rPr>
                <w:sz w:val="20"/>
                <w:szCs w:val="20"/>
                <w:color w:val="auto"/>
              </w:rPr>
            </w:pPr>
            <w:r>
              <w:rPr>
                <w:rFonts w:ascii="Arial" w:cs="Arial" w:eastAsia="Arial" w:hAnsi="Arial"/>
                <w:sz w:val="14"/>
                <w:szCs w:val="14"/>
                <w:b w:val="1"/>
                <w:bCs w:val="1"/>
                <w:color w:val="auto"/>
              </w:rPr>
              <w:t>March 31,</w:t>
            </w:r>
          </w:p>
        </w:tc>
        <w:tc>
          <w:tcPr>
            <w:tcW w:w="2380" w:type="dxa"/>
            <w:vAlign w:val="bottom"/>
            <w:tcBorders>
              <w:top w:val="single" w:sz="8" w:color="auto"/>
            </w:tcBorders>
          </w:tcPr>
          <w:p>
            <w:pPr>
              <w:jc w:val="center"/>
              <w:ind w:left="528"/>
              <w:spacing w:after="0" w:line="149" w:lineRule="exact"/>
              <w:rPr>
                <w:sz w:val="20"/>
                <w:szCs w:val="20"/>
                <w:color w:val="auto"/>
              </w:rPr>
            </w:pPr>
            <w:r>
              <w:rPr>
                <w:rFonts w:ascii="Arial" w:cs="Arial" w:eastAsia="Arial" w:hAnsi="Arial"/>
                <w:sz w:val="14"/>
                <w:szCs w:val="14"/>
                <w:b w:val="1"/>
                <w:bCs w:val="1"/>
                <w:color w:val="auto"/>
              </w:rPr>
              <w:t>March 31,</w:t>
            </w:r>
          </w:p>
        </w:tc>
      </w:tr>
      <w:tr>
        <w:trPr>
          <w:trHeight w:val="185"/>
        </w:trPr>
        <w:tc>
          <w:tcPr>
            <w:tcW w:w="1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2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2023</w:t>
            </w:r>
          </w:p>
        </w:tc>
      </w:tr>
      <w:tr>
        <w:trPr>
          <w:trHeight w:val="188"/>
        </w:trPr>
        <w:tc>
          <w:tcPr>
            <w:tcW w:w="1320" w:type="dxa"/>
            <w:vAlign w:val="bottom"/>
          </w:tcPr>
          <w:p>
            <w:pPr>
              <w:spacing w:after="0"/>
              <w:rPr>
                <w:sz w:val="16"/>
                <w:szCs w:val="16"/>
                <w:color w:val="auto"/>
              </w:rPr>
            </w:pPr>
          </w:p>
        </w:tc>
        <w:tc>
          <w:tcPr>
            <w:tcW w:w="2380" w:type="dxa"/>
            <w:vAlign w:val="bottom"/>
          </w:tcPr>
          <w:p>
            <w:pPr>
              <w:ind w:left="80"/>
              <w:spacing w:after="0"/>
              <w:rPr>
                <w:sz w:val="20"/>
                <w:szCs w:val="20"/>
                <w:color w:val="auto"/>
              </w:rPr>
            </w:pPr>
            <w:r>
              <w:rPr>
                <w:rFonts w:ascii="Arial" w:cs="Arial" w:eastAsia="Arial" w:hAnsi="Arial"/>
                <w:sz w:val="14"/>
                <w:szCs w:val="14"/>
                <w:i w:val="1"/>
                <w:iCs w:val="1"/>
                <w:color w:val="auto"/>
              </w:rPr>
              <w:t>(in thousands)</w:t>
            </w:r>
          </w:p>
        </w:tc>
      </w:tr>
    </w:tbl>
    <w:p>
      <w:pPr>
        <w:spacing w:after="0" w:line="3"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wp:posOffset>
            </wp:positionV>
            <wp:extent cx="711517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and amortization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Severance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wp:posOffset>
            </wp:positionV>
            <wp:extent cx="711517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wp:posOffset>
            </wp:positionV>
            <wp:extent cx="71151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Non-GAAP Adjusted EBITDA loss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Non-GAAP Adjusted EBITDA loss margin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2024 and 2023</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60" w:type="dxa"/>
        <w:tblCellMar>
          <w:top w:w="0" w:type="dxa"/>
          <w:left w:w="0" w:type="dxa"/>
          <w:bottom w:w="0" w:type="dxa"/>
          <w:right w:w="0" w:type="dxa"/>
        </w:tblCellMar>
      </w:tblPr>
      <w:tr>
        <w:trPr>
          <w:trHeight w:val="229"/>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(16,554)</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(19,793)</w:t>
            </w:r>
          </w:p>
        </w:tc>
      </w:tr>
      <w:tr>
        <w:trPr>
          <w:trHeight w:val="230"/>
        </w:trPr>
        <w:tc>
          <w:tcPr>
            <w:tcW w:w="54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7,211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9,391</w:t>
            </w:r>
          </w:p>
        </w:tc>
      </w:tr>
      <w:tr>
        <w:trPr>
          <w:trHeight w:val="229"/>
        </w:trPr>
        <w:tc>
          <w:tcPr>
            <w:tcW w:w="54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4,933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3,681</w:t>
            </w:r>
          </w:p>
        </w:tc>
      </w:tr>
      <w:tr>
        <w:trPr>
          <w:trHeight w:val="229"/>
        </w:trPr>
        <w:tc>
          <w:tcPr>
            <w:tcW w:w="54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2,986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77</w:t>
            </w:r>
          </w:p>
        </w:tc>
      </w:tr>
      <w:tr>
        <w:trPr>
          <w:trHeight w:val="235"/>
        </w:trPr>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w:t>
            </w:r>
          </w:p>
        </w:tc>
      </w:tr>
      <w:tr>
        <w:trPr>
          <w:trHeight w:val="223"/>
        </w:trPr>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(6,635)</w:t>
            </w: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8"/>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79,588</w:t>
            </w:r>
          </w:p>
        </w:tc>
        <w:tc>
          <w:tcPr>
            <w:tcW w:w="8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75,922</w:t>
            </w:r>
          </w:p>
        </w:tc>
      </w:tr>
      <w:tr>
        <w:trPr>
          <w:trHeight w:val="239"/>
        </w:trPr>
        <w:tc>
          <w:tcPr>
            <w:tcW w:w="5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3"/>
        </w:trPr>
        <w:tc>
          <w:tcPr>
            <w:tcW w:w="13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March 31,</w:t>
            </w:r>
          </w:p>
        </w:tc>
        <w:tc>
          <w:tcPr>
            <w:tcW w:w="140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rPr>
              <w:t>March 31,</w:t>
            </w:r>
          </w:p>
        </w:tc>
        <w:tc>
          <w:tcPr>
            <w:tcW w:w="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Amount</w:t>
            </w:r>
          </w:p>
        </w:tc>
        <w:tc>
          <w:tcPr>
            <w:tcW w:w="15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3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32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2829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4"/>
          <w:szCs w:val="14"/>
          <w:i w:val="1"/>
          <w:iCs w:val="1"/>
          <w:color w:val="auto"/>
        </w:rPr>
        <w:t>(in thousands, except percentages)</w:t>
      </w:r>
    </w:p>
    <w:p>
      <w:pPr>
        <w:spacing w:after="0" w:line="47" w:lineRule="exact"/>
        <w:rPr>
          <w:sz w:val="20"/>
          <w:szCs w:val="20"/>
          <w:color w:val="auto"/>
        </w:rPr>
      </w:pPr>
    </w:p>
    <w:p>
      <w:pPr>
        <w:sectPr>
          <w:pgSz w:w="11900" w:h="16838" w:orient="portrait"/>
          <w:cols w:equalWidth="0" w:num="2">
            <w:col w:w="5580" w:space="480"/>
            <w:col w:w="518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18"/>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Consignment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61,225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46,479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18,363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29,443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(11,080)</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79,588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75,922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Consignment revenue as a percentage of total revenue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76.9 %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61.2 %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 as a percentage of total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revenue increased $3.7 million, or 4.8%, for the three months ended March 31, 2024 as compared to the same period in 2023. The increase in revenue for the three months ended March 31, 2024 as compared to the same period in 2023 was driven by $14.7 million or a 31.7% increase in consignment revenue, partially offset by $11.1 million or a 37.6% decrease in product revenue. The increase in total revenue was primarily due to a 3.7% increase in Active Buyers, a 9.3% increase in Orders and a 7.6% increase in the average order value. Consignment revenue increased while product revenue decreased as a percentage of revenue by 15.7% as we transitioned our RaaS partners and introduced our European operations to the consignment model in 2023.</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1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ind w:left="80"/>
              <w:spacing w:after="0"/>
              <w:rPr>
                <w:sz w:val="20"/>
                <w:szCs w:val="20"/>
                <w:color w:val="auto"/>
              </w:rPr>
            </w:pPr>
            <w:r>
              <w:rPr>
                <w:rFonts w:ascii="Arial" w:cs="Arial" w:eastAsia="Arial" w:hAnsi="Arial"/>
                <w:sz w:val="14"/>
                <w:szCs w:val="14"/>
                <w:i w:val="1"/>
                <w:iCs w:val="1"/>
                <w:color w:val="auto"/>
              </w:rPr>
              <w:t>(in thousands, except percentages)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consignment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10,502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9,220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4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 revenue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13,760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15,609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4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24,262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24,829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line="20" w:lineRule="exact"/>
              <w:rPr>
                <w:sz w:val="1"/>
                <w:szCs w:val="1"/>
                <w:color w:val="auto"/>
              </w:rPr>
            </w:pPr>
          </w:p>
        </w:tc>
      </w:tr>
      <w:tr>
        <w:trPr>
          <w:trHeight w:val="203"/>
        </w:trPr>
        <w:tc>
          <w:tcPr>
            <w:tcW w:w="6040" w:type="dxa"/>
            <w:vAlign w:val="bottom"/>
            <w:vMerge w:val="continue"/>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7"/>
              <w:spacing w:after="0" w:line="203" w:lineRule="exact"/>
              <w:rPr>
                <w:sz w:val="20"/>
                <w:szCs w:val="20"/>
                <w:color w:val="auto"/>
              </w:rPr>
            </w:pPr>
            <w:r>
              <w:rPr>
                <w:rFonts w:ascii="Arial" w:cs="Arial" w:eastAsia="Arial" w:hAnsi="Arial"/>
                <w:sz w:val="18"/>
                <w:szCs w:val="18"/>
                <w:color w:val="auto"/>
              </w:rPr>
              <w:t>55,326</w:t>
            </w:r>
          </w:p>
        </w:tc>
        <w:tc>
          <w:tcPr>
            <w:tcW w:w="80" w:type="dxa"/>
            <w:vAlign w:val="bottom"/>
          </w:tcPr>
          <w:p>
            <w:pPr>
              <w:spacing w:after="0"/>
              <w:rPr>
                <w:sz w:val="17"/>
                <w:szCs w:val="17"/>
                <w:color w:val="auto"/>
              </w:rPr>
            </w:pPr>
          </w:p>
        </w:tc>
        <w:tc>
          <w:tcPr>
            <w:tcW w:w="220" w:type="dxa"/>
            <w:vAlign w:val="bottom"/>
          </w:tcPr>
          <w:p>
            <w:pPr>
              <w:jc w:val="right"/>
              <w:ind w:right="15"/>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5"/>
              <w:spacing w:after="0" w:line="203" w:lineRule="exact"/>
              <w:rPr>
                <w:sz w:val="20"/>
                <w:szCs w:val="20"/>
                <w:color w:val="auto"/>
              </w:rPr>
            </w:pPr>
            <w:r>
              <w:rPr>
                <w:rFonts w:ascii="Arial" w:cs="Arial" w:eastAsia="Arial" w:hAnsi="Arial"/>
                <w:sz w:val="18"/>
                <w:szCs w:val="18"/>
                <w:color w:val="auto"/>
              </w:rPr>
              <w:t>51,093</w:t>
            </w:r>
          </w:p>
        </w:tc>
        <w:tc>
          <w:tcPr>
            <w:tcW w:w="8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4,233</w:t>
            </w:r>
          </w:p>
        </w:tc>
        <w:tc>
          <w:tcPr>
            <w:tcW w:w="4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8"/>
          <w:szCs w:val="18"/>
          <w:color w:val="auto"/>
        </w:rPr>
        <w:t>Gross margin was 69.5% and 67.3% for the three months ended March 31, 2024 and 2023, respectively, or an increase of 220 basis points</w:t>
      </w:r>
      <w:r>
        <w:rPr>
          <w:rFonts w:ascii="Arial" w:cs="Arial" w:eastAsia="Arial" w:hAnsi="Arial"/>
          <w:sz w:val="21"/>
          <w:szCs w:val="21"/>
          <w:color w:val="auto"/>
        </w:rPr>
        <w:t>.</w:t>
      </w:r>
    </w:p>
    <w:p>
      <w:pPr>
        <w:spacing w:after="0" w:line="13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Consignment revenue is recognized net of seller payouts. Seller payouts related to product revenue are included as a component of cost of product revenue. As such, product revenue has a lower gross margin than consignment revenue.</w:t>
      </w:r>
    </w:p>
    <w:p>
      <w:pPr>
        <w:sectPr>
          <w:pgSz w:w="11900" w:h="16838" w:orient="portrait"/>
          <w:cols w:equalWidth="0" w:num="1">
            <w:col w:w="11240"/>
          </w:cols>
          <w:pgMar w:left="320" w:top="121" w:right="339" w:bottom="1440" w:gutter="0" w:footer="0" w:header="0"/>
          <w:type w:val="continuous"/>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gross margin for the three months ended March 31, 2024 as compared to the same period in 2023 was primarily due to an increase in consignment gross margin by 260 basis points, primarily driven by lower shipping, labor and packaging costs. We transitioned our RaaS partners and introduced our European operations to the consignment model in 2023, which positively impacted our gross margin. This higher consignment gross margin was offset by a 2,190 basis point decrease in product gross margin, primarily driven by higher inventory costs.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Consignment Gross Margin</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81"/>
              <w:spacing w:after="0" w:line="147"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14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420" w:type="dxa"/>
            <w:vAlign w:val="bottom"/>
            <w:vMerge w:val="restart"/>
          </w:tcPr>
          <w:p>
            <w:pPr>
              <w:jc w:val="right"/>
              <w:ind w:right="722"/>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40" w:type="dxa"/>
            <w:vAlign w:val="bottom"/>
            <w:gridSpan w:val="5"/>
          </w:tcPr>
          <w:p>
            <w:pPr>
              <w:jc w:val="right"/>
              <w:ind w:right="562"/>
              <w:spacing w:after="0"/>
              <w:rPr>
                <w:sz w:val="20"/>
                <w:szCs w:val="20"/>
                <w:color w:val="auto"/>
              </w:rPr>
            </w:pPr>
            <w:r>
              <w:rPr>
                <w:rFonts w:ascii="Arial" w:cs="Arial" w:eastAsia="Arial" w:hAnsi="Arial"/>
                <w:sz w:val="14"/>
                <w:szCs w:val="14"/>
                <w:i w:val="1"/>
                <w:iCs w:val="1"/>
                <w:color w:val="auto"/>
              </w:rPr>
              <w:t>(in thousands, except percentages)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consignment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10,502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9,220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1,282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39"/>
        </w:trPr>
        <w:tc>
          <w:tcPr>
            <w:tcW w:w="6000" w:type="dxa"/>
            <w:vAlign w:val="bottom"/>
          </w:tcPr>
          <w:p>
            <w:pPr>
              <w:ind w:left="20"/>
              <w:spacing w:after="0"/>
              <w:rPr>
                <w:sz w:val="20"/>
                <w:szCs w:val="20"/>
                <w:color w:val="auto"/>
              </w:rPr>
            </w:pPr>
            <w:r>
              <w:rPr>
                <w:rFonts w:ascii="Arial" w:cs="Arial" w:eastAsia="Arial" w:hAnsi="Arial"/>
                <w:sz w:val="18"/>
                <w:szCs w:val="18"/>
                <w:color w:val="auto"/>
              </w:rPr>
              <w:t>Consignment gross margin</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82.8 %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80.2 %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Consignment gross margin was 82.8% and 80.2% for the three months ended March 31, 2024 and 2023, respectively, or an increase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260 basis points. The increase in consignment gross margin for the three months ended March 31, 2024 as compared to the same period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 was primarily due to a 260 basis point decrease in outbound shipping, labor and packaging costs.</w:t>
      </w:r>
    </w:p>
    <w:p>
      <w:pPr>
        <w:spacing w:after="0" w:line="3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Gross Margin</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260" w:type="dxa"/>
            <w:vAlign w:val="bottom"/>
            <w:gridSpan w:val="2"/>
          </w:tcPr>
          <w:p>
            <w:pPr>
              <w:ind w:left="200"/>
              <w:spacing w:after="0" w:line="14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40" w:type="dxa"/>
            <w:vAlign w:val="bottom"/>
            <w:vMerge w:val="restart"/>
          </w:tcPr>
          <w:p>
            <w:pPr>
              <w:jc w:val="right"/>
              <w:ind w:right="722"/>
              <w:spacing w:after="0"/>
              <w:rPr>
                <w:sz w:val="20"/>
                <w:szCs w:val="20"/>
                <w:color w:val="auto"/>
              </w:rPr>
            </w:pPr>
            <w:r>
              <w:rPr>
                <w:rFonts w:ascii="Arial" w:cs="Arial" w:eastAsia="Arial" w:hAnsi="Arial"/>
                <w:sz w:val="14"/>
                <w:szCs w:val="14"/>
                <w:b w:val="1"/>
                <w:bCs w:val="1"/>
                <w:color w:val="auto"/>
              </w:rPr>
              <w:t>Amount</w:t>
            </w:r>
          </w:p>
        </w:tc>
        <w:tc>
          <w:tcPr>
            <w:tcW w:w="84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4"/>
          </w:tcPr>
          <w:p>
            <w:pPr>
              <w:jc w:val="right"/>
              <w:ind w:right="562"/>
              <w:spacing w:after="0"/>
              <w:rPr>
                <w:sz w:val="20"/>
                <w:szCs w:val="20"/>
                <w:color w:val="auto"/>
              </w:rPr>
            </w:pPr>
            <w:r>
              <w:rPr>
                <w:rFonts w:ascii="Arial" w:cs="Arial" w:eastAsia="Arial" w:hAnsi="Arial"/>
                <w:sz w:val="14"/>
                <w:szCs w:val="14"/>
                <w:i w:val="1"/>
                <w:iCs w:val="1"/>
                <w:color w:val="auto"/>
              </w:rPr>
              <w:t>(in thousands, except percentages)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13,760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15,609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(1,849)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9"/>
        </w:trPr>
        <w:tc>
          <w:tcPr>
            <w:tcW w:w="5960" w:type="dxa"/>
            <w:vAlign w:val="bottom"/>
          </w:tcPr>
          <w:p>
            <w:pPr>
              <w:ind w:left="20"/>
              <w:spacing w:after="0"/>
              <w:rPr>
                <w:sz w:val="20"/>
                <w:szCs w:val="20"/>
                <w:color w:val="auto"/>
              </w:rPr>
            </w:pPr>
            <w:r>
              <w:rPr>
                <w:rFonts w:ascii="Arial" w:cs="Arial" w:eastAsia="Arial" w:hAnsi="Arial"/>
                <w:sz w:val="18"/>
                <w:szCs w:val="18"/>
                <w:color w:val="auto"/>
              </w:rPr>
              <w:t>Product gross margin</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25.1 %</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Product gross margin was 25.1% and 47.0% for the three months ended March 31, 2024 and 2023, respectively, or a decrease of 2,190 basis points. The decrease in product gross margin for the three months ended March 31, 2024 as compared to the same period in 2023 was due to higher inventory costs in our European operations, which unfavorably impacted product gross margin by 2,800 basis points. This decrease was partially offset by a 300 basis point decrease in inventory costs in the U.S. and a 290 basis point decrease in shipping and packaging costs.</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Operations, Product, and Technology</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6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81"/>
              <w:spacing w:after="0" w:line="147"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16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400" w:type="dxa"/>
            <w:vAlign w:val="bottom"/>
            <w:vMerge w:val="restart"/>
          </w:tcPr>
          <w:p>
            <w:pPr>
              <w:jc w:val="right"/>
              <w:ind w:right="702"/>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0" w:type="dxa"/>
            <w:vAlign w:val="bottom"/>
            <w:gridSpan w:val="5"/>
          </w:tcPr>
          <w:p>
            <w:pPr>
              <w:jc w:val="right"/>
              <w:ind w:right="562"/>
              <w:spacing w:after="0"/>
              <w:rPr>
                <w:sz w:val="20"/>
                <w:szCs w:val="20"/>
                <w:color w:val="auto"/>
              </w:rPr>
            </w:pPr>
            <w:r>
              <w:rPr>
                <w:rFonts w:ascii="Arial" w:cs="Arial" w:eastAsia="Arial" w:hAnsi="Arial"/>
                <w:sz w:val="14"/>
                <w:szCs w:val="14"/>
                <w:i w:val="1"/>
                <w:iCs w:val="1"/>
                <w:color w:val="auto"/>
              </w:rPr>
              <w:t>(in thousands, except percentages)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Operations, product, and technology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41,051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38,347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2,704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9"/>
        </w:trPr>
        <w:tc>
          <w:tcPr>
            <w:tcW w:w="6040" w:type="dxa"/>
            <w:vAlign w:val="bottom"/>
          </w:tcPr>
          <w:p>
            <w:pPr>
              <w:spacing w:after="0"/>
              <w:rPr>
                <w:sz w:val="20"/>
                <w:szCs w:val="20"/>
                <w:color w:val="auto"/>
              </w:rPr>
            </w:pPr>
            <w:r>
              <w:rPr>
                <w:rFonts w:ascii="Arial" w:cs="Arial" w:eastAsia="Arial" w:hAnsi="Arial"/>
                <w:sz w:val="18"/>
                <w:szCs w:val="18"/>
                <w:color w:val="auto"/>
              </w:rPr>
              <w:t>Operations, product, and technology as a percentage of total revenue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51.6 %</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Operations, product, and technology expenses increased $2.7 million, or 7.1% for the three months ended March 31, 2024 as compared to the same period in 2023. The increase was due to a $ 2.4 million increase in facilities, technology, and other allocated costs, $1.2 million in severance costs related to our workforce reorganization in March 2024, and a $0.8 million increase in inbound shipping. This increase was partially offset by a $1.7 million decrease in personnel-related costs, of which $1.1 million was related to stock-based compensation.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w:t>
      </w:r>
    </w:p>
    <w:p>
      <w:pPr>
        <w:spacing w:after="0" w:line="57"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58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261"/>
              <w:spacing w:after="0" w:line="147"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14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20" w:type="dxa"/>
            <w:vAlign w:val="bottom"/>
            <w:vMerge w:val="restart"/>
          </w:tcPr>
          <w:p>
            <w:pPr>
              <w:jc w:val="right"/>
              <w:ind w:right="702"/>
              <w:spacing w:after="0"/>
              <w:rPr>
                <w:sz w:val="20"/>
                <w:szCs w:val="20"/>
                <w:color w:val="auto"/>
              </w:rPr>
            </w:pPr>
            <w:r>
              <w:rPr>
                <w:rFonts w:ascii="Arial" w:cs="Arial" w:eastAsia="Arial" w:hAnsi="Arial"/>
                <w:sz w:val="14"/>
                <w:szCs w:val="14"/>
                <w:b w:val="1"/>
                <w:bCs w:val="1"/>
                <w:color w:val="auto"/>
              </w:rPr>
              <w:t>Amount</w:t>
            </w:r>
          </w:p>
        </w:tc>
        <w:tc>
          <w:tcPr>
            <w:tcW w:w="84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20" w:type="dxa"/>
            <w:vAlign w:val="bottom"/>
            <w:gridSpan w:val="5"/>
          </w:tcPr>
          <w:p>
            <w:pPr>
              <w:jc w:val="right"/>
              <w:ind w:right="542"/>
              <w:spacing w:after="0"/>
              <w:rPr>
                <w:sz w:val="20"/>
                <w:szCs w:val="20"/>
                <w:color w:val="auto"/>
              </w:rPr>
            </w:pPr>
            <w:r>
              <w:rPr>
                <w:rFonts w:ascii="Arial" w:cs="Arial" w:eastAsia="Arial" w:hAnsi="Arial"/>
                <w:sz w:val="14"/>
                <w:szCs w:val="14"/>
                <w:i w:val="1"/>
                <w:iCs w:val="1"/>
                <w:color w:val="auto"/>
              </w:rPr>
              <w:t>(in thousands, except percentages)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13,413</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16,870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(3,457)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9"/>
        </w:trPr>
        <w:tc>
          <w:tcPr>
            <w:tcW w:w="5880" w:type="dxa"/>
            <w:vAlign w:val="bottom"/>
          </w:tcPr>
          <w:p>
            <w:pPr>
              <w:ind w:left="20"/>
              <w:spacing w:after="0"/>
              <w:rPr>
                <w:sz w:val="20"/>
                <w:szCs w:val="20"/>
                <w:color w:val="auto"/>
              </w:rPr>
            </w:pPr>
            <w:r>
              <w:rPr>
                <w:rFonts w:ascii="Arial" w:cs="Arial" w:eastAsia="Arial" w:hAnsi="Arial"/>
                <w:sz w:val="18"/>
                <w:szCs w:val="18"/>
                <w:color w:val="auto"/>
              </w:rPr>
              <w:t>Marketing as a percentage of total revenue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Marketing expenses decreased $3.5 million, or 20.5%, for the three months ended March 31, 2024 as compared to the same period in 2023. The decrease was due to a $2.5 million decrease in advertising costs, a $1.3 million decrease in personnel-related costs, of which $1.0 million was related to stock-based compensation expense, and a $0.2 million decrease in facilities, technology and other costs. This decrease was partially offset by $0.5 million in severance costs related to our workforce reorganization in March 2024.</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Sales, General and Administrative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81"/>
              <w:spacing w:after="0" w:line="14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16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420" w:type="dxa"/>
            <w:vAlign w:val="bottom"/>
            <w:vMerge w:val="restart"/>
          </w:tcPr>
          <w:p>
            <w:pPr>
              <w:jc w:val="right"/>
              <w:ind w:right="722"/>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40" w:type="dxa"/>
            <w:vAlign w:val="bottom"/>
            <w:gridSpan w:val="5"/>
          </w:tcPr>
          <w:p>
            <w:pPr>
              <w:jc w:val="right"/>
              <w:ind w:right="582"/>
              <w:spacing w:after="0"/>
              <w:rPr>
                <w:sz w:val="20"/>
                <w:szCs w:val="20"/>
                <w:color w:val="auto"/>
              </w:rPr>
            </w:pPr>
            <w:r>
              <w:rPr>
                <w:rFonts w:ascii="Arial" w:cs="Arial" w:eastAsia="Arial" w:hAnsi="Arial"/>
                <w:sz w:val="14"/>
                <w:szCs w:val="14"/>
                <w:i w:val="1"/>
                <w:iCs w:val="1"/>
                <w:color w:val="auto"/>
              </w:rPr>
              <w:t>(in thousands, except percentages)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17,573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16,059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1,514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39"/>
        </w:trPr>
        <w:tc>
          <w:tcPr>
            <w:tcW w:w="6000" w:type="dxa"/>
            <w:vAlign w:val="bottom"/>
          </w:tcPr>
          <w:p>
            <w:pPr>
              <w:ind w:left="20"/>
              <w:spacing w:after="0"/>
              <w:rPr>
                <w:sz w:val="20"/>
                <w:szCs w:val="20"/>
                <w:color w:val="auto"/>
              </w:rPr>
            </w:pPr>
            <w:r>
              <w:rPr>
                <w:rFonts w:ascii="Arial" w:cs="Arial" w:eastAsia="Arial" w:hAnsi="Arial"/>
                <w:sz w:val="18"/>
                <w:szCs w:val="18"/>
                <w:color w:val="auto"/>
              </w:rPr>
              <w:t>Sales, general, and administrative as a percentage of total revenue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22.1 %</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Sales, general, and administrative expenses increased $1.5 million, or 9.4%, for the three months ended March 31, 2024 as compared to the same period in 2023. The increase was due to $1.3 million in severance costs related to our workforce reorganization in March 2024, a $0.5 million increase in personnel-related costs, and a $0.1 million increase in facilities, technology and other costs. This increase was partially offset by a $0.4 million decrease in professional services.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44"/>
              <w:spacing w:after="0" w:line="147"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1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60" w:type="dxa"/>
            <w:vAlign w:val="bottom"/>
            <w:vMerge w:val="restart"/>
          </w:tcPr>
          <w:p>
            <w:pPr>
              <w:jc w:val="right"/>
              <w:ind w:right="742"/>
              <w:spacing w:after="0"/>
              <w:rPr>
                <w:sz w:val="20"/>
                <w:szCs w:val="20"/>
                <w:color w:val="auto"/>
              </w:rPr>
            </w:pPr>
            <w:r>
              <w:rPr>
                <w:rFonts w:ascii="Arial" w:cs="Arial" w:eastAsia="Arial" w:hAnsi="Arial"/>
                <w:sz w:val="14"/>
                <w:szCs w:val="14"/>
                <w:b w:val="1"/>
                <w:bCs w:val="1"/>
                <w:color w:val="auto"/>
              </w:rPr>
              <w:t>Amount</w:t>
            </w: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4"/>
          </w:tcPr>
          <w:p>
            <w:pPr>
              <w:jc w:val="right"/>
              <w:ind w:right="422"/>
              <w:spacing w:after="0"/>
              <w:rPr>
                <w:sz w:val="20"/>
                <w:szCs w:val="20"/>
                <w:color w:val="auto"/>
              </w:rPr>
            </w:pPr>
            <w:r>
              <w:rPr>
                <w:rFonts w:ascii="Arial" w:cs="Arial" w:eastAsia="Arial" w:hAnsi="Arial"/>
                <w:sz w:val="14"/>
                <w:szCs w:val="14"/>
                <w:i w:val="1"/>
                <w:iCs w:val="1"/>
                <w:color w:val="auto"/>
              </w:rPr>
              <w:t>(in thousands, except percentages)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(600)</w:t>
            </w: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779.2 %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Interest expense increased $0.6 million for the three months ended March 31, 2024 as compared to the same period in 2023. This increase was due to a $ 0.6 million of capitalized interest expense recorded in the first quarter of 2023 in conjunction with the build-out of our distribution centers. We did not capitalize any interest in the same period in 2024.</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24"/>
              <w:spacing w:after="0" w:line="147"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1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60" w:type="dxa"/>
            <w:vAlign w:val="bottom"/>
            <w:vMerge w:val="restart"/>
          </w:tcPr>
          <w:p>
            <w:pPr>
              <w:jc w:val="right"/>
              <w:ind w:right="742"/>
              <w:spacing w:after="0"/>
              <w:rPr>
                <w:sz w:val="20"/>
                <w:szCs w:val="20"/>
                <w:color w:val="auto"/>
              </w:rPr>
            </w:pPr>
            <w:r>
              <w:rPr>
                <w:rFonts w:ascii="Arial" w:cs="Arial" w:eastAsia="Arial" w:hAnsi="Arial"/>
                <w:sz w:val="14"/>
                <w:szCs w:val="14"/>
                <w:b w:val="1"/>
                <w:bCs w:val="1"/>
                <w:color w:val="auto"/>
              </w:rPr>
              <w:t>Amount</w:t>
            </w:r>
          </w:p>
        </w:tc>
        <w:tc>
          <w:tcPr>
            <w:tcW w:w="86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4"/>
          </w:tcPr>
          <w:p>
            <w:pPr>
              <w:jc w:val="center"/>
              <w:ind w:right="402"/>
              <w:spacing w:after="0"/>
              <w:rPr>
                <w:sz w:val="20"/>
                <w:szCs w:val="20"/>
                <w:color w:val="auto"/>
              </w:rPr>
            </w:pPr>
            <w:r>
              <w:rPr>
                <w:rFonts w:ascii="Arial" w:cs="Arial" w:eastAsia="Arial" w:hAnsi="Arial"/>
                <w:sz w:val="14"/>
                <w:szCs w:val="14"/>
                <w:i w:val="1"/>
                <w:iCs w:val="1"/>
                <w:color w:val="auto"/>
              </w:rPr>
              <w:t>(in thousands, except percentages)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369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Other income, net increased $0.4 million for the three months ended March 31, 2024 as compared to the same period in 2023. The increase was primarily due to an increase in interest income on our marketable securities due to a higher interest rate environment.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Although we generated $1.4 million in cash flows from operating activities in the first quarter of 2024, we had historically generated negative cash flows from operations and have primarily financed our operations through private and public sales of equity securities and debt. As of March 31, 2024, we had cash, cash equivalents and short-term marketable securities of $62.5 million. Additionally, we have a term loan facility (“Term Loan”) under which $22.5 million remained available to be drawn as of March 31, 2024 for the purchase of certain equipment, and we were in full compliance with our debt covenants under the Term Loan as of that date.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a further discussion on our Term Loan.</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operating losses to continue in 2024 as we continue to invest in growing our business and our infrastructure. Our primary sources of liquidity are cash flows generated from operations, cash on hand and borrowings available under the Term Loan. Our primary use of cash includes operating costs such as distribution network spend, product and technology expenses, marketing expenses, personnel expenses and other expenditures necessary to support our operations and our growth. Additionally, our primary capital expenditures are related to the set-up, expansion and/or automation of our distribution network. Based upon our current operating plans, we believe that our existing cash, cash equivalents and short-term marketable securities will be sufficient for at least the next 12 months and beyond to meet our short- and long-term capital requirements, and we do not anticipate expanding our distribution network to include additional locations in the near term. Our cash flow forecast is a forward-looking statement that involves risks and uncertainties, and actual results could vary materially.</w:t>
      </w:r>
    </w:p>
    <w:p>
      <w:pPr>
        <w:spacing w:after="0" w:line="1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marketplaces and overall economic conditions. However, we expect that our capital expenditures will be limited in the remainder of 2024 as we have completed the first phase of our new distribution center in Texas. See the section titled “Risk Factors—Risks Relating to Our Indebtedness and Liquidity—We may require additional capital to support business growth, and this capital might not be available or may be available only by diluting existing stockholders” within the 2023 10-K.</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7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220" w:type="dxa"/>
            <w:vAlign w:val="bottom"/>
          </w:tcPr>
          <w:p>
            <w:pPr>
              <w:jc w:val="right"/>
              <w:ind w:right="415"/>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r>
      <w:tr>
        <w:trPr>
          <w:trHeight w:val="192"/>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16"/>
                <w:szCs w:val="16"/>
                <w:color w:val="auto"/>
              </w:rPr>
            </w:pP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(4,458)</w:t>
            </w: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w:t>
            </w: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12,710</w:t>
            </w: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Operating Activities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operating activities was $1.4 million during the three months ended March 31, 2024, compared to net cash used of $4.5 million during the three months ended March 31, 2023. The increase in cash inflows was primarily due to a $3.2 million decrease in our net loss, partially offset by a $0.5 million decrease in non-cash adjustments to net loss, and favorable changes totaling $3.1 million in operating assets and liabilities. The change in operating assets and liabilities was primarily due to a $7.0 million reduction in inventory mainly driven by decreased upfront inventory purchases as we transitioned our RaaS partners and introduced our European operations to the consignment model in 2023 and a $2.4 million increase in accrued and other current and non-current liabilities driven primarily by accrued severance costs related to our workforce reorganization in March 2024. This was partially offset by a $6.5 million decrease in accounts and seller payable primarily due to timing of vendor payments and seller credit cash-outs or redemptions.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Investing Activities</w:t>
      </w:r>
    </w:p>
    <w:p>
      <w:pPr>
        <w:spacing w:after="0" w:line="117" w:lineRule="exact"/>
        <w:rPr>
          <w:sz w:val="20"/>
          <w:szCs w:val="20"/>
          <w:color w:val="auto"/>
        </w:rPr>
      </w:pPr>
    </w:p>
    <w:p>
      <w:pPr>
        <w:jc w:val="both"/>
        <w:ind w:left="180" w:firstLine="324"/>
        <w:spacing w:after="0" w:line="268" w:lineRule="auto"/>
        <w:rPr>
          <w:sz w:val="20"/>
          <w:szCs w:val="20"/>
          <w:color w:val="auto"/>
        </w:rPr>
      </w:pPr>
      <w:r>
        <w:rPr>
          <w:rFonts w:ascii="Arial" w:cs="Arial" w:eastAsia="Arial" w:hAnsi="Arial"/>
          <w:sz w:val="18"/>
          <w:szCs w:val="18"/>
          <w:color w:val="auto"/>
        </w:rPr>
        <w:t>Net cash used in investing activities for the three months ended March 31, 2024 increased $24.7 million as compared to the same period in 2023. The increase in cash outflows was primarily due to a $20.1 million decrease in maturities of marketable securities and an $8.7 million increase in purchases of marketable securities, offset by a $4.1 million decrease in purchases of property and equipment.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Financing Activities</w:t>
      </w:r>
    </w:p>
    <w:p>
      <w:pPr>
        <w:spacing w:after="0" w:line="117" w:lineRule="exact"/>
        <w:rPr>
          <w:sz w:val="20"/>
          <w:szCs w:val="20"/>
          <w:color w:val="auto"/>
        </w:rPr>
      </w:pPr>
    </w:p>
    <w:p>
      <w:pPr>
        <w:jc w:val="both"/>
        <w:ind w:left="180" w:firstLine="324"/>
        <w:spacing w:after="0" w:line="268" w:lineRule="auto"/>
        <w:rPr>
          <w:sz w:val="20"/>
          <w:szCs w:val="20"/>
          <w:color w:val="auto"/>
        </w:rPr>
      </w:pPr>
      <w:r>
        <w:rPr>
          <w:rFonts w:ascii="Arial" w:cs="Arial" w:eastAsia="Arial" w:hAnsi="Arial"/>
          <w:sz w:val="18"/>
          <w:szCs w:val="18"/>
          <w:color w:val="auto"/>
        </w:rPr>
        <w:t>Net cash used in financing activities for the three months ended March 31, 2024 increased $ 0.3 million as compared to the same period in 2023 which was primarily due to $0.6 million of increased taxes paid related to stock-based award activity, offset by $0.3 million of increased proceeds from issuance of stock-based awards.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from those estimates.</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 xml:space="preserve">There have been no material changes to our critical accounting policies since the 2023 10-K. For a description of critical accounting policies that affect our significant judgments and estimates used in the preparation of our condensed consolidated financial statements, see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of the 2023 10-K.</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JOBS Act Accounting Election</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New Accounting Pronouncements</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 xml:space="preserve">See discussion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information on new accounting pronouncements.</w:t>
      </w:r>
    </w:p>
    <w:p>
      <w:pPr>
        <w:spacing w:after="0" w:line="2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2024, we had cash and cash equivalents of $50.1 million and marketable securities of $12.4 million, consisting primarily of money market funds, commercial paper, U.S. treasury securities and U.S. government agency bonds,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spacing w:after="0" w:line="18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Term Loan bears variable interest rates tied to the prime rate, with a floor of 4.75%, and therefore carries interest rate risk. If interest rates were to increase or decrease by 1% for the year and our borrowing amounts on the Term Loan remained constant, the increase or decrease to our annual interest expense would not be material.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Inflation Risk</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2024, inflation remains at elevated levels in the U.S. and overseas where we conduct our business, resulting in rising interest rates and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resulting in slowing revenue and Order growth. If we are unable to increase our prices to sufficiently offset the rising costs of doing business, our profitability and financial position could be adversely impacted.</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transact business in Europe through Remix in multiple currencies. As a result, our operating results, cash flows and net investment in Remix are subject to fluctuations due to changes in foreign currency exchange rates. As of March 31, 2024, our most significant currency exposure was the Bulgarian lev. We manage our foreign currency exchange rate risks through natural hedges including foreign currency revenue and costs matching, as well as foreign currency assets offsetting liabilities. We have not entered into any hedging arrangements with respect to foreign currency risk, but we may do so in the future if our exposure to foreign currency becomes more significant.</w:t>
      </w:r>
    </w:p>
    <w:p>
      <w:pPr>
        <w:spacing w:after="0" w:line="1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Assets and liabilities of our foreign operations are translated into dollars at period-end rates, while income and expenses are translated using the average exchange rate during the period in which the transactions occurred. The related translation adjustments were reflected as an unfavorable foreign currency translation adjustment of $0.9 million during the three months ended March 31, 2024, which was recognized in accumulated other comprehensive loss within our condensed consolidated balance sheet.</w:t>
      </w:r>
    </w:p>
    <w:p>
      <w:pPr>
        <w:spacing w:after="0" w:line="17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 hypothetical 10% change in foreign currency exchange rates would not have had a material impact on our financial condition or results of operations during any of the periods presented.</w:t>
      </w:r>
    </w:p>
    <w:p>
      <w:pPr>
        <w:spacing w:after="0" w:line="2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(the “Exchange Act”), as of March 31, 2024.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March 31, 2024.</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 fiscal quarter ended March 31, 2024 that materially affected, or are reasonably likely to materially affect, our internal control over financial reporting.</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17"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2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 w:lineRule="exact"/>
        <w:rPr>
          <w:sz w:val="20"/>
          <w:szCs w:val="20"/>
          <w:color w:val="auto"/>
        </w:rPr>
      </w:pPr>
    </w:p>
    <w:p>
      <w:pPr>
        <w:ind w:right="260" w:firstLine="648"/>
        <w:spacing w:after="0" w:line="242" w:lineRule="auto"/>
        <w:rPr>
          <w:sz w:val="20"/>
          <w:szCs w:val="20"/>
          <w:color w:val="auto"/>
        </w:rPr>
      </w:pPr>
      <w:r>
        <w:rPr>
          <w:rFonts w:ascii="Arial" w:cs="Arial" w:eastAsia="Arial" w:hAnsi="Arial"/>
          <w:sz w:val="18"/>
          <w:szCs w:val="18"/>
          <w:color w:val="auto"/>
        </w:rPr>
        <w:t>The Company is supplementing the risk factors previously disclosed in the section titled “Risk Factors” in Part I, Item 1A of our Annual Report on Form 10-K for the fiscal year ended December 31, 2023 filed with the SEC on March 5, 2024 (our “Fiscal 2023 10-K”) to include the following risk factors, which should be read in conjunction with the other risk factors presented in our Fiscal 2023 10-K.</w:t>
      </w:r>
    </w:p>
    <w:p>
      <w:pPr>
        <w:spacing w:after="0" w:line="222" w:lineRule="exact"/>
        <w:rPr>
          <w:sz w:val="20"/>
          <w:szCs w:val="20"/>
          <w:color w:val="auto"/>
        </w:rPr>
      </w:pPr>
    </w:p>
    <w:p>
      <w:pPr>
        <w:ind w:right="160" w:firstLine="648"/>
        <w:spacing w:after="0" w:line="294" w:lineRule="auto"/>
        <w:rPr>
          <w:sz w:val="20"/>
          <w:szCs w:val="20"/>
          <w:color w:val="auto"/>
        </w:rPr>
      </w:pPr>
      <w:r>
        <w:rPr>
          <w:rFonts w:ascii="Arial" w:cs="Arial" w:eastAsia="Arial" w:hAnsi="Arial"/>
          <w:sz w:val="18"/>
          <w:szCs w:val="18"/>
          <w:b w:val="1"/>
          <w:bCs w:val="1"/>
          <w:i w:val="1"/>
          <w:iCs w:val="1"/>
          <w:color w:val="auto"/>
        </w:rPr>
        <w:t>Our ability to incorporate artificial intelligence and machine learning into our business operations successfully may affect our reputation and results of operations.</w:t>
      </w:r>
    </w:p>
    <w:p>
      <w:pPr>
        <w:spacing w:after="0" w:line="16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use artificial intelligence (“AI”), and machine learning (“ML”) technologies in our business to, among other things, optimize our product presentation and personalize our website experience through advanced search and product recommendations. Our strategic plans and initiatives also include investments in information technology, data science and AI and ML. We may expand our use of AI and ML into other areas of our business including general administrative functions. However, there can be no assurance that we will realize the desired or anticipated benefits from AI and ML. Our investments in AI and ML solutions and features may negatively impact our cost of revenue and gross margins until and unless we are able to increase revenue enough to offset these investments. We may also fail to properly implement or market our AI solutions and features.</w:t>
      </w:r>
    </w:p>
    <w:p>
      <w:pPr>
        <w:spacing w:after="0" w:line="196" w:lineRule="exact"/>
        <w:rPr>
          <w:sz w:val="20"/>
          <w:szCs w:val="20"/>
          <w:color w:val="auto"/>
        </w:rPr>
      </w:pPr>
    </w:p>
    <w:p>
      <w:pPr>
        <w:ind w:right="400" w:firstLine="648"/>
        <w:spacing w:after="0" w:line="255" w:lineRule="auto"/>
        <w:rPr>
          <w:sz w:val="20"/>
          <w:szCs w:val="20"/>
          <w:color w:val="auto"/>
        </w:rPr>
      </w:pPr>
      <w:r>
        <w:rPr>
          <w:rFonts w:ascii="Arial" w:cs="Arial" w:eastAsia="Arial" w:hAnsi="Arial"/>
          <w:sz w:val="17"/>
          <w:szCs w:val="17"/>
          <w:color w:val="auto"/>
        </w:rPr>
        <w:t>In addition, issues relating to our and our vendors’ use of new and evolving technologies such as AI and ML may cause us to experience brand or reputational harm, competitive harm, legal liability and new or enhanced governmental or regulatory scrutiny, and to incur additional costs to resolve such issues. For example, data sets used by AI and ML may be over-broad or insufficient, can include</w:t>
      </w:r>
    </w:p>
    <w:p>
      <w:pPr>
        <w:spacing w:after="0" w:line="2"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unexpected biases and may also be subject to legal risks and licensing costs. Our vendors may incorporate artificial intelligence tools into their offerings without disclosing this use to us, and the providers of artificial intelligence tools may not meet existing or rapidly evolving</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regulatory or industry standards with respect to the use and governance of artificial intelligence tools. AI algorithms or training methodologies may have flaws and be prone to cybersecurity incidents or service interruptions. Perceived or actual technical, legal, compliance, privacy, security, ethical or other issues relating to the use of AI and ML could undermine the decisions, predictions or analysis that such applications produce and create additional risks, such as risks of cybersecurity incidents or loss of intellectual property and other confidential information, all of which could adversely affect our business and operating results. Developing, testing and deploying AI systems may also increase our operating expenses due to the nature of the computing costs involved in such systems. Further, we may be unable to quickly and successfully adapt to rapid change resulting from advancements in AI and similar technology, or our competitors may have more success implementing and utilizing such technology than we do. Any of these risks could have an adverse effect on our reputation and results of operations.</w:t>
      </w:r>
    </w:p>
    <w:p>
      <w:pPr>
        <w:spacing w:after="0" w:line="2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use of AI and ML involves significant technical complexity and requires specialized expertise, and our future success depends on our ability to continue to attract, retain and motivate highly skilled employees, software engineers and other employees with the technical skills in AI, ML and advanced algorithms. Competition for highly skilled employees is intense, particularly in the fields of AI and data science. We may be unable to attract or retain such highly skilled personnel who are critical to our success, which could hinder our ability to keep pace with innovation and technological changes in our industry or result in harm to our business, results of operations and financial condition.</w:t>
      </w:r>
    </w:p>
    <w:p>
      <w:pPr>
        <w:spacing w:after="0" w:line="208" w:lineRule="exact"/>
        <w:rPr>
          <w:sz w:val="20"/>
          <w:szCs w:val="20"/>
          <w:color w:val="auto"/>
        </w:rPr>
      </w:pPr>
    </w:p>
    <w:p>
      <w:pPr>
        <w:ind w:right="420" w:firstLine="648"/>
        <w:spacing w:after="0" w:line="294" w:lineRule="auto"/>
        <w:rPr>
          <w:sz w:val="20"/>
          <w:szCs w:val="20"/>
          <w:color w:val="auto"/>
        </w:rPr>
      </w:pPr>
      <w:r>
        <w:rPr>
          <w:rFonts w:ascii="Arial" w:cs="Arial" w:eastAsia="Arial" w:hAnsi="Arial"/>
          <w:sz w:val="18"/>
          <w:szCs w:val="18"/>
          <w:b w:val="1"/>
          <w:bCs w:val="1"/>
          <w:i w:val="1"/>
          <w:iCs w:val="1"/>
          <w:color w:val="auto"/>
        </w:rPr>
        <w:t>Our reorganization activities may not lead to expected savings or benefits and may be disruptive to our operations and harm our business.</w:t>
      </w:r>
    </w:p>
    <w:p>
      <w:pPr>
        <w:spacing w:after="0" w:line="152"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We have in the past implemented internal reorganizations designed to reduce our cost structure to better align the operational needs of the business to current economic conditions. In March 2024, we reorganized certain functions within our business to improve efficiencies</w:t>
      </w:r>
    </w:p>
    <w:p>
      <w:pPr>
        <w:spacing w:after="0" w:line="226" w:lineRule="auto"/>
        <w:rPr>
          <w:sz w:val="20"/>
          <w:szCs w:val="20"/>
          <w:color w:val="auto"/>
        </w:rPr>
      </w:pPr>
      <w:r>
        <w:rPr>
          <w:rFonts w:ascii="Arial" w:cs="Arial" w:eastAsia="Arial" w:hAnsi="Arial"/>
          <w:sz w:val="18"/>
          <w:szCs w:val="18"/>
          <w:color w:val="auto"/>
        </w:rPr>
        <w:t>and reduce overhead costs. We may have additional workforce reorganization initiatives in the future to improve our operations, respond to changes in business conditions and markets and to streamline certain key functions to reduce costs. We may not realize expected savings or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benefits from reorganization activities, incur additional charges and experience loss of key personnel, disruptions in our operations, and difficulties in the timely delivery of products. These factors could negatively impact our business, results of operations and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7"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60" w:right="140" w:hanging="328"/>
        <w:spacing w:after="0" w:line="268" w:lineRule="auto"/>
        <w:tabs>
          <w:tab w:leader="none" w:pos="65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25, 2021, the SEC declared our registration statement on Form S-1 (File No. 333-253834) for our IPO effective. We have applied the entirety of net proceeds from our IPO in accordance with the description included in our final prospectus filed with the SEC on March 3, 2021 pursuant to Rule 424(b)(4).</w:t>
      </w:r>
    </w:p>
    <w:p>
      <w:pPr>
        <w:spacing w:after="0" w:line="62"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 10b5-1 Trading Plans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March 15, 2024, James Reinhart, Chief Executive Officer, adopted a Rule 10b5-1 trading arrangement that is intended to satisfy the affirmative defense of Rule 10b5-1(c) of the Exchange Act for the sale of up to 692,152 shares of the Company’s Class A common stock until June 13, 2024.</w:t>
      </w:r>
    </w:p>
    <w:p>
      <w:pPr>
        <w:spacing w:after="0" w:line="63"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On March 15, 2024, Alon Rotem, Chief Legal Officer, adopted a Rule 10b5-1 trading arrangement that is intended to satisfy the affirmative defense of Rule 10b5-1(c) of the Exchange Act for the sale of up to 310,135 shares of the Company’s Class A common stock until June 13, 2024.</w:t>
      </w:r>
    </w:p>
    <w:p>
      <w:pPr>
        <w:spacing w:after="0" w:line="63" w:lineRule="exact"/>
        <w:rPr>
          <w:sz w:val="20"/>
          <w:szCs w:val="20"/>
          <w:color w:val="auto"/>
        </w:rPr>
      </w:pPr>
    </w:p>
    <w:p>
      <w:pPr>
        <w:ind w:right="220" w:firstLine="648"/>
        <w:spacing w:after="0" w:line="287" w:lineRule="auto"/>
        <w:rPr>
          <w:sz w:val="20"/>
          <w:szCs w:val="20"/>
          <w:color w:val="auto"/>
        </w:rPr>
      </w:pPr>
      <w:r>
        <w:rPr>
          <w:rFonts w:ascii="Arial" w:cs="Arial" w:eastAsia="Arial" w:hAnsi="Arial"/>
          <w:sz w:val="18"/>
          <w:szCs w:val="18"/>
          <w:color w:val="auto"/>
        </w:rPr>
        <w:t>There were no other Rule 10b5-1 trading arrangements or non-Rule 10b5-1 trading arrangements adopted, modified or terminated by our directors or officers during the three months ended March 31, 2024.</w:t>
      </w:r>
    </w:p>
    <w:p>
      <w:pPr>
        <w:spacing w:after="0" w:line="2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 Index: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jc w:val="center"/>
              <w:ind w:right="634"/>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5"/>
        </w:trPr>
        <w:tc>
          <w:tcPr>
            <w:tcW w:w="11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80" w:type="dxa"/>
            <w:vAlign w:val="bottom"/>
            <w:gridSpan w:val="13"/>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720" w:type="dxa"/>
            <w:vAlign w:val="bottom"/>
            <w:vMerge w:val="restart"/>
          </w:tcPr>
          <w:p>
            <w:pPr>
              <w:jc w:val="center"/>
              <w:ind w:left="234"/>
              <w:spacing w:after="0"/>
              <w:rPr>
                <w:sz w:val="20"/>
                <w:szCs w:val="20"/>
                <w:color w:val="auto"/>
              </w:rPr>
            </w:pPr>
            <w:r>
              <w:rPr>
                <w:rFonts w:ascii="Arial" w:cs="Arial" w:eastAsia="Arial" w:hAnsi="Arial"/>
                <w:sz w:val="14"/>
                <w:szCs w:val="14"/>
                <w:b w:val="1"/>
                <w:bCs w:val="1"/>
                <w:color w:val="auto"/>
              </w:rPr>
              <w:t>Form</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Exhibit</w:t>
            </w: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80" w:type="dxa"/>
            <w:vAlign w:val="bottom"/>
            <w:gridSpan w:val="1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rPr>
              <w:t>3.1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700" w:type="dxa"/>
            <w:vAlign w:val="bottom"/>
            <w:tcBorders>
              <w:top w:val="single" w:sz="8" w:color="auto"/>
            </w:tcBorders>
            <w:gridSpan w:val="14"/>
            <w:shd w:val="clear" w:color="auto" w:fill="CCEEFF"/>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Amended and Restated Certificate of Incorporation of the Registrant</w:t>
              </w:r>
            </w:hyperlink>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center"/>
              <w:ind w:left="234"/>
              <w:spacing w:after="0" w:line="182" w:lineRule="exact"/>
              <w:rPr>
                <w:sz w:val="20"/>
                <w:szCs w:val="20"/>
                <w:color w:val="auto"/>
              </w:rPr>
            </w:pPr>
            <w:r>
              <w:rPr>
                <w:rFonts w:ascii="Arial" w:cs="Arial" w:eastAsia="Arial" w:hAnsi="Arial"/>
                <w:sz w:val="18"/>
                <w:szCs w:val="18"/>
                <w:color w:val="auto"/>
                <w:w w:val="99"/>
              </w:rPr>
              <w:t>S-1</w:t>
            </w: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3.2</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5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rFonts w:ascii="Arial" w:cs="Arial" w:eastAsia="Arial" w:hAnsi="Arial"/>
                <w:sz w:val="18"/>
                <w:szCs w:val="18"/>
                <w:color w:val="0000FF"/>
              </w:rPr>
            </w:pPr>
            <w:hyperlink r:id="rId50">
              <w:r>
                <w:rPr>
                  <w:rFonts w:ascii="Arial" w:cs="Arial" w:eastAsia="Arial" w:hAnsi="Arial"/>
                  <w:sz w:val="18"/>
                  <w:szCs w:val="18"/>
                  <w:color w:val="0000FF"/>
                </w:rPr>
                <w:t>Amended and Restated Bylaws of the Registrant, as adopted on February 16, 2023</w:t>
              </w:r>
            </w:hyperlink>
          </w:p>
        </w:tc>
        <w:tc>
          <w:tcPr>
            <w:tcW w:w="720" w:type="dxa"/>
            <w:vAlign w:val="bottom"/>
          </w:tcPr>
          <w:p>
            <w:pPr>
              <w:jc w:val="center"/>
              <w:ind w:left="234"/>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gridSpan w:val="3"/>
          </w:tcPr>
          <w:p>
            <w:pPr>
              <w:jc w:val="center"/>
              <w:ind w:left="335"/>
              <w:spacing w:after="0" w:line="189" w:lineRule="exact"/>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9"/>
              </w:rPr>
              <w:t>2/21/2023</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5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5"/>
            <w:shd w:val="clear" w:color="auto" w:fill="CCEEFF"/>
          </w:tcPr>
          <w:p>
            <w:pPr>
              <w:spacing w:after="0" w:line="189" w:lineRule="exact"/>
              <w:rPr>
                <w:rFonts w:ascii="Arial" w:cs="Arial" w:eastAsia="Arial" w:hAnsi="Arial"/>
                <w:sz w:val="18"/>
                <w:szCs w:val="18"/>
                <w:color w:val="0000FF"/>
              </w:rPr>
            </w:pPr>
            <w:hyperlink r:id="rId51">
              <w:r>
                <w:rPr>
                  <w:rFonts w:ascii="Arial" w:cs="Arial" w:eastAsia="Arial" w:hAnsi="Arial"/>
                  <w:sz w:val="18"/>
                  <w:szCs w:val="18"/>
                  <w:color w:val="0000FF"/>
                </w:rPr>
                <w:t>Form of Class A common stock certificate of the Registrant</w:t>
              </w:r>
            </w:hyperlink>
          </w:p>
        </w:tc>
        <w:tc>
          <w:tcPr>
            <w:tcW w:w="720" w:type="dxa"/>
            <w:vAlign w:val="bottom"/>
            <w:shd w:val="clear" w:color="auto" w:fill="CCEEFF"/>
          </w:tcPr>
          <w:p>
            <w:pPr>
              <w:jc w:val="center"/>
              <w:ind w:left="234"/>
              <w:spacing w:after="0" w:line="189" w:lineRule="exact"/>
              <w:rPr>
                <w:sz w:val="20"/>
                <w:szCs w:val="20"/>
                <w:color w:val="auto"/>
              </w:rPr>
            </w:pPr>
            <w:r>
              <w:rPr>
                <w:rFonts w:ascii="Arial" w:cs="Arial" w:eastAsia="Arial" w:hAnsi="Arial"/>
                <w:sz w:val="18"/>
                <w:szCs w:val="18"/>
                <w:color w:val="auto"/>
                <w:w w:val="99"/>
              </w:rPr>
              <w:t>S-1</w:t>
            </w:r>
          </w:p>
        </w:tc>
        <w:tc>
          <w:tcPr>
            <w:tcW w:w="1460" w:type="dxa"/>
            <w:vAlign w:val="bottom"/>
            <w:gridSpan w:val="3"/>
            <w:shd w:val="clear" w:color="auto" w:fill="CCEEFF"/>
          </w:tcPr>
          <w:p>
            <w:pPr>
              <w:jc w:val="center"/>
              <w:ind w:left="335"/>
              <w:spacing w:after="0" w:line="189" w:lineRule="exact"/>
              <w:rPr>
                <w:sz w:val="20"/>
                <w:szCs w:val="20"/>
                <w:color w:val="auto"/>
              </w:rPr>
            </w:pPr>
            <w:r>
              <w:rPr>
                <w:rFonts w:ascii="Arial" w:cs="Arial" w:eastAsia="Arial" w:hAnsi="Arial"/>
                <w:sz w:val="18"/>
                <w:szCs w:val="18"/>
                <w:color w:val="auto"/>
                <w:w w:val="95"/>
              </w:rPr>
              <w:t>4.1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5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rFonts w:ascii="Arial" w:cs="Arial" w:eastAsia="Arial" w:hAnsi="Arial"/>
                <w:sz w:val="18"/>
                <w:szCs w:val="18"/>
                <w:color w:val="0000FF"/>
              </w:rPr>
            </w:pPr>
            <w:hyperlink r:id="rId52">
              <w:r>
                <w:rPr>
                  <w:rFonts w:ascii="Arial" w:cs="Arial" w:eastAsia="Arial" w:hAnsi="Arial"/>
                  <w:sz w:val="18"/>
                  <w:szCs w:val="18"/>
                  <w:color w:val="0000FF"/>
                </w:rPr>
                <w:t>Tenth Amended and Restated Investors’ Rights Agreement, dated February 16,</w:t>
              </w:r>
            </w:hyperlink>
          </w:p>
        </w:tc>
        <w:tc>
          <w:tcPr>
            <w:tcW w:w="720" w:type="dxa"/>
            <w:vAlign w:val="bottom"/>
          </w:tcPr>
          <w:p>
            <w:pPr>
              <w:jc w:val="center"/>
              <w:ind w:left="234"/>
              <w:spacing w:after="0" w:line="189" w:lineRule="exact"/>
              <w:rPr>
                <w:sz w:val="20"/>
                <w:szCs w:val="20"/>
                <w:color w:val="auto"/>
              </w:rPr>
            </w:pPr>
            <w:r>
              <w:rPr>
                <w:rFonts w:ascii="Arial" w:cs="Arial" w:eastAsia="Arial" w:hAnsi="Arial"/>
                <w:sz w:val="18"/>
                <w:szCs w:val="18"/>
                <w:color w:val="auto"/>
                <w:w w:val="99"/>
              </w:rPr>
              <w:t>S-1</w:t>
            </w:r>
          </w:p>
        </w:tc>
        <w:tc>
          <w:tcPr>
            <w:tcW w:w="1460" w:type="dxa"/>
            <w:vAlign w:val="bottom"/>
            <w:gridSpan w:val="3"/>
          </w:tcPr>
          <w:p>
            <w:pPr>
              <w:jc w:val="center"/>
              <w:ind w:left="335"/>
              <w:spacing w:after="0" w:line="189" w:lineRule="exact"/>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2021, by and among the Registrant and certain of its stockholders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5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Exchange Act Rules 13a-</w:t>
            </w: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340" w:type="dxa"/>
            <w:vAlign w:val="bottom"/>
            <w:tcBorders>
              <w:top w:val="single" w:sz="8" w:color="0000FF"/>
              <w:bottom w:val="single" w:sz="8" w:color="0000FF"/>
            </w:tcBorders>
            <w:gridSpan w:val="9"/>
            <w:shd w:val="clear" w:color="auto" w:fill="CCEEFF"/>
          </w:tcPr>
          <w:p>
            <w:pPr>
              <w:spacing w:after="0" w:line="156" w:lineRule="exact"/>
              <w:rPr>
                <w:sz w:val="20"/>
                <w:szCs w:val="20"/>
                <w:color w:val="auto"/>
              </w:rPr>
            </w:pPr>
            <w:r>
              <w:rPr>
                <w:rFonts w:ascii="Arial" w:cs="Arial" w:eastAsia="Arial" w:hAnsi="Arial"/>
                <w:sz w:val="18"/>
                <w:szCs w:val="18"/>
                <w:color w:val="0000FF"/>
                <w:w w:val="98"/>
              </w:rPr>
              <w:t>14(a) and 15d-14(a), as adopted pursuant to Section 302 of the Sarbanes-Oxley</w:t>
            </w:r>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7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0000FF"/>
            </w:tcBorders>
            <w:shd w:val="clear" w:color="auto" w:fill="CCEEFF"/>
          </w:tcPr>
          <w:p>
            <w:pPr>
              <w:spacing w:after="0" w:line="169" w:lineRule="exact"/>
              <w:rPr>
                <w:sz w:val="20"/>
                <w:szCs w:val="20"/>
                <w:color w:val="auto"/>
              </w:rPr>
            </w:pPr>
            <w:r>
              <w:rPr>
                <w:rFonts w:ascii="Arial" w:cs="Arial" w:eastAsia="Arial" w:hAnsi="Arial"/>
                <w:sz w:val="18"/>
                <w:szCs w:val="18"/>
                <w:color w:val="0000FF"/>
                <w:w w:val="98"/>
              </w:rPr>
              <w:t>Act of 2002</w:t>
            </w:r>
          </w:p>
        </w:tc>
        <w:tc>
          <w:tcPr>
            <w:tcW w:w="5460" w:type="dxa"/>
            <w:vAlign w:val="bottom"/>
            <w:tcBorders>
              <w:bottom w:val="single" w:sz="8" w:color="CCEEFF"/>
            </w:tcBorders>
            <w:gridSpan w:val="9"/>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3"/>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9"/>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Exchange Act Rules 13a-</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8"/>
              </w:rPr>
              <w:t>14(a) and 15d-14(a), as adopted pursuant to Section 302 of the Sarbanes-Oxley</w:t>
            </w:r>
          </w:p>
        </w:tc>
        <w:tc>
          <w:tcPr>
            <w:tcW w:w="1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Act of 2002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18 U.S.C. Section 1350, as</w:t>
            </w: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480" w:type="dxa"/>
            <w:vAlign w:val="bottom"/>
            <w:tcBorders>
              <w:top w:val="single" w:sz="8" w:color="0000FF"/>
            </w:tcBorders>
            <w:gridSpan w:val="12"/>
            <w:shd w:val="clear" w:color="auto" w:fill="CCEEFF"/>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300" w:type="dxa"/>
            <w:vAlign w:val="bottom"/>
            <w:tcBorders>
              <w:top w:val="single" w:sz="8" w:color="CCEEFF"/>
            </w:tcBorders>
            <w:gridSpan w:val="3"/>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5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32.2**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18 U.S.C. Section 1350, as</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36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5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101.INS*</w:t>
            </w:r>
          </w:p>
        </w:tc>
        <w:tc>
          <w:tcPr>
            <w:tcW w:w="20" w:type="dxa"/>
            <w:vAlign w:val="bottom"/>
            <w:shd w:val="clear" w:color="auto" w:fill="CCEEFF"/>
          </w:tcPr>
          <w:p>
            <w:pPr>
              <w:spacing w:after="0"/>
              <w:rPr>
                <w:sz w:val="15"/>
                <w:szCs w:val="15"/>
                <w:color w:val="auto"/>
              </w:rPr>
            </w:pPr>
          </w:p>
        </w:tc>
        <w:tc>
          <w:tcPr>
            <w:tcW w:w="678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auto"/>
              </w:rPr>
              <w:t>XBRL Instance Document – the instance document does not appear in the</w:t>
            </w: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80" w:type="dxa"/>
            <w:vAlign w:val="bottom"/>
            <w:gridSpan w:val="15"/>
            <w:shd w:val="clear" w:color="auto" w:fill="CCEEFF"/>
          </w:tcPr>
          <w:p>
            <w:pPr>
              <w:spacing w:after="0" w:line="183"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document</w:t>
            </w: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101.SCH*</w:t>
            </w:r>
          </w:p>
        </w:tc>
        <w:tc>
          <w:tcPr>
            <w:tcW w:w="2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19"/>
                <w:szCs w:val="19"/>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101.DEF*</w:t>
            </w:r>
          </w:p>
        </w:tc>
        <w:tc>
          <w:tcPr>
            <w:tcW w:w="2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101.LAB*</w:t>
            </w:r>
          </w:p>
        </w:tc>
        <w:tc>
          <w:tcPr>
            <w:tcW w:w="20" w:type="dxa"/>
            <w:vAlign w:val="bottom"/>
            <w:shd w:val="clear" w:color="auto" w:fill="CCEEFF"/>
          </w:tcPr>
          <w:p>
            <w:pPr>
              <w:spacing w:after="0"/>
              <w:rPr>
                <w:sz w:val="19"/>
                <w:szCs w:val="19"/>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101.PRE*</w:t>
            </w:r>
          </w:p>
        </w:tc>
        <w:tc>
          <w:tcPr>
            <w:tcW w:w="2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8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with applicable</w:t>
            </w: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40" w:hanging="332"/>
        <w:spacing w:after="0" w:line="250" w:lineRule="auto"/>
        <w:tabs>
          <w:tab w:leader="none" w:pos="3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601(a)(5) of Regulation S-K under the Securities Act. The Company agrees to furnish supplementally any omitted schedules to the Securities and Exchange Commission upon request.</w:t>
      </w:r>
    </w:p>
    <w:p>
      <w:pPr>
        <w:spacing w:after="0" w:line="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 because they are both (i) not material and</w:t>
      </w:r>
    </w:p>
    <w:p>
      <w:pPr>
        <w:spacing w:after="0" w:line="9" w:lineRule="exact"/>
        <w:rPr>
          <w:rFonts w:ascii="Arial" w:cs="Arial" w:eastAsia="Arial" w:hAnsi="Arial"/>
          <w:sz w:val="18"/>
          <w:szCs w:val="18"/>
          <w:color w:val="auto"/>
        </w:rPr>
      </w:pPr>
    </w:p>
    <w:p>
      <w:pPr>
        <w:ind w:left="340" w:hanging="8"/>
        <w:spacing w:after="0" w:line="266" w:lineRule="auto"/>
        <w:tabs>
          <w:tab w:leader="none" w:pos="6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type that the registrant treats as private or confidential. A copy of the omitted portions will be furnished to the Securities and Exchange Commission upon request.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THREDUP INC.</w:t>
      </w:r>
    </w:p>
    <w:p>
      <w:pPr>
        <w:spacing w:after="0" w:line="2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James Reinhart, certify that:</w:t>
      </w:r>
    </w:p>
    <w:p>
      <w:pPr>
        <w:spacing w:after="0" w:line="225"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87"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2024</w:t>
      </w:r>
    </w:p>
    <w:p>
      <w:pPr>
        <w:sectPr>
          <w:pgSz w:w="11900" w:h="16838" w:orient="portrait"/>
          <w:cols w:equalWidth="0" w:num="1">
            <w:col w:w="11240"/>
          </w:cols>
          <w:pgMar w:left="320" w:top="769"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Sean Sobers, certify that:</w:t>
      </w:r>
    </w:p>
    <w:p>
      <w:pPr>
        <w:spacing w:after="0" w:line="225"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87"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2024</w:t>
      </w:r>
    </w:p>
    <w:p>
      <w:pPr>
        <w:sectPr>
          <w:pgSz w:w="11900" w:h="16838" w:orient="portrait"/>
          <w:cols w:equalWidth="0" w:num="1">
            <w:col w:w="11240"/>
          </w:cols>
          <w:pgMar w:left="320" w:top="769"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 James Reinhart, Chief Executive Officer of ThredUp Inc. (the “Company”), do hereby certify, pursuant to 18 U.S.C. Section 1350, as adopted pursuant to Section 906 of the Sarbanes-Oxley Act of 2002, that to the best of my knowledge:</w:t>
      </w:r>
    </w:p>
    <w:p>
      <w:pPr>
        <w:spacing w:after="0" w:line="153" w:lineRule="exact"/>
        <w:rPr>
          <w:sz w:val="20"/>
          <w:szCs w:val="20"/>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2024 (the “Report”) fully complies with the requirements of Section 13(a) or 15(d) of the Securities Exchange Act of 1934;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28"/>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2024</w:t>
      </w:r>
    </w:p>
    <w:p>
      <w:pPr>
        <w:sectPr>
          <w:pgSz w:w="11900" w:h="16838" w:orient="portrait"/>
          <w:cols w:equalWidth="0" w:num="1">
            <w:col w:w="11240"/>
          </w:cols>
          <w:pgMar w:left="320" w:top="769"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 Sean Sobers, Chief Financial Officer of ThredUp Inc. (the “Company”), do hereby certify, pursuant to 18 U.S.C. Section 1350, as adopted pursuant to Section 906 of the Sarbanes-Oxley Act of 2002, that to the best of my knowledge:</w:t>
      </w:r>
    </w:p>
    <w:p>
      <w:pPr>
        <w:spacing w:after="0" w:line="153" w:lineRule="exact"/>
        <w:rPr>
          <w:sz w:val="20"/>
          <w:szCs w:val="20"/>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2024 (the “Report”) fully complies with the requirements of Section 13(a) or 15(d) of the Securities Exchange Act of 1934;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8"/>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2024</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6"/>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0"/>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2)"/>
      <w:numFmt w:val="lowerRoman"/>
      <w:start w:val="2"/>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3" Type="http://schemas.openxmlformats.org/officeDocument/2006/relationships/image" Target="media/image42.png"/><Relationship Id="rId49" Type="http://schemas.openxmlformats.org/officeDocument/2006/relationships/hyperlink" Target="https://www.sec.gov/Archives/edgar/data/1484778/000162828021003857/exhibit32-sx1.htm" TargetMode="External"/><Relationship Id="rId50" Type="http://schemas.openxmlformats.org/officeDocument/2006/relationships/hyperlink" Target="https://www.sec.gov/Archives/edgar/data/1484778/000148477823000037/thredup-arpubliccompanybyl.htm" TargetMode="External"/><Relationship Id="rId51" Type="http://schemas.openxmlformats.org/officeDocument/2006/relationships/hyperlink" Target="https://www.sec.gov/Archives/edgar/data/1484778/000162828021003857/exhibit41-sx1.htm" TargetMode="External"/><Relationship Id="rId52" Type="http://schemas.openxmlformats.org/officeDocument/2006/relationships/hyperlink" Target="https://www.sec.gov/Archives/edgar/data/1484778/000162828021003857/exhibit4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2024-05-06T15:41:51Z</dcterms:created>
  <dcterms:modified xsi:type="dcterms:W3CDTF">2024-05-06T15:41:51Z</dcterms:modified>
</cp:coreProperties>
</file>