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Friedman Ian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ThredUp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TDUP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THREDUP INC.</w:t>
            </w:r>
          </w:p>
        </w:tc>
        <w:tc>
          <w:tcPr>
            <w:tcW w:w="1340" w:type="dxa"/>
            <w:vAlign w:val="bottom"/>
          </w:tcPr>
          <w:p>
            <w:pPr>
              <w:spacing w:after="0"/>
              <w:rPr>
                <w:sz w:val="22"/>
                <w:szCs w:val="22"/>
                <w:color w:val="auto"/>
              </w:rPr>
            </w:pPr>
          </w:p>
        </w:tc>
        <w:tc>
          <w:tcPr>
            <w:tcW w:w="13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10/28/2026</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969 BROADWAY, SUITE 200</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OAKLAND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94607</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5,060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461,661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fully vested restricted stock units ("RSUs") under the Issuer's 2021 Stock Option and Incentive Plan in a transaction exempt under Rule 16b-3. Each RSU represents a right to receive one share of the Issuer's Class A Common Stock. The Reporting Person elected to receive RSUs in lieu of his annual cash retainer, which retainer is paid in quarterly installments.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10/30/2026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575"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2026-10-29T15:45:49Z</dcterms:created>
  <dcterms:modified xsi:type="dcterms:W3CDTF">2026-10-29T15:45:49Z</dcterms:modified>
</cp:coreProperties>
</file>