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ind w:left="29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ind w:left="4200"/>
        <w:spacing w:after="0"/>
        <w:rPr>
          <w:sz w:val="20"/>
          <w:szCs w:val="20"/>
          <w:color w:val="auto"/>
        </w:rPr>
      </w:pPr>
      <w:r>
        <w:rPr>
          <w:rFonts w:ascii="Arial" w:cs="Arial" w:eastAsia="Arial" w:hAnsi="Arial"/>
          <w:sz w:val="25"/>
          <w:szCs w:val="25"/>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3660" w:right="1640" w:hanging="3652"/>
        <w:spacing w:after="0" w:line="367" w:lineRule="auto"/>
        <w:tabs>
          <w:tab w:leader="none" w:pos="37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200" w:right="1640" w:hanging="2192"/>
        <w:spacing w:after="0" w:line="375" w:lineRule="auto"/>
        <w:tabs>
          <w:tab w:leader="none" w:pos="37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____________________ to 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86360</wp:posOffset>
            </wp:positionV>
            <wp:extent cx="154305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ThredUp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Delaware</w:t>
            </w:r>
          </w:p>
        </w:tc>
        <w:tc>
          <w:tcPr>
            <w:tcW w:w="2480" w:type="dxa"/>
            <w:vAlign w:val="bottom"/>
          </w:tcPr>
          <w:p>
            <w:pPr>
              <w:spacing w:after="0"/>
              <w:rPr>
                <w:sz w:val="17"/>
                <w:szCs w:val="17"/>
                <w:color w:val="auto"/>
              </w:rPr>
            </w:pPr>
          </w:p>
        </w:tc>
        <w:tc>
          <w:tcPr>
            <w:tcW w:w="3920" w:type="dxa"/>
            <w:vAlign w:val="bottom"/>
            <w:gridSpan w:val="3"/>
          </w:tcPr>
          <w:p>
            <w:pPr>
              <w:jc w:val="right"/>
              <w:ind w:right="2348"/>
              <w:spacing w:after="0"/>
              <w:rPr>
                <w:sz w:val="20"/>
                <w:szCs w:val="20"/>
                <w:color w:val="auto"/>
              </w:rPr>
            </w:pPr>
            <w:r>
              <w:rPr>
                <w:rFonts w:ascii="Arial" w:cs="Arial" w:eastAsia="Arial" w:hAnsi="Arial"/>
                <w:sz w:val="14"/>
                <w:szCs w:val="14"/>
                <w:b w:val="1"/>
                <w:bCs w:val="1"/>
                <w:color w:val="auto"/>
              </w:rPr>
              <w:t>26-4009181</w:t>
            </w:r>
          </w:p>
        </w:tc>
        <w:tc>
          <w:tcPr>
            <w:tcW w:w="0" w:type="dxa"/>
            <w:vAlign w:val="bottom"/>
          </w:tcPr>
          <w:p>
            <w:pPr>
              <w:spacing w:after="0"/>
              <w:rPr>
                <w:sz w:val="1"/>
                <w:szCs w:val="1"/>
                <w:color w:val="auto"/>
              </w:rPr>
            </w:pPr>
          </w:p>
        </w:tc>
      </w:tr>
      <w:tr>
        <w:trPr>
          <w:trHeight w:val="197"/>
        </w:trPr>
        <w:tc>
          <w:tcPr>
            <w:tcW w:w="4840" w:type="dxa"/>
            <w:vAlign w:val="bottom"/>
            <w:gridSpan w:val="3"/>
          </w:tcPr>
          <w:p>
            <w:pPr>
              <w:jc w:val="center"/>
              <w:ind w:left="72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2480" w:type="dxa"/>
            <w:vAlign w:val="bottom"/>
          </w:tcPr>
          <w:p>
            <w:pPr>
              <w:spacing w:after="0"/>
              <w:rPr>
                <w:sz w:val="17"/>
                <w:szCs w:val="17"/>
                <w:color w:val="auto"/>
              </w:rPr>
            </w:pPr>
          </w:p>
        </w:tc>
        <w:tc>
          <w:tcPr>
            <w:tcW w:w="3920" w:type="dxa"/>
            <w:vAlign w:val="bottom"/>
            <w:gridSpan w:val="3"/>
          </w:tcPr>
          <w:p>
            <w:pPr>
              <w:jc w:val="center"/>
              <w:ind w:right="1628"/>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373"/>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969 Broadway, Suite 200</w:t>
            </w:r>
          </w:p>
        </w:tc>
        <w:tc>
          <w:tcPr>
            <w:tcW w:w="2480" w:type="dxa"/>
            <w:vAlign w:val="bottom"/>
          </w:tcPr>
          <w:p>
            <w:pPr>
              <w:spacing w:after="0"/>
              <w:rPr>
                <w:sz w:val="24"/>
                <w:szCs w:val="24"/>
                <w:color w:val="auto"/>
              </w:rPr>
            </w:pPr>
          </w:p>
        </w:tc>
        <w:tc>
          <w:tcPr>
            <w:tcW w:w="3920" w:type="dxa"/>
            <w:vAlign w:val="bottom"/>
            <w:gridSpan w:val="3"/>
            <w:vMerge w:val="restart"/>
          </w:tcPr>
          <w:p>
            <w:pPr>
              <w:jc w:val="right"/>
              <w:ind w:right="2528"/>
              <w:spacing w:after="0"/>
              <w:rPr>
                <w:sz w:val="20"/>
                <w:szCs w:val="20"/>
                <w:color w:val="auto"/>
              </w:rPr>
            </w:pPr>
            <w:r>
              <w:rPr>
                <w:rFonts w:ascii="Arial" w:cs="Arial" w:eastAsia="Arial" w:hAnsi="Arial"/>
                <w:sz w:val="14"/>
                <w:szCs w:val="14"/>
                <w:b w:val="1"/>
                <w:bCs w:val="1"/>
                <w:color w:val="auto"/>
              </w:rPr>
              <w:t>94607</w:t>
            </w:r>
          </w:p>
        </w:tc>
        <w:tc>
          <w:tcPr>
            <w:tcW w:w="0" w:type="dxa"/>
            <w:vAlign w:val="bottom"/>
          </w:tcPr>
          <w:p>
            <w:pPr>
              <w:spacing w:after="0"/>
              <w:rPr>
                <w:sz w:val="1"/>
                <w:szCs w:val="1"/>
                <w:color w:val="auto"/>
              </w:rPr>
            </w:pPr>
          </w:p>
        </w:tc>
      </w:tr>
      <w:tr>
        <w:trPr>
          <w:trHeight w:val="195"/>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Oakland, California</w:t>
            </w:r>
          </w:p>
        </w:tc>
        <w:tc>
          <w:tcPr>
            <w:tcW w:w="2480" w:type="dxa"/>
            <w:vAlign w:val="bottom"/>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40" w:type="dxa"/>
            <w:vAlign w:val="bottom"/>
            <w:gridSpan w:val="3"/>
          </w:tcPr>
          <w:p>
            <w:pPr>
              <w:jc w:val="center"/>
              <w:ind w:left="708"/>
              <w:spacing w:after="0"/>
              <w:rPr>
                <w:sz w:val="20"/>
                <w:szCs w:val="20"/>
                <w:color w:val="auto"/>
              </w:rPr>
            </w:pPr>
            <w:r>
              <w:rPr>
                <w:rFonts w:ascii="Arial" w:cs="Arial" w:eastAsia="Arial" w:hAnsi="Arial"/>
                <w:sz w:val="14"/>
                <w:szCs w:val="14"/>
                <w:i w:val="1"/>
                <w:iCs w:val="1"/>
                <w:color w:val="auto"/>
              </w:rPr>
              <w:t>(Address of principal executive offices)</w:t>
            </w: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ind w:right="18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541"/>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jc w:val="center"/>
              <w:ind w:right="828"/>
              <w:spacing w:after="0"/>
              <w:rPr>
                <w:sz w:val="20"/>
                <w:szCs w:val="20"/>
                <w:color w:val="auto"/>
              </w:rPr>
            </w:pPr>
            <w:r>
              <w:rPr>
                <w:rFonts w:ascii="Arial" w:cs="Arial" w:eastAsia="Arial" w:hAnsi="Arial"/>
                <w:sz w:val="14"/>
                <w:szCs w:val="14"/>
                <w:b w:val="1"/>
                <w:bCs w:val="1"/>
                <w:color w:val="auto"/>
              </w:rPr>
              <w:t>(415) 402-5202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2"/>
          </w:tcPr>
          <w:p>
            <w:pPr>
              <w:jc w:val="center"/>
              <w:ind w:left="12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4840" w:type="dxa"/>
            <w:vAlign w:val="bottom"/>
            <w:gridSpan w:val="3"/>
          </w:tcPr>
          <w:p>
            <w:pPr>
              <w:jc w:val="center"/>
              <w:ind w:right="1108"/>
              <w:spacing w:after="0"/>
              <w:rPr>
                <w:sz w:val="20"/>
                <w:szCs w:val="20"/>
                <w:color w:val="auto"/>
              </w:rPr>
            </w:pPr>
            <w:r>
              <w:rPr>
                <w:rFonts w:ascii="Arial" w:cs="Arial" w:eastAsia="Arial" w:hAnsi="Arial"/>
                <w:sz w:val="14"/>
                <w:szCs w:val="14"/>
                <w:color w:val="auto"/>
              </w:rPr>
              <w:t>Securities registered pursuant to Section 12(b) of the Act:</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868"/>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7"/>
        </w:trPr>
        <w:tc>
          <w:tcPr>
            <w:tcW w:w="4840" w:type="dxa"/>
            <w:vAlign w:val="bottom"/>
            <w:gridSpan w:val="3"/>
          </w:tcPr>
          <w:p>
            <w:pPr>
              <w:jc w:val="center"/>
              <w:ind w:right="1088"/>
              <w:spacing w:after="0" w:line="147" w:lineRule="exact"/>
              <w:rPr>
                <w:sz w:val="20"/>
                <w:szCs w:val="20"/>
                <w:color w:val="auto"/>
              </w:rPr>
            </w:pPr>
            <w:r>
              <w:rPr>
                <w:rFonts w:ascii="Arial" w:cs="Arial" w:eastAsia="Arial" w:hAnsi="Arial"/>
                <w:sz w:val="14"/>
                <w:szCs w:val="14"/>
                <w:color w:val="auto"/>
              </w:rPr>
              <w:t>Class A Common Stock, $0.0001 par value per share</w:t>
            </w:r>
          </w:p>
        </w:tc>
        <w:tc>
          <w:tcPr>
            <w:tcW w:w="2480" w:type="dxa"/>
            <w:vAlign w:val="bottom"/>
          </w:tcPr>
          <w:p>
            <w:pPr>
              <w:jc w:val="center"/>
              <w:ind w:right="848"/>
              <w:spacing w:after="0" w:line="147" w:lineRule="exact"/>
              <w:rPr>
                <w:sz w:val="20"/>
                <w:szCs w:val="20"/>
                <w:color w:val="auto"/>
              </w:rPr>
            </w:pPr>
            <w:r>
              <w:rPr>
                <w:rFonts w:ascii="Arial" w:cs="Arial" w:eastAsia="Arial" w:hAnsi="Arial"/>
                <w:sz w:val="14"/>
                <w:szCs w:val="14"/>
                <w:color w:val="auto"/>
              </w:rPr>
              <w:t>TDUP</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jc w:val="center"/>
              <w:spacing w:after="0" w:line="147"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rPr>
              <w:t>Long-Term Stock Exchange</w:t>
            </w:r>
          </w:p>
        </w:tc>
        <w:tc>
          <w:tcPr>
            <w:tcW w:w="0" w:type="dxa"/>
            <w:vAlign w:val="bottom"/>
          </w:tcPr>
          <w:p>
            <w:pPr>
              <w:spacing w:after="0"/>
              <w:rPr>
                <w:sz w:val="1"/>
                <w:szCs w:val="1"/>
                <w:color w:val="auto"/>
              </w:rPr>
            </w:pPr>
          </w:p>
        </w:tc>
      </w:tr>
    </w:tbl>
    <w:p>
      <w:pPr>
        <w:spacing w:after="0" w:line="363"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1"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2"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060" w:type="dxa"/>
            <w:vAlign w:val="bottom"/>
          </w:tcPr>
          <w:p>
            <w:pPr>
              <w:ind w:left="306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5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There were 96,352,209 shares of Class A common stock and 21,895,000 shares of Class B common stock outstanding as of April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0" w:type="dxa"/>
            <w:vAlign w:val="bottom"/>
            <w:gridSpan w:val="10"/>
            <w:vMerge w:val="restart"/>
          </w:tcPr>
          <w:p>
            <w:pPr>
              <w:jc w:val="center"/>
              <w:ind w:right="2560"/>
              <w:spacing w:after="0"/>
              <w:rPr>
                <w:sz w:val="20"/>
                <w:szCs w:val="20"/>
                <w:color w:val="auto"/>
              </w:rPr>
            </w:pPr>
            <w:r>
              <w:rPr>
                <w:rFonts w:ascii="Arial" w:cs="Arial" w:eastAsia="Arial" w:hAnsi="Arial"/>
                <w:sz w:val="18"/>
                <w:szCs w:val="18"/>
                <w:b w:val="1"/>
                <w:bCs w:val="1"/>
                <w:color w:val="auto"/>
                <w:w w:val="99"/>
              </w:rPr>
              <w:t>PART I. FINANCIAL INFORMATION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gridSpan w:val="10"/>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shd w:val="clear" w:color="auto" w:fill="CCEEFF"/>
          </w:tcPr>
          <w:p>
            <w:pPr>
              <w:spacing w:after="0"/>
              <w:rPr>
                <w:sz w:val="16"/>
                <w:szCs w:val="16"/>
                <w:color w:val="auto"/>
              </w:rPr>
            </w:pPr>
          </w:p>
        </w:tc>
        <w:tc>
          <w:tcPr>
            <w:tcW w:w="896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Balance Sheets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Statements of Operations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0" w:type="dxa"/>
            <w:vAlign w:val="bottom"/>
            <w:gridSpan w:val="19"/>
          </w:tcPr>
          <w:p>
            <w:pPr>
              <w:spacing w:after="0" w:line="189" w:lineRule="exact"/>
              <w:rPr>
                <w:sz w:val="20"/>
                <w:szCs w:val="20"/>
                <w:color w:val="auto"/>
              </w:rPr>
            </w:pPr>
            <w:r>
              <w:rPr>
                <w:rFonts w:ascii="Arial" w:cs="Arial" w:eastAsia="Arial" w:hAnsi="Arial"/>
                <w:sz w:val="18"/>
                <w:szCs w:val="18"/>
                <w:color w:val="0000FF"/>
              </w:rPr>
              <w:t>Unaudited Condensed Consolidated Statements of Comprehensive Loss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740" w:type="dxa"/>
            <w:vAlign w:val="bottom"/>
            <w:tcBorders>
              <w:bottom w:val="single" w:sz="8" w:color="0000FF"/>
            </w:tcBorders>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9"/>
              </w:rPr>
              <w:t>Unaudited Condensed Consolidated Statements of Stockholders’ Equity</w:t>
            </w:r>
          </w:p>
        </w:tc>
        <w:tc>
          <w:tcPr>
            <w:tcW w:w="3060" w:type="dxa"/>
            <w:vAlign w:val="bottom"/>
            <w:tcBorders>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Statements of Cash Flows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2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240" w:type="dxa"/>
            <w:vAlign w:val="bottom"/>
            <w:tcBorders>
              <w:bottom w:val="single" w:sz="8" w:color="CCEEFF"/>
            </w:tcBorders>
            <w:gridSpan w:val="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Controls and Procedures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5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8"/>
              </w:rPr>
              <w:t>PART II. OTHER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460" w:type="dxa"/>
            <w:vAlign w:val="bottom"/>
            <w:tcBorders>
              <w:bottom w:val="single" w:sz="8" w:color="CCEEFF"/>
            </w:tcBorders>
            <w:gridSpan w:val="14"/>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Risk Factors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20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100" w:type="dxa"/>
            <w:vAlign w:val="bottom"/>
            <w:tcBorders>
              <w:bottom w:val="single" w:sz="8" w:color="CCEEFF"/>
            </w:tcBorders>
            <w:gridSpan w:val="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Defaults Upon Senior Securities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2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7020" w:type="dxa"/>
            <w:vAlign w:val="bottom"/>
            <w:tcBorders>
              <w:bottom w:val="single" w:sz="8" w:color="CCEEFF"/>
            </w:tcBorders>
            <w:gridSpan w:val="1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Other Information</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8320" w:type="dxa"/>
            <w:vAlign w:val="bottom"/>
            <w:tcBorders>
              <w:bottom w:val="single" w:sz="8" w:color="CCEEFF"/>
            </w:tcBorders>
            <w:gridSpan w:val="1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Signatures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76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3860" w:type="dxa"/>
            <w:vAlign w:val="bottom"/>
            <w:gridSpan w:val="9"/>
          </w:tcPr>
          <w:p>
            <w:pPr>
              <w:jc w:val="center"/>
              <w:ind w:left="33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“possible”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7" w:lineRule="exact"/>
        <w:rPr>
          <w:sz w:val="20"/>
          <w:szCs w:val="20"/>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48"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7"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restructuring activities;</w:t>
      </w:r>
    </w:p>
    <w:p>
      <w:pPr>
        <w:spacing w:after="0" w:line="48"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revenue from Resale-as-a-Service (“RaaS”) offerings as sources of revenue;</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7"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inflationary pressures, increased interest rates, cybersecurity risks, changing consumer habits, climate change and extreme weather events and general global political and economic uncertainty;</w:t>
      </w:r>
    </w:p>
    <w:p>
      <w:pPr>
        <w:spacing w:after="0" w:line="65"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applicable laws and regulations;</w:t>
      </w:r>
    </w:p>
    <w:p>
      <w:pPr>
        <w:spacing w:after="0" w:line="157" w:lineRule="exact"/>
        <w:rPr>
          <w:rFonts w:ascii="Arial" w:cs="Arial" w:eastAsia="Arial" w:hAnsi="Arial"/>
          <w:sz w:val="18"/>
          <w:szCs w:val="18"/>
          <w:i w:val="1"/>
          <w:iCs w:val="1"/>
          <w:color w:val="auto"/>
        </w:rPr>
      </w:pPr>
    </w:p>
    <w:p>
      <w:pPr>
        <w:ind w:left="660" w:right="2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ability to incorporate artificial intelligence and machine learning and other emergent technologies into our business operations successfully; and</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18"/>
          <w:szCs w:val="18"/>
          <w:i w:val="1"/>
          <w:iCs w:val="1"/>
          <w:color w:val="auto"/>
        </w:rPr>
        <w:t>our discontinuation of European operations in connection with the divestiture of our Remix subsidiary.</w:t>
      </w:r>
    </w:p>
    <w:p>
      <w:pPr>
        <w:spacing w:after="0" w:line="30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Forward-looking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and active buyers; the sufficiency of our cash, cash equivalents and capital resources to meet our liquidity needs; our ability to effectively manage or sustain our growth and to effectively expand our operations; our ability to continue to generate revenue from new RaaS offerings as sources of revenue; risks from an intensely competitive market; our ability to effectively deploy new and evolving technologies, such as artificial intelligence and machine learning, in our offerings; risks arising from economic and industry trends, including the effects of inflationary pressures, increased interest rates, changing consumer habits, climate change and general global political and economic uncertainty; our ability to comply with applicable laws and regulations; our ability to recognize realize expected savings or benefits from reorganization activities;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 in Part I, Item 1A, Risk Factors, of our Annual Report on Form 10-K for the year ended December 31, 2024, in Part II, Item 1A, Risk Factors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ThredUp is one of the world’s largest online resale platforms for apparel, shoes and accessories, based primarily on items processed, items sold and the capacity of our distribution centers.</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rPr>
              <w:t>(in thousands, except par value amounts)</w:t>
            </w: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31,851</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28,853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10,746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172,500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171,225</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29,856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15,142</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65,605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61,524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32,489</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18,151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116,417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114,924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Class A and B common stock, $0.0001 par value; 1,120,000 shares authorized as of</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March 31, 2025 and December 31, 2024; 117,781 and 116,134 shares issued and</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March 31, 2025 and December 31, 2024, respectively</w:t>
            </w:r>
          </w:p>
        </w:tc>
        <w:tc>
          <w:tcPr>
            <w:tcW w:w="26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617,150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612,148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(561,076)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(555,861)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56,301</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172,500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171,225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ind w:left="260"/>
              <w:spacing w:after="0" w:line="147"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2"/>
                <w:szCs w:val="12"/>
                <w:color w:val="auto"/>
              </w:rPr>
            </w:pPr>
          </w:p>
        </w:tc>
        <w:tc>
          <w:tcPr>
            <w:tcW w:w="1360" w:type="dxa"/>
            <w:vAlign w:val="bottom"/>
          </w:tcPr>
          <w:p>
            <w:pPr>
              <w:jc w:val="right"/>
              <w:ind w:right="412"/>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r>
      <w:tr>
        <w:trPr>
          <w:trHeight w:val="192"/>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312"/>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64,533</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51,713</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37,125</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10,851</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16,132</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64,108</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(12,179)</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(12,190)</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(16,554)</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shares used to compute loss per share, basic and diluted</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116,698</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109,292</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per share, basic and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Loss from discontinued operations per share, basic and diluted</w:t>
            </w: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48"/>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 per share, basic and diluted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220" w:type="dxa"/>
            <w:vAlign w:val="bottom"/>
          </w:tcPr>
          <w:p>
            <w:pPr>
              <w:jc w:val="right"/>
              <w:ind w:right="415"/>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(16,554)</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loss on available-for-sale securities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(17,424)</w:t>
            </w:r>
          </w:p>
        </w:tc>
      </w:tr>
      <w:tr>
        <w:trPr>
          <w:trHeight w:val="21"/>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2024</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116,134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612,148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(555,861)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00" w:type="dxa"/>
            <w:vAlign w:val="bottom"/>
          </w:tcPr>
          <w:p>
            <w:pPr>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2,047</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2025</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117,781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617,150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56,083</w:t>
            </w: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6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108,784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585,156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(478,875)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1,694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110,217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592,193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93,530</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220" w:type="dxa"/>
            <w:vAlign w:val="bottom"/>
          </w:tcPr>
          <w:p>
            <w:pPr>
              <w:jc w:val="right"/>
              <w:ind w:right="431"/>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192"/>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continuing operating activities:</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(12,190)</w:t>
            </w:r>
          </w:p>
        </w:tc>
      </w:tr>
      <w:tr>
        <w:trPr>
          <w:trHeight w:val="176"/>
        </w:trPr>
        <w:tc>
          <w:tcPr>
            <w:tcW w:w="77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reconcile loss from continuing operations to net cash provided by continuing</w:t>
            </w: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6,911</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Other current and non-current assets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Seller payable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continuing operating activities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continuing investing activities: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(8,665)</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and maturities of marketable securities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continuing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Cash flows from continuing financing activities: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issuance of stock-based awards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on stock-based awards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continuing financing activities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from continuing operations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r>
      <w:tr>
        <w:trPr>
          <w:trHeight w:val="148"/>
        </w:trPr>
        <w:tc>
          <w:tcPr>
            <w:tcW w:w="7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in discontinued operating activities</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Net cash flow used in discontinued investing activities</w:t>
            </w: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from discontinued operations</w:t>
            </w: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operates a large resale platform that enables consumers to buy and sell primarily secondhand apparel, shoes, and accessories.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 and Use of Estimates</w:t>
      </w:r>
    </w:p>
    <w:p>
      <w:pPr>
        <w:spacing w:after="0" w:line="11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may be condensed or omitted.</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breakage on loyalty points and rewards and gift cards, valuation of inventory, stock-based compensation, lease liabilities, and goodwill.</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and recurring adjustments necessary to present fairly the financial position of the Company as of March 31, 2025 and 2024, and the results of operations and cash flows for the interim periods presented.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2024 (the “2024 10-K”).</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prior period amounts have been reclassified to conform to the current period’s presentation. Beginning in the first quarter of 2025, the Company combined consignment revenue and product revenue into a single line item, revenue, on the condensed consolidated statements of operations, and similarly combined related cost of revenue line items, reflecting the immateriality of product revenue following the Company’s transition to a primarily consignment model. The Company also reclassified inventory to other current assets on the condensed consolidated balance sheets and statements of cash flows to align with the combined presentation. These reclassifications had no impact on previously reported total revenue, net loss, stockholders’ equity, or cash flows.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the fourth quarter of 2024, the Company divested 91% of its European business and Bulgarian subsidiary, Remix Global EAD (“Remix”), meeting the requirements for reporting Remix as a discontinued operation. Accordingly, Remix’s results during 2024 are presented as discontinued operations in the condensed consolidated statements of operations and excluded from continuing operations for the three months ended March 31, 2024. In the condensed consolidated statements of cash flows, cash flows attributable to Remix have been segregated and presented separately as net cash flow used in discontinued operating activities and net cash flow used in discontinued investing activities for the three months ended March 31, 2024. Unless otherwise noted, amounts and disclosures in these notes to condensed consolidated financial statements pertain to the Company’s continuing operations. See Note 12,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details on the transaction.</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accounting pronouncements adopted during the three months ended March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Not Yet Effective</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2024-03,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Statement-Reporting Comprehensive Income-Expense Disaggregation Disclosures (Subtopic 220-40): Disaggregation of Income Statement Expenses</w:t>
      </w:r>
      <w:r>
        <w:rPr>
          <w:rFonts w:ascii="Arial" w:cs="Arial" w:eastAsia="Arial" w:hAnsi="Arial"/>
          <w:sz w:val="18"/>
          <w:szCs w:val="18"/>
          <w:color w:val="auto"/>
        </w:rPr>
        <w:t>, which expands disclosures about a public entity’s expenses, including inventory, employee compensation, depreciation,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 amortization, selling expenses and other expense categories. ASU 2024-03 is effective for annual period beginning after December 15, 2026, and interim periods within annual periods beginning after December 15, 2027, which will be the annual period ending December 31, 2027 and interim periods within the annual period ending December 31, 2028 for the Company. The Company is currently evaluating the potential impact on its consolidated financial statement disclosures.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ASU 2023-09 requires additional quantitative and qualitative income tax disclosures to enable financial statements users to better assess how an entity’s operations and related tax risks and tax planning and operational opportunities affect its tax rate and prospects for future cash flows. For public business entities, ASU 2023-09 is effective for annual periods beginning after December 15, 2024, which will be the annual period ending December 31, 2025 for the Company. The Company expects the adoption to result in enhanced income tax disclosures in its annual consolidated financial statements.</w:t>
      </w:r>
    </w:p>
    <w:p>
      <w:pPr>
        <w:spacing w:after="0" w:line="1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October 2023, the FASB issued ASU 2023-06, </w:t>
      </w:r>
      <w:r>
        <w:rPr>
          <w:rFonts w:ascii="Arial" w:cs="Arial" w:eastAsia="Arial" w:hAnsi="Arial"/>
          <w:sz w:val="18"/>
          <w:szCs w:val="18"/>
          <w:i w:val="1"/>
          <w:iCs w:val="1"/>
          <w:color w:val="auto"/>
        </w:rPr>
        <w:t>Disclosure Improvements: Codification Amendments in Response to the SEC’s</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Update and Simplification Initiative</w:t>
      </w:r>
      <w:r>
        <w:rPr>
          <w:rFonts w:ascii="Arial" w:cs="Arial" w:eastAsia="Arial" w:hAnsi="Arial"/>
          <w:sz w:val="18"/>
          <w:szCs w:val="18"/>
          <w:color w:val="auto"/>
        </w:rPr>
        <w:t>, to amend certain disclosure and presentation requirements for a variety of topics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its consolidated financial statements and disclosures.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Segment Reporting</w:t>
      </w:r>
    </w:p>
    <w:p>
      <w:pPr>
        <w:spacing w:after="0" w:line="11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Company operates under one operating segment and one reportable segment as its chief operating decision maker, who is its Chief Executive Officer, reviews financial information presented on a consolidated basis for purposes of making operating decisions, allocating resources and evaluating financial performance. The Company does not have material intra-entity sales or transfers.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key measure of segment profit or loss that the CODM uses to allocate resources and assess performance is the Company’s loss from continuing operations, as reported in the condensed consolidated statements of operations.</w:t>
      </w:r>
    </w:p>
    <w:p>
      <w:pPr>
        <w:spacing w:after="0" w:line="1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expense within operating loss, as well as within loss from continuing operations, include cost of revenue, operations, product and technology, marketing, and sales, general and administrative expenses, which are each separately presented in the condensed consolidated statements of operations. Other segment items within loss from continuing operations include interest expense, other income, net, and provision for income taxes. The CODM manages the business using consolidated expense information, as well as regularly provided budgeted or forecasted expense information. Assets provided to the CODM are consistent with those reported on the condensed consolidated balance sheets.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from Loyalty Reward Redemption and Expiration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previously had a customer loyalty program, which allowed end-customers to earn and accumulate points with each qualifying purchase. Earned points could be redeemed for loyalty rewards, such as non-cashoutable shopping credit, free shipping, or waived restocking fee, which could be applied to future purchases or returns. Unredeemed points expired after one year from the date the points were earned. Reward coupons expired six months from the date the reward was claimed. Points earned on purchases were considered a material right, representing a separate performance obligation.</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allocated consideration for the points earned through qualifying purchase transactions was deferred based on the standalone selling price of the points, adjusted for expected breakage in proportion to the pattern of redemption, and recorded within deferred revenue under accrued and other current liabilities within the Company’s condensed consolidated balance sheets. Revenue was recognized for these performance obligations at a point in time when rewards were redeemed by the end customer or expired.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October 1, 2024, customers were no longer able to earn loyalty points and after March 31, 2025, they could no longer redeem any previously accumulated points. As of March 31, 2025, the Company did not have a material deferred revenue liability related to its customer loyalty program. As of December 31, 2024, the Company had a deferred revenue liability of $1.5 million related to the program, which was included in accrued and other current liabilities within the Company’s condensed consolidated balance sheets. The Company recognized revenue from loyalty reward redemption and expiration of $1.5 million and $3.7 million for the three months ended March 31, 2025 and 2024, respectively.</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Gift Cards and Site Credits</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sells ThredUp gift cards on its e-commerce website and may also convert seller payables and site credits to ThredUp gift cards one year after issuance at the discretion of the Company. ThredUp gift cards do not expire or lose value over periods of inactivity. The Company accounts for gift cards by recognizing a gift card liability at the time a gift card is delivered to the customer. As of March 31, 2025 and December 31, 2024, $7.5 million and $8.5 million, respectively, of gift card liability was included in accrued and other current liabilities within the Company’s condensed consolidated balance sheets. Revenue from redemption of gift cards amounted to $0.1 million and $0.3 million for the three months ended March 31, 2025 and 2024, respectively.</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breakage revenue for the portion of gift card values that are not expected to be redeemed. Previously, breakage revenue was estimated when gift card redemption was deemed remote. Beginning in the fourth quarter of 2024, with more historical data available, breakage revenue is estimated based upon historical customer redemption patterns. Judgment is required in determining the appropriate grouping of gift cards for analyzing breakage rates, redemption patterns, and estimating the ultimate value of gift cards not expected to be redeemed. Breakage revenue was $2.3 million and $1.3 million for the three months ended March 31, 2025 and 2024, respectively.</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issues site credits for returns, which can be applied toward future charges but may not be converted into cash. Site credits may also be converted to ThredUp gift cards beginning after one year at the discretion of the Company. These credits are recognized as revenue when used. As of March 31, 2025 and December 31, 2024, $3.7 million and $3.8 million, respectively, of such customer site credits were included in accrued and other current liabilities within the Company’s condensed consolidated balance sheets. Revenue recognized from the redemption of site credits was $11.0 million and $13.5 million for the three months ended March 31, 2025 and 2024, respectively.</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Seller Payable</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Seller payable includes amounts owed to sellers upon the purchase of sellers’ goods by the Company or by buyers. Amounts are initially provided as a credit to sellers. These credits may be applied towards purchases from the Company, converted to third-party retailer or ThredUp gift cards or redeemed for cash. As of March 31, 2025 and December 31, 2024, there was $15.8 million and $15.1 million, respectively, of seller payable within the Company’s condensed consolidated balance sheets. Revenue recognized from the redemption of seller credits was $6.1 million and $5.1 million for the three months ended March 31, 2025 and 2024, respectively.</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condensed consolidated balance sheets, which sum to the total of the same such amounts shown in the Company’s condensed consolidated statements of cash flows: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5"/>
          </w:tcPr>
          <w:p>
            <w:pPr>
              <w:ind w:left="94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7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60" w:type="dxa"/>
            <w:vAlign w:val="bottom"/>
            <w:tcBorders>
              <w:bottom w:val="single" w:sz="8" w:color="9A9A9A"/>
            </w:tcBorders>
          </w:tcPr>
          <w:p>
            <w:pPr>
              <w:spacing w:after="0"/>
              <w:rPr>
                <w:sz w:val="9"/>
                <w:szCs w:val="9"/>
                <w:color w:val="auto"/>
              </w:rPr>
            </w:pPr>
          </w:p>
        </w:tc>
        <w:tc>
          <w:tcPr>
            <w:tcW w:w="7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 xml:space="preserve">The Company applies the provisions of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spacing w:after="0" w:line="68" w:lineRule="exact"/>
        <w:rPr>
          <w:sz w:val="20"/>
          <w:szCs w:val="20"/>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 - Recurring Basis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tables provide information about the Company’s financial instruments that are measured at fair value on a recurring basis and indicate the fair value hierarchy of the valuation techniques utilized to determine such values as of March 31, 2025 and December 31, 2024:</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2025</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193"/>
        </w:trPr>
        <w:tc>
          <w:tcPr>
            <w:tcW w:w="6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9,466</w:t>
            </w: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U.S. government agency bonds</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23"/>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16,321</w:t>
            </w:r>
          </w:p>
        </w:tc>
      </w:tr>
      <w:tr>
        <w:trPr>
          <w:trHeight w:val="210"/>
        </w:trPr>
        <w:tc>
          <w:tcPr>
            <w:tcW w:w="60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U.S. government agency bonds</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23"/>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1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13"/>
        </w:trPr>
        <w:tc>
          <w:tcPr>
            <w:tcW w:w="60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6"/>
        </w:trPr>
        <w:tc>
          <w:tcPr>
            <w:tcW w:w="60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193"/>
        </w:trPr>
        <w:tc>
          <w:tcPr>
            <w:tcW w:w="6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29"/>
        </w:trPr>
        <w:tc>
          <w:tcPr>
            <w:tcW w:w="602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7,923</w:t>
            </w: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cash equivalents</w:t>
            </w:r>
          </w:p>
        </w:tc>
        <w:tc>
          <w:tcPr>
            <w:tcW w:w="1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8,423</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9,484</w:t>
            </w: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8,122</w:t>
            </w:r>
          </w:p>
        </w:tc>
      </w:tr>
      <w:tr>
        <w:trPr>
          <w:trHeight w:val="229"/>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3"/>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21,809</w:t>
            </w:r>
          </w:p>
        </w:tc>
      </w:tr>
      <w:tr>
        <w:trPr>
          <w:trHeight w:val="21"/>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March 31, 2025 and December 31, 2024, the Company’s cash equivalents and marketable securities approximated their estimated fair value. As such, the unrealized gains or losses related to the Company’s cash equivalents and marketable securities were not material.</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months ended March 31, 2025 and 2024, the Company did not recognize any losses on its marketable securities due to credit-related factors.</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March 31, 2025, the Company’s money market funds were valued using Level 1 inputs because they were valued using quoted prices in active markets. The Company’s commercial paper, U.S. treasury securities, and U.S. government agency bonds were valued using Level 2 inputs because they were valued using quoted prices for similar assets or liabilities in active markets and quoted prices for identical or similar assets or liabilities in markets that are not active.</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March 31, 2025 and December 31, 2024, the Company had no assets or liabilities classified within Level 3 of the fair value hierarchy. There were no transfers into or out of Level 3 during the three months ended March 31, 2025. As of March 31, 2025, all of the $5.7 million carrying amount of marketable securities had a contractual maturity date of less than one year.</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 - Nonrecurring Basis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measures the fair value of certain assets on a nonrecurring basis when events or changes in circumstances indicate that the carrying value of the asset or asset group may not be recoverable. Such nonrecurring fair value measurements generally result from impairment charges. The Company did not have any assets resulting in nonrecurring fair value measurements as of March 31, 2025 and December 31, 2024 in the Company’s condensed consolidated balance sheets.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Fair Value Disclosures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2025 and December 31, 2024,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March 31, 2025 and December 31,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4"/>
          </w:tcPr>
          <w:p>
            <w:pPr>
              <w:jc w:val="right"/>
              <w:ind w:right="1173"/>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79,302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78,908</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23,901</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Internal-use software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11,681</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Computers and software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5,583</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131,008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129,598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(61,118)</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68,480</w:t>
            </w:r>
          </w:p>
        </w:tc>
      </w:tr>
      <w:tr>
        <w:trPr>
          <w:trHeight w:val="21"/>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Depreciation and amortization expense of property and equipment was $3.2 million and $3.7 million for the three months ended March 31, 2025 and 2024,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4"/>
          </w:tcPr>
          <w:p>
            <w:pPr>
              <w:jc w:val="right"/>
              <w:ind w:right="1174"/>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12,234</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3,916</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3,438</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29,856</w:t>
            </w:r>
          </w:p>
        </w:tc>
      </w:tr>
      <w:tr>
        <w:trPr>
          <w:trHeight w:val="21"/>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w:t>
      </w:r>
    </w:p>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Term Loan was subsequently amended several times, with the most recent amendment taking place in December 2023. As amended, the Term Loan matures on July 14, 2027 and provides for an aggregate borrowing amount of up to $48.8 million, of which $22.5 million remains available and is designated for the purchase of certain equipment. The Term Loan bears interest at the prime rate published in the Wall Street Journal plus a margin of 1.25%, with a floor of 4.75%.</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March 31, 2025, the Company was in compliance with its debt covenants under the Term Loan.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is payable in consecutive monthly installments. Interest is due monthly on amounts outstanding under the Term Loan.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permitted to make voluntary prepayments without penalty or premium at any time.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2025 and December 31, 2024, the effective interest rate for borrowings under the Term Loan was 9.71%.</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three months ended March 31, 2025 and 2024, the Company did not make any borrowings under the Term Loan and repaid a total of $ 1.0 million in each of the periods on amounts outstanding under the Term Loan. As of March 31, 2025 and December 31, 2024, the amounts outstanding under the Term Loan were $21.3 million and $22.3 million, respectively.</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Company incurred interest costs of $0.5 million and $0.7 million related to the Term Loan during the three months ended March 31, 2025 and 2024,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2025, the future annual principal payments of the Term Loan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Amount</w:t>
            </w:r>
          </w:p>
        </w:tc>
      </w:tr>
      <w:tr>
        <w:trPr>
          <w:trHeight w:val="193"/>
        </w:trPr>
        <w:tc>
          <w:tcPr>
            <w:tcW w:w="9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94"/>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(Remaining nine months)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14,333</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Total principal payments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21,333</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Stockholders’ Equity</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5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table below summarizes the Class A common stock and Class B common stock authorized, issued and outstanding as of March 31, 2025 and December 31, 2024:</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340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17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2160" w:type="dxa"/>
            <w:vAlign w:val="bottom"/>
            <w:gridSpan w:val="3"/>
          </w:tcPr>
          <w:p>
            <w:pPr>
              <w:jc w:val="center"/>
              <w:ind w:right="480"/>
              <w:spacing w:after="0" w:line="143" w:lineRule="exact"/>
              <w:rPr>
                <w:sz w:val="20"/>
                <w:szCs w:val="20"/>
                <w:color w:val="auto"/>
              </w:rPr>
            </w:pPr>
            <w:r>
              <w:rPr>
                <w:rFonts w:ascii="Arial" w:cs="Arial" w:eastAsia="Arial" w:hAnsi="Arial"/>
                <w:sz w:val="14"/>
                <w:szCs w:val="14"/>
                <w:b w:val="1"/>
                <w:bCs w:val="1"/>
                <w:color w:val="auto"/>
              </w:rPr>
              <w:t>Issued and</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Authorized</w:t>
            </w:r>
          </w:p>
        </w:tc>
        <w:tc>
          <w:tcPr>
            <w:tcW w:w="1580" w:type="dxa"/>
            <w:vAlign w:val="bottom"/>
          </w:tcPr>
          <w:p>
            <w:pPr>
              <w:jc w:val="right"/>
              <w:ind w:right="337"/>
              <w:spacing w:after="0" w:line="143"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rPr>
              <w:t>Outstanding</w:t>
            </w:r>
          </w:p>
        </w:tc>
        <w:tc>
          <w:tcPr>
            <w:tcW w:w="132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ind w:left="120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88,061</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28,073</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117,781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The Company has stock-based compensation plans, which are more fully described in Note 10, </w:t>
      </w:r>
      <w:r>
        <w:rPr>
          <w:rFonts w:ascii="Arial" w:cs="Arial" w:eastAsia="Arial" w:hAnsi="Arial"/>
          <w:sz w:val="18"/>
          <w:szCs w:val="18"/>
          <w:i w:val="1"/>
          <w:iCs w:val="1"/>
          <w:color w:val="auto"/>
        </w:rPr>
        <w:t>Stock-Based Compensation Plans</w:t>
      </w:r>
      <w:r>
        <w:rPr>
          <w:rFonts w:ascii="Arial" w:cs="Arial" w:eastAsia="Arial" w:hAnsi="Arial"/>
          <w:sz w:val="18"/>
          <w:szCs w:val="18"/>
          <w:color w:val="auto"/>
        </w:rPr>
        <w:t>, to the Consolidated Financial Statements included in the 2024 10-K. During the three months ended March 31, 2025, the Company granted restricted stock units subject to service conditions.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stock-based compensation expense by financial statement line item:</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3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3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3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340" w:type="dxa"/>
            <w:vAlign w:val="bottom"/>
            <w:vMerge w:val="restart"/>
          </w:tcPr>
          <w:p>
            <w:pPr>
              <w:jc w:val="right"/>
              <w:ind w:right="1970"/>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Stock-based compensation expense capitalized in internal use software was not material for the three months ended March 31, 2025 and 2024.</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115"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table summarizes the activities for all stock options under the Company’s stock-based compensation plans for the three months ended March 31,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Exercise Price Per</w:t>
            </w:r>
          </w:p>
        </w:tc>
        <w:tc>
          <w:tcPr>
            <w:tcW w:w="1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 Contractual</w:t>
            </w: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6"/>
                <w:szCs w:val="16"/>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3.61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or 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March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3.41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Exercisable as of March 31, 2025</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13,217</w:t>
            </w:r>
          </w:p>
        </w:tc>
        <w:tc>
          <w:tcPr>
            <w:tcW w:w="2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2.17</w:t>
            </w:r>
          </w:p>
        </w:tc>
        <w:tc>
          <w:tcPr>
            <w:tcW w:w="80" w:type="dxa"/>
            <w:vAlign w:val="bottom"/>
          </w:tcPr>
          <w:p>
            <w:pPr>
              <w:spacing w:after="0"/>
              <w:rPr>
                <w:sz w:val="17"/>
                <w:szCs w:val="17"/>
                <w:color w:val="auto"/>
              </w:rPr>
            </w:pPr>
          </w:p>
        </w:tc>
        <w:tc>
          <w:tcPr>
            <w:tcW w:w="174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3.37 years</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40" w:type="dxa"/>
            <w:vAlign w:val="bottom"/>
            <w:tcBorders>
              <w:bottom w:val="single" w:sz="8" w:color="auto"/>
            </w:tcBorders>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line="287"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intrinsic value is the amount by which the current market value of the underlying stock exceeds the exercise price of the stock awards.</w:t>
      </w:r>
    </w:p>
    <w:p>
      <w:pPr>
        <w:spacing w:after="0" w:line="1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As of March 31, 2025, the total unrecognized compensation cost related to all nonvested stock options was not material.</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223" w:lineRule="exact"/>
        <w:rPr>
          <w:sz w:val="20"/>
          <w:szCs w:val="20"/>
          <w:color w:val="auto"/>
        </w:rPr>
      </w:pPr>
    </w:p>
    <w:p>
      <w:pPr>
        <w:ind w:left="180" w:firstLine="324"/>
        <w:spacing w:after="0" w:line="287" w:lineRule="auto"/>
        <w:rPr>
          <w:sz w:val="20"/>
          <w:szCs w:val="20"/>
          <w:color w:val="auto"/>
        </w:rPr>
      </w:pPr>
      <w:r>
        <w:rPr>
          <w:rFonts w:ascii="Arial" w:cs="Arial" w:eastAsia="Arial" w:hAnsi="Arial"/>
          <w:sz w:val="18"/>
          <w:szCs w:val="18"/>
          <w:color w:val="auto"/>
        </w:rPr>
        <w:t>The following table summarizes the activities for all restricted stock units (“RSUs”) under the Company’s stock-based compensation plans for the three months ended March 31, 2025:</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760" w:type="dxa"/>
            <w:vAlign w:val="bottom"/>
          </w:tcPr>
          <w:p>
            <w:pPr>
              <w:spacing w:after="0"/>
              <w:rPr>
                <w:sz w:val="12"/>
                <w:szCs w:val="12"/>
                <w:color w:val="auto"/>
              </w:rPr>
            </w:pPr>
          </w:p>
        </w:tc>
        <w:tc>
          <w:tcPr>
            <w:tcW w:w="16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680" w:type="dxa"/>
            <w:vAlign w:val="bottom"/>
          </w:tcPr>
          <w:p>
            <w:pPr>
              <w:jc w:val="right"/>
              <w:ind w:right="295"/>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December 31, 2024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3,709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March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fair value of RSUs as of the vesting date was $4.4 million and $3.5 million during the three months ended March 31, 2025 and 2024, respectively.</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March 31, 2025, the total unrecognized compensation cost related to all nonvested RSUs was $17.9 million and the related weighted-average period over which it is expected to be recognized was approximately two years.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Legal Contingencies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11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U.S. The provision for income tax expense for the three months ended March 31, 2025 and 2024 was determined based upon estimates of the Company’s annual effective tax rate for the years ending December 31, 2025 and 2024, respectively. Since the Company is in a full valuation allowance position due to losses incurred since inception, the provision for taxes consists solely of certain state income taxes.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participating securities have been excluded from the computation of diluted loss per share for the periods presented because including them would have been anti-dilutive:</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22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w:t>
            </w:r>
          </w:p>
        </w:tc>
        <w:tc>
          <w:tcPr>
            <w:tcW w:w="12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780" w:type="dxa"/>
            <w:vAlign w:val="bottom"/>
          </w:tcPr>
          <w:p>
            <w:pPr>
              <w:spacing w:after="0"/>
              <w:rPr>
                <w:sz w:val="16"/>
                <w:szCs w:val="16"/>
                <w:color w:val="auto"/>
              </w:rPr>
            </w:pPr>
          </w:p>
        </w:tc>
        <w:tc>
          <w:tcPr>
            <w:tcW w:w="16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r>
      <w:tr>
        <w:trPr>
          <w:trHeight w:val="192"/>
        </w:trPr>
        <w:tc>
          <w:tcPr>
            <w:tcW w:w="7780" w:type="dxa"/>
            <w:vAlign w:val="bottom"/>
          </w:tcPr>
          <w:p>
            <w:pPr>
              <w:spacing w:after="0"/>
              <w:rPr>
                <w:sz w:val="16"/>
                <w:szCs w:val="16"/>
                <w:color w:val="auto"/>
              </w:rPr>
            </w:pPr>
          </w:p>
        </w:tc>
        <w:tc>
          <w:tcPr>
            <w:tcW w:w="2220" w:type="dxa"/>
            <w:vAlign w:val="bottom"/>
            <w:gridSpan w:val="3"/>
          </w:tcPr>
          <w:p>
            <w:pPr>
              <w:ind w:left="126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11,030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10,988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24,725</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27,307</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November 30, 2024, the Company completed the sale of its European subsidiary, Remix, to Remix’s management (the “Transaction”). The Transaction qualified for held-for-sale classification on November 30, 2024 and represented a strategic shift with a major effect on the Company’s operations and financial results. Following the divestiture, the Company did not have any significant continuing involvement in the operations of Remix. As a result, Remix met the criteria for reporting as a discontinued operation on the same date.</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Remix’s financial results during 2024 are presented as loss from discontinued operations, net of tax in the condensed consolidated statements of operations for the three months ended March 31, 2024. The following table presents the major components of Remix’s financial results for the period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right="37"/>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15,055</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5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5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5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jc w:val="right"/>
              <w:ind w:right="375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1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40" w:type="dxa"/>
            <w:vAlign w:val="bottom"/>
            <w:tcBorders>
              <w:bottom w:val="single" w:sz="8" w:color="9A9A9A"/>
            </w:tcBorders>
          </w:tcPr>
          <w:p>
            <w:pPr>
              <w:spacing w:after="0"/>
              <w:rPr>
                <w:sz w:val="9"/>
                <w:szCs w:val="9"/>
                <w:color w:val="auto"/>
              </w:rPr>
            </w:pPr>
          </w:p>
        </w:tc>
        <w:tc>
          <w:tcPr>
            <w:tcW w:w="5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Arial" w:cs="Arial" w:eastAsia="Arial" w:hAnsi="Arial"/>
          <w:sz w:val="18"/>
          <w:szCs w:val="18"/>
          <w:color w:val="auto"/>
        </w:rPr>
        <w:t>Financial Statements</w:t>
      </w:r>
      <w:r>
        <w:rPr>
          <w:rFonts w:ascii="Arial" w:cs="Arial" w:eastAsia="Arial" w:hAnsi="Arial"/>
          <w:sz w:val="18"/>
          <w:szCs w:val="18"/>
          <w:i w:val="1"/>
          <w:iCs w:val="1"/>
          <w:color w:val="auto"/>
        </w:rPr>
        <w:t xml:space="preserve">, of this Quarterly Report on Form 10-Q;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this Quarterly Report on Form 10-Q; and our consolidated financial statements and related notes appearing in our Annual Report on Form 10-K for the year ended December 31, 2024 (the “</w:t>
      </w:r>
      <w:r>
        <w:rPr>
          <w:rFonts w:ascii="Arial" w:cs="Arial" w:eastAsia="Arial" w:hAnsi="Arial"/>
          <w:sz w:val="18"/>
          <w:szCs w:val="18"/>
          <w:color w:val="auto"/>
        </w:rPr>
        <w:t>2024</w:t>
      </w:r>
      <w:r>
        <w:rPr>
          <w:rFonts w:ascii="Arial" w:cs="Arial" w:eastAsia="Arial" w:hAnsi="Arial"/>
          <w:sz w:val="18"/>
          <w:szCs w:val="18"/>
          <w:i w:val="1"/>
          <w:iCs w:val="1"/>
          <w:color w:val="auto"/>
        </w:rPr>
        <w:t xml:space="preserve"> 10-K”). There have been no material changes to the risk factors described in our 2024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2025.</w:t>
      </w:r>
    </w:p>
    <w:p>
      <w:pPr>
        <w:spacing w:after="0" w:line="1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marketplaces we have built enable buyers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to our core marketplace, some of the world’s leading brands and retailers are taking advantage of our RaaS offering, which allows them to conveniently offer a scalable closet clean out service and/or resale shop to their customers. We believe RaaS will accelerate the growth of this emerging category and form the backbone of the modern resale experience.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30, 2024, we divested 91% of our European business and Bulgarian subsidiary, Remix, which qualified for reporting as a discontinued operation. As a result, Remix’s results during 2024 are presented as a single line item, loss from discontinued operations, net of tax in the condensed consolidated statements of operations and excluded from continuing operations for the three months ended March 31, 2024. In the condensed consolidated statements of cash flows, cash flows attributable to Remix have been segregated and presented separately as net cash flow used in discontinued operating activities and net cash flow used in discontinued investing activities for the three months ended March 31, 2024. Accordingly, any discussion of historical information in the following sections reflects Remix’s results as a discontinued operation, and amounts, including key operating metrics, and disclosures below pertain to our continuing operations for all periods presented, unless otherwise noted.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First Quarter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Revenue totaled $71.3 million, representing an increase of 10.5% year over year.</w:t>
      </w:r>
    </w:p>
    <w:p>
      <w:pPr>
        <w:spacing w:after="0" w:line="22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$56.4 million, representing an increase of 9.0% year over year. Gross margin was 79.1%,</w:t>
      </w:r>
      <w:r>
        <w:rPr>
          <w:rFonts w:ascii="Arial" w:cs="Arial" w:eastAsia="Arial" w:hAnsi="Arial"/>
          <w:sz w:val="18"/>
          <w:szCs w:val="18"/>
          <w:b w:val="1"/>
          <w:bCs w:val="1"/>
          <w:color w:val="auto"/>
        </w:rPr>
        <w:t xml:space="preserve"> </w:t>
      </w:r>
      <w:r>
        <w:rPr>
          <w:rFonts w:ascii="Arial" w:cs="Arial" w:eastAsia="Arial" w:hAnsi="Arial"/>
          <w:sz w:val="18"/>
          <w:szCs w:val="18"/>
          <w:color w:val="auto"/>
        </w:rPr>
        <w:t>a decrease of 100 basis points from 80.1% in the comparable quarter last year.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Loss from continuing operations: </w:t>
      </w:r>
      <w:r>
        <w:rPr>
          <w:rFonts w:ascii="Arial" w:cs="Arial" w:eastAsia="Arial" w:hAnsi="Arial"/>
          <w:sz w:val="18"/>
          <w:szCs w:val="18"/>
          <w:color w:val="auto"/>
        </w:rPr>
        <w:t>Loss from continuing operations was $5.2 million, or a negative 7.3% of revenue,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2025, compared to a loss of $12.2 million, or a negative 18.9% of revenue, for the first quarter of 2024.</w:t>
      </w:r>
    </w:p>
    <w:p>
      <w:pPr>
        <w:spacing w:after="0" w:line="149" w:lineRule="exact"/>
        <w:rPr>
          <w:sz w:val="20"/>
          <w:szCs w:val="20"/>
          <w:color w:val="auto"/>
        </w:rPr>
      </w:pPr>
    </w:p>
    <w:p>
      <w:pPr>
        <w:jc w:val="both"/>
        <w:ind w:right="20" w:firstLine="324"/>
        <w:spacing w:after="0" w:line="233" w:lineRule="auto"/>
        <w:rPr>
          <w:sz w:val="20"/>
          <w:szCs w:val="20"/>
          <w:color w:val="auto"/>
        </w:rPr>
      </w:pPr>
      <w:r>
        <w:rPr>
          <w:rFonts w:ascii="Arial" w:cs="Arial" w:eastAsia="Arial" w:hAnsi="Arial"/>
          <w:sz w:val="18"/>
          <w:szCs w:val="18"/>
          <w:b w:val="1"/>
          <w:bCs w:val="1"/>
          <w:color w:val="auto"/>
        </w:rPr>
        <w:t>Non-GAAP Adjusted EBITDA from continuing operations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Non-GAAP Adjusted EBITDA from continuing operations was</w:t>
      </w:r>
      <w:r>
        <w:rPr>
          <w:rFonts w:ascii="Arial" w:cs="Arial" w:eastAsia="Arial" w:hAnsi="Arial"/>
          <w:sz w:val="18"/>
          <w:szCs w:val="18"/>
          <w:b w:val="1"/>
          <w:bCs w:val="1"/>
          <w:color w:val="auto"/>
        </w:rPr>
        <w:t xml:space="preserve"> </w:t>
      </w:r>
      <w:r>
        <w:rPr>
          <w:rFonts w:ascii="Arial" w:cs="Arial" w:eastAsia="Arial" w:hAnsi="Arial"/>
          <w:sz w:val="18"/>
          <w:szCs w:val="18"/>
          <w:color w:val="auto"/>
        </w:rPr>
        <w:t>$3.8 million, or 5.3% of revenue, for the first quarter of 2025, compared to $1.9 million, or 2.9% of revenue, for the first quarter of 2024.</w:t>
      </w:r>
    </w:p>
    <w:p>
      <w:pPr>
        <w:spacing w:after="0" w:line="1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and Orders each totaled 1.4 million in the first quarter of 2025, representing increases of</w:t>
      </w:r>
      <w:r>
        <w:rPr>
          <w:rFonts w:ascii="Arial" w:cs="Arial" w:eastAsia="Arial" w:hAnsi="Arial"/>
          <w:sz w:val="18"/>
          <w:szCs w:val="18"/>
          <w:b w:val="1"/>
          <w:bCs w:val="1"/>
          <w:color w:val="auto"/>
        </w:rPr>
        <w:t xml:space="preserve"> </w:t>
      </w:r>
      <w:r>
        <w:rPr>
          <w:rFonts w:ascii="Arial" w:cs="Arial" w:eastAsia="Arial" w:hAnsi="Arial"/>
          <w:sz w:val="18"/>
          <w:szCs w:val="18"/>
          <w:color w:val="auto"/>
        </w:rPr>
        <w:t>5.7% and 16.1%, respectively, compared to the first quarter of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1700" w:type="dxa"/>
            <w:vAlign w:val="bottom"/>
          </w:tcPr>
          <w:p>
            <w:pPr>
              <w:jc w:val="right"/>
              <w:ind w:right="833"/>
              <w:spacing w:after="0" w:line="147" w:lineRule="exact"/>
              <w:rPr>
                <w:sz w:val="20"/>
                <w:szCs w:val="20"/>
                <w:color w:val="auto"/>
              </w:rPr>
            </w:pPr>
            <w:r>
              <w:rPr>
                <w:rFonts w:ascii="Arial" w:cs="Arial" w:eastAsia="Arial" w:hAnsi="Arial"/>
                <w:sz w:val="14"/>
                <w:szCs w:val="14"/>
                <w:b w:val="1"/>
                <w:bCs w:val="1"/>
                <w:color w:val="auto"/>
              </w:rPr>
              <w:t>March 31,</w:t>
            </w:r>
          </w:p>
        </w:tc>
        <w:tc>
          <w:tcPr>
            <w:tcW w:w="7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93"/>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 except percentages)</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1,370</w:t>
            </w: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1,296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Orders</w:t>
            </w:r>
          </w:p>
        </w:tc>
        <w:tc>
          <w:tcPr>
            <w:tcW w:w="240" w:type="dxa"/>
            <w:vAlign w:val="bottom"/>
          </w:tcPr>
          <w:p>
            <w:pPr>
              <w:spacing w:after="0"/>
              <w:rPr>
                <w:sz w:val="19"/>
                <w:szCs w:val="19"/>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9"/>
                <w:szCs w:val="19"/>
                <w:color w:val="auto"/>
              </w:rPr>
            </w:pPr>
          </w:p>
        </w:tc>
        <w:tc>
          <w:tcPr>
            <w:tcW w:w="1700" w:type="dxa"/>
            <w:vAlign w:val="bottom"/>
          </w:tcPr>
          <w:p>
            <w:pPr>
              <w:jc w:val="right"/>
              <w:ind w:right="713"/>
              <w:spacing w:after="0"/>
              <w:rPr>
                <w:sz w:val="20"/>
                <w:szCs w:val="20"/>
                <w:color w:val="auto"/>
              </w:rPr>
            </w:pPr>
            <w:r>
              <w:rPr>
                <w:rFonts w:ascii="Arial" w:cs="Arial" w:eastAsia="Arial" w:hAnsi="Arial"/>
                <w:sz w:val="18"/>
                <w:szCs w:val="18"/>
                <w:color w:val="auto"/>
              </w:rPr>
              <w:t>1,181</w:t>
            </w: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71,291</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64,533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56,371</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3"/>
              <w:spacing w:after="0"/>
              <w:rPr>
                <w:sz w:val="20"/>
                <w:szCs w:val="20"/>
                <w:color w:val="auto"/>
              </w:rPr>
            </w:pPr>
            <w:r>
              <w:rPr>
                <w:rFonts w:ascii="Arial" w:cs="Arial" w:eastAsia="Arial" w:hAnsi="Arial"/>
                <w:sz w:val="18"/>
                <w:szCs w:val="18"/>
                <w:color w:val="auto"/>
              </w:rPr>
              <w:t>51,713</w:t>
            </w: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79.1 %</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80.1 %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(5,215)</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(12,190)</w:t>
            </w: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margin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Non-GAAP Adjusted EBITDA from continuing operations(1)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3,808</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3"/>
              <w:spacing w:after="0"/>
              <w:rPr>
                <w:sz w:val="20"/>
                <w:szCs w:val="20"/>
                <w:color w:val="auto"/>
              </w:rPr>
            </w:pPr>
            <w:r>
              <w:rPr>
                <w:rFonts w:ascii="Arial" w:cs="Arial" w:eastAsia="Arial" w:hAnsi="Arial"/>
                <w:sz w:val="18"/>
                <w:szCs w:val="18"/>
                <w:color w:val="auto"/>
              </w:rPr>
              <w:t>1,888</w:t>
            </w:r>
          </w:p>
        </w:tc>
        <w:tc>
          <w:tcPr>
            <w:tcW w:w="740" w:type="dxa"/>
            <w:vAlign w:val="bottom"/>
          </w:tcPr>
          <w:p>
            <w:pPr>
              <w:jc w:val="right"/>
              <w:spacing w:after="0"/>
              <w:rPr>
                <w:sz w:val="20"/>
                <w:szCs w:val="20"/>
                <w:color w:val="auto"/>
              </w:rPr>
            </w:pPr>
            <w:r>
              <w:rPr>
                <w:rFonts w:ascii="Arial" w:cs="Arial" w:eastAsia="Arial" w:hAnsi="Arial"/>
                <w:sz w:val="18"/>
                <w:szCs w:val="18"/>
                <w:color w:val="auto"/>
              </w:rPr>
              <w:t>101.7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Adjusted EBITDA from continuing operations margin(1)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2.9 %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0" w:hanging="332"/>
        <w:spacing w:after="0" w:line="262"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Adjusted EBITDA from continuing operations and Non-GAAP Adjusted EBITDA from continuing operations margin are non-GAAP measures, which may not be comparable to similarly-titled measures used by other companies. See below for a reconciliation of Non-GAAP Adjusted EBITDA from continuing operations to its most directly comparable GAAP measure, loss from continuing operations.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Active Buyers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Orders means the total number of orders placed by buyers across our marketplaces, including through our RaaS clients, in a given period, net of cancellations.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from Continuing Operations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Non-GAAP Adjusted EBITDA from Continuing Operations and Non-GAAP Adjusted EBITDA from Continuing Operations Margin</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Non-GAAP Adjusted EBITDA from continuing operations means loss from continuing operations adjusted to exclude, where applicable in a given period, stock-based compensation expense, depreciation and amortization, severance and other reorganization costs, interest expense, gain on sale of non-marketable equity investment, and provision for income taxes. Non-GAAP Adjusted EBITDA from continuing operations margin represents Non-GAAP Adjusted EBITDA from continuing operations divided by Revenue. We use these non-GAAP measures to evaluate and assess our operating performance and the operating leverage in our business, and for internal planning and forecasting purposes. We believe these non-GAAP measures,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spacing w:after="0" w:line="1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provides a reconciliation of loss from continuing operations to Non-GAAP Adjusted EBITDA from continuing operations: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2"/>
                <w:szCs w:val="12"/>
                <w:color w:val="auto"/>
              </w:rPr>
            </w:pPr>
          </w:p>
        </w:tc>
        <w:tc>
          <w:tcPr>
            <w:tcW w:w="1300" w:type="dxa"/>
            <w:vAlign w:val="bottom"/>
          </w:tcPr>
          <w:p>
            <w:pPr>
              <w:jc w:val="right"/>
              <w:ind w:right="473"/>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r>
      <w:tr>
        <w:trPr>
          <w:trHeight w:val="192"/>
        </w:trPr>
        <w:tc>
          <w:tcPr>
            <w:tcW w:w="7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r>
      <w:tr>
        <w:trPr>
          <w:trHeight w:val="23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(5,215)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(12,190)</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5,520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6,911</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3,169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3,748</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677</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Gain on sale of non-marketable equity investment</w:t>
            </w:r>
          </w:p>
        </w:tc>
        <w:tc>
          <w:tcPr>
            <w:tcW w:w="36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reorganization costs</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2,731</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Non-GAAP Adjusted EBITDA from continuing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3,808</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1,888</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71,291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64,533</w:t>
            </w:r>
          </w:p>
        </w:tc>
      </w:tr>
      <w:tr>
        <w:trPr>
          <w:trHeight w:val="239"/>
        </w:trPr>
        <w:tc>
          <w:tcPr>
            <w:tcW w:w="7500" w:type="dxa"/>
            <w:vAlign w:val="bottom"/>
          </w:tcPr>
          <w:p>
            <w:pPr>
              <w:ind w:left="20"/>
              <w:spacing w:after="0"/>
              <w:rPr>
                <w:sz w:val="20"/>
                <w:szCs w:val="20"/>
                <w:color w:val="auto"/>
              </w:rPr>
            </w:pPr>
            <w:r>
              <w:rPr>
                <w:rFonts w:ascii="Arial" w:cs="Arial" w:eastAsia="Arial" w:hAnsi="Arial"/>
                <w:sz w:val="18"/>
                <w:szCs w:val="18"/>
                <w:color w:val="auto"/>
              </w:rPr>
              <w:t>Non-GAAP Adjusted EBITDA from continuing operations margin</w:t>
            </w:r>
          </w:p>
        </w:tc>
        <w:tc>
          <w:tcPr>
            <w:tcW w:w="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2025 and 2024</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Beginning in the first quarter of 2025, we combined consignment revenue and product revenue into a single line item, revenue, on the condensed consolidated statements of operations and similarly combined related cost of revenue line items. With our transition to a primarily consignment model, product revenue is no longer material. Prior period amounts have been reclassified to conform to the current period’s presentation.</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24"/>
              <w:spacing w:after="0" w:line="14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42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20" w:type="dxa"/>
            <w:vAlign w:val="bottom"/>
            <w:gridSpan w:val="5"/>
          </w:tcPr>
          <w:p>
            <w:pPr>
              <w:jc w:val="right"/>
              <w:ind w:right="422"/>
              <w:spacing w:after="0"/>
              <w:rPr>
                <w:sz w:val="20"/>
                <w:szCs w:val="20"/>
                <w:color w:val="auto"/>
              </w:rPr>
            </w:pPr>
            <w:r>
              <w:rPr>
                <w:rFonts w:ascii="Arial" w:cs="Arial" w:eastAsia="Arial" w:hAnsi="Arial"/>
                <w:sz w:val="14"/>
                <w:szCs w:val="14"/>
                <w:i w:val="1"/>
                <w:iCs w:val="1"/>
                <w:color w:val="auto"/>
              </w:rPr>
              <w:t>(in thousands, except percentages)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71,291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6,758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Revenue increased $6.8 million, or 10.5%, for the three months ended March 31, 2025 as compared to the same period in 2024. The growth in revenue was mainly driven by a 5.7% increase in Active Buyers, a 16.1% increase in Orders and a 4.3% increase in the average order value, reflecting continued strength in our core marketplace business and our ongoing focus on the higher-margin, capital-efficient consignment model.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79"/>
              <w:spacing w:after="0" w:line="14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00" w:type="dxa"/>
            <w:vAlign w:val="bottom"/>
            <w:vMerge w:val="restart"/>
          </w:tcPr>
          <w:p>
            <w:pPr>
              <w:jc w:val="right"/>
              <w:ind w:right="699"/>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gridSpan w:val="5"/>
          </w:tcPr>
          <w:p>
            <w:pPr>
              <w:jc w:val="right"/>
              <w:ind w:right="579"/>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14,920</w:t>
            </w: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12,820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2,100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9"/>
              <w:spacing w:after="0"/>
              <w:rPr>
                <w:sz w:val="20"/>
                <w:szCs w:val="20"/>
                <w:color w:val="auto"/>
              </w:rPr>
            </w:pPr>
            <w:r>
              <w:rPr>
                <w:rFonts w:ascii="Arial" w:cs="Arial" w:eastAsia="Arial" w:hAnsi="Arial"/>
                <w:sz w:val="18"/>
                <w:szCs w:val="18"/>
                <w:color w:val="auto"/>
              </w:rPr>
              <w:t>56,371</w:t>
            </w:r>
          </w:p>
        </w:tc>
        <w:tc>
          <w:tcPr>
            <w:tcW w:w="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51,713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479"/>
              <w:spacing w:after="0"/>
              <w:rPr>
                <w:sz w:val="20"/>
                <w:szCs w:val="20"/>
                <w:color w:val="auto"/>
              </w:rPr>
            </w:pPr>
            <w:r>
              <w:rPr>
                <w:rFonts w:ascii="Arial" w:cs="Arial" w:eastAsia="Arial" w:hAnsi="Arial"/>
                <w:sz w:val="18"/>
                <w:szCs w:val="18"/>
                <w:color w:val="auto"/>
              </w:rPr>
              <w:t>4,658</w:t>
            </w:r>
          </w:p>
        </w:tc>
        <w:tc>
          <w:tcPr>
            <w:tcW w:w="80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79.1 %</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margin was 79.1% and 80.1% for the three months ended March 31, 2025 and 2024, respectively, or a decrease of 100 basis</w:t>
      </w:r>
    </w:p>
    <w:p>
      <w:pPr>
        <w:spacing w:after="0" w:line="3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points</w:t>
      </w:r>
      <w:r>
        <w:rPr>
          <w:rFonts w:ascii="Arial" w:cs="Arial" w:eastAsia="Arial" w:hAnsi="Arial"/>
          <w:sz w:val="21"/>
          <w:szCs w:val="21"/>
          <w:color w:val="auto"/>
        </w:rPr>
        <w:t>.</w:t>
      </w:r>
      <w:r>
        <w:rPr>
          <w:rFonts w:ascii="Arial" w:cs="Arial" w:eastAsia="Arial" w:hAnsi="Arial"/>
          <w:sz w:val="18"/>
          <w:szCs w:val="18"/>
          <w:color w:val="auto"/>
        </w:rPr>
        <w:t xml:space="preserve"> The decrease in gross margin for the three months ended March 31, 2025 as compared to the same period in 2024 was primarily driven by higher outbound shipping, labor, and packaging costs.</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Operations, Product, and Technology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1"/>
              <w:spacing w:after="0" w:line="14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0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gridSpan w:val="5"/>
          </w:tcPr>
          <w:p>
            <w:pPr>
              <w:jc w:val="right"/>
              <w:ind w:right="582"/>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Operations, product, and technology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35,126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37,125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(1,999)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9"/>
        </w:trPr>
        <w:tc>
          <w:tcPr>
            <w:tcW w:w="6020" w:type="dxa"/>
            <w:vAlign w:val="bottom"/>
          </w:tcPr>
          <w:p>
            <w:pPr>
              <w:spacing w:after="0"/>
              <w:rPr>
                <w:sz w:val="20"/>
                <w:szCs w:val="20"/>
                <w:color w:val="auto"/>
              </w:rPr>
            </w:pPr>
            <w:r>
              <w:rPr>
                <w:rFonts w:ascii="Arial" w:cs="Arial" w:eastAsia="Arial" w:hAnsi="Arial"/>
                <w:sz w:val="18"/>
                <w:szCs w:val="18"/>
                <w:color w:val="auto"/>
              </w:rPr>
              <w:t>Operations, product, and technology as a percentage of revenue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Operations, product, and technology expenses decreased $2.0 million, or 5.4% for the three months ended March 31, 2025 as compared to the same period in 2024. The decrease was primarily due to a $1.2 million decrease in facilities, technology and other costs, a $1.1 million decrease in severance costs following the completion of our workforce reorganization in March 2024, and a $0.3 million decrease in inbound shipping related to consignment revenue. This decrease was partially offset by a $0.6 million increase in personnel costs, driven by higher headcount at our distribution center. The decrease in operations, product, and technology expenses as a percentage of revenue was primarily due to increased operating leverage resulting from higher revenue and lower overall costs.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57"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20" w:type="dxa"/>
            <w:vAlign w:val="bottom"/>
            <w:vMerge w:val="restart"/>
          </w:tcPr>
          <w:p>
            <w:pPr>
              <w:jc w:val="right"/>
              <w:ind w:right="72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gridSpan w:val="5"/>
          </w:tcPr>
          <w:p>
            <w:pPr>
              <w:jc w:val="right"/>
              <w:ind w:right="562"/>
              <w:spacing w:after="0"/>
              <w:rPr>
                <w:sz w:val="20"/>
                <w:szCs w:val="20"/>
                <w:color w:val="auto"/>
              </w:rPr>
            </w:pPr>
            <w:r>
              <w:rPr>
                <w:rFonts w:ascii="Arial" w:cs="Arial" w:eastAsia="Arial" w:hAnsi="Arial"/>
                <w:sz w:val="14"/>
                <w:szCs w:val="14"/>
                <w:i w:val="1"/>
                <w:iCs w:val="1"/>
                <w:color w:val="auto"/>
              </w:rPr>
              <w:t>(in thousands, except percentages)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13,143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10,851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2,292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Arial" w:cs="Arial" w:eastAsia="Arial" w:hAnsi="Arial"/>
                <w:sz w:val="18"/>
                <w:szCs w:val="18"/>
                <w:color w:val="auto"/>
              </w:rPr>
              <w:t>Marketing as a percentage of revenue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Marketing expenses increased $2.3 million, or 21.1%, for the three months ended March 31, 2025 as compared to the same period in 2024. The increase was primarily due to a $2.5 million increase in advertising costs and a $0.6 million increase in facilities, technology and other costs. This increase was partially offset by a $0.8 million decrease in personnel-related costs, including a $0.4 million decrease in severance costs following the completion of our workforce reorganization in March 2024 and a $0.4 million decrease driven by lower headcount. The increase in marketing expenses as a percentage of revenue reflected a higher rate of marketing spend relative to the growth in revenue, as we continue to invest in marketing initiatives to support future growth.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1"/>
              <w:spacing w:after="0" w:line="14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40" w:type="dxa"/>
            <w:vAlign w:val="bottom"/>
            <w:vMerge w:val="restart"/>
          </w:tcPr>
          <w:p>
            <w:pPr>
              <w:jc w:val="right"/>
              <w:ind w:right="74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60" w:type="dxa"/>
            <w:vAlign w:val="bottom"/>
            <w:gridSpan w:val="5"/>
          </w:tcPr>
          <w:p>
            <w:pPr>
              <w:jc w:val="right"/>
              <w:ind w:right="582"/>
              <w:spacing w:after="0"/>
              <w:rPr>
                <w:sz w:val="20"/>
                <w:szCs w:val="20"/>
                <w:color w:val="auto"/>
              </w:rPr>
            </w:pPr>
            <w:r>
              <w:rPr>
                <w:rFonts w:ascii="Arial" w:cs="Arial" w:eastAsia="Arial" w:hAnsi="Arial"/>
                <w:sz w:val="14"/>
                <w:szCs w:val="14"/>
                <w:i w:val="1"/>
                <w:iCs w:val="1"/>
                <w:color w:val="auto"/>
              </w:rPr>
              <w:t>(in thousands, except percentages)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13,536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16,132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(2,596)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9"/>
        </w:trPr>
        <w:tc>
          <w:tcPr>
            <w:tcW w:w="5980" w:type="dxa"/>
            <w:vAlign w:val="bottom"/>
          </w:tcPr>
          <w:p>
            <w:pPr>
              <w:ind w:left="20"/>
              <w:spacing w:after="0"/>
              <w:rPr>
                <w:sz w:val="20"/>
                <w:szCs w:val="20"/>
                <w:color w:val="auto"/>
              </w:rPr>
            </w:pPr>
            <w:r>
              <w:rPr>
                <w:rFonts w:ascii="Arial" w:cs="Arial" w:eastAsia="Arial" w:hAnsi="Arial"/>
                <w:sz w:val="18"/>
                <w:szCs w:val="18"/>
                <w:color w:val="auto"/>
              </w:rPr>
              <w:t>Sales, general, and administrative as a percentage of revenue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Sales, general, and administrative expenses decreased $2.6 million, or 16.1%, for the three months ended March 31, 2025 as compared to the same period in 2024. The decrease was primarily due to a $3.6 million decrease in personnel-related costs, including a $2.4 million decrease driven by lower headcount, of which $1.5 million related to a decrease in stock-based compensation expense, and a $1.2 million decrease in severance costs following the completion of our workforce reorganization in March 2024. This decrease was partially offset by a $0.6 million increase in facilities, technology and other costs and a $0.4 million increase in professional services. The decrease in sales, general, and administrative expenses as a percentage of revenue was primarily due to increased operating leverage resulting from higher revenue and lower overall costs.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44"/>
              <w:spacing w:after="0" w:line="14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60" w:type="dxa"/>
            <w:vAlign w:val="bottom"/>
            <w:vMerge w:val="restart"/>
          </w:tcPr>
          <w:p>
            <w:pPr>
              <w:jc w:val="right"/>
              <w:ind w:right="742"/>
              <w:spacing w:after="0"/>
              <w:rPr>
                <w:sz w:val="20"/>
                <w:szCs w:val="20"/>
                <w:color w:val="auto"/>
              </w:rPr>
            </w:pPr>
            <w:r>
              <w:rPr>
                <w:rFonts w:ascii="Arial" w:cs="Arial" w:eastAsia="Arial" w:hAnsi="Arial"/>
                <w:sz w:val="14"/>
                <w:szCs w:val="14"/>
                <w:b w:val="1"/>
                <w:bCs w:val="1"/>
                <w:color w:val="auto"/>
              </w:rPr>
              <w:t>Amount</w:t>
            </w:r>
          </w:p>
        </w:tc>
        <w:tc>
          <w:tcPr>
            <w:tcW w:w="86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right"/>
              <w:ind w:right="422"/>
              <w:spacing w:after="0"/>
              <w:rPr>
                <w:sz w:val="20"/>
                <w:szCs w:val="20"/>
                <w:color w:val="auto"/>
              </w:rPr>
            </w:pPr>
            <w:r>
              <w:rPr>
                <w:rFonts w:ascii="Arial" w:cs="Arial" w:eastAsia="Arial" w:hAnsi="Arial"/>
                <w:sz w:val="14"/>
                <w:szCs w:val="14"/>
                <w:i w:val="1"/>
                <w:iCs w:val="1"/>
                <w:color w:val="auto"/>
              </w:rPr>
              <w:t>(in thousands, except percentages)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163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Interest expense decreased $0.2 million for the three months ended March 31, 2025 as compared to the same period in 2024, primarily due to a lower interest rate environment and reduced outstanding debt balances.</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60" w:type="dxa"/>
            <w:vAlign w:val="bottom"/>
            <w:vMerge w:val="restart"/>
          </w:tcPr>
          <w:p>
            <w:pPr>
              <w:jc w:val="right"/>
              <w:ind w:right="742"/>
              <w:spacing w:after="0"/>
              <w:rPr>
                <w:sz w:val="20"/>
                <w:szCs w:val="20"/>
                <w:color w:val="auto"/>
              </w:rPr>
            </w:pPr>
            <w:r>
              <w:rPr>
                <w:rFonts w:ascii="Arial" w:cs="Arial" w:eastAsia="Arial" w:hAnsi="Arial"/>
                <w:sz w:val="14"/>
                <w:szCs w:val="14"/>
                <w:b w:val="1"/>
                <w:bCs w:val="1"/>
                <w:color w:val="auto"/>
              </w:rPr>
              <w:t>Amount</w:t>
            </w:r>
          </w:p>
        </w:tc>
        <w:tc>
          <w:tcPr>
            <w:tcW w:w="86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center"/>
              <w:ind w:right="402"/>
              <w:spacing w:after="0"/>
              <w:rPr>
                <w:sz w:val="20"/>
                <w:szCs w:val="20"/>
                <w:color w:val="auto"/>
              </w:rPr>
            </w:pPr>
            <w:r>
              <w:rPr>
                <w:rFonts w:ascii="Arial" w:cs="Arial" w:eastAsia="Arial" w:hAnsi="Arial"/>
                <w:sz w:val="14"/>
                <w:szCs w:val="14"/>
                <w:i w:val="1"/>
                <w:iCs w:val="1"/>
                <w:color w:val="auto"/>
              </w:rPr>
              <w:t>(in thousands, except percentages)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(103)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Other income, net decreased $0.1 million for the three months ended March 31, 2025 as compared to the same period in 2024, primarily due to lower interest rates and a reduced average cash balance.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While we have a history of negative cash flows from operations, we generated positive cash flows from continuing operations of $5.7 million for the three months ended March 31, 2025. We have primarily financed our operations through private and public sales of equity securities and debt. As of March 31, 2025, we had cash, cash equivalents and short-term marketable securities of $ 55.4 million. Additionally, we have a term loan facility (“Term Loan”) under which $22.5 million remained available to be drawn as of March 31, 2025 for the purchase of certain equipment, and we were in full compliance with our debt covenants under the Term Loan as of that date. See Note 6.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condensed consolidated financial statements included in Part I, Item 1,</w:t>
      </w:r>
      <w:r>
        <w:rPr>
          <w:rFonts w:ascii="Arial" w:cs="Arial" w:eastAsia="Arial" w:hAnsi="Arial"/>
          <w:sz w:val="18"/>
          <w:szCs w:val="18"/>
          <w:i w:val="1"/>
          <w:iCs w:val="1"/>
          <w:color w:val="auto"/>
        </w:rPr>
        <w:t xml:space="preserve"> Financial Statements</w:t>
      </w:r>
      <w:r>
        <w:rPr>
          <w:rFonts w:ascii="Arial" w:cs="Arial" w:eastAsia="Arial" w:hAnsi="Arial"/>
          <w:sz w:val="18"/>
          <w:szCs w:val="18"/>
          <w:color w:val="auto"/>
        </w:rPr>
        <w:t>,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for a further discussion on our Term Loan.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operating losses to continue in 2025 as we continue to invest in growing our business and our infrastructure. Our primary sources of liquidity are cash flows generated from operations, cash on hand and borrowings available under the Term Loan. Our primary use of cash includes seller payouts,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for at least the next 12 months and beyond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future capital requirements will depend on many factors, including but not limited to, the timing of any future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remain modest for the remainder of 2025. See the section titled </w:t>
      </w:r>
      <w:r>
        <w:rPr>
          <w:rFonts w:ascii="Arial" w:cs="Arial" w:eastAsia="Arial" w:hAnsi="Arial"/>
          <w:sz w:val="18"/>
          <w:szCs w:val="18"/>
          <w:i w:val="1"/>
          <w:iCs w:val="1"/>
          <w:color w:val="auto"/>
        </w:rPr>
        <w:t>“Risk Factors—Risks Relating to Our</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and Liquidity</w:t>
      </w:r>
      <w:r>
        <w:rPr>
          <w:rFonts w:ascii="Arial" w:cs="Arial" w:eastAsia="Arial" w:hAnsi="Arial"/>
          <w:sz w:val="18"/>
          <w:szCs w:val="18"/>
          <w:color w:val="auto"/>
        </w:rPr>
        <w:t>—We may require additional capital to support business growth, and this capital might not be available or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only by diluting existing stockholders” within the 2024 10-K.</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Continuing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278"/>
              <w:spacing w:after="0"/>
              <w:rPr>
                <w:sz w:val="20"/>
                <w:szCs w:val="20"/>
                <w:color w:val="auto"/>
              </w:rPr>
            </w:pPr>
            <w:r>
              <w:rPr>
                <w:rFonts w:ascii="Arial" w:cs="Arial" w:eastAsia="Arial" w:hAnsi="Arial"/>
                <w:sz w:val="18"/>
                <w:szCs w:val="18"/>
                <w:color w:val="auto"/>
                <w:w w:val="97"/>
              </w:rPr>
              <w:t>5,743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318"/>
              <w:spacing w:after="0"/>
              <w:rPr>
                <w:sz w:val="20"/>
                <w:szCs w:val="20"/>
                <w:color w:val="auto"/>
              </w:rPr>
            </w:pPr>
            <w:r>
              <w:rPr>
                <w:rFonts w:ascii="Arial" w:cs="Arial" w:eastAsia="Arial" w:hAnsi="Arial"/>
                <w:sz w:val="18"/>
                <w:szCs w:val="18"/>
                <w:color w:val="auto"/>
              </w:rPr>
              <w:t>3,288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2,455</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74.7 %</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investing activities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78"/>
              <w:spacing w:after="0"/>
              <w:rPr>
                <w:sz w:val="20"/>
                <w:szCs w:val="20"/>
                <w:color w:val="auto"/>
              </w:rPr>
            </w:pPr>
            <w:r>
              <w:rPr>
                <w:rFonts w:ascii="Arial" w:cs="Arial" w:eastAsia="Arial" w:hAnsi="Arial"/>
                <w:sz w:val="18"/>
                <w:szCs w:val="18"/>
                <w:color w:val="auto"/>
                <w:w w:val="97"/>
              </w:rPr>
              <w:t>5,075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98"/>
              </w:rPr>
              <w:t>(5,291)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Continuing financing activities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58"/>
              <w:spacing w:after="0"/>
              <w:rPr>
                <w:sz w:val="20"/>
                <w:szCs w:val="20"/>
                <w:color w:val="auto"/>
              </w:rPr>
            </w:pPr>
            <w:r>
              <w:rPr>
                <w:rFonts w:ascii="Arial" w:cs="Arial" w:eastAsia="Arial" w:hAnsi="Arial"/>
                <w:sz w:val="18"/>
                <w:szCs w:val="18"/>
                <w:color w:val="auto"/>
              </w:rPr>
              <w:t>(1,589)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98"/>
              <w:spacing w:after="0"/>
              <w:rPr>
                <w:sz w:val="20"/>
                <w:szCs w:val="20"/>
                <w:color w:val="auto"/>
              </w:rPr>
            </w:pPr>
            <w:r>
              <w:rPr>
                <w:rFonts w:ascii="Arial" w:cs="Arial" w:eastAsia="Arial" w:hAnsi="Arial"/>
                <w:sz w:val="18"/>
                <w:szCs w:val="18"/>
                <w:color w:val="auto"/>
                <w:w w:val="98"/>
              </w:rPr>
              <w:t>(1,480)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5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155"/>
        </w:trPr>
        <w:tc>
          <w:tcPr>
            <w:tcW w:w="6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change in cash, cash equivalents and restricted cash from continuing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center"/>
              <w:ind w:left="278"/>
              <w:spacing w:after="0"/>
              <w:rPr>
                <w:sz w:val="20"/>
                <w:szCs w:val="20"/>
                <w:color w:val="auto"/>
              </w:rPr>
            </w:pPr>
            <w:r>
              <w:rPr>
                <w:rFonts w:ascii="Arial" w:cs="Arial" w:eastAsia="Arial" w:hAnsi="Arial"/>
                <w:sz w:val="18"/>
                <w:szCs w:val="18"/>
                <w:color w:val="auto"/>
                <w:w w:val="97"/>
              </w:rPr>
              <w:t>9,229</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center"/>
              <w:ind w:left="298"/>
              <w:spacing w:after="0"/>
              <w:rPr>
                <w:sz w:val="20"/>
                <w:szCs w:val="20"/>
                <w:color w:val="auto"/>
              </w:rPr>
            </w:pPr>
            <w:r>
              <w:rPr>
                <w:rFonts w:ascii="Arial" w:cs="Arial" w:eastAsia="Arial" w:hAnsi="Arial"/>
                <w:sz w:val="18"/>
                <w:szCs w:val="18"/>
                <w:color w:val="auto"/>
                <w:w w:val="98"/>
              </w:rPr>
              <w:t>(3,483)</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12,712</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Continuing Operating Activities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Net cash provided by continuing operating activities was $5.7 million during the three months ended March 31, 2025, compared to $3.3 million during the three months ended March 31, 2024. The $2.5 million increase in continuing operating cash inflows was primarily due to a $7.0 million decrease in our loss from continuing operations, partially offset by a $2.4 million decrease in non-cash charges and a $2.1 million net use of cash from changes in operating assets and liabilities. The decrease in non-cash charges was primarily related to a $1.4 million reduction in stock-based compensation expense as a result of the March 2024 workforce reorganization, and a $0.6 million decrease in depreciation expense due to accelerated depreciation recorded in the fourth quarter of 2024. The change in operating assets and liabilities was primarily attributable to cash outflows of $ 4.3 million from lower accrued and other liabilities, primarily due to accrued severance in the first quarter of 2024 related to our March 2024 workforce reorganization, $1.4 million from higher accounts receivable reflecting the timing of cash receipts from payment processors and higher sales volume near the end of the quarter, and $ 1.3 million from higher other current assets primarily related to lower sales of owned inventory. These were partially offset by cash inflows of $3.5 million from higher accounts payable due to timing of vendor payments, and $1.2 million from higher seller payable, primarily reflecting the timing of seller credit cash-outs or redemptions and conversions to gift cards.</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Continuing Investing Activities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Net cash provided by continuing investing activities for the three months ended March 31, 2025 was $5.1 million as compared to net cash used in continuing investing activities of $5.3 million for the same period in 2024. The $10.4 million increase in cash inflows was primarily due to a $5.5 million decrease in purchases of marketable securities and a $5.6 million increase in sale and maturities of marketable securities, partially offset by a $0.7 million increase in purchases of property and equipment.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Continuing Financing Activities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Net cash used in continuing financing activities was $1.6 million for the three months ended March 31, 2025, compared to $1.5 million for the same period in 2024, reflecting relatively consistent cash outflows related to debt repayment and stock-based award activities.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There have been no material changes to our critical accounting policies since the 2024 10-K. For a description of critical accounting policies that affect our significant judgments and estimates used in the preparation of our condensed consolidated financial statements,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the 2024 10-K.</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JOBS Act Accounting Election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information on new accounting pronouncements.</w:t>
      </w:r>
    </w:p>
    <w:p>
      <w:pPr>
        <w:spacing w:after="0" w:line="2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2025, we had non-restricted cash and cash equivalents of $41.1 million and marketable securities of $5.7 million, consisting primarily of money market funds, commercial paper,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spacing w:after="0" w:line="18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Term Loan bears variable interest rates tied to the prime rate, with a floor of 4.75%, and therefore carries interest rate risk. If interest rates were to increase or decrease by 1% for the year and our borrowing amounts on the Term Loan remained constant, the increase or decrease to our annual interest expense would not be material.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2025, inflation remains at elevated levels in the U.S.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spacing w:after="0" w:line="2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March 31, 2025.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2025.</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quarter ended March 31, 2025 that materially affected, or are reasonably likely to materially affect, our internal control over financial reporting.</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Risks affecting our business are discussed in the section titled “Risk Factors” in Part I, Item 1A of our Annual Report on Form 10-K for the fiscal year ended December 31, 2024 filed with the SEC on March 3, 2025 (our “Fiscal 2024 10-K”). There have been no material changes to our risk factors as previously disclosed in our Fiscal 2024 10-K.</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Rule 10b5-1 Trading Plans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the three months ended March 31, 2025, none of our directors or officers (as defined in Rule 16a-1(f) under the Exchange Act) adopted or terminated a “Rule 10b5-1 trading arrangement” or “non-Rule 10b5-1 trading arrangement,” as those terms are defined in Item 408 of Regulation S-K.</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 Index: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jc w:val="center"/>
              <w:ind w:right="654"/>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5"/>
        </w:trPr>
        <w:tc>
          <w:tcPr>
            <w:tcW w:w="11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80" w:type="dxa"/>
            <w:vAlign w:val="bottom"/>
            <w:gridSpan w:val="13"/>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740" w:type="dxa"/>
            <w:vAlign w:val="bottom"/>
            <w:vMerge w:val="restart"/>
          </w:tcPr>
          <w:p>
            <w:pPr>
              <w:jc w:val="center"/>
              <w:ind w:left="214"/>
              <w:spacing w:after="0"/>
              <w:rPr>
                <w:sz w:val="20"/>
                <w:szCs w:val="20"/>
                <w:color w:val="auto"/>
              </w:rPr>
            </w:pPr>
            <w:r>
              <w:rPr>
                <w:rFonts w:ascii="Arial" w:cs="Arial" w:eastAsia="Arial" w:hAnsi="Arial"/>
                <w:sz w:val="14"/>
                <w:szCs w:val="14"/>
                <w:b w:val="1"/>
                <w:bCs w:val="1"/>
                <w:color w:val="auto"/>
              </w:rPr>
              <w:t>Form</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gridSpan w:val="1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auto"/>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260" w:type="dxa"/>
            <w:vAlign w:val="bottom"/>
            <w:tcBorders>
              <w:top w:val="single" w:sz="8" w:color="auto"/>
              <w:bottom w:val="single" w:sz="8" w:color="0000FF"/>
            </w:tcBorders>
            <w:gridSpan w:val="3"/>
            <w:shd w:val="clear" w:color="auto" w:fill="CCEEFF"/>
          </w:tcPr>
          <w:p>
            <w:pPr>
              <w:spacing w:after="0" w:line="182"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Restated Certificate of Incorporation of the Registrant</w:t>
              </w:r>
            </w:hyperlink>
          </w:p>
        </w:tc>
        <w:tc>
          <w:tcPr>
            <w:tcW w:w="2440" w:type="dxa"/>
            <w:vAlign w:val="bottom"/>
            <w:tcBorders>
              <w:top w:val="single" w:sz="8" w:color="auto"/>
              <w:bottom w:val="single" w:sz="8" w:color="CCEEFF"/>
            </w:tcBorders>
            <w:gridSpan w:val="11"/>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214"/>
              <w:spacing w:after="0" w:line="182" w:lineRule="exact"/>
              <w:rPr>
                <w:sz w:val="20"/>
                <w:szCs w:val="20"/>
                <w:color w:val="auto"/>
              </w:rPr>
            </w:pPr>
            <w:r>
              <w:rPr>
                <w:rFonts w:ascii="Arial" w:cs="Arial" w:eastAsia="Arial" w:hAnsi="Arial"/>
                <w:sz w:val="18"/>
                <w:szCs w:val="18"/>
                <w:color w:val="auto"/>
                <w:w w:val="99"/>
              </w:rPr>
              <w:t>10-Q</w:t>
            </w: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8/5/2024</w:t>
            </w: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rFonts w:ascii="Arial" w:cs="Arial" w:eastAsia="Arial" w:hAnsi="Arial"/>
                <w:sz w:val="18"/>
                <w:szCs w:val="18"/>
                <w:color w:val="0000FF"/>
              </w:rPr>
            </w:pPr>
            <w:hyperlink r:id="rId41">
              <w:r>
                <w:rPr>
                  <w:rFonts w:ascii="Arial" w:cs="Arial" w:eastAsia="Arial" w:hAnsi="Arial"/>
                  <w:sz w:val="18"/>
                  <w:szCs w:val="18"/>
                  <w:color w:val="0000FF"/>
                </w:rPr>
                <w:t>Amended and Restated Bylaws of the Registrant, as adopted on February 16, 2023</w:t>
              </w:r>
            </w:hyperlink>
          </w:p>
        </w:tc>
        <w:tc>
          <w:tcPr>
            <w:tcW w:w="740" w:type="dxa"/>
            <w:vAlign w:val="bottom"/>
          </w:tcPr>
          <w:p>
            <w:pPr>
              <w:jc w:val="center"/>
              <w:ind w:left="214"/>
              <w:spacing w:after="0" w:line="189" w:lineRule="exact"/>
              <w:rPr>
                <w:sz w:val="20"/>
                <w:szCs w:val="20"/>
                <w:color w:val="auto"/>
              </w:rPr>
            </w:pPr>
            <w:r>
              <w:rPr>
                <w:rFonts w:ascii="Arial" w:cs="Arial" w:eastAsia="Arial" w:hAnsi="Arial"/>
                <w:sz w:val="18"/>
                <w:szCs w:val="18"/>
                <w:color w:val="auto"/>
                <w:w w:val="99"/>
              </w:rPr>
              <w:t>8-K</w:t>
            </w:r>
          </w:p>
        </w:tc>
        <w:tc>
          <w:tcPr>
            <w:tcW w:w="1440" w:type="dxa"/>
            <w:vAlign w:val="bottom"/>
            <w:gridSpan w:val="3"/>
          </w:tcPr>
          <w:p>
            <w:pPr>
              <w:jc w:val="center"/>
              <w:ind w:left="315"/>
              <w:spacing w:after="0" w:line="189" w:lineRule="exact"/>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2/21/2023</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rFonts w:ascii="Arial" w:cs="Arial" w:eastAsia="Arial" w:hAnsi="Arial"/>
                <w:sz w:val="18"/>
                <w:szCs w:val="18"/>
                <w:color w:val="0000FF"/>
              </w:rPr>
            </w:pPr>
            <w:hyperlink r:id="rId42">
              <w:r>
                <w:rPr>
                  <w:rFonts w:ascii="Arial" w:cs="Arial" w:eastAsia="Arial" w:hAnsi="Arial"/>
                  <w:sz w:val="18"/>
                  <w:szCs w:val="18"/>
                  <w:color w:val="0000FF"/>
                </w:rPr>
                <w:t>Form of Class A common stock certificate of the Registrant</w:t>
              </w:r>
            </w:hyperlink>
          </w:p>
        </w:tc>
        <w:tc>
          <w:tcPr>
            <w:tcW w:w="740" w:type="dxa"/>
            <w:vAlign w:val="bottom"/>
            <w:shd w:val="clear" w:color="auto" w:fill="CCEEFF"/>
          </w:tcPr>
          <w:p>
            <w:pPr>
              <w:jc w:val="center"/>
              <w:ind w:left="214"/>
              <w:spacing w:after="0" w:line="189" w:lineRule="exact"/>
              <w:rPr>
                <w:sz w:val="20"/>
                <w:szCs w:val="20"/>
                <w:color w:val="auto"/>
              </w:rPr>
            </w:pPr>
            <w:r>
              <w:rPr>
                <w:rFonts w:ascii="Arial" w:cs="Arial" w:eastAsia="Arial" w:hAnsi="Arial"/>
                <w:sz w:val="18"/>
                <w:szCs w:val="18"/>
                <w:color w:val="auto"/>
                <w:w w:val="99"/>
              </w:rPr>
              <w:t>S-1</w:t>
            </w:r>
          </w:p>
        </w:tc>
        <w:tc>
          <w:tcPr>
            <w:tcW w:w="1440" w:type="dxa"/>
            <w:vAlign w:val="bottom"/>
            <w:gridSpan w:val="3"/>
            <w:shd w:val="clear" w:color="auto" w:fill="CCEEFF"/>
          </w:tcPr>
          <w:p>
            <w:pPr>
              <w:jc w:val="center"/>
              <w:ind w:left="315"/>
              <w:spacing w:after="0" w:line="189" w:lineRule="exact"/>
              <w:rPr>
                <w:sz w:val="20"/>
                <w:szCs w:val="20"/>
                <w:color w:val="auto"/>
              </w:rPr>
            </w:pPr>
            <w:r>
              <w:rPr>
                <w:rFonts w:ascii="Arial" w:cs="Arial" w:eastAsia="Arial" w:hAnsi="Arial"/>
                <w:sz w:val="18"/>
                <w:szCs w:val="18"/>
                <w:color w:val="auto"/>
                <w:w w:val="95"/>
              </w:rPr>
              <w:t>4.1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rFonts w:ascii="Arial" w:cs="Arial" w:eastAsia="Arial" w:hAnsi="Arial"/>
                <w:sz w:val="18"/>
                <w:szCs w:val="18"/>
                <w:color w:val="0000FF"/>
              </w:rPr>
            </w:pPr>
            <w:hyperlink r:id="rId43">
              <w:r>
                <w:rPr>
                  <w:rFonts w:ascii="Arial" w:cs="Arial" w:eastAsia="Arial" w:hAnsi="Arial"/>
                  <w:sz w:val="18"/>
                  <w:szCs w:val="18"/>
                  <w:color w:val="0000FF"/>
                </w:rPr>
                <w:t>Tenth Amended and Restated Investors’ Rights Agreement, dated February 16,</w:t>
              </w:r>
            </w:hyperlink>
          </w:p>
        </w:tc>
        <w:tc>
          <w:tcPr>
            <w:tcW w:w="740" w:type="dxa"/>
            <w:vAlign w:val="bottom"/>
          </w:tcPr>
          <w:p>
            <w:pPr>
              <w:jc w:val="center"/>
              <w:ind w:left="214"/>
              <w:spacing w:after="0" w:line="189" w:lineRule="exact"/>
              <w:rPr>
                <w:sz w:val="20"/>
                <w:szCs w:val="20"/>
                <w:color w:val="auto"/>
              </w:rPr>
            </w:pPr>
            <w:r>
              <w:rPr>
                <w:rFonts w:ascii="Arial" w:cs="Arial" w:eastAsia="Arial" w:hAnsi="Arial"/>
                <w:sz w:val="18"/>
                <w:szCs w:val="18"/>
                <w:color w:val="auto"/>
                <w:w w:val="99"/>
              </w:rPr>
              <w:t>S-1</w:t>
            </w:r>
          </w:p>
        </w:tc>
        <w:tc>
          <w:tcPr>
            <w:tcW w:w="1440" w:type="dxa"/>
            <w:vAlign w:val="bottom"/>
            <w:gridSpan w:val="3"/>
          </w:tcPr>
          <w:p>
            <w:pPr>
              <w:jc w:val="center"/>
              <w:ind w:left="315"/>
              <w:spacing w:after="0" w:line="189"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43">
              <w:r>
                <w:rPr>
                  <w:rFonts w:ascii="Arial" w:cs="Arial" w:eastAsia="Arial" w:hAnsi="Arial"/>
                  <w:sz w:val="18"/>
                  <w:szCs w:val="18"/>
                  <w:color w:val="0000FF"/>
                </w:rPr>
                <w:t>2021, by and among the Registrant and certain of its stockholders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Exchange Act Rules 13a-</w:t>
            </w: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340" w:type="dxa"/>
            <w:vAlign w:val="bottom"/>
            <w:tcBorders>
              <w:top w:val="single" w:sz="8" w:color="0000FF"/>
              <w:bottom w:val="single" w:sz="8" w:color="0000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0000FF"/>
            </w:tcBorders>
            <w:shd w:val="clear" w:color="auto" w:fill="CCEEFF"/>
          </w:tcPr>
          <w:p>
            <w:pPr>
              <w:spacing w:after="0" w:line="169" w:lineRule="exact"/>
              <w:rPr>
                <w:sz w:val="20"/>
                <w:szCs w:val="20"/>
                <w:color w:val="auto"/>
              </w:rPr>
            </w:pPr>
            <w:r>
              <w:rPr>
                <w:rFonts w:ascii="Arial" w:cs="Arial" w:eastAsia="Arial" w:hAnsi="Arial"/>
                <w:sz w:val="18"/>
                <w:szCs w:val="18"/>
                <w:color w:val="0000FF"/>
                <w:w w:val="98"/>
              </w:rPr>
              <w:t>Act of 2002</w:t>
            </w:r>
          </w:p>
        </w:tc>
        <w:tc>
          <w:tcPr>
            <w:tcW w:w="5460" w:type="dxa"/>
            <w:vAlign w:val="bottom"/>
            <w:tcBorders>
              <w:bottom w:val="single" w:sz="8" w:color="CCEEFF"/>
            </w:tcBorders>
            <w:gridSpan w:val="9"/>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9"/>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Exchange Act Rules 13a-</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1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Act of 2002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18 U.S.C. Section 1350, as</w:t>
            </w: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80" w:type="dxa"/>
            <w:vAlign w:val="bottom"/>
            <w:tcBorders>
              <w:top w:val="single" w:sz="8" w:color="0000FF"/>
            </w:tcBorders>
            <w:gridSpan w:val="12"/>
            <w:shd w:val="clear" w:color="auto" w:fill="CCEEFF"/>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00" w:type="dxa"/>
            <w:vAlign w:val="bottom"/>
            <w:tcBorders>
              <w:top w:val="single" w:sz="8" w:color="CCEEFF"/>
            </w:tcBorders>
            <w:gridSpan w:val="3"/>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18 U.S.C. Section 1350, as</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6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101.INS*</w:t>
            </w: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document</w:t>
            </w: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101.SCH*</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101.DEF*</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101.LAB*</w:t>
            </w:r>
          </w:p>
        </w:tc>
        <w:tc>
          <w:tcPr>
            <w:tcW w:w="20" w:type="dxa"/>
            <w:vAlign w:val="bottom"/>
            <w:shd w:val="clear" w:color="auto" w:fill="CCEEFF"/>
          </w:tcPr>
          <w:p>
            <w:pPr>
              <w:spacing w:after="0"/>
              <w:rPr>
                <w:sz w:val="19"/>
                <w:szCs w:val="19"/>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101.PRE*</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with applicable</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2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2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2025</w:t>
      </w:r>
    </w:p>
    <w:p>
      <w:pPr>
        <w:sectPr>
          <w:pgSz w:w="11900" w:h="16838" w:orient="portrait"/>
          <w:cols w:equalWidth="0" w:num="1">
            <w:col w:w="11240"/>
          </w:cols>
          <w:pgMar w:left="320" w:top="76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2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2025</w:t>
      </w:r>
    </w:p>
    <w:p>
      <w:pPr>
        <w:sectPr>
          <w:pgSz w:w="11900" w:h="16838" w:orient="portrait"/>
          <w:cols w:equalWidth="0" w:num="1">
            <w:col w:w="11240"/>
          </w:cols>
          <w:pgMar w:left="320" w:top="76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2025 (the “Report”) fully complies with the requirements of Section 13(a) or 15(d) of the Securities Exchange Act of 1934;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8"/>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2025</w:t>
      </w:r>
    </w:p>
    <w:p>
      <w:pPr>
        <w:sectPr>
          <w:pgSz w:w="11900" w:h="16838" w:orient="portrait"/>
          <w:cols w:equalWidth="0" w:num="1">
            <w:col w:w="11240"/>
          </w:cols>
          <w:pgMar w:left="320" w:top="769"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2025 (the “Report”) fully complies with the requirements of Section 13(a) or 15(d) of the Securities Exchange Act of 1934;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8"/>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2025</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0" Type="http://schemas.openxmlformats.org/officeDocument/2006/relationships/hyperlink" Target="https://www.sec.gov/Archives/edgar/data/1484778/000148477824000117/ex31tdup-publiccompanyrest.htm" TargetMode="External"/><Relationship Id="rId41" Type="http://schemas.openxmlformats.org/officeDocument/2006/relationships/hyperlink" Target="https://www.sec.gov/Archives/edgar/data/1484778/000148477823000037/thredup-arpubliccompanybyl.htm" TargetMode="External"/><Relationship Id="rId42" Type="http://schemas.openxmlformats.org/officeDocument/2006/relationships/hyperlink" Target="https://www.sec.gov/Archives/edgar/data/1484778/000162828021003857/exhibit41-sx1.htm" TargetMode="External"/><Relationship Id="rId43" Type="http://schemas.openxmlformats.org/officeDocument/2006/relationships/hyperlink" Target="https://www.sec.gov/Archives/edgar/data/1484778/000162828021003857/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2025-05-05T15:35:44Z</dcterms:created>
  <dcterms:modified xsi:type="dcterms:W3CDTF">2025-05-05T15:35:44Z</dcterms:modified>
</cp:coreProperties>
</file>