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UNITED STATES</w:t>
      </w:r>
    </w:p>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SECURITIES AND EXCHANGE COMMISSION</w:t>
      </w:r>
    </w:p>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Washington, D.C. 20549</w:t>
      </w:r>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Form 8-K</w:t>
      </w:r>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CURRENT REPORT</w:t>
      </w:r>
    </w:p>
    <w:p>
      <w:pPr>
        <w:pStyle w:val="TextBody"/>
        <w:bidi w:val="0"/>
        <w:spacing w:lineRule="auto" w:line="288" w:before="0" w:after="0"/>
        <w:jc w:val="center"/>
        <w:rPr>
          <w:rFonts w:ascii="Helvetica;sans-serif" w:hAnsi="Helvetica;sans-serif"/>
          <w:b/>
          <w:color w:val="000000"/>
          <w:sz w:val="32"/>
        </w:rPr>
      </w:pPr>
      <w:r>
        <w:rPr>
          <w:rFonts w:ascii="Helvetica;sans-serif" w:hAnsi="Helvetica;sans-serif"/>
          <w:b/>
          <w:color w:val="000000"/>
          <w:sz w:val="32"/>
        </w:rPr>
        <w:t>Pursuant to Section 13 OR 15(d) of The Securities Exchange Act of 1934</w:t>
      </w:r>
    </w:p>
    <w:p>
      <w:pPr>
        <w:pStyle w:val="TextBody"/>
        <w:bidi w:val="0"/>
        <w:spacing w:lineRule="auto" w:line="288" w:before="120" w:after="283"/>
        <w:jc w:val="center"/>
        <w:rPr>
          <w:rFonts w:ascii="Helvetica;sans-serif" w:hAnsi="Helvetica;sans-serif"/>
          <w:b w:val="false"/>
          <w:color w:val="000000"/>
          <w:sz w:val="16"/>
        </w:rPr>
      </w:pPr>
      <w:r>
        <w:rPr>
          <w:rFonts w:ascii="Helvetica;sans-serif" w:hAnsi="Helvetica;sans-serif"/>
          <w:b w:val="false"/>
          <w:color w:val="000000"/>
          <w:sz w:val="16"/>
        </w:rPr>
        <w:t>Date of Report (Date of earliest event reported): August 5, 2026</w:t>
      </w:r>
    </w:p>
    <w:p>
      <w:pPr>
        <w:pStyle w:val="TextBody"/>
        <w:bidi w:val="0"/>
        <w:spacing w:before="120" w:after="283"/>
        <w:jc w:val="center"/>
        <w:rPr/>
      </w:pPr>
      <w:r>
        <w:rPr/>
        <w:drawing>
          <wp:inline distT="0" distB="0" distL="0" distR="0">
            <wp:extent cx="1724025" cy="4286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724025" cy="428625"/>
                    </a:xfrm>
                    <a:prstGeom prst="rect">
                      <a:avLst/>
                    </a:prstGeom>
                  </pic:spPr>
                </pic:pic>
              </a:graphicData>
            </a:graphic>
          </wp:inline>
        </w:drawing>
      </w:r>
      <w:bookmarkStart w:id="0" w:name="i-1"/>
      <w:bookmarkEnd w:id="0"/>
    </w:p>
    <w:p>
      <w:pPr>
        <w:pStyle w:val="TextBody"/>
        <w:bidi w:val="0"/>
        <w:spacing w:lineRule="auto" w:line="288" w:before="120" w:after="283"/>
        <w:jc w:val="center"/>
        <w:rPr>
          <w:rFonts w:ascii="Helvetica;sans-serif" w:hAnsi="Helvetica;sans-serif"/>
          <w:b/>
          <w:color w:val="000000"/>
          <w:sz w:val="32"/>
        </w:rPr>
      </w:pPr>
      <w:r>
        <w:rPr>
          <w:rFonts w:ascii="Helvetica;sans-serif" w:hAnsi="Helvetica;sans-serif"/>
          <w:b/>
          <w:color w:val="000000"/>
          <w:sz w:val="32"/>
        </w:rPr>
        <w:t>ThredUp Inc.</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(Exact name of registrant as specified in its charter)</w:t>
      </w:r>
    </w:p>
    <w:p>
      <w:pPr>
        <w:pStyle w:val="TextBody"/>
        <w:bidi w:val="0"/>
        <w:spacing w:before="0" w:after="0"/>
        <w:jc w:val="both"/>
        <w:rPr/>
      </w:pPr>
      <w:r>
        <w:rPr/>
      </w:r>
    </w:p>
    <w:tbl>
      <w:tblPr>
        <w:tblW w:w="7783" w:type="dxa"/>
        <w:jc w:val="center"/>
        <w:tblInd w:w="0" w:type="dxa"/>
        <w:tblLayout w:type="fixed"/>
        <w:tblCellMar>
          <w:top w:w="28" w:type="dxa"/>
          <w:left w:w="28" w:type="dxa"/>
          <w:bottom w:w="28" w:type="dxa"/>
          <w:right w:w="28" w:type="dxa"/>
        </w:tblCellMar>
      </w:tblPr>
      <w:tblGrid>
        <w:gridCol w:w="1159"/>
        <w:gridCol w:w="1021"/>
        <w:gridCol w:w="1030"/>
        <w:gridCol w:w="682"/>
        <w:gridCol w:w="682"/>
        <w:gridCol w:w="690"/>
        <w:gridCol w:w="733"/>
        <w:gridCol w:w="733"/>
        <w:gridCol w:w="1053"/>
      </w:tblGrid>
      <w:tr>
        <w:trPr/>
        <w:tc>
          <w:tcPr>
            <w:tcW w:w="1159"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Delaware</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001-40249</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26-4009181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(State or other jurisdiction of incorporation)</w:t>
            </w:r>
          </w:p>
        </w:tc>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(Commission File Number)</w:t>
            </w:r>
          </w:p>
        </w:tc>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(IRS Employer Identification No.)</w:t>
            </w:r>
          </w:p>
        </w:tc>
      </w:tr>
    </w:tbl>
    <w:p>
      <w:pPr>
        <w:pStyle w:val="TextBody"/>
        <w:bidi w:val="0"/>
        <w:spacing w:before="0" w:after="0"/>
        <w:jc w:val="both"/>
        <w:rPr/>
      </w:pPr>
      <w:r>
        <w:rPr/>
      </w:r>
    </w:p>
    <w:tbl>
      <w:tblPr>
        <w:tblW w:w="3883" w:type="dxa"/>
        <w:jc w:val="center"/>
        <w:tblInd w:w="0" w:type="dxa"/>
        <w:tblLayout w:type="fixed"/>
        <w:tblCellMar>
          <w:top w:w="28" w:type="dxa"/>
          <w:left w:w="28" w:type="dxa"/>
          <w:bottom w:w="28" w:type="dxa"/>
          <w:right w:w="28" w:type="dxa"/>
        </w:tblCellMar>
      </w:tblPr>
      <w:tblGrid>
        <w:gridCol w:w="1069"/>
        <w:gridCol w:w="940"/>
        <w:gridCol w:w="945"/>
        <w:gridCol w:w="272"/>
        <w:gridCol w:w="272"/>
        <w:gridCol w:w="385"/>
      </w:tblGrid>
      <w:tr>
        <w:trPr/>
        <w:tc>
          <w:tcPr>
            <w:tcW w:w="1069"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969 Broadway, Suite 200</w:t>
            </w:r>
          </w:p>
          <w:p>
            <w:pPr>
              <w:pStyle w:val="TableContents"/>
              <w:bidi w:val="0"/>
              <w:spacing w:lineRule="auto" w:line="240" w:before="0" w:after="0"/>
              <w:jc w:val="center"/>
              <w:rPr>
                <w:rFonts w:ascii="Helvetica;sans-serif" w:hAnsi="Helvetica;sans-serif"/>
                <w:b/>
                <w:color w:val="000000"/>
                <w:sz w:val="16"/>
              </w:rPr>
            </w:pPr>
            <w:r>
              <w:rPr>
                <w:rFonts w:ascii="Helvetica;sans-serif" w:hAnsi="Helvetica;sans-serif"/>
                <w:b/>
                <w:color w:val="000000"/>
                <w:sz w:val="16"/>
              </w:rPr>
              <w:t>Oakland, California</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94607</w:t>
            </w:r>
          </w:p>
        </w:tc>
      </w:tr>
      <w:tr>
        <w:trPr/>
        <w:tc>
          <w:tcPr>
            <w:tcW w:w="29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(Zip Code)</w:t>
            </w:r>
          </w:p>
        </w:tc>
      </w:tr>
    </w:tbl>
    <w:p>
      <w:pPr>
        <w:pStyle w:val="TextBody"/>
        <w:bidi w:val="0"/>
        <w:spacing w:before="0" w:after="0"/>
        <w:jc w:val="both"/>
        <w:rPr/>
      </w:pPr>
      <w:r>
        <w:rPr/>
      </w:r>
    </w:p>
    <w:p>
      <w:pPr>
        <w:pStyle w:val="TextBody"/>
        <w:bidi w:val="0"/>
        <w:spacing w:lineRule="auto" w:line="288" w:before="40" w:after="283"/>
        <w:jc w:val="center"/>
        <w:rPr>
          <w:rFonts w:ascii="Helvetica;sans-serif" w:hAnsi="Helvetica;sans-serif"/>
          <w:b/>
          <w:color w:val="000000"/>
          <w:sz w:val="16"/>
        </w:rPr>
      </w:pPr>
      <w:r>
        <w:rPr>
          <w:rFonts w:ascii="Helvetica;sans-serif" w:hAnsi="Helvetica;sans-serif"/>
          <w:b/>
          <w:color w:val="000000"/>
          <w:sz w:val="16"/>
        </w:rPr>
        <w:t>(415) 402-5202</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(Registrant’s telephone number, including area code)</w:t>
      </w:r>
    </w:p>
    <w:p>
      <w:pPr>
        <w:pStyle w:val="TextBody"/>
        <w:bidi w:val="0"/>
        <w:spacing w:lineRule="auto" w:line="288" w:before="240" w:after="283"/>
        <w:jc w:val="center"/>
        <w:rPr>
          <w:rFonts w:ascii="Helvetica;sans-serif" w:hAnsi="Helvetica;sans-serif"/>
          <w:b/>
          <w:color w:val="000000"/>
          <w:sz w:val="16"/>
        </w:rPr>
      </w:pPr>
      <w:r>
        <w:rPr>
          <w:rFonts w:ascii="Helvetica;sans-serif" w:hAnsi="Helvetica;sans-serif"/>
          <w:b/>
          <w:color w:val="000000"/>
          <w:sz w:val="16"/>
        </w:rPr>
        <w:t>Not applicable</w:t>
      </w:r>
    </w:p>
    <w:p>
      <w:pPr>
        <w:pStyle w:val="TextBody"/>
        <w:bidi w:val="0"/>
        <w:spacing w:lineRule="auto" w:line="288" w:before="0" w:after="0"/>
        <w:jc w:val="center"/>
        <w:rPr>
          <w:rFonts w:ascii="Helvetica;sans-serif" w:hAnsi="Helvetica;sans-serif"/>
          <w:b w:val="false"/>
          <w:i/>
          <w:color w:val="000000"/>
          <w:sz w:val="16"/>
        </w:rPr>
      </w:pPr>
      <w:r>
        <w:rPr>
          <w:rFonts w:ascii="Helvetica;sans-serif" w:hAnsi="Helvetica;sans-serif"/>
          <w:b w:val="false"/>
          <w:i/>
          <w:color w:val="000000"/>
          <w:sz w:val="16"/>
        </w:rPr>
        <w:t>(Former name or former address, if changed since last report)</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88" w:before="120" w:after="283"/>
        <w:jc w:val="both"/>
        <w:rPr>
          <w:color w:val="000000"/>
        </w:rPr>
      </w:pPr>
      <w:r>
        <w:rPr>
          <w:color w:val="000000"/>
        </w:rPr>
        <w:t>☐    </w:t>
      </w:r>
      <w:r>
        <w:rPr>
          <w:rFonts w:ascii="Helvetica;sans-serif" w:hAnsi="Helvetica;sans-serif"/>
          <w:b w:val="false"/>
          <w:color w:val="000000"/>
          <w:sz w:val="16"/>
        </w:rPr>
        <w:t>Written communications pursuant to Rule 425 under the Securities Act (17 CFR 230.425)</w:t>
      </w:r>
    </w:p>
    <w:p>
      <w:pPr>
        <w:pStyle w:val="TextBody"/>
        <w:bidi w:val="0"/>
        <w:spacing w:lineRule="auto" w:line="288" w:before="0" w:after="0"/>
        <w:jc w:val="both"/>
        <w:rPr>
          <w:color w:val="000000"/>
        </w:rPr>
      </w:pPr>
      <w:r>
        <w:rPr>
          <w:color w:val="000000"/>
        </w:rPr>
        <w:t>☐    </w:t>
      </w:r>
      <w:r>
        <w:rPr>
          <w:rFonts w:ascii="Helvetica;sans-serif" w:hAnsi="Helvetica;sans-serif"/>
          <w:b w:val="false"/>
          <w:color w:val="000000"/>
          <w:sz w:val="16"/>
        </w:rPr>
        <w:t>Soliciting material pursuant to Rule 14a-12 under the Exchange Act (17 CFR 240.14a-12)</w:t>
      </w:r>
    </w:p>
    <w:p>
      <w:pPr>
        <w:pStyle w:val="TextBody"/>
        <w:bidi w:val="0"/>
        <w:spacing w:lineRule="auto" w:line="288" w:before="0" w:after="0"/>
        <w:jc w:val="both"/>
        <w:rPr>
          <w:color w:val="000000"/>
        </w:rPr>
      </w:pPr>
      <w:r>
        <w:rPr>
          <w:color w:val="000000"/>
        </w:rPr>
        <w:t>☐    </w:t>
      </w:r>
      <w:r>
        <w:rPr>
          <w:rFonts w:ascii="Helvetica;sans-serif" w:hAnsi="Helvetica;sans-serif"/>
          <w:b w:val="false"/>
          <w:color w:val="000000"/>
          <w:sz w:val="16"/>
        </w:rPr>
        <w:t>Pre-commencement communications pursuant to Rule 14d-2(b) under the Exchange Act (17 CFR 240.14d-2(b))</w:t>
      </w:r>
    </w:p>
    <w:p>
      <w:pPr>
        <w:pStyle w:val="TextBody"/>
        <w:bidi w:val="0"/>
        <w:spacing w:lineRule="auto" w:line="288" w:before="0" w:after="0"/>
        <w:jc w:val="both"/>
        <w:rPr>
          <w:color w:val="000000"/>
        </w:rPr>
      </w:pPr>
      <w:r>
        <w:rPr>
          <w:color w:val="000000"/>
        </w:rPr>
        <w:t>☐    </w:t>
      </w:r>
      <w:r>
        <w:rPr>
          <w:rFonts w:ascii="Helvetica;sans-serif" w:hAnsi="Helvetica;sans-serif"/>
          <w:b w:val="false"/>
          <w:color w:val="000000"/>
          <w:sz w:val="16"/>
        </w:rPr>
        <w:t>Pre-commencement communications pursuant to Rule 13e-4(c) under the Exchange Act (17 CFR 240.13e-4(c))</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Securities registered pursuant to Section 12(b) of the Act:</w:t>
      </w:r>
    </w:p>
    <w:p>
      <w:pPr>
        <w:pStyle w:val="TextBody"/>
        <w:bidi w:val="0"/>
        <w:spacing w:before="0" w:after="0"/>
        <w:jc w:val="both"/>
        <w:rPr/>
      </w:pPr>
      <w:r>
        <w:rPr/>
      </w:r>
    </w:p>
    <w:tbl>
      <w:tblPr>
        <w:tblW w:w="9891" w:type="dxa"/>
        <w:jc w:val="left"/>
        <w:tblInd w:w="0" w:type="dxa"/>
        <w:tblLayout w:type="fixed"/>
        <w:tblCellMar>
          <w:top w:w="28" w:type="dxa"/>
          <w:left w:w="28" w:type="dxa"/>
          <w:bottom w:w="28" w:type="dxa"/>
          <w:right w:w="28" w:type="dxa"/>
        </w:tblCellMar>
      </w:tblPr>
      <w:tblGrid>
        <w:gridCol w:w="1447"/>
        <w:gridCol w:w="1271"/>
        <w:gridCol w:w="1286"/>
        <w:gridCol w:w="109"/>
        <w:gridCol w:w="109"/>
        <w:gridCol w:w="109"/>
        <w:gridCol w:w="524"/>
        <w:gridCol w:w="524"/>
        <w:gridCol w:w="526"/>
        <w:gridCol w:w="109"/>
        <w:gridCol w:w="109"/>
        <w:gridCol w:w="109"/>
        <w:gridCol w:w="1071"/>
        <w:gridCol w:w="1071"/>
        <w:gridCol w:w="1517"/>
      </w:tblGrid>
      <w:tr>
        <w:trPr/>
        <w:tc>
          <w:tcPr>
            <w:tcW w:w="1447"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071"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Name of each exchange on which registered</w:t>
            </w:r>
          </w:p>
        </w:tc>
      </w:tr>
      <w:tr>
        <w:trPr/>
        <w:tc>
          <w:tcPr>
            <w:tcW w:w="400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Class A 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16"/>
              </w:rPr>
            </w:pPr>
            <w:r>
              <w:rPr>
                <w:rFonts w:ascii="Helvetica;sans-serif" w:hAnsi="Helvetica;sans-serif"/>
                <w:b w:val="false"/>
                <w:color w:val="000000"/>
                <w:sz w:val="16"/>
              </w:rPr>
              <w:t>TDUP</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59"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The Nasdaq Stock Market LLC</w:t>
            </w:r>
          </w:p>
          <w:p>
            <w:pPr>
              <w:pStyle w:val="TableContents"/>
              <w:bidi w:val="0"/>
              <w:spacing w:lineRule="auto" w:line="240" w:before="0" w:after="0"/>
              <w:jc w:val="center"/>
              <w:rPr>
                <w:rFonts w:ascii="Helvetica;sans-serif" w:hAnsi="Helvetica;sans-serif"/>
                <w:b w:val="false"/>
                <w:color w:val="000000"/>
                <w:sz w:val="16"/>
              </w:rPr>
            </w:pPr>
            <w:r>
              <w:rPr>
                <w:rFonts w:ascii="Helvetica;sans-serif" w:hAnsi="Helvetica;sans-serif"/>
                <w:b w:val="false"/>
                <w:color w:val="000000"/>
                <w:sz w:val="16"/>
              </w:rPr>
              <w:t>Long-Term Stock Exchange</w:t>
            </w:r>
          </w:p>
        </w:tc>
      </w:tr>
    </w:tbl>
    <w:p>
      <w:pPr>
        <w:pStyle w:val="TextBody"/>
        <w:bidi w:val="0"/>
        <w:spacing w:before="0" w:after="0"/>
        <w:jc w:val="left"/>
        <w:rPr/>
      </w:pPr>
      <w:r>
        <w:rPr/>
      </w:r>
    </w:p>
    <w:p>
      <w:pPr>
        <w:pStyle w:val="TextBody"/>
        <w:bidi w:val="0"/>
        <w:spacing w:lineRule="auto" w:line="288" w:before="40" w:after="283"/>
        <w:jc w:val="both"/>
        <w:rPr>
          <w:rFonts w:ascii="Helvetica;sans-serif" w:hAnsi="Helvetica;sans-serif"/>
          <w:b w:val="false"/>
          <w:color w:val="000000"/>
          <w:sz w:val="16"/>
        </w:rPr>
      </w:pPr>
      <w:r>
        <w:rPr>
          <w:rFonts w:ascii="Helvetica;sans-serif" w:hAnsi="Helvetica;sans-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jc w:val="right"/>
        <w:rPr>
          <w:rFonts w:ascii="Helvetica;sans-serif" w:hAnsi="Helvetica;sans-serif"/>
          <w:b w:val="false"/>
          <w:color w:val="000000"/>
          <w:sz w:val="16"/>
        </w:rPr>
      </w:pPr>
      <w:r>
        <w:rPr>
          <w:rFonts w:ascii="Helvetica;sans-serif" w:hAnsi="Helvetica;sans-serif"/>
          <w:b w:val="false"/>
          <w:color w:val="000000"/>
          <w:sz w:val="16"/>
        </w:rPr>
        <w:t>Emerging growth company    ☒</w:t>
      </w:r>
    </w:p>
    <w:p>
      <w:pPr>
        <w:pStyle w:val="TextBody"/>
        <w:bidi w:val="0"/>
        <w:spacing w:lineRule="auto" w:line="288" w:before="240" w:after="283"/>
        <w:jc w:val="both"/>
        <w:rPr>
          <w:rFonts w:ascii="Helvetica;sans-serif" w:hAnsi="Helvetica;sans-serif"/>
          <w:b w:val="false"/>
          <w:color w:val="000000"/>
          <w:sz w:val="16"/>
        </w:rPr>
      </w:pPr>
      <w:r>
        <w:rPr>
          <w:rFonts w:ascii="Helvetica;sans-serif" w:hAnsi="Helvetica;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Helvetica;sans-serif" w:hAnsi="Helvetica;sans-serif"/>
          <w:b/>
          <w:color w:val="000000"/>
          <w:sz w:val="20"/>
        </w:rPr>
        <w:t>Item 2.02.    </w:t>
      </w:r>
      <w:r>
        <w:rPr>
          <w:rFonts w:ascii="Helvetica;sans-serif" w:hAnsi="Helvetica;sans-serif"/>
          <w:b/>
          <w:i/>
          <w:color w:val="000000"/>
          <w:sz w:val="20"/>
        </w:rPr>
        <w:t>Results of Operations and Financial Condition</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On August 5, 2026, ThredUp Inc. (the “Company”) issued a press release announcing its financial results for the quarter ended June 30, 2026. A copy of the press release is attached hereto as Exhibit 99.1. In addition, a copy of the supplemental financial information is attached hereto as Exhibit 99.2. The press release and supplemental financial information are incorporated herein by reference.</w:t>
      </w:r>
    </w:p>
    <w:p>
      <w:pPr>
        <w:pStyle w:val="TextBody"/>
        <w:bidi w:val="0"/>
        <w:spacing w:lineRule="auto" w:line="288" w:before="24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The information in this Current Report on Form 8-K and the exhibits attached hereto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Helvetica;sans-serif" w:hAnsi="Helvetica;sans-serif"/>
          <w:b/>
          <w:color w:val="000000"/>
          <w:sz w:val="20"/>
        </w:rPr>
        <w:t>Item 9.01.    </w:t>
      </w:r>
      <w:r>
        <w:rPr>
          <w:rFonts w:ascii="Helvetica;sans-serif" w:hAnsi="Helvetica;sans-serif"/>
          <w:b/>
          <w:i/>
          <w:color w:val="000000"/>
          <w:sz w:val="20"/>
        </w:rPr>
        <w:t>Financial Statements and Exhibits</w:t>
      </w:r>
    </w:p>
    <w:p>
      <w:pPr>
        <w:pStyle w:val="TextBody"/>
        <w:bidi w:val="0"/>
        <w:spacing w:lineRule="auto" w:line="288" w:before="120" w:after="283"/>
        <w:ind w:left="0" w:right="0" w:hanging="360"/>
        <w:jc w:val="both"/>
        <w:rPr/>
      </w:pPr>
      <w:r>
        <w:rPr>
          <w:rFonts w:ascii="Helvetica;sans-serif" w:hAnsi="Helvetica;sans-serif"/>
          <w:b w:val="false"/>
          <w:color w:val="000000"/>
          <w:sz w:val="20"/>
        </w:rPr>
        <w:t>(d)</w:t>
      </w:r>
      <w:r>
        <w:rPr>
          <w:rFonts w:ascii="Helvetica;sans-serif" w:hAnsi="Helvetica;sans-serif"/>
          <w:b w:val="false"/>
          <w:i/>
          <w:color w:val="000000"/>
          <w:sz w:val="20"/>
        </w:rPr>
        <w:t>Exhibi</w:t>
      </w:r>
      <w:r>
        <w:rPr>
          <w:rFonts w:ascii="Helvetica;sans-serif" w:hAnsi="Helvetica;sans-serif"/>
          <w:b w:val="false"/>
          <w:color w:val="000000"/>
          <w:sz w:val="20"/>
        </w:rPr>
        <w:t>t</w:t>
      </w:r>
      <w:r>
        <w:rPr>
          <w:rFonts w:ascii="Helvetica;sans-serif" w:hAnsi="Helvetica;sans-serif"/>
          <w:b w:val="false"/>
          <w:i/>
          <w:color w:val="000000"/>
          <w:sz w:val="20"/>
        </w:rPr>
        <w:t>s.</w:t>
      </w:r>
    </w:p>
    <w:p>
      <w:pPr>
        <w:pStyle w:val="TextBody"/>
        <w:bidi w:val="0"/>
        <w:spacing w:before="0" w:after="0"/>
        <w:jc w:val="both"/>
        <w:rPr/>
      </w:pPr>
      <w:r>
        <w:rPr/>
      </w:r>
    </w:p>
    <w:tbl>
      <w:tblPr>
        <w:tblW w:w="8861" w:type="dxa"/>
        <w:jc w:val="center"/>
        <w:tblInd w:w="0" w:type="dxa"/>
        <w:tblLayout w:type="fixed"/>
        <w:tblCellMar>
          <w:top w:w="28" w:type="dxa"/>
          <w:left w:w="28" w:type="dxa"/>
          <w:bottom w:w="28" w:type="dxa"/>
          <w:right w:w="28" w:type="dxa"/>
        </w:tblCellMar>
      </w:tblPr>
      <w:tblGrid>
        <w:gridCol w:w="570"/>
        <w:gridCol w:w="500"/>
        <w:gridCol w:w="504"/>
        <w:gridCol w:w="109"/>
        <w:gridCol w:w="109"/>
        <w:gridCol w:w="109"/>
        <w:gridCol w:w="2038"/>
        <w:gridCol w:w="2038"/>
        <w:gridCol w:w="2884"/>
      </w:tblGrid>
      <w:tr>
        <w:trPr/>
        <w:tc>
          <w:tcPr>
            <w:tcW w:w="570"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r>
      <w:tr>
        <w:trPr/>
        <w:tc>
          <w:tcPr>
            <w:tcW w:w="15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Description</w:t>
            </w:r>
          </w:p>
        </w:tc>
      </w:tr>
      <w:tr>
        <w:trPr/>
        <w:tc>
          <w:tcPr>
            <w:tcW w:w="157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both"/>
              <w:rPr/>
            </w:pPr>
            <w:hyperlink w:anchor="exhibit991earningsreleaseq.htm">
              <w:r>
                <w:rPr>
                  <w:rStyle w:val="InternetLink"/>
                  <w:rFonts w:ascii="Helvetica;sans-serif" w:hAnsi="Helvetica;sans-serif"/>
                  <w:b w:val="false"/>
                  <w:color w:val="000080"/>
                  <w:sz w:val="20"/>
                  <w:u w:val="single"/>
                </w:rPr>
                <w:t xml:space="preserve">Press Release dated </w:t>
              </w:r>
            </w:hyperlink>
            <w:hyperlink w:anchor="exhibit991earningsreleaseq.htm">
              <w:r>
                <w:rPr>
                  <w:rStyle w:val="InternetLink"/>
                  <w:rFonts w:ascii="Helvetica;sans-serif" w:hAnsi="Helvetica;sans-serif"/>
                  <w:b w:val="false"/>
                  <w:color w:val="000080"/>
                  <w:sz w:val="20"/>
                  <w:u w:val="single"/>
                </w:rPr>
                <w:t>August 5, 2026</w:t>
              </w:r>
            </w:hyperlink>
          </w:p>
        </w:tc>
      </w:tr>
      <w:tr>
        <w:trPr/>
        <w:tc>
          <w:tcPr>
            <w:tcW w:w="15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99.2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pPr>
            <w:hyperlink w:anchor="exhibit992supplementalfina.htm">
              <w:r>
                <w:rPr>
                  <w:rStyle w:val="InternetLink"/>
                  <w:rFonts w:ascii="Helvetica;sans-serif" w:hAnsi="Helvetica;sans-serif"/>
                  <w:b w:val="false"/>
                  <w:color w:val="000080"/>
                  <w:sz w:val="20"/>
                  <w:u w:val="single"/>
                </w:rPr>
                <w:t xml:space="preserve">Supplemental Financial Information dated </w:t>
              </w:r>
            </w:hyperlink>
            <w:hyperlink w:anchor="exhibit992supplementalfina.htm">
              <w:r>
                <w:rPr>
                  <w:rStyle w:val="InternetLink"/>
                  <w:rFonts w:ascii="Helvetica;sans-serif" w:hAnsi="Helvetica;sans-serif"/>
                  <w:b w:val="false"/>
                  <w:color w:val="000080"/>
                  <w:sz w:val="20"/>
                  <w:u w:val="single"/>
                </w:rPr>
                <w:t>August 5</w:t>
              </w:r>
            </w:hyperlink>
            <w:hyperlink w:anchor="exhibit992supplementalfina.htm">
              <w:r>
                <w:rPr>
                  <w:rStyle w:val="InternetLink"/>
                  <w:rFonts w:ascii="Helvetica;sans-serif" w:hAnsi="Helvetica;sans-serif"/>
                  <w:b w:val="false"/>
                  <w:color w:val="000080"/>
                  <w:sz w:val="20"/>
                  <w:u w:val="single"/>
                </w:rPr>
                <w:t>, 2026</w:t>
              </w:r>
            </w:hyperlink>
          </w:p>
        </w:tc>
      </w:tr>
      <w:tr>
        <w:trPr/>
        <w:tc>
          <w:tcPr>
            <w:tcW w:w="15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color w:val="000000"/>
                <w:sz w:val="20"/>
              </w:rPr>
            </w:pPr>
            <w:r>
              <w:rPr>
                <w:rFonts w:ascii="Helvetica;sans-serif" w:hAnsi="Helvetica;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Cover Page Interactive Data File (embedded within the Inline XBRL document)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050"/>
                <wp:effectExtent l="0" t="0" r="0" b="0"/>
                <wp:wrapNone/>
                <wp:docPr id="3" name="Frame2"/>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Helvetica;sans-serif" w:hAnsi="Helvetica;sans-serif"/>
                          <w:b w:val="false"/>
                          <w:color w:val="000000"/>
                          <w:sz w:val="20"/>
                        </w:rPr>
                      </w:pPr>
                      <w:r>
                        <w:rPr>
                          <w:rFonts w:ascii="Helvetica;sans-serif" w:hAnsi="Helvetica;sans-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Helvetica;sans-serif" w:hAnsi="Helvetica;sans-serif"/>
          <w:b/>
          <w:color w:val="000000"/>
          <w:sz w:val="20"/>
        </w:rPr>
      </w:pPr>
      <w:r>
        <w:rPr>
          <w:rFonts w:ascii="Helvetica;sans-serif" w:hAnsi="Helvetica;sans-serif"/>
          <w:b/>
          <w:color w:val="000000"/>
          <w:sz w:val="20"/>
        </w:rPr>
        <w:t>SIGNATURES</w:t>
      </w:r>
    </w:p>
    <w:p>
      <w:pPr>
        <w:pStyle w:val="TextBody"/>
        <w:bidi w:val="0"/>
        <w:spacing w:lineRule="auto" w:line="288" w:before="120" w:after="283"/>
        <w:ind w:left="0" w:right="0" w:firstLine="360"/>
        <w:jc w:val="both"/>
        <w:rPr>
          <w:rFonts w:ascii="Helvetica;sans-serif" w:hAnsi="Helvetica;sans-serif"/>
          <w:b w:val="false"/>
          <w:color w:val="000000"/>
          <w:sz w:val="20"/>
        </w:rPr>
      </w:pPr>
      <w:r>
        <w:rPr>
          <w:rFonts w:ascii="Helvetica;sans-serif" w:hAnsi="Helvetica;sans-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before="0" w:after="0"/>
        <w:jc w:val="both"/>
        <w:rPr/>
      </w:pPr>
      <w:r>
        <w:rPr/>
      </w:r>
    </w:p>
    <w:tbl>
      <w:tblPr>
        <w:tblW w:w="4968" w:type="dxa"/>
        <w:jc w:val="center"/>
        <w:tblInd w:w="0" w:type="dxa"/>
        <w:tblLayout w:type="fixed"/>
        <w:tblCellMar>
          <w:top w:w="28" w:type="dxa"/>
          <w:left w:w="28" w:type="dxa"/>
          <w:bottom w:w="28" w:type="dxa"/>
          <w:right w:w="28" w:type="dxa"/>
        </w:tblCellMar>
      </w:tblPr>
      <w:tblGrid>
        <w:gridCol w:w="124"/>
        <w:gridCol w:w="109"/>
        <w:gridCol w:w="109"/>
        <w:gridCol w:w="237"/>
        <w:gridCol w:w="237"/>
        <w:gridCol w:w="237"/>
        <w:gridCol w:w="1140"/>
        <w:gridCol w:w="1140"/>
        <w:gridCol w:w="163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163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26"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color w:val="000000"/>
                <w:sz w:val="20"/>
              </w:rPr>
            </w:pPr>
            <w:r>
              <w:rPr>
                <w:rFonts w:ascii="Helvetica;sans-serif" w:hAnsi="Helvetica;sans-serif"/>
                <w:b/>
                <w:color w:val="000000"/>
                <w:sz w:val="20"/>
              </w:rPr>
              <w:t>THREDUP INC.</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By:</w:t>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/s/ 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Sean Sobers</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i/>
                <w:color w:val="000000"/>
                <w:sz w:val="20"/>
              </w:rPr>
            </w:pPr>
            <w:r>
              <w:rPr>
                <w:rFonts w:ascii="Helvetica;sans-serif" w:hAnsi="Helvetica;sans-serif"/>
                <w:b w:val="false"/>
                <w:i/>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Helvetica;sans-serif" w:hAnsi="Helvetica;sans-serif"/>
                <w:b w:val="false"/>
                <w:color w:val="000000"/>
                <w:sz w:val="20"/>
              </w:rPr>
            </w:pPr>
            <w:r>
              <w:rPr>
                <w:rFonts w:ascii="Helvetica;sans-serif" w:hAnsi="Helvetica;sans-serif"/>
                <w:b w:val="false"/>
                <w:color w:val="000000"/>
                <w:sz w:val="20"/>
              </w:rPr>
              <w:t>(Principal Financial and Accounting Officer)</w:t>
            </w:r>
          </w:p>
        </w:tc>
      </w:tr>
    </w:tbl>
    <w:p>
      <w:pPr>
        <w:pStyle w:val="TextBody"/>
        <w:bidi w:val="0"/>
        <w:spacing w:before="0" w:after="0"/>
        <w:jc w:val="both"/>
        <w:rPr/>
      </w:pPr>
      <w:r>
        <w:rPr/>
      </w:r>
    </w:p>
    <w:p>
      <w:pPr>
        <w:pStyle w:val="TextBody"/>
        <w:bidi w:val="0"/>
        <w:spacing w:lineRule="auto" w:line="288" w:before="40" w:after="283"/>
        <w:jc w:val="both"/>
        <w:rPr>
          <w:rFonts w:ascii="Helvetica;sans-serif" w:hAnsi="Helvetica;sans-serif"/>
          <w:b w:val="false"/>
          <w:color w:val="000000"/>
          <w:sz w:val="20"/>
        </w:rPr>
      </w:pPr>
      <w:r>
        <w:rPr>
          <w:rFonts w:ascii="Helvetica;sans-serif" w:hAnsi="Helvetica;sans-serif"/>
          <w:b w:val="false"/>
          <w:color w:val="000000"/>
          <w:sz w:val="20"/>
        </w:rPr>
        <w:t>Date: August 5,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050"/>
                <wp:effectExtent l="0" t="0" r="0" b="0"/>
                <wp:wrapNone/>
                <wp:docPr id="4" name="Frame3"/>
                <a:graphic xmlns:a="http://schemas.openxmlformats.org/drawingml/2006/main">
                  <a:graphicData uri="http://schemas.microsoft.com/office/word/2010/wordprocessingShape">
                    <wps:wsp>
                      <wps:cNvSpPr txBox="1"/>
                      <wps:spPr>
                        <a:xfrm>
                          <a:off x="0" y="0"/>
                          <a:ext cx="6480175" cy="14605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0"/>
                        </w:rPr>
                      </w:pPr>
                      <w:r>
                        <w:rPr>
                          <w:rFonts w:ascii="Helvetica;sans-serif" w:hAnsi="Helvetica;sans-serif"/>
                          <w:b w:val="false"/>
                          <w:color w:val="000000"/>
                          <w:sz w:val="20"/>
                        </w:rPr>
                        <w:t>3</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4"/>
        </w:rPr>
      </w:pPr>
      <w:r>
        <w:rPr>
          <w:rFonts w:ascii="Helvetica;sans-serif" w:hAnsi="Helvetica;sans-serif"/>
          <w:b/>
          <w:color w:val="000000"/>
          <w:sz w:val="24"/>
        </w:rPr>
        <w:t>Exhibit 99.1</w:t>
      </w:r>
    </w:p>
    <w:p>
      <w:pPr>
        <w:pStyle w:val="TextBody"/>
        <w:bidi w:val="0"/>
        <w:spacing w:before="0" w:after="0"/>
        <w:jc w:val="center"/>
        <w:rPr/>
      </w:pPr>
      <w:r>
        <w:rPr/>
        <w:drawing>
          <wp:inline distT="0" distB="0" distL="0" distR="0">
            <wp:extent cx="3238500" cy="800100"/>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3238500" cy="800100"/>
                    </a:xfrm>
                    <a:prstGeom prst="rect">
                      <a:avLst/>
                    </a:prstGeom>
                  </pic:spPr>
                </pic:pic>
              </a:graphicData>
            </a:graphic>
          </wp:inline>
        </w:drawing>
      </w:r>
    </w:p>
    <w:p>
      <w:pPr>
        <w:pStyle w:val="TextBody"/>
        <w:bidi w:val="0"/>
        <w:spacing w:lineRule="auto" w:line="288" w:before="120" w:after="283"/>
        <w:jc w:val="center"/>
        <w:rPr>
          <w:rFonts w:ascii="Helvetica;sans-serif" w:hAnsi="Helvetica;sans-serif"/>
          <w:b/>
          <w:color w:val="000000"/>
          <w:sz w:val="24"/>
        </w:rPr>
      </w:pPr>
      <w:r>
        <w:rPr>
          <w:rFonts w:ascii="Helvetica;sans-serif" w:hAnsi="Helvetica;sans-serif"/>
          <w:b/>
          <w:color w:val="000000"/>
          <w:sz w:val="24"/>
        </w:rPr>
        <w:t>ThredUp Announces Second Quarter 2026 Results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Record quarterly revenue of $90.8 million, representing an increase of 17% year-over-year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Quarterly gross margin of 79.9% and an increase in gross profit of 17% year-over-year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Record Active Buyers of 1.77 million, representing an increase of 21% year-over-year</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Ended the quarter with cash and cash equivalents, restricted cash, and marketable securities of $57.4 million, up $3.0 million from the previous quarter</w:t>
      </w:r>
    </w:p>
    <w:p>
      <w:pPr>
        <w:pStyle w:val="TextBody"/>
        <w:bidi w:val="0"/>
        <w:spacing w:lineRule="auto" w:line="288" w:before="360" w:after="283"/>
        <w:jc w:val="both"/>
        <w:rPr/>
      </w:pPr>
      <w:r>
        <w:rPr>
          <w:rFonts w:ascii="Helvetica;sans-serif" w:hAnsi="Helvetica;sans-serif"/>
          <w:b/>
          <w:color w:val="000000"/>
          <w:sz w:val="24"/>
        </w:rPr>
        <w:t xml:space="preserve">Oakland, CA — August 5, 2026 — </w:t>
      </w:r>
      <w:r>
        <w:rPr>
          <w:rFonts w:ascii="Helvetica;sans-serif" w:hAnsi="Helvetica;sans-serif"/>
          <w:b w:val="false"/>
          <w:color w:val="000000"/>
          <w:sz w:val="24"/>
        </w:rPr>
        <w:t>ThredUp Inc. (Nasdaq: TDUP, LTSE: TDUP), one of the largest online resale platforms for apparel, shoes, and accessories, announced today its financial results for the second quarter ended June 30, 2026, and updated its financial outlook for the third quarter, fourth quarter, and full year 2026.</w:t>
      </w:r>
    </w:p>
    <w:p>
      <w:pPr>
        <w:pStyle w:val="TextBody"/>
        <w:bidi w:val="0"/>
        <w:spacing w:lineRule="auto" w:line="288" w:before="240" w:after="283"/>
        <w:jc w:val="both"/>
        <w:rPr>
          <w:color w:val="000000"/>
        </w:rPr>
      </w:pPr>
      <w:r>
        <w:rPr>
          <w:color w:val="000000"/>
        </w:rPr>
        <w:t>“</w:t>
      </w:r>
      <w:r>
        <w:rPr>
          <w:rFonts w:ascii="Helvetica;sans-serif" w:hAnsi="Helvetica;sans-serif"/>
          <w:b w:val="false"/>
          <w:color w:val="000000"/>
          <w:sz w:val="24"/>
        </w:rPr>
        <w:t>We're pleased with our Q2 results, which exceeded our expectations across the board," said ThredUp CEO and co-founder James Reinhart. "Our fundamentals remain strong, active buyers are growing, supply quality is improving, and we're methodically expanding Adjusted EBITDA. Despite strong execution in Q2, we are updating our guidance for the second half of the year to reflect ongoing economic uncertainty affecting the most price-sensitive buyers in our marketplace.”</w:t>
      </w:r>
    </w:p>
    <w:p>
      <w:pPr>
        <w:pStyle w:val="TextBody"/>
        <w:bidi w:val="0"/>
        <w:spacing w:lineRule="auto" w:line="288" w:before="360" w:after="283"/>
        <w:jc w:val="left"/>
        <w:rPr>
          <w:rFonts w:ascii="Helvetica;sans-serif" w:hAnsi="Helvetica;sans-serif"/>
          <w:b/>
          <w:color w:val="000000"/>
          <w:sz w:val="24"/>
        </w:rPr>
      </w:pPr>
      <w:r>
        <w:rPr>
          <w:rFonts w:ascii="Helvetica;sans-serif" w:hAnsi="Helvetica;sans-serif"/>
          <w:b/>
          <w:color w:val="000000"/>
          <w:sz w:val="24"/>
        </w:rPr>
        <w:t>Second Quarter 2026 Financial Highlights</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4"/>
        </w:rPr>
        <w:t>Revenue</w:t>
      </w:r>
      <w:r>
        <w:rPr>
          <w:color w:val="000000"/>
        </w:rPr>
        <w:t xml:space="preserve"> </w:t>
      </w:r>
      <w:r>
        <w:rPr>
          <w:rFonts w:ascii="Helvetica;sans-serif" w:hAnsi="Helvetica;sans-serif"/>
          <w:b w:val="false"/>
          <w:color w:val="000000"/>
          <w:sz w:val="24"/>
        </w:rPr>
        <w:t>totaled $90.8 million, an increase of 17% year-over-year.</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4"/>
        </w:rPr>
        <w:t>Gross Profit and Gross Margin:</w:t>
      </w:r>
      <w:r>
        <w:rPr>
          <w:color w:val="000000"/>
        </w:rPr>
        <w:t xml:space="preserve"> </w:t>
      </w:r>
      <w:r>
        <w:rPr>
          <w:rFonts w:ascii="Helvetica;sans-serif" w:hAnsi="Helvetica;sans-serif"/>
          <w:b w:val="false"/>
          <w:color w:val="000000"/>
          <w:sz w:val="24"/>
        </w:rPr>
        <w:t>Gross profit totaled $72.5 million, an increase of 17% year-over-year. Gross margin was 79.9% as compared to 79.5% in the second quarter last year.</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4"/>
        </w:rPr>
        <w:t>Net loss</w:t>
      </w:r>
      <w:r>
        <w:rPr>
          <w:color w:val="000000"/>
        </w:rPr>
        <w:t xml:space="preserve"> </w:t>
      </w:r>
      <w:r>
        <w:rPr>
          <w:rFonts w:ascii="Helvetica;sans-serif" w:hAnsi="Helvetica;sans-serif"/>
          <w:b w:val="false"/>
          <w:color w:val="000000"/>
          <w:sz w:val="24"/>
        </w:rPr>
        <w:t xml:space="preserve">was $5.9 million, or a negative 6.5% of revenue, for the second quarter 2026, compared to a loss of $5.2 million, or a negative 6.7% of revenue, for the second quarter last year. </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4"/>
        </w:rPr>
        <w:t>Adjusted EBITDA</w:t>
      </w:r>
      <w:r>
        <w:rPr>
          <w:rFonts w:ascii="Helvetica;sans-serif" w:hAnsi="Helvetica;sans-serif"/>
          <w:b/>
          <w:color w:val="000000"/>
          <w:sz w:val="16"/>
        </w:rPr>
        <w:t>1</w:t>
      </w:r>
      <w:r>
        <w:rPr>
          <w:color w:val="000000"/>
        </w:rPr>
        <w:t xml:space="preserve"> </w:t>
      </w:r>
      <w:r>
        <w:rPr>
          <w:rFonts w:ascii="Helvetica;sans-serif" w:hAnsi="Helvetica;sans-serif"/>
          <w:b w:val="false"/>
          <w:color w:val="000000"/>
          <w:sz w:val="24"/>
        </w:rPr>
        <w:t>was $4.8 million, or 5.3% of revenue, for the second quarter 2026, compared to $3.0 million, or 3.9% of revenue, for the second quarter last year.</w:t>
      </w:r>
    </w:p>
    <w:p>
      <w:pPr>
        <w:pStyle w:val="TextBody"/>
        <w:bidi w:val="0"/>
        <w:spacing w:lineRule="auto" w:line="288" w:before="120" w:after="283"/>
        <w:ind w:left="0" w:right="0" w:hanging="360"/>
        <w:jc w:val="both"/>
        <w:rPr/>
      </w:pPr>
      <w:r>
        <w:rPr>
          <w:color w:val="000000"/>
        </w:rPr>
        <w:t>•</w:t>
      </w:r>
      <w:r>
        <w:rPr>
          <w:rFonts w:ascii="Helvetica;sans-serif" w:hAnsi="Helvetica;sans-serif"/>
          <w:b/>
          <w:color w:val="000000"/>
          <w:sz w:val="24"/>
        </w:rPr>
        <w:t>Active Buyers and Orders:</w:t>
      </w:r>
      <w:r>
        <w:rPr>
          <w:color w:val="000000"/>
        </w:rPr>
        <w:t xml:space="preserve"> </w:t>
      </w:r>
      <w:r>
        <w:rPr>
          <w:rFonts w:ascii="Helvetica;sans-serif" w:hAnsi="Helvetica;sans-serif"/>
          <w:b w:val="false"/>
          <w:color w:val="000000"/>
          <w:sz w:val="24"/>
        </w:rPr>
        <w:t>Active Buyers of 1.77 million and Orders of 1.87 million for the second quarter 2026, representing increases of 21% and 22%, respectively, over the second quarter last year.</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6"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2</w:t>
                      </w:r>
                    </w:p>
                  </w:txbxContent>
                </v:textbox>
                <w10:wrap type="none"/>
              </v:rect>
            </w:pict>
          </mc:Fallback>
        </mc:AlternateContent>
      </w:r>
    </w:p>
    <w:p>
      <w:pPr>
        <w:pStyle w:val="TextBody"/>
        <w:bidi w:val="0"/>
        <w:spacing w:lineRule="auto" w:line="288" w:before="360" w:after="283"/>
        <w:jc w:val="both"/>
        <w:rPr/>
      </w:pPr>
      <w:r>
        <w:rPr>
          <w:rFonts w:ascii="Helvetica;sans-serif" w:hAnsi="Helvetica;sans-serif"/>
          <w:b/>
          <w:color w:val="000000"/>
          <w:sz w:val="24"/>
        </w:rPr>
        <w:t>Financial Outlook</w:t>
      </w:r>
      <w:r>
        <w:rPr>
          <w:rFonts w:ascii="Helvetica;sans-serif" w:hAnsi="Helvetica;sans-serif"/>
          <w:b/>
          <w:color w:val="000000"/>
          <w:sz w:val="16"/>
        </w:rPr>
        <w:t>1</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For the third quarter 2026, ThredUp expects: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Revenue in the range of $87.0 million to $89.0 million, +7% year-over-year growth at the midpoint, and a 20.3% two-year average growth rate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Gross margin in the range of 78.0% to 79.0%</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Adjusted EBITDA margin of approximately 4.0%</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For the fourth quarter 2026, ThredUp expects: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Revenue in the range of $85.0 million to $87.0 million, +8% year-over-year growth at the midpoint, and a 13.2% two-year average growth rate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Gross margin in the range of 77.5% to 78.5%</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Adjusted EBITDA margin of approximately 6.0%</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For the full fiscal year 2026, ThredUp expects:</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Revenue in the range of $344.4 million to $348.4 million, +11% year-over-year growth at the midpoint, and a 15.5% two-year average growth rate</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Gross margin in the range of 78.7% to 79.1%</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Adjusted EBITDA margin of approximately 4.7%</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ThredUp is not providing a quantitative reconciliation of forward-looking guidance of the Non-GAAP measure Adjusted EBITDA margin to net loss margin, the most directly comparable financial measures under GAAP because certain items are out of ThredUp’s control or cannot be reasonably predicted. We calculate Adjusted EBITDA as net loss adjusted to exclude, where applicable in a given period, stock-based compensation expense, depreciation and amortization, interest expense, provision for income taxes, severance and other reorganization costs, and gains related to non-marketable equity investment. Adjusted EBITDA margin represents Adjusted EBITDA divided by Revenue for the same period. Accordingly, a reconciliation for Adjusted EBITDA in order to calculate forward-looking Adjusted EBITDA margin is not available without unreasonable effort. However, for the third and fourth quarters of 2026 and full year 2026, Depreciation and amortization is expected to be $3.3 million, $3.3 million and $14.0 million, respectively. In addition, for the third and fourth quarters of 2026 and full year 2026, Stock-based compensation expense is expected to be $5.9 million, $5.9 million and $23.3 million, respectively. These items are uncertain, depend on various factors, and could result in projected net loss being materially greater than is indicated by the currently estimated Adjusted EBITDA margin.</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ThredUp is not providing a quantitative reconciliation for free cash flow estimates on a forward-looking basis because it is unable, without making unreasonable efforts, to provide a meaningful or reasonably accurate calculation or estimation of Net cash provided by operating activities and certain reconciling items on a forward-looking basis, which could be significant to the Company's results.</w:t>
      </w:r>
    </w:p>
    <w:p>
      <w:pPr>
        <w:pStyle w:val="TextBody"/>
        <w:bidi w:val="0"/>
        <w:spacing w:lineRule="auto" w:line="288"/>
        <w:jc w:val="left"/>
        <w:rPr/>
      </w:pPr>
      <w:r>
        <w:rPr>
          <w:rFonts w:ascii="Helvetica;sans-serif" w:hAnsi="Helvetica;sans-serif"/>
          <w:b w:val="false"/>
          <w:color w:val="000000"/>
          <w:sz w:val="16"/>
        </w:rPr>
        <w:t>1</w:t>
      </w:r>
      <w:r>
        <w:rPr>
          <w:color w:val="000000"/>
        </w:rPr>
        <w:t xml:space="preserve"> </w:t>
      </w:r>
      <w:r>
        <w:rPr>
          <w:rFonts w:ascii="Helvetica;sans-serif" w:hAnsi="Helvetica;sans-serif"/>
          <w:b w:val="false"/>
          <w:color w:val="000000"/>
          <w:sz w:val="24"/>
        </w:rPr>
        <w:t>Adjusted EBITDA and Adjusted EBITDA margin are non-GAAP measures. See “Reconciliation of GAAP to Non-GAAP Financial Measures” for a detailed reconciliation of these non-GAAP measures to the most directly comparable GAAP measures and “Non-GAAP Financial Measures and Other Operating and Business Metrics” for a discussion of why we believe these non-GAAP measures are useful.</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3</w:t>
                      </w:r>
                    </w:p>
                  </w:txbxContent>
                </v:textbox>
                <w10:wrap type="none"/>
              </v:rect>
            </w:pict>
          </mc:Fallback>
        </mc:AlternateConten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Conference Call and Webcast Information</w:t>
      </w:r>
    </w:p>
    <w:p>
      <w:pPr>
        <w:pStyle w:val="TextBody"/>
        <w:bidi w:val="0"/>
        <w:spacing w:lineRule="auto" w:line="288" w:before="120" w:after="283"/>
        <w:ind w:left="0" w:right="0" w:hanging="360"/>
        <w:jc w:val="both"/>
        <w:rPr/>
      </w:pPr>
      <w:r>
        <w:rPr>
          <w:color w:val="000000"/>
        </w:rPr>
        <w:t>•</w:t>
      </w:r>
      <w:r>
        <w:rPr>
          <w:rFonts w:ascii="Helvetica;sans-serif" w:hAnsi="Helvetica;sans-serif"/>
          <w:b w:val="false"/>
          <w:color w:val="000000"/>
          <w:sz w:val="24"/>
        </w:rPr>
        <w:t>The live and archived webcast and all related earnings materials will be available at ThredUp’s investor relations website: ir.thredup.com/news-events/events-and-presentations.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8"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4</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ThredUp Inc.</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Condensed Consolidated Balance Sheets</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2824"/>
        <w:gridCol w:w="2196"/>
        <w:gridCol w:w="2132"/>
        <w:gridCol w:w="109"/>
        <w:gridCol w:w="109"/>
        <w:gridCol w:w="109"/>
        <w:gridCol w:w="211"/>
        <w:gridCol w:w="856"/>
        <w:gridCol w:w="109"/>
        <w:gridCol w:w="109"/>
        <w:gridCol w:w="109"/>
        <w:gridCol w:w="109"/>
        <w:gridCol w:w="211"/>
        <w:gridCol w:w="856"/>
        <w:gridCol w:w="156"/>
      </w:tblGrid>
      <w:tr>
        <w:trPr/>
        <w:tc>
          <w:tcPr>
            <w:tcW w:w="2824"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December 31,</w:t>
              <w:br/>
              <w:t>2025</w:t>
            </w:r>
          </w:p>
        </w:tc>
      </w:tr>
      <w:tr>
        <w:trPr/>
        <w:tc>
          <w:tcPr>
            <w:tcW w:w="71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ASSETS</w:t>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9,498 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61,208 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56,676 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67,243 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170,142 </w:t>
            </w:r>
          </w:p>
        </w:tc>
        <w:tc>
          <w:tcPr>
            <w:tcW w:w="109"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167,245 </w:t>
            </w:r>
          </w:p>
        </w:tc>
        <w:tc>
          <w:tcPr>
            <w:tcW w:w="156" w:type="dxa"/>
            <w:tcBorders>
              <w:top w:val="single" w:sz="4"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LIABILITIES AND STOCKHOLDERS’ EQUITY</w:t>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10,329 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24,511 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18,264 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5,401 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3,875 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61,624 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62,380 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28,580 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14,276 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2,816 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109,394 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108,052 </w:t>
            </w:r>
          </w:p>
        </w:tc>
        <w:tc>
          <w:tcPr>
            <w:tcW w:w="15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Class A and B common stock, $0.0001 par value; 1,120,000 shares authorized as of June 30, 2026 and December 31, 2025; 131,296 and 127,027 shares issued and outstanding as of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649,257 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635,253 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(588,482)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(576,075)</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60,748 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59,193 </w:t>
            </w:r>
          </w:p>
        </w:tc>
        <w:tc>
          <w:tcPr>
            <w:tcW w:w="156"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1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167,245 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9"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5</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ThredUp Inc.</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Condensed Consolidated Statements of Operations</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816"/>
        <w:gridCol w:w="1269"/>
        <w:gridCol w:w="1272"/>
        <w:gridCol w:w="109"/>
        <w:gridCol w:w="109"/>
        <w:gridCol w:w="109"/>
        <w:gridCol w:w="211"/>
        <w:gridCol w:w="751"/>
        <w:gridCol w:w="109"/>
        <w:gridCol w:w="109"/>
        <w:gridCol w:w="109"/>
        <w:gridCol w:w="109"/>
        <w:gridCol w:w="211"/>
        <w:gridCol w:w="751"/>
        <w:gridCol w:w="109"/>
        <w:gridCol w:w="109"/>
        <w:gridCol w:w="109"/>
        <w:gridCol w:w="109"/>
        <w:gridCol w:w="211"/>
        <w:gridCol w:w="856"/>
        <w:gridCol w:w="109"/>
        <w:gridCol w:w="109"/>
        <w:gridCol w:w="109"/>
        <w:gridCol w:w="109"/>
        <w:gridCol w:w="211"/>
        <w:gridCol w:w="856"/>
        <w:gridCol w:w="155"/>
      </w:tblGrid>
      <w:tr>
        <w:trPr/>
        <w:tc>
          <w:tcPr>
            <w:tcW w:w="1816" w:type="dxa"/>
            <w:tcBorders/>
            <w:vAlign w:val="center"/>
          </w:tcPr>
          <w:p>
            <w:pPr>
              <w:pStyle w:val="TableContents"/>
              <w:bidi w:val="0"/>
              <w:spacing w:before="0" w:after="283"/>
              <w:jc w:val="left"/>
              <w:rPr>
                <w:sz w:val="4"/>
                <w:szCs w:val="4"/>
              </w:rPr>
            </w:pPr>
            <w:r>
              <w:rPr>
                <w:sz w:val="4"/>
                <w:szCs w:val="4"/>
              </w:rPr>
            </w:r>
          </w:p>
        </w:tc>
        <w:tc>
          <w:tcPr>
            <w:tcW w:w="1269" w:type="dxa"/>
            <w:tcBorders/>
            <w:vAlign w:val="center"/>
          </w:tcPr>
          <w:p>
            <w:pPr>
              <w:pStyle w:val="TableContents"/>
              <w:bidi w:val="0"/>
              <w:spacing w:before="0" w:after="283"/>
              <w:jc w:val="left"/>
              <w:rPr>
                <w:sz w:val="4"/>
                <w:szCs w:val="4"/>
              </w:rPr>
            </w:pPr>
            <w:r>
              <w:rPr>
                <w:sz w:val="4"/>
                <w:szCs w:val="4"/>
              </w:rPr>
            </w:r>
          </w:p>
        </w:tc>
        <w:tc>
          <w:tcPr>
            <w:tcW w:w="12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4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val="false"/>
                <w:i/>
                <w:color w:val="000000"/>
                <w:sz w:val="16"/>
              </w:rPr>
            </w:pPr>
            <w:r>
              <w:rPr>
                <w:rFonts w:ascii="Helvetica;sans-serif" w:hAnsi="Helvetica;sans-serif"/>
                <w:b w:val="false"/>
                <w:i/>
                <w:color w:val="000000"/>
                <w:sz w:val="16"/>
              </w:rPr>
              <w:t>(in thousands, except per share amounts)</w:t>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30,841 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72,524 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137,184 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118,107 </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72,651 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29,349 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30,994 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26,786 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78,637 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66,981 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149,886 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128,786 </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(6,113)</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(5,245)</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(12,702)</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(10,679)</w:t>
            </w:r>
          </w:p>
        </w:tc>
        <w:tc>
          <w:tcPr>
            <w:tcW w:w="155"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(5,908)</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(5,145)</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(12,356)</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(10,303)</w:t>
            </w:r>
          </w:p>
        </w:tc>
        <w:tc>
          <w:tcPr>
            <w:tcW w:w="155"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(0.05)</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(0.04)</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(0.10)</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(0.09)</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Weighted-average shares used to compute loss per share,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129,854 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120,275 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128,779 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118,496 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r>
        <w:trPr/>
        <w:tc>
          <w:tcPr>
            <w:tcW w:w="435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2"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0"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6</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ThredUp Inc.</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Condensed Consolidated Statements of Comprehensive Loss</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(unaudited)</w:t>
      </w:r>
    </w:p>
    <w:tbl>
      <w:tblPr>
        <w:tblW w:w="9821" w:type="dxa"/>
        <w:jc w:val="center"/>
        <w:tblInd w:w="0" w:type="dxa"/>
        <w:tblLayout w:type="fixed"/>
        <w:tblCellMar>
          <w:top w:w="28" w:type="dxa"/>
          <w:left w:w="28" w:type="dxa"/>
          <w:bottom w:w="28" w:type="dxa"/>
          <w:right w:w="28" w:type="dxa"/>
        </w:tblCellMar>
      </w:tblPr>
      <w:tblGrid>
        <w:gridCol w:w="1502"/>
        <w:gridCol w:w="1320"/>
        <w:gridCol w:w="1332"/>
        <w:gridCol w:w="109"/>
        <w:gridCol w:w="109"/>
        <w:gridCol w:w="109"/>
        <w:gridCol w:w="211"/>
        <w:gridCol w:w="706"/>
        <w:gridCol w:w="109"/>
        <w:gridCol w:w="109"/>
        <w:gridCol w:w="109"/>
        <w:gridCol w:w="109"/>
        <w:gridCol w:w="211"/>
        <w:gridCol w:w="706"/>
        <w:gridCol w:w="109"/>
        <w:gridCol w:w="109"/>
        <w:gridCol w:w="109"/>
        <w:gridCol w:w="109"/>
        <w:gridCol w:w="211"/>
        <w:gridCol w:w="811"/>
        <w:gridCol w:w="109"/>
        <w:gridCol w:w="109"/>
        <w:gridCol w:w="109"/>
        <w:gridCol w:w="109"/>
        <w:gridCol w:w="211"/>
        <w:gridCol w:w="811"/>
        <w:gridCol w:w="154"/>
      </w:tblGrid>
      <w:tr>
        <w:trPr/>
        <w:tc>
          <w:tcPr>
            <w:tcW w:w="150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comprehensive loss, net of tax: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Unrealized loss on available-for-sale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(5,956)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(12,450)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(10,396)</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1"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7</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ThredUp Inc.</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Condensed Consolidated Statements of Cash Flows</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(unaudited)</w:t>
      </w:r>
    </w:p>
    <w:tbl>
      <w:tblPr>
        <w:tblW w:w="9845" w:type="dxa"/>
        <w:jc w:val="center"/>
        <w:tblInd w:w="0" w:type="dxa"/>
        <w:tblLayout w:type="fixed"/>
        <w:tblCellMar>
          <w:top w:w="28" w:type="dxa"/>
          <w:left w:w="28" w:type="dxa"/>
          <w:bottom w:w="28" w:type="dxa"/>
          <w:right w:w="28" w:type="dxa"/>
        </w:tblCellMar>
      </w:tblPr>
      <w:tblGrid>
        <w:gridCol w:w="2495"/>
        <w:gridCol w:w="2186"/>
        <w:gridCol w:w="2203"/>
        <w:gridCol w:w="109"/>
        <w:gridCol w:w="109"/>
        <w:gridCol w:w="109"/>
        <w:gridCol w:w="211"/>
        <w:gridCol w:w="811"/>
        <w:gridCol w:w="109"/>
        <w:gridCol w:w="109"/>
        <w:gridCol w:w="109"/>
        <w:gridCol w:w="109"/>
        <w:gridCol w:w="211"/>
        <w:gridCol w:w="811"/>
        <w:gridCol w:w="154"/>
      </w:tblGrid>
      <w:tr>
        <w:trPr/>
        <w:tc>
          <w:tcPr>
            <w:tcW w:w="2495" w:type="dxa"/>
            <w:tcBorders/>
            <w:vAlign w:val="center"/>
          </w:tcPr>
          <w:p>
            <w:pPr>
              <w:pStyle w:val="TableContents"/>
              <w:bidi w:val="0"/>
              <w:spacing w:before="0" w:after="283"/>
              <w:jc w:val="left"/>
              <w:rPr>
                <w:sz w:val="4"/>
                <w:szCs w:val="4"/>
              </w:rPr>
            </w:pPr>
            <w:r>
              <w:rPr>
                <w:sz w:val="4"/>
                <w:szCs w:val="4"/>
              </w:rPr>
            </w:r>
          </w:p>
        </w:tc>
        <w:tc>
          <w:tcPr>
            <w:tcW w:w="2186" w:type="dxa"/>
            <w:tcBorders/>
            <w:vAlign w:val="center"/>
          </w:tcPr>
          <w:p>
            <w:pPr>
              <w:pStyle w:val="TableContents"/>
              <w:bidi w:val="0"/>
              <w:spacing w:before="0" w:after="283"/>
              <w:jc w:val="left"/>
              <w:rPr>
                <w:sz w:val="4"/>
                <w:szCs w:val="4"/>
              </w:rPr>
            </w:pPr>
            <w:r>
              <w:rPr>
                <w:sz w:val="4"/>
                <w:szCs w:val="4"/>
              </w:rPr>
            </w:r>
          </w:p>
        </w:tc>
        <w:tc>
          <w:tcPr>
            <w:tcW w:w="2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68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Adjustments to reconcile net loss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6,335 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Reduction in carrying amount of right-of-use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Changes in operating assets and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and non-current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(2,942)</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1,203 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(3,214)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(2,331)</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9,204 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6,087 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marketable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(9,089)</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 and maturities of marketable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15,154 </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(5,094)</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(7,470)</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971 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flows from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Payments on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(2,000)</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Proceeds from issuance of stock-based awards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14,852 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Payments of withholding taxes on stock-based awards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(10,769)</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financing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1,806 </w:t>
            </w:r>
          </w:p>
        </w:tc>
        <w:tc>
          <w:tcPr>
            <w:tcW w:w="109"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2,083 </w:t>
            </w:r>
          </w:p>
        </w:tc>
        <w:tc>
          <w:tcPr>
            <w:tcW w:w="154"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3,540 </w:t>
            </w:r>
          </w:p>
        </w:tc>
        <w:tc>
          <w:tcPr>
            <w:tcW w:w="109"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9,141 </w:t>
            </w:r>
          </w:p>
        </w:tc>
        <w:tc>
          <w:tcPr>
            <w:tcW w:w="15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r>
      <w:tr>
        <w:trPr/>
        <w:tc>
          <w:tcPr>
            <w:tcW w:w="68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43,577 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40,488 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8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cash equivalents, and restricted cash,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47,117 </w:t>
            </w:r>
          </w:p>
        </w:tc>
        <w:tc>
          <w:tcPr>
            <w:tcW w:w="109"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11"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49,629 </w:t>
            </w:r>
          </w:p>
        </w:tc>
        <w:tc>
          <w:tcPr>
            <w:tcW w:w="154" w:type="dxa"/>
            <w:tcBorders>
              <w:top w:val="single" w:sz="4"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2"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8</w:t>
                      </w:r>
                    </w:p>
                  </w:txbxContent>
                </v:textbox>
                <w10:wrap type="none"/>
              </v:rect>
            </w:pict>
          </mc:Fallback>
        </mc:AlternateConten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ThredUp Inc.</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Reconciliation of GAAP to Non-GAAP Financial Measures</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(unaudited)</w:t>
      </w:r>
    </w:p>
    <w:tbl>
      <w:tblPr>
        <w:tblW w:w="10205" w:type="dxa"/>
        <w:jc w:val="center"/>
        <w:tblInd w:w="0" w:type="dxa"/>
        <w:tblLayout w:type="fixed"/>
        <w:tblCellMar>
          <w:top w:w="28" w:type="dxa"/>
          <w:left w:w="28" w:type="dxa"/>
          <w:bottom w:w="28" w:type="dxa"/>
          <w:right w:w="28" w:type="dxa"/>
        </w:tblCellMar>
      </w:tblPr>
      <w:tblGrid>
        <w:gridCol w:w="1321"/>
        <w:gridCol w:w="1162"/>
        <w:gridCol w:w="1165"/>
        <w:gridCol w:w="109"/>
        <w:gridCol w:w="109"/>
        <w:gridCol w:w="109"/>
        <w:gridCol w:w="211"/>
        <w:gridCol w:w="751"/>
        <w:gridCol w:w="286"/>
        <w:gridCol w:w="109"/>
        <w:gridCol w:w="109"/>
        <w:gridCol w:w="109"/>
        <w:gridCol w:w="211"/>
        <w:gridCol w:w="751"/>
        <w:gridCol w:w="286"/>
        <w:gridCol w:w="109"/>
        <w:gridCol w:w="109"/>
        <w:gridCol w:w="109"/>
        <w:gridCol w:w="211"/>
        <w:gridCol w:w="856"/>
        <w:gridCol w:w="286"/>
        <w:gridCol w:w="109"/>
        <w:gridCol w:w="109"/>
        <w:gridCol w:w="109"/>
        <w:gridCol w:w="211"/>
        <w:gridCol w:w="856"/>
        <w:gridCol w:w="333"/>
      </w:tblGrid>
      <w:tr>
        <w:trPr/>
        <w:tc>
          <w:tcPr>
            <w:tcW w:w="1321"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Adjusted EBITDA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3"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r>
      <w:tr>
        <w:trPr/>
        <w:tc>
          <w:tcPr>
            <w:tcW w:w="36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30" w:type="dxa"/>
            <w:gridSpan w:val="21"/>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(12,407)</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(10,391)</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11,428 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10,020 </w:t>
            </w:r>
          </w:p>
        </w:tc>
        <w:tc>
          <w:tcPr>
            <w:tcW w:w="333"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3,166 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7,407 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6,335 </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683 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1,010 </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88 </w:t>
            </w:r>
          </w:p>
        </w:tc>
        <w:tc>
          <w:tcPr>
            <w:tcW w:w="333"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Severance and other reorganization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3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Gains related to non-marketable equity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c>
          <w:tcPr>
            <w:tcW w:w="3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00"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4,779 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7,524 </w:t>
            </w:r>
          </w:p>
        </w:tc>
        <w:tc>
          <w:tcPr>
            <w:tcW w:w="286"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6,825 </w:t>
            </w:r>
          </w:p>
        </w:tc>
        <w:tc>
          <w:tcPr>
            <w:tcW w:w="333" w:type="dxa"/>
            <w:tcBorders>
              <w:top w:val="single" w:sz="4"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172,438 </w:t>
            </w:r>
          </w:p>
        </w:tc>
        <w:tc>
          <w:tcPr>
            <w:tcW w:w="28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148,948 </w:t>
            </w:r>
          </w:p>
        </w:tc>
        <w:tc>
          <w:tcPr>
            <w:tcW w:w="33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6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Adjusted EBITDA margin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3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bl>
    <w:tbl>
      <w:tblPr>
        <w:tblW w:w="6727" w:type="dxa"/>
        <w:jc w:val="center"/>
        <w:tblInd w:w="0" w:type="dxa"/>
        <w:tblLayout w:type="fixed"/>
        <w:tblCellMar>
          <w:top w:w="28" w:type="dxa"/>
          <w:left w:w="28" w:type="dxa"/>
          <w:bottom w:w="28" w:type="dxa"/>
          <w:right w:w="28" w:type="dxa"/>
        </w:tblCellMar>
      </w:tblPr>
      <w:tblGrid>
        <w:gridCol w:w="1324"/>
        <w:gridCol w:w="1167"/>
        <w:gridCol w:w="1169"/>
        <w:gridCol w:w="109"/>
        <w:gridCol w:w="109"/>
        <w:gridCol w:w="109"/>
        <w:gridCol w:w="211"/>
        <w:gridCol w:w="646"/>
        <w:gridCol w:w="109"/>
        <w:gridCol w:w="109"/>
        <w:gridCol w:w="109"/>
        <w:gridCol w:w="109"/>
        <w:gridCol w:w="211"/>
        <w:gridCol w:w="646"/>
        <w:gridCol w:w="109"/>
        <w:gridCol w:w="109"/>
        <w:gridCol w:w="109"/>
        <w:gridCol w:w="109"/>
        <w:gridCol w:w="154"/>
      </w:tblGrid>
      <w:tr>
        <w:trPr/>
        <w:tc>
          <w:tcPr>
            <w:tcW w:w="1324"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Helvetica;sans-serif" w:hAnsi="Helvetica;sans-serif"/>
                <w:b/>
                <w:color w:val="000000"/>
                <w:sz w:val="20"/>
              </w:rPr>
            </w:pPr>
            <w:r>
              <w:rPr>
                <w:rFonts w:ascii="Helvetica;sans-serif" w:hAnsi="Helvetica;sans-serif"/>
                <w:b/>
                <w:color w:val="000000"/>
                <w:sz w:val="20"/>
              </w:rPr>
              <w:t>Free Cash Flow Reconciliation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Six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2026</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Helvetica;sans-serif" w:hAnsi="Helvetica;sans-serif"/>
                <w:b/>
                <w:color w:val="000000"/>
                <w:sz w:val="16"/>
              </w:rPr>
            </w:pPr>
            <w:r>
              <w:rPr>
                <w:rFonts w:ascii="Helvetica;sans-serif" w:hAnsi="Helvetica;sans-serif"/>
                <w:b/>
                <w:color w:val="000000"/>
                <w:sz w:val="16"/>
              </w:rPr>
              <w:t>June 30,</w:t>
              <w:b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9"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Helvetica;sans-serif" w:hAnsi="Helvetica;sans-serif"/>
                <w:b w:val="false"/>
                <w:i/>
                <w:color w:val="000000"/>
                <w:sz w:val="16"/>
              </w:rPr>
            </w:pPr>
            <w:r>
              <w:rPr>
                <w:rFonts w:ascii="Helvetica;sans-serif" w:hAnsi="Helvetica;sans-serif"/>
                <w:b w:val="false"/>
                <w:i/>
                <w:color w:val="000000"/>
                <w:sz w:val="16"/>
              </w:rPr>
              <w:t>(in thousands)</w:t>
            </w:r>
          </w:p>
        </w:tc>
        <w:tc>
          <w:tcPr>
            <w:tcW w:w="481" w:type="dxa"/>
            <w:gridSpan w:val="4"/>
            <w:tcBorders/>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Non-GAAP free cash flow</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2,426 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3"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9</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4"/>
        </w:rPr>
      </w:pPr>
      <w:r>
        <w:rPr>
          <w:rFonts w:ascii="Helvetica;sans-serif" w:hAnsi="Helvetica;sans-serif"/>
          <w:b/>
          <w:color w:val="000000"/>
          <w:sz w:val="24"/>
        </w:rPr>
        <w:t>Investors</w:t>
      </w:r>
    </w:p>
    <w:p>
      <w:pPr>
        <w:pStyle w:val="TextBody"/>
        <w:bidi w:val="0"/>
        <w:spacing w:lineRule="auto" w:line="288" w:before="0" w:after="0"/>
        <w:jc w:val="both"/>
        <w:rPr>
          <w:rFonts w:ascii="Helvetica;sans-serif" w:hAnsi="Helvetica;sans-serif"/>
          <w:b w:val="false"/>
          <w:color w:val="000000"/>
          <w:sz w:val="24"/>
        </w:rPr>
      </w:pPr>
      <w:r>
        <w:rPr>
          <w:rFonts w:ascii="Helvetica;sans-serif" w:hAnsi="Helvetica;sans-serif"/>
          <w:b w:val="false"/>
          <w:color w:val="000000"/>
          <w:sz w:val="24"/>
        </w:rPr>
        <w:t>ir@thredup.com</w:t>
      </w:r>
    </w:p>
    <w:p>
      <w:pPr>
        <w:pStyle w:val="TextBody"/>
        <w:bidi w:val="0"/>
        <w:spacing w:lineRule="auto" w:line="288" w:before="120" w:after="283"/>
        <w:jc w:val="both"/>
        <w:rPr>
          <w:rFonts w:ascii="Helvetica;sans-serif" w:hAnsi="Helvetica;sans-serif"/>
          <w:b/>
          <w:color w:val="000000"/>
          <w:sz w:val="24"/>
        </w:rPr>
      </w:pPr>
      <w:r>
        <w:rPr>
          <w:rFonts w:ascii="Helvetica;sans-serif" w:hAnsi="Helvetica;sans-serif"/>
          <w:b/>
          <w:color w:val="000000"/>
          <w:sz w:val="24"/>
        </w:rPr>
        <w:t>Media</w:t>
      </w:r>
    </w:p>
    <w:p>
      <w:pPr>
        <w:pStyle w:val="TextBody"/>
        <w:bidi w:val="0"/>
        <w:spacing w:lineRule="auto" w:line="288" w:before="0" w:after="0"/>
        <w:jc w:val="both"/>
        <w:rPr>
          <w:rFonts w:ascii="Helvetica;sans-serif" w:hAnsi="Helvetica;sans-serif"/>
          <w:b w:val="false"/>
          <w:color w:val="000000"/>
          <w:sz w:val="24"/>
        </w:rPr>
      </w:pPr>
      <w:r>
        <w:rPr>
          <w:rFonts w:ascii="Helvetica;sans-serif" w:hAnsi="Helvetica;sans-serif"/>
          <w:b w:val="false"/>
          <w:color w:val="000000"/>
          <w:sz w:val="24"/>
        </w:rPr>
        <w:t>media@thredup.com</w: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About ThredUp</w:t>
      </w:r>
    </w:p>
    <w:p>
      <w:pPr>
        <w:pStyle w:val="TextBody"/>
        <w:bidi w:val="0"/>
        <w:spacing w:lineRule="auto" w:line="288" w:before="120" w:after="283"/>
        <w:jc w:val="both"/>
        <w:rPr>
          <w:rFonts w:ascii="Helvetica;sans-serif" w:hAnsi="Helvetica;sans-serif"/>
          <w:b w:val="false"/>
          <w:color w:val="000000"/>
          <w:sz w:val="24"/>
        </w:rPr>
      </w:pPr>
      <w:r>
        <w:rPr>
          <w:rFonts w:ascii="Helvetica;sans-serif" w:hAnsi="Helvetica;sans-serif"/>
          <w:b w:val="false"/>
          <w:color w:val="000000"/>
          <w:sz w:val="24"/>
        </w:rPr>
        <w:t>ThredUp is transforming resale with technology and a mission to inspire the world to think secondhand first. By making it easy to buy and sell secondhand, ThredUp has become one of the world's largest online resale platforms for apparel, shoes and accessories. Sellers enjoy ThredUp because we make it easy to clean out their closets and unlock value for themselves or for the charity of their choice while doing good for the planet. Buyers enjoy shopping value, premium and luxury brands all in one place, at up to 90% off estimated retail price. Our proprietary operating platform is the foundation for our managed marketplace and consists of distributed processing infrastructure, proprietary software and systems and data science expertise. With ThredUp’s Resale-as-a-Service, some of the world's leading brands and retailers are leveraging our platform to deliver customizable, scalable resale experiences to their customers. ThredUp has processed over 200 million unique secondhand items from 60,000 brands across 100 categories. By extending the life cycle of clothing, ThredUp is changing the way consumers shop and ushering in a more sustainable future for the fashion industry.</w: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Forward-Looking Statements</w:t>
      </w:r>
    </w:p>
    <w:p>
      <w:pPr>
        <w:pStyle w:val="TextBody"/>
        <w:bidi w:val="0"/>
        <w:spacing w:lineRule="auto" w:line="288" w:before="120" w:after="283"/>
        <w:jc w:val="both"/>
        <w:rPr/>
      </w:pPr>
      <w:r>
        <w:rPr>
          <w:rFonts w:ascii="Helvetica;sans-serif" w:hAnsi="Helvetica;sans-serif"/>
          <w:b w:val="false"/>
          <w:color w:val="000000"/>
          <w:sz w:val="24"/>
        </w:rPr>
        <w:t>This press release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“looking ahead”, “looking forward,” “seeking” or “continue” or the negative of these words or other similar terms or expressions that concern our expectations, strategy, plans or intentions. Forward-looking statements in this release include, but are not limited to, guidance on financial results for the third and fourth quarters and full year of 2026; statements about future free cash flow, operating results, capital expenditures and other developments in our business and our long term growth; trends, consumer demand and growth in the online resale markets; the momentum of our business; our investments in technology and infrastructure, including with respect to AI technologies; the impact of tariffs and other changes to global trade on our business; the success and expansion of our RaaS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4"/>
        </w:rPr>
        <w:t>model and the timing and plans for future RaaS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4"/>
        </w:rPr>
        <w:t>clients; the implementation and success of direct selling and premium listings on ThredUp; our ability to attract new Active Buyers, including our efforts to make resale more engaging and accessible to a wider audience through innovative shopping experiences, such as the launch of our rebrand; and legal and regulatory developments.</w:t>
      </w:r>
    </w:p>
    <w:p>
      <w:pPr>
        <w:pStyle w:val="TextBody"/>
        <w:bidi w:val="0"/>
        <w:spacing w:before="0" w:after="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4"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10</w:t>
                      </w:r>
                    </w:p>
                  </w:txbxContent>
                </v:textbox>
                <w10:wrap type="none"/>
              </v:rect>
            </w:pict>
          </mc:Fallback>
        </mc:AlternateConten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Forward-looking statements are neither historical facts nor assurances of future performance. Forward-looking statements involve substantial risks and uncertainties that may cause actual results to differ materially from those that we expect. These risks and uncertainties include, but are not limited to: our ability to attract new users and convert users into buyers, Active Buyers, and sellers; our ability to achieve and maintain profitability; the sufficiency of our cash, cash equivalents and capital resources to meet our liquidity needs; our ability to effectively manage or sustain our growth and to effectively expand our operations; risks from an intensely competitive market; our ability to effectively deploy new and evolving technologies, such as artificial intelligence and machine learning, in our offerings; risks arising from economic and industry trends, including tariffs, inflationary pressures, interest rate volatility, changing consumer habits, climate change and general global economic uncertainty; our ability to comply with applicable laws and regulations; and our ability to successfully integrate and realize the benefits of our past or future strategic acquisitions or investments. More information on these risks and other potential factors that could affect the Company’s business, reputation, results of operations, financial condition, and stock price is included in the Company’s filings with the Securities and Exchange Commission (“SEC”), including in the “Risk Factors” and “Management’s Discussion and Analysis of Financial Condition and Results of Operations” sections of the Company’s most recently filed periodic reports on Form 10-K and Form 10-Q and subsequent filings. The forward-looking statements in this release are based on information available to us as of the date hereof, and we disclaim any obligation to update any forward-looking statements, except as required by law. These forward-looking statements should not be relied upon as representing ThredUp’s views as of any date subsequent to the date of this press release.</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Additional information regarding these and other factors that could affect ThredUp's results is included in ThredUp’s SEC filings, which may be obtained by visiting our Investor Relations website at ir.thredup.com or the SEC's website at www.sec.gov.</w: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Channels for Disclosure of Information</w:t>
      </w:r>
    </w:p>
    <w:p>
      <w:pPr>
        <w:pStyle w:val="TextBody"/>
        <w:bidi w:val="0"/>
        <w:spacing w:lineRule="auto" w:line="288" w:before="120" w:after="283"/>
        <w:jc w:val="both"/>
        <w:rPr>
          <w:rFonts w:ascii="Helvetica;sans-serif" w:hAnsi="Helvetica;sans-serif"/>
          <w:b w:val="false"/>
          <w:color w:val="000000"/>
          <w:sz w:val="24"/>
        </w:rPr>
      </w:pPr>
      <w:r>
        <w:rPr>
          <w:rFonts w:ascii="Helvetica;sans-serif" w:hAnsi="Helvetica;sans-serif"/>
          <w:b w:val="false"/>
          <w:color w:val="000000"/>
          <w:sz w:val="24"/>
        </w:rPr>
        <w:t xml:space="preserve">ThredUp intends to announce material information to the public through the ThredUp Investor Relations website ir.thredup.com, SEC filings, press releases, public conference calls, and public webcasts. ThredUp uses these channels, as well as social media, to communicate with its investors, customers, and the public about the company, its offerings, and other issues. It is possible that the information ThredUp posts on social media could be deemed to be material information. As such, ThredUp encourages investors, the media, and others to follow the channels listed above, including the social media channels listed on ThredUp’s investor relations website, and to review the information disclosed through such channels. </w: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Non-GAAP Financial Measures and Other Operating and Business Metrics</w:t>
      </w: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75260"/>
                <wp:effectExtent l="0" t="0" r="0" b="0"/>
                <wp:wrapNone/>
                <wp:docPr id="15"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11</w:t>
                      </w:r>
                    </w:p>
                  </w:txbxContent>
                </v:textbox>
                <w10:wrap type="none"/>
              </v:rect>
            </w:pict>
          </mc:Fallback>
        </mc:AlternateContent>
      </w:r>
    </w:p>
    <w:p>
      <w:pPr>
        <w:pStyle w:val="TextBody"/>
        <w:bidi w:val="0"/>
        <w:spacing w:lineRule="auto" w:line="288" w:before="120" w:after="283"/>
        <w:jc w:val="both"/>
        <w:rPr>
          <w:rFonts w:ascii="Helvetica;sans-serif" w:hAnsi="Helvetica;sans-serif"/>
          <w:b w:val="false"/>
          <w:color w:val="000000"/>
          <w:sz w:val="24"/>
        </w:rPr>
      </w:pPr>
      <w:r>
        <w:rPr>
          <w:rFonts w:ascii="Helvetica;sans-serif" w:hAnsi="Helvetica;sans-serif"/>
          <w:b w:val="false"/>
          <w:color w:val="000000"/>
          <w:sz w:val="24"/>
        </w:rPr>
        <w:t>This press release and the accompanying tables contain non-GAAP financial measures, including: Adjusted EBITDA, Adjusted EBITDA margin, free cash flow, and other operating and business metrics. In addition to our results determined in accordance with GAAP, we believe that these non-GAAP financial measures and other operating and business metrics, are useful in evaluating our operating performance and enhancing an overall understanding of our financial position. We use these measures and metrics to evaluate and assess our operating performance, and for internal planning and forecasting purposes. We believe that these non-GAAP financial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 Our non-GAAP financial measures and other operating and business metrics are presented for supplemental informational purposes only, should not be considered a substitute for financial information presented in accordance with GAAP and may be different from similarly-titled non-GAAP financial measures and other operating and business metrics used by other companies.</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We encourage investors to review our results determined in accordance with GAAP and the accompanying reconciliations for more information.</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A reconciliation is provided above for Non-GAAP Adjusted EBITDA to Net loss, the most directly comparable financial measure stated in accordance with GAAP. We calculate Non-GAAP Adjusted EBITDA as Net loss adjusted to exclude, where applicable in a given period, stock-based compensation expense, depreciation and amortization, interest expense, provision for income taxes, severance and other reorganization costs, and gains related to non-marketable equity investment. Non-GAAP Adjusted EBITDA margin represents Non-GAAP Adjusted EBITDA divided by Revenue for the same period.</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 xml:space="preserve">A reconciliation is provided above for Non-GAAP free cash flow to Net cash provided by operating activities, the most directly comparable financial measure stated in accordance with GAAP. We calculate Non-GAAP free cash flow as Net cash provided by operating activities reduced by Purchases of property and equipment. </w:t>
      </w:r>
    </w:p>
    <w:p>
      <w:pPr>
        <w:pStyle w:val="TextBody"/>
        <w:bidi w:val="0"/>
        <w:spacing w:lineRule="auto" w:line="288" w:before="240" w:after="283"/>
        <w:jc w:val="both"/>
        <w:rPr/>
      </w:pPr>
      <w:r>
        <w:rPr>
          <w:rFonts w:ascii="Helvetica;sans-serif" w:hAnsi="Helvetica;sans-serif"/>
          <w:b w:val="false"/>
          <w:color w:val="000000"/>
          <w:sz w:val="24"/>
        </w:rPr>
        <w:t>An Active Buyer is a ThredUp buyer who has made at least one purchase in the last twelve months. A ThredUp buyer is a customer who has created an account and purchased in our marketplaces, including through our RaaS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4"/>
        </w:rPr>
        <w:t>clients, and is identified by a unique email address. A single person could have multiple ThredUp accounts and count as multiple Active Buyers.</w:t>
      </w:r>
    </w:p>
    <w:p>
      <w:pPr>
        <w:pStyle w:val="TextBody"/>
        <w:bidi w:val="0"/>
        <w:spacing w:lineRule="auto" w:line="288" w:before="240" w:after="283"/>
        <w:jc w:val="both"/>
        <w:rPr/>
      </w:pPr>
      <w:r>
        <w:rPr>
          <w:rFonts w:ascii="Helvetica;sans-serif" w:hAnsi="Helvetica;sans-serif"/>
          <w:b w:val="false"/>
          <w:color w:val="000000"/>
          <w:sz w:val="24"/>
        </w:rPr>
        <w:t>Orders are defined as the total number of orders placed by buyers across our marketplaces, including through our RaaS</w:t>
      </w:r>
      <w:r>
        <w:rPr>
          <w:rFonts w:ascii="Helvetica;sans-serif" w:hAnsi="Helvetica;sans-serif"/>
          <w:b w:val="false"/>
          <w:color w:val="000000"/>
          <w:sz w:val="13"/>
        </w:rPr>
        <w:t>®</w:t>
      </w:r>
      <w:r>
        <w:rPr>
          <w:color w:val="000000"/>
        </w:rPr>
        <w:t xml:space="preserve"> </w:t>
      </w:r>
      <w:r>
        <w:rPr>
          <w:rFonts w:ascii="Helvetica;sans-serif" w:hAnsi="Helvetica;sans-serif"/>
          <w:b w:val="false"/>
          <w:color w:val="000000"/>
          <w:sz w:val="24"/>
        </w:rPr>
        <w:t>clients, in a given period, net of cancellations.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75260"/>
                <wp:effectExtent l="0" t="0" r="0" b="0"/>
                <wp:wrapNone/>
                <wp:docPr id="16"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12</w:t>
                      </w:r>
                    </w:p>
                  </w:txbxContent>
                </v:textbox>
                <w10:wrap type="none"/>
              </v:rect>
            </w:pict>
          </mc:Fallback>
        </mc:AlternateContent>
      </w:r>
    </w:p>
    <w:p>
      <w:pPr>
        <w:pStyle w:val="TextBody"/>
        <w:bidi w:val="0"/>
        <w:spacing w:lineRule="auto" w:line="288" w:before="0" w:after="0"/>
        <w:jc w:val="right"/>
        <w:rPr>
          <w:rFonts w:ascii="Helvetica;sans-serif" w:hAnsi="Helvetica;sans-serif"/>
          <w:b/>
          <w:color w:val="000000"/>
          <w:sz w:val="24"/>
        </w:rPr>
      </w:pPr>
      <w:r>
        <w:rPr>
          <w:rFonts w:ascii="Helvetica;sans-serif" w:hAnsi="Helvetica;sans-serif"/>
          <w:b/>
          <w:color w:val="000000"/>
          <w:sz w:val="24"/>
        </w:rPr>
        <w:t>Exhibit 99.2</w:t>
      </w:r>
    </w:p>
    <w:p>
      <w:pPr>
        <w:pStyle w:val="TextBody"/>
        <w:bidi w:val="0"/>
        <w:spacing w:before="0" w:after="0"/>
        <w:jc w:val="center"/>
        <w:rPr/>
      </w:pPr>
      <w:r>
        <w:rPr/>
        <w:drawing>
          <wp:inline distT="0" distB="0" distL="0" distR="0">
            <wp:extent cx="3238500" cy="800100"/>
            <wp:effectExtent l="0" t="0" r="0" b="0"/>
            <wp:docPr id="1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3" descr=""/>
                    <pic:cNvPicPr>
                      <a:picLocks noChangeAspect="1" noChangeArrowheads="1"/>
                    </pic:cNvPicPr>
                  </pic:nvPicPr>
                  <pic:blipFill>
                    <a:blip r:embed="rId4"/>
                    <a:stretch>
                      <a:fillRect/>
                    </a:stretch>
                  </pic:blipFill>
                  <pic:spPr bwMode="auto">
                    <a:xfrm>
                      <a:off x="0" y="0"/>
                      <a:ext cx="3238500" cy="800100"/>
                    </a:xfrm>
                    <a:prstGeom prst="rect">
                      <a:avLst/>
                    </a:prstGeom>
                  </pic:spPr>
                </pic:pic>
              </a:graphicData>
            </a:graphic>
          </wp:inline>
        </w:drawing>
      </w:r>
    </w:p>
    <w:p>
      <w:pPr>
        <w:pStyle w:val="TextBody"/>
        <w:bidi w:val="0"/>
        <w:spacing w:lineRule="auto" w:line="288" w:before="120" w:after="283"/>
        <w:jc w:val="center"/>
        <w:rPr>
          <w:rFonts w:ascii="Helvetica;sans-serif" w:hAnsi="Helvetica;sans-serif"/>
          <w:b/>
          <w:color w:val="000000"/>
          <w:sz w:val="24"/>
        </w:rPr>
      </w:pPr>
      <w:r>
        <w:rPr>
          <w:rFonts w:ascii="Helvetica;sans-serif" w:hAnsi="Helvetica;sans-serif"/>
          <w:b/>
          <w:color w:val="000000"/>
          <w:sz w:val="24"/>
        </w:rPr>
        <w:t>ThredUp Inc.</w:t>
      </w:r>
    </w:p>
    <w:p>
      <w:pPr>
        <w:pStyle w:val="TextBody"/>
        <w:bidi w:val="0"/>
        <w:spacing w:lineRule="auto" w:line="288" w:before="0" w:after="0"/>
        <w:jc w:val="center"/>
        <w:rPr>
          <w:rFonts w:ascii="Helvetica;sans-serif" w:hAnsi="Helvetica;sans-serif"/>
          <w:b/>
          <w:color w:val="000000"/>
          <w:sz w:val="24"/>
        </w:rPr>
      </w:pPr>
      <w:r>
        <w:rPr>
          <w:rFonts w:ascii="Helvetica;sans-serif" w:hAnsi="Helvetica;sans-serif"/>
          <w:b/>
          <w:color w:val="000000"/>
          <w:sz w:val="24"/>
        </w:rPr>
        <w:t>Second Quarter 2026 Supplemental Financials</w:t>
      </w:r>
    </w:p>
    <w:p>
      <w:pPr>
        <w:pStyle w:val="TextBody"/>
        <w:bidi w:val="0"/>
        <w:spacing w:lineRule="auto" w:line="288" w:before="120" w:after="283"/>
        <w:jc w:val="center"/>
        <w:rPr>
          <w:rFonts w:ascii="Helvetica;sans-serif" w:hAnsi="Helvetica;sans-serif"/>
          <w:b w:val="false"/>
          <w:i/>
          <w:color w:val="000000"/>
          <w:sz w:val="20"/>
        </w:rPr>
      </w:pPr>
      <w:r>
        <w:rPr>
          <w:rFonts w:ascii="Helvetica;sans-serif" w:hAnsi="Helvetica;sans-serif"/>
          <w:b w:val="false"/>
          <w:i/>
          <w:color w:val="000000"/>
          <w:sz w:val="20"/>
        </w:rPr>
        <w:t>All results reported are for continuing operations, unless otherwise noted.</w:t>
      </w:r>
    </w:p>
    <w:p>
      <w:pPr>
        <w:pStyle w:val="TextBody"/>
        <w:bidi w:val="0"/>
        <w:spacing w:lineRule="auto" w:line="288" w:before="240" w:after="283"/>
        <w:jc w:val="left"/>
        <w:rPr>
          <w:rFonts w:ascii="Helvetica;sans-serif" w:hAnsi="Helvetica;sans-serif"/>
          <w:b/>
          <w:color w:val="000000"/>
          <w:sz w:val="20"/>
        </w:rPr>
      </w:pPr>
      <w:r>
        <w:rPr>
          <w:rFonts w:ascii="Helvetica;sans-serif" w:hAnsi="Helvetica;sans-serif"/>
          <w:b/>
          <w:color w:val="000000"/>
          <w:sz w:val="20"/>
        </w:rPr>
        <w:t>Key Financial Metrics for the Quarter</w:t>
      </w:r>
    </w:p>
    <w:p>
      <w:pPr>
        <w:pStyle w:val="TextBody"/>
        <w:bidi w:val="0"/>
        <w:spacing w:lineRule="auto" w:line="288" w:before="120" w:after="283"/>
        <w:ind w:left="0" w:right="0" w:hanging="360"/>
        <w:jc w:val="left"/>
        <w:rPr/>
      </w:pPr>
      <w:r>
        <w:rPr>
          <w:color w:val="000000"/>
        </w:rPr>
        <w:t>•</w:t>
      </w:r>
      <w:r>
        <w:rPr>
          <w:rFonts w:ascii="Helvetica;sans-serif" w:hAnsi="Helvetica;sans-serif"/>
          <w:b w:val="false"/>
          <w:color w:val="000000"/>
          <w:sz w:val="20"/>
        </w:rPr>
        <w:t>Revenue of $90.8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$77.7 million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an increase of 17% YoY</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Gross profit of $72.5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$61.7 million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an increase of 17% YoY</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Gross margin of 79.9%</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79.5%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Net loss of $5.9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loss of $5.2 million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Adjusted EBITDA of $4.8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$3.0 million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Adjusted EBITDA margin of 5.3%</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3.9%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Cash, cash equivalents, restricted cash and short-term marketable securities were $57.4 million at the quarter end</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Total quarter Active Buyers of 1,771 thousand</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1,465 thousand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an increase of 21% YoY</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Orders of 1,871 thousand</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vs. 1,535 thousand in 2Q25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an increase of 22% YoY</w:t>
      </w:r>
    </w:p>
    <w:p>
      <w:pPr>
        <w:pStyle w:val="TextBody"/>
        <w:bidi w:val="0"/>
        <w:spacing w:lineRule="auto" w:line="288" w:before="240" w:after="283"/>
        <w:jc w:val="left"/>
        <w:rPr>
          <w:rFonts w:ascii="Helvetica;sans-serif" w:hAnsi="Helvetica;sans-serif"/>
          <w:b/>
          <w:color w:val="000000"/>
          <w:sz w:val="20"/>
        </w:rPr>
      </w:pPr>
      <w:r>
        <w:rPr>
          <w:rFonts w:ascii="Helvetica;sans-serif" w:hAnsi="Helvetica;sans-serif"/>
          <w:b/>
          <w:color w:val="000000"/>
          <w:sz w:val="20"/>
        </w:rPr>
        <w:t>Financial Outlook</w:t>
      </w:r>
    </w:p>
    <w:p>
      <w:pPr>
        <w:pStyle w:val="TextBody"/>
        <w:bidi w:val="0"/>
        <w:spacing w:lineRule="auto" w:line="288" w:before="120" w:after="283"/>
        <w:jc w:val="left"/>
        <w:rPr>
          <w:rFonts w:ascii="Helvetica;sans-serif" w:hAnsi="Helvetica;sans-serif"/>
          <w:b w:val="false"/>
          <w:color w:val="000000"/>
          <w:sz w:val="20"/>
        </w:rPr>
      </w:pPr>
      <w:r>
        <w:rPr>
          <w:rFonts w:ascii="Helvetica;sans-serif" w:hAnsi="Helvetica;sans-serif"/>
          <w:b w:val="false"/>
          <w:color w:val="000000"/>
          <w:sz w:val="20"/>
        </w:rPr>
        <w:t>For third quarter 2026, ThredUp expects:</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Revenue in the range of $87.0 million to $89.0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Gross margin in the range of 78.0% to 79.0%</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Adjusted EBITDA margin of approximately 4.0%</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Depreciation and amortization of approximately $3.3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Stock-based compensation of approximately $5.9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Weighted-average shares of approximately 132 million</w:t>
      </w:r>
    </w:p>
    <w:p>
      <w:pPr>
        <w:pStyle w:val="TextBody"/>
        <w:bidi w:val="0"/>
        <w:spacing w:lineRule="auto" w:line="288" w:before="120" w:after="283"/>
        <w:jc w:val="left"/>
        <w:rPr>
          <w:rFonts w:ascii="Helvetica;sans-serif" w:hAnsi="Helvetica;sans-serif"/>
          <w:b w:val="false"/>
          <w:color w:val="000000"/>
          <w:sz w:val="20"/>
        </w:rPr>
      </w:pPr>
      <w:r>
        <w:rPr>
          <w:rFonts w:ascii="Helvetica;sans-serif" w:hAnsi="Helvetica;sans-serif"/>
          <w:b w:val="false"/>
          <w:color w:val="000000"/>
          <w:sz w:val="20"/>
        </w:rPr>
        <w:t>For fourth quarter 2026, ThredUp expects:</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Revenue in the range of $85.0 million to $87.0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Gross margin in the range of 77.5% to 78.5%</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Adjusted EBITDA margin of approximately 6.0%</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Depreciation and amortization of approximately $3.3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Stock-based compensation of approximately $5.9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Weighted-average shares of approximately 133 million</w:t>
      </w:r>
    </w:p>
    <w:p>
      <w:pPr>
        <w:pStyle w:val="TextBody"/>
        <w:bidi w:val="0"/>
        <w:spacing w:lineRule="auto" w:line="288" w:before="120" w:after="283"/>
        <w:jc w:val="left"/>
        <w:rPr>
          <w:rFonts w:ascii="Helvetica;sans-serif" w:hAnsi="Helvetica;sans-serif"/>
          <w:b w:val="false"/>
          <w:color w:val="000000"/>
          <w:sz w:val="20"/>
        </w:rPr>
      </w:pPr>
      <w:r>
        <w:rPr>
          <w:rFonts w:ascii="Helvetica;sans-serif" w:hAnsi="Helvetica;sans-serif"/>
          <w:b w:val="false"/>
          <w:color w:val="000000"/>
          <w:sz w:val="20"/>
        </w:rPr>
        <w:t>For fiscal year 2026, ThredUp expects:</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Revenue in the range $344.4 million to $348.4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Gross margin in the range of 78.7% to 79.1%</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Adjusted EBITDA margin of approximately 4.7%</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Depreciation and amortization of approximately $14.0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Stock-based compensation of approximately $23.3 million</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Weighted-average shares of approximately 131 million</w:t>
      </w:r>
    </w:p>
    <w:p>
      <w:pPr>
        <w:pStyle w:val="TextBody"/>
        <w:bidi w:val="0"/>
        <w:spacing w:lineRule="auto" w:line="288" w:before="240" w:after="283"/>
        <w:jc w:val="left"/>
        <w:rPr>
          <w:rFonts w:ascii="Helvetica;sans-serif" w:hAnsi="Helvetica;sans-serif"/>
          <w:b/>
          <w:color w:val="000000"/>
          <w:sz w:val="20"/>
        </w:rPr>
      </w:pPr>
      <w:r>
        <w:rPr>
          <w:rFonts w:ascii="Helvetica;sans-serif" w:hAnsi="Helvetica;sans-serif"/>
          <w:b/>
          <w:color w:val="000000"/>
          <w:sz w:val="20"/>
        </w:rPr>
        <w:t>Conference Call and Webcast</w:t>
      </w:r>
    </w:p>
    <w:p>
      <w:pPr>
        <w:pStyle w:val="TextBody"/>
        <w:bidi w:val="0"/>
        <w:spacing w:lineRule="auto" w:line="288" w:before="40" w:after="283"/>
        <w:ind w:left="0" w:right="0" w:hanging="360"/>
        <w:jc w:val="left"/>
        <w:rPr/>
      </w:pPr>
      <w:r>
        <w:rPr>
          <w:color w:val="000000"/>
        </w:rPr>
        <w:t>•</w:t>
      </w:r>
      <w:r>
        <w:rPr>
          <w:rFonts w:ascii="Helvetica;sans-serif" w:hAnsi="Helvetica;sans-serif"/>
          <w:b w:val="false"/>
          <w:color w:val="000000"/>
          <w:sz w:val="20"/>
        </w:rPr>
        <w:t>The live and archived webcast and all related earnings materials will be available at ThredUp’s investor relations website: ir.thredup.com/news-events/events-and-presentations.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75260"/>
                <wp:effectExtent l="0" t="0" r="0" b="0"/>
                <wp:wrapNone/>
                <wp:docPr id="18"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w:t>
                      </w:r>
                    </w:p>
                  </w:txbxContent>
                </v:textbox>
                <w10:wrap type="none"/>
              </v:rect>
            </w:pict>
          </mc:Fallback>
        </mc:AlternateContent>
      </w:r>
    </w:p>
    <w:tbl>
      <w:tblPr>
        <w:tblW w:w="13981" w:type="dxa"/>
        <w:jc w:val="center"/>
        <w:tblInd w:w="0" w:type="dxa"/>
        <w:tblLayout w:type="fixed"/>
        <w:tblCellMar>
          <w:top w:w="28" w:type="dxa"/>
          <w:left w:w="28" w:type="dxa"/>
          <w:bottom w:w="28" w:type="dxa"/>
          <w:right w:w="28" w:type="dxa"/>
        </w:tblCellMar>
      </w:tblPr>
      <w:tblGrid>
        <w:gridCol w:w="819"/>
        <w:gridCol w:w="258"/>
        <w:gridCol w:w="259"/>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8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981" w:type="dxa"/>
            <w:gridSpan w:val="51"/>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r>
      <w:tr>
        <w:trPr/>
        <w:tc>
          <w:tcPr>
            <w:tcW w:w="13981" w:type="dxa"/>
            <w:gridSpan w:val="51"/>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Condensed Consolidated Statements of Operations</w:t>
            </w:r>
          </w:p>
        </w:tc>
      </w:tr>
      <w:tr>
        <w:trPr/>
        <w:tc>
          <w:tcPr>
            <w:tcW w:w="13981" w:type="dxa"/>
            <w:gridSpan w:val="51"/>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except percentages, unaudited)</w:t>
            </w:r>
          </w:p>
        </w:tc>
      </w:tr>
      <w:tr>
        <w:trPr/>
        <w:tc>
          <w:tcPr>
            <w:tcW w:w="1336"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shd w:fill="DAEFC6" w:val="clear"/>
              </w:rPr>
            </w:pPr>
            <w:r>
              <w:rPr>
                <w:rFonts w:ascii="Helvetica;sans-serif" w:hAnsi="Helvetica;sans-serif"/>
                <w:b/>
                <w:color w:val="000000"/>
                <w:sz w:val="20"/>
                <w:shd w:fill="DAEFC6" w:val="clear"/>
              </w:rPr>
              <w:t>Three Months Ended</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61,514 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67,267 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71,291 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77,657 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82,161 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79,704 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81,671 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90,767 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Cost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12,760 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15,921 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16,949 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16,270 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18,243 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Gross profit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48,754 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54,100 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56,371 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61,736 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65,212 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63,434 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64,660 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72,524 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Gross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79.1 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79.4 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79.6 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79.9 </w:t>
            </w:r>
          </w:p>
        </w:tc>
        <w:tc>
          <w:tcPr>
            <w:tcW w:w="331" w:type="dxa"/>
            <w:tcBorders>
              <w:right w:val="single" w:sz="8" w:space="0" w:color="000000"/>
            </w:tcBorders>
            <w:tcMar>
              <w:top w:w="0" w:type="dxa"/>
              <w:left w:w="0" w:type="dxa"/>
              <w:bottom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36,814 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38,545 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41,663 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41,075 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45,115 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17,761 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13,010 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15,761 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59,218 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62,255 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61,805 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66,981 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69,600 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70,113 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78,637 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Operating expenses as a %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96.3 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92.5 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86.3 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84.7 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88.0 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87.2 </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86.6 </w:t>
            </w:r>
          </w:p>
        </w:tc>
        <w:tc>
          <w:tcPr>
            <w:tcW w:w="331" w:type="dxa"/>
            <w:tcBorders>
              <w:right w:val="single" w:sz="8" w:space="0" w:color="000000"/>
            </w:tcBorders>
            <w:tcMar>
              <w:top w:w="0" w:type="dxa"/>
              <w:left w:w="0" w:type="dxa"/>
              <w:bottom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(10,464)</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(8,155)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(5,434)</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(5,245)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(4,388)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(6,679)</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(6,589)</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(6,113)</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loss % of revenue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(6.8)</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(8.4)</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(8.1)</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c>
          <w:tcPr>
            <w:tcW w:w="331" w:type="dxa"/>
            <w:tcBorders>
              <w:right w:val="single" w:sz="8" w:space="0" w:color="000000"/>
            </w:tcBorders>
            <w:tcMar>
              <w:top w:w="0" w:type="dxa"/>
              <w:left w:w="0" w:type="dxa"/>
              <w:bottom w:w="0" w:type="dxa"/>
            </w:tcMar>
            <w:vAlign w:val="center"/>
          </w:tcPr>
          <w:p>
            <w:pPr>
              <w:pStyle w:val="TableContents"/>
              <w:bidi w:val="0"/>
              <w:spacing w:lineRule="auto" w:line="240" w:before="0" w:after="283"/>
              <w:ind w:left="0" w:right="0" w:hanging="180"/>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income,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504 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before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(10,354)</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(8,051)</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(5,158)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(4,282)</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(5,570)</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(6,448)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(5,908)</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Provision (benefit)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(10,358)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(8,059)</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(6,472)</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 margin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(16.8)</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(12.0)</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(7.3)</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w:t>
            </w:r>
          </w:p>
        </w:tc>
        <w:tc>
          <w:tcPr>
            <w:tcW w:w="28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w:t>
            </w:r>
          </w:p>
        </w:tc>
        <w:tc>
          <w:tcPr>
            <w:tcW w:w="331" w:type="dxa"/>
            <w:tcBorders>
              <w:right w:val="single" w:sz="8" w:space="0" w:color="000000"/>
            </w:tcBorders>
            <w:tcMar>
              <w:top w:w="0" w:type="dxa"/>
              <w:left w:w="0" w:type="dxa"/>
              <w:bottom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Loss from discontinued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(14,413)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(13,648)</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(24,771)</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(21,707)</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(6,472)</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75260"/>
                <wp:effectExtent l="0" t="0" r="0" b="0"/>
                <wp:wrapNone/>
                <wp:docPr id="19" name="Frame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2</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tbl>
      <w:tblPr>
        <w:tblW w:w="13584" w:type="dxa"/>
        <w:jc w:val="center"/>
        <w:tblInd w:w="0" w:type="dxa"/>
        <w:tblLayout w:type="fixed"/>
        <w:tblCellMar>
          <w:top w:w="28" w:type="dxa"/>
          <w:left w:w="28" w:type="dxa"/>
          <w:bottom w:w="28" w:type="dxa"/>
          <w:right w:w="28" w:type="dxa"/>
        </w:tblCellMar>
      </w:tblPr>
      <w:tblGrid>
        <w:gridCol w:w="939"/>
        <w:gridCol w:w="258"/>
        <w:gridCol w:w="259"/>
        <w:gridCol w:w="109"/>
        <w:gridCol w:w="109"/>
        <w:gridCol w:w="109"/>
        <w:gridCol w:w="109"/>
        <w:gridCol w:w="109"/>
        <w:gridCol w:w="211"/>
        <w:gridCol w:w="751"/>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286"/>
        <w:gridCol w:w="109"/>
        <w:gridCol w:w="109"/>
        <w:gridCol w:w="109"/>
        <w:gridCol w:w="211"/>
        <w:gridCol w:w="646"/>
        <w:gridCol w:w="331"/>
      </w:tblGrid>
      <w:tr>
        <w:trPr/>
        <w:tc>
          <w:tcPr>
            <w:tcW w:w="93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2069" w:type="dxa"/>
            <w:gridSpan w:val="47"/>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c>
          <w:tcPr>
            <w:tcW w:w="1515" w:type="dxa"/>
            <w:gridSpan w:val="6"/>
            <w:tcBorders/>
          </w:tcPr>
          <w:p>
            <w:pPr>
              <w:pStyle w:val="TableContents"/>
              <w:bidi w:val="0"/>
              <w:spacing w:before="0" w:after="283"/>
              <w:jc w:val="left"/>
              <w:rPr>
                <w:sz w:val="4"/>
                <w:szCs w:val="4"/>
              </w:rPr>
            </w:pPr>
            <w:r>
              <w:rPr>
                <w:sz w:val="4"/>
                <w:szCs w:val="4"/>
              </w:rPr>
            </w:r>
          </w:p>
        </w:tc>
      </w:tr>
      <w:tr>
        <w:trPr/>
        <w:tc>
          <w:tcPr>
            <w:tcW w:w="12069" w:type="dxa"/>
            <w:gridSpan w:val="47"/>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Reconciliation of Loss from Continuing Operations to Adjusted EBITDA</w:t>
            </w:r>
          </w:p>
        </w:tc>
        <w:tc>
          <w:tcPr>
            <w:tcW w:w="1515" w:type="dxa"/>
            <w:gridSpan w:val="6"/>
            <w:tcBorders/>
          </w:tcPr>
          <w:p>
            <w:pPr>
              <w:pStyle w:val="TableContents"/>
              <w:bidi w:val="0"/>
              <w:spacing w:before="0" w:after="283"/>
              <w:jc w:val="left"/>
              <w:rPr>
                <w:sz w:val="4"/>
                <w:szCs w:val="4"/>
              </w:rPr>
            </w:pPr>
            <w:r>
              <w:rPr>
                <w:sz w:val="4"/>
                <w:szCs w:val="4"/>
              </w:rPr>
            </w:r>
          </w:p>
        </w:tc>
      </w:tr>
      <w:tr>
        <w:trPr/>
        <w:tc>
          <w:tcPr>
            <w:tcW w:w="12069" w:type="dxa"/>
            <w:gridSpan w:val="47"/>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except percentages, unaudited)</w:t>
            </w:r>
          </w:p>
        </w:tc>
        <w:tc>
          <w:tcPr>
            <w:tcW w:w="1515" w:type="dxa"/>
            <w:gridSpan w:val="6"/>
            <w:tcBorders/>
          </w:tcPr>
          <w:p>
            <w:pPr>
              <w:pStyle w:val="TableContents"/>
              <w:bidi w:val="0"/>
              <w:spacing w:before="0" w:after="283"/>
              <w:jc w:val="left"/>
              <w:rPr>
                <w:sz w:val="4"/>
                <w:szCs w:val="4"/>
              </w:rPr>
            </w:pPr>
            <w:r>
              <w:rPr>
                <w:sz w:val="4"/>
                <w:szCs w:val="4"/>
              </w:rPr>
            </w:r>
          </w:p>
        </w:tc>
      </w:tr>
      <w:tr>
        <w:trPr/>
        <w:tc>
          <w:tcPr>
            <w:tcW w:w="1456"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1456" w:type="dxa"/>
            <w:gridSpan w:val="3"/>
            <w:tcBorders>
              <w:top w:val="single" w:sz="4" w:space="0" w:color="000000"/>
              <w:left w:val="single" w:sz="8"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Loss from continuing operations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(10,358)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(8,059)</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(5,215)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(5,176)</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(4,248)</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(5,575)</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(6,472)</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(5,935)</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5,925 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Depreciation and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3,526 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3,166 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3,138 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4,101 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Interest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299 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Provision (benefit) for income taxes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Impairment of long-lived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Legal settlement and fees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r>
        <w:trPr/>
        <w:tc>
          <w:tcPr>
            <w:tcW w:w="145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Severance and other reorganization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Gain on sale of non-marketable equity investment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(1,250)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4,989 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3,808 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3,017 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3,772 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2,927 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2,745 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4,779 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456" w:type="dxa"/>
            <w:gridSpan w:val="3"/>
            <w:tcBorders>
              <w:left w:val="single" w:sz="8" w:space="0" w:color="000000"/>
              <w:bottom w:val="single" w:sz="8" w:space="0" w:color="000000"/>
            </w:tcBorders>
            <w:tcMar>
              <w:top w:w="0" w:type="dxa"/>
              <w:left w:w="20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Adjusted EBITDA margin</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0.5 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7.4 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3.9 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3.4 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5.3 </w:t>
            </w:r>
          </w:p>
        </w:tc>
        <w:tc>
          <w:tcPr>
            <w:tcW w:w="331" w:type="dxa"/>
            <w:tcBorders>
              <w:top w:val="doub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4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1192" w:type="dxa"/>
        <w:jc w:val="center"/>
        <w:tblInd w:w="0" w:type="dxa"/>
        <w:tblLayout w:type="fixed"/>
        <w:tblCellMar>
          <w:top w:w="28" w:type="dxa"/>
          <w:left w:w="28" w:type="dxa"/>
          <w:bottom w:w="28" w:type="dxa"/>
          <w:right w:w="28" w:type="dxa"/>
        </w:tblCellMar>
      </w:tblPr>
      <w:tblGrid>
        <w:gridCol w:w="294"/>
        <w:gridCol w:w="258"/>
        <w:gridCol w:w="259"/>
        <w:gridCol w:w="109"/>
        <w:gridCol w:w="109"/>
        <w:gridCol w:w="109"/>
        <w:gridCol w:w="370"/>
        <w:gridCol w:w="370"/>
        <w:gridCol w:w="371"/>
        <w:gridCol w:w="109"/>
        <w:gridCol w:w="109"/>
        <w:gridCol w:w="109"/>
        <w:gridCol w:w="345"/>
        <w:gridCol w:w="345"/>
        <w:gridCol w:w="346"/>
        <w:gridCol w:w="109"/>
        <w:gridCol w:w="109"/>
        <w:gridCol w:w="109"/>
        <w:gridCol w:w="334"/>
        <w:gridCol w:w="312"/>
        <w:gridCol w:w="226"/>
        <w:gridCol w:w="109"/>
        <w:gridCol w:w="109"/>
        <w:gridCol w:w="109"/>
        <w:gridCol w:w="323"/>
        <w:gridCol w:w="323"/>
        <w:gridCol w:w="186"/>
        <w:gridCol w:w="109"/>
        <w:gridCol w:w="109"/>
        <w:gridCol w:w="109"/>
        <w:gridCol w:w="370"/>
        <w:gridCol w:w="370"/>
        <w:gridCol w:w="371"/>
        <w:gridCol w:w="109"/>
        <w:gridCol w:w="109"/>
        <w:gridCol w:w="109"/>
        <w:gridCol w:w="345"/>
        <w:gridCol w:w="345"/>
        <w:gridCol w:w="346"/>
        <w:gridCol w:w="109"/>
        <w:gridCol w:w="109"/>
        <w:gridCol w:w="109"/>
        <w:gridCol w:w="334"/>
        <w:gridCol w:w="312"/>
        <w:gridCol w:w="226"/>
        <w:gridCol w:w="109"/>
        <w:gridCol w:w="109"/>
        <w:gridCol w:w="109"/>
        <w:gridCol w:w="323"/>
        <w:gridCol w:w="323"/>
        <w:gridCol w:w="249"/>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0"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11192" w:type="dxa"/>
            <w:gridSpan w:val="51"/>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r>
      <w:tr>
        <w:trPr/>
        <w:tc>
          <w:tcPr>
            <w:tcW w:w="11192" w:type="dxa"/>
            <w:gridSpan w:val="51"/>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Active Buyers and Orders</w:t>
            </w:r>
          </w:p>
        </w:tc>
      </w:tr>
      <w:tr>
        <w:trPr/>
        <w:tc>
          <w:tcPr>
            <w:tcW w:w="11192" w:type="dxa"/>
            <w:gridSpan w:val="51"/>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(in thousands, unaudited)</w:t>
            </w:r>
          </w:p>
        </w:tc>
      </w:tr>
      <w:tr>
        <w:trPr/>
        <w:tc>
          <w:tcPr>
            <w:tcW w:w="811"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811" w:type="dxa"/>
            <w:gridSpan w:val="3"/>
            <w:tcBorders>
              <w:top w:val="single" w:sz="4" w:space="0" w:color="000000"/>
              <w:left w:val="single" w:sz="8" w:space="0" w:color="000000"/>
            </w:tcBorders>
            <w:tcMar>
              <w:top w:w="3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Active Buyers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1,248 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1,274 </w:t>
            </w:r>
          </w:p>
        </w:tc>
        <w:tc>
          <w:tcPr>
            <w:tcW w:w="3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1,370 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1,465 </w:t>
            </w:r>
          </w:p>
        </w:tc>
        <w:tc>
          <w:tcPr>
            <w:tcW w:w="1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1,568 </w:t>
            </w:r>
          </w:p>
        </w:tc>
        <w:tc>
          <w:tcPr>
            <w:tcW w:w="37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1,650 </w:t>
            </w:r>
          </w:p>
        </w:tc>
        <w:tc>
          <w:tcPr>
            <w:tcW w:w="34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1,713 </w:t>
            </w:r>
          </w:p>
        </w:tc>
        <w:tc>
          <w:tcPr>
            <w:tcW w:w="2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1,771 </w:t>
            </w:r>
          </w:p>
        </w:tc>
        <w:tc>
          <w:tcPr>
            <w:tcW w:w="249"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left w:val="single" w:sz="8" w:space="0" w:color="000000"/>
              <w:bottom w:val="single" w:sz="8" w:space="0" w:color="000000"/>
            </w:tcBorders>
            <w:tcMar>
              <w:top w:w="0" w:type="dxa"/>
              <w:bottom w:w="3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Orders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1,172 </w:t>
            </w:r>
          </w:p>
        </w:tc>
        <w:tc>
          <w:tcPr>
            <w:tcW w:w="3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1,226 </w:t>
            </w:r>
          </w:p>
        </w:tc>
        <w:tc>
          <w:tcPr>
            <w:tcW w:w="3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1,371 </w:t>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1,535 </w:t>
            </w:r>
          </w:p>
        </w:tc>
        <w:tc>
          <w:tcPr>
            <w:tcW w:w="18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1,608 </w:t>
            </w:r>
          </w:p>
        </w:tc>
        <w:tc>
          <w:tcPr>
            <w:tcW w:w="371"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90"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1,561 </w:t>
            </w:r>
          </w:p>
        </w:tc>
        <w:tc>
          <w:tcPr>
            <w:tcW w:w="34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1,635 </w:t>
            </w:r>
          </w:p>
        </w:tc>
        <w:tc>
          <w:tcPr>
            <w:tcW w:w="226" w:type="dxa"/>
            <w:tcBorders>
              <w:bottom w:val="single" w:sz="8" w:space="0" w:color="000000"/>
            </w:tcBorders>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1,871 </w:t>
            </w:r>
          </w:p>
        </w:tc>
        <w:tc>
          <w:tcPr>
            <w:tcW w:w="249" w:type="dxa"/>
            <w:tcBorders>
              <w:bottom w:val="single" w:sz="8" w:space="0" w:color="000000"/>
              <w:right w:val="single" w:sz="8" w:space="0" w:color="000000"/>
            </w:tcBorders>
            <w:tcMar>
              <w:top w:w="0" w:type="dxa"/>
              <w:left w:w="0" w:type="dxa"/>
              <w:bottom w:w="3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75260"/>
                <wp:effectExtent l="0" t="0" r="0" b="0"/>
                <wp:wrapNone/>
                <wp:docPr id="20" name="Frame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3</w:t>
                      </w:r>
                    </w:p>
                  </w:txbxContent>
                </v:textbox>
                <w10:wrap type="none"/>
              </v:rect>
            </w:pict>
          </mc:Fallback>
        </mc:AlternateContent>
      </w:r>
    </w:p>
    <w:tbl>
      <w:tblPr>
        <w:tblW w:w="13981" w:type="dxa"/>
        <w:jc w:val="center"/>
        <w:tblInd w:w="0" w:type="dxa"/>
        <w:tblLayout w:type="fixed"/>
        <w:tblCellMar>
          <w:top w:w="28" w:type="dxa"/>
          <w:left w:w="28" w:type="dxa"/>
          <w:bottom w:w="28" w:type="dxa"/>
          <w:right w:w="28" w:type="dxa"/>
        </w:tblCellMar>
      </w:tblPr>
      <w:tblGrid>
        <w:gridCol w:w="819"/>
        <w:gridCol w:w="258"/>
        <w:gridCol w:w="259"/>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286"/>
        <w:gridCol w:w="109"/>
        <w:gridCol w:w="109"/>
        <w:gridCol w:w="109"/>
        <w:gridCol w:w="211"/>
        <w:gridCol w:w="751"/>
        <w:gridCol w:w="331"/>
      </w:tblGrid>
      <w:tr>
        <w:trPr/>
        <w:tc>
          <w:tcPr>
            <w:tcW w:w="8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r>
      <w:tr>
        <w:trPr/>
        <w:tc>
          <w:tcPr>
            <w:tcW w:w="13981" w:type="dxa"/>
            <w:gridSpan w:val="51"/>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r>
      <w:tr>
        <w:trPr/>
        <w:tc>
          <w:tcPr>
            <w:tcW w:w="13981" w:type="dxa"/>
            <w:gridSpan w:val="51"/>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Reconciliation of GAAP Operating Expenses to Non-GAAP Operating Expenses</w:t>
            </w:r>
          </w:p>
        </w:tc>
      </w:tr>
      <w:tr>
        <w:trPr/>
        <w:tc>
          <w:tcPr>
            <w:tcW w:w="13981" w:type="dxa"/>
            <w:gridSpan w:val="51"/>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except percentages, unaudited)</w:t>
            </w:r>
          </w:p>
        </w:tc>
      </w:tr>
      <w:tr>
        <w:trPr/>
        <w:tc>
          <w:tcPr>
            <w:tcW w:w="1336"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3"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1336" w:type="dxa"/>
            <w:gridSpan w:val="3"/>
            <w:tcBorders>
              <w:top w:val="single" w:sz="4" w:space="0" w:color="000000"/>
              <w:left w:val="single" w:sz="8"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33,296 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36,814 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35,126 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37,525 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38,545 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41,663 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41,075 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45,115 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12,912 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11,618 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13,143 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16,206 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16,186 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13,447 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14,941 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17,761 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13,010 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13,823 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13,536 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13,250 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14,869 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15,003 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15,233 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15,761 </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59,218 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62,255 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61,805 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66,981 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69,600 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70,113 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71,249 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78,637 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(6,055)</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(4,439)</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(4,544)</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(5,503)</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(5,925)</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Less: Severance and other reorganization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w:t>
            </w:r>
          </w:p>
        </w:tc>
        <w:tc>
          <w:tcPr>
            <w:tcW w:w="331"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non-GAAP operating expenses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52,705 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56,214 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56,288 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62,481 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65,161 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65,569 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65,746 </w:t>
            </w:r>
          </w:p>
        </w:tc>
        <w:tc>
          <w:tcPr>
            <w:tcW w:w="28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72,350 </w:t>
            </w:r>
          </w:p>
        </w:tc>
        <w:tc>
          <w:tcPr>
            <w:tcW w:w="331"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bottom w:val="single" w:sz="8" w:space="0" w:color="000000"/>
            </w:tcBorders>
            <w:tcMar>
              <w:top w:w="0" w:type="dxa"/>
              <w:left w:w="200" w:type="dxa"/>
              <w:bottom w:w="3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operating expenses % of revenue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85.7 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83.6 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79.0 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79.3 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82.3 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80.5 </w:t>
            </w:r>
          </w:p>
        </w:tc>
        <w:tc>
          <w:tcPr>
            <w:tcW w:w="286" w:type="dxa"/>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2" w:type="dxa"/>
            <w:gridSpan w:val="2"/>
            <w:tcBorders>
              <w:top w:val="doub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79.7 </w:t>
            </w:r>
          </w:p>
        </w:tc>
        <w:tc>
          <w:tcPr>
            <w:tcW w:w="331" w:type="dxa"/>
            <w:tcBorders>
              <w:top w:val="doub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w:t>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r>
        <w:trPr/>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373" w:type="dxa"/>
        <w:jc w:val="center"/>
        <w:tblInd w:w="0" w:type="dxa"/>
        <w:tblLayout w:type="fixed"/>
        <w:tblCellMar>
          <w:top w:w="28" w:type="dxa"/>
          <w:left w:w="28" w:type="dxa"/>
          <w:bottom w:w="28" w:type="dxa"/>
          <w:right w:w="28" w:type="dxa"/>
        </w:tblCellMar>
      </w:tblPr>
      <w:tblGrid>
        <w:gridCol w:w="819"/>
        <w:gridCol w:w="258"/>
        <w:gridCol w:w="259"/>
        <w:gridCol w:w="109"/>
        <w:gridCol w:w="109"/>
        <w:gridCol w:w="109"/>
        <w:gridCol w:w="109"/>
        <w:gridCol w:w="109"/>
        <w:gridCol w:w="242"/>
        <w:gridCol w:w="742"/>
        <w:gridCol w:w="127"/>
        <w:gridCol w:w="109"/>
        <w:gridCol w:w="109"/>
        <w:gridCol w:w="109"/>
        <w:gridCol w:w="226"/>
        <w:gridCol w:w="692"/>
        <w:gridCol w:w="118"/>
        <w:gridCol w:w="109"/>
        <w:gridCol w:w="109"/>
        <w:gridCol w:w="109"/>
        <w:gridCol w:w="211"/>
        <w:gridCol w:w="646"/>
        <w:gridCol w:w="109"/>
        <w:gridCol w:w="109"/>
        <w:gridCol w:w="109"/>
        <w:gridCol w:w="109"/>
        <w:gridCol w:w="211"/>
        <w:gridCol w:w="646"/>
        <w:gridCol w:w="109"/>
        <w:gridCol w:w="109"/>
        <w:gridCol w:w="109"/>
        <w:gridCol w:w="109"/>
        <w:gridCol w:w="242"/>
        <w:gridCol w:w="742"/>
        <w:gridCol w:w="127"/>
        <w:gridCol w:w="109"/>
        <w:gridCol w:w="109"/>
        <w:gridCol w:w="109"/>
        <w:gridCol w:w="226"/>
        <w:gridCol w:w="692"/>
        <w:gridCol w:w="118"/>
        <w:gridCol w:w="109"/>
        <w:gridCol w:w="109"/>
        <w:gridCol w:w="109"/>
        <w:gridCol w:w="211"/>
        <w:gridCol w:w="646"/>
        <w:gridCol w:w="109"/>
        <w:gridCol w:w="109"/>
        <w:gridCol w:w="109"/>
        <w:gridCol w:w="109"/>
        <w:gridCol w:w="211"/>
        <w:gridCol w:w="646"/>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42"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035" w:type="dxa"/>
            <w:gridSpan w:val="47"/>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c>
          <w:tcPr>
            <w:tcW w:w="1338" w:type="dxa"/>
            <w:gridSpan w:val="6"/>
            <w:tcBorders/>
          </w:tcPr>
          <w:p>
            <w:pPr>
              <w:pStyle w:val="TableContents"/>
              <w:bidi w:val="0"/>
              <w:spacing w:before="0" w:after="283"/>
              <w:jc w:val="left"/>
              <w:rPr>
                <w:sz w:val="4"/>
                <w:szCs w:val="4"/>
              </w:rPr>
            </w:pPr>
            <w:r>
              <w:rPr>
                <w:sz w:val="4"/>
                <w:szCs w:val="4"/>
              </w:rPr>
            </w:r>
          </w:p>
        </w:tc>
      </w:tr>
      <w:tr>
        <w:trPr/>
        <w:tc>
          <w:tcPr>
            <w:tcW w:w="11035" w:type="dxa"/>
            <w:gridSpan w:val="47"/>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Stock-Based Compensation Expense Details</w:t>
            </w:r>
          </w:p>
        </w:tc>
        <w:tc>
          <w:tcPr>
            <w:tcW w:w="1338" w:type="dxa"/>
            <w:gridSpan w:val="6"/>
            <w:tcBorders/>
          </w:tcPr>
          <w:p>
            <w:pPr>
              <w:pStyle w:val="TableContents"/>
              <w:bidi w:val="0"/>
              <w:spacing w:before="0" w:after="283"/>
              <w:jc w:val="left"/>
              <w:rPr>
                <w:sz w:val="4"/>
                <w:szCs w:val="4"/>
              </w:rPr>
            </w:pPr>
            <w:r>
              <w:rPr>
                <w:sz w:val="4"/>
                <w:szCs w:val="4"/>
              </w:rPr>
            </w:r>
          </w:p>
        </w:tc>
      </w:tr>
      <w:tr>
        <w:trPr/>
        <w:tc>
          <w:tcPr>
            <w:tcW w:w="11035" w:type="dxa"/>
            <w:gridSpan w:val="47"/>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unaudited)</w:t>
            </w:r>
          </w:p>
        </w:tc>
        <w:tc>
          <w:tcPr>
            <w:tcW w:w="1338"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1336" w:type="dxa"/>
            <w:gridSpan w:val="3"/>
            <w:tcBorders>
              <w:top w:val="single" w:sz="4" w:space="0" w:color="000000"/>
              <w:left w:val="single" w:sz="8"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3,046 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3,002 </w:t>
            </w:r>
          </w:p>
        </w:tc>
        <w:tc>
          <w:tcPr>
            <w:tcW w:w="11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2,645 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2,306 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1,982 </w:t>
            </w:r>
          </w:p>
        </w:tc>
        <w:tc>
          <w:tcPr>
            <w:tcW w:w="127"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2,135 </w:t>
            </w:r>
          </w:p>
        </w:tc>
        <w:tc>
          <w:tcPr>
            <w:tcW w:w="11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2,434 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2,625 </w:t>
            </w:r>
          </w:p>
        </w:tc>
        <w:tc>
          <w:tcPr>
            <w:tcW w:w="154"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116 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99 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219 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257 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3,004 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2,937 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2,761 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2,082 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2,358 </w:t>
            </w:r>
          </w:p>
        </w:tc>
        <w:tc>
          <w:tcPr>
            <w:tcW w:w="12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2,255 </w:t>
            </w:r>
          </w:p>
        </w:tc>
        <w:tc>
          <w:tcPr>
            <w:tcW w:w="11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3,043 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stock-based compensation expense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6,162 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6,055 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5,520 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4,500 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74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4,439 </w:t>
            </w:r>
          </w:p>
        </w:tc>
        <w:tc>
          <w:tcPr>
            <w:tcW w:w="12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4,544 </w:t>
            </w:r>
          </w:p>
        </w:tc>
        <w:tc>
          <w:tcPr>
            <w:tcW w:w="11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5,503 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5,925 </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pStyle w:val="TextBody"/>
        <w:bidi w:val="0"/>
        <w:jc w:val="center"/>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75260"/>
                <wp:effectExtent l="0" t="0" r="0" b="0"/>
                <wp:wrapNone/>
                <wp:docPr id="21" name="Frame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4</w:t>
                      </w:r>
                    </w:p>
                  </w:txbxContent>
                </v:textbox>
                <w10:wrap type="none"/>
              </v:rect>
            </w:pict>
          </mc:Fallback>
        </mc:AlternateContent>
      </w:r>
    </w:p>
    <w:tbl>
      <w:tblPr>
        <w:tblW w:w="11488" w:type="dxa"/>
        <w:jc w:val="center"/>
        <w:tblInd w:w="0" w:type="dxa"/>
        <w:tblLayout w:type="fixed"/>
        <w:tblCellMar>
          <w:top w:w="28" w:type="dxa"/>
          <w:left w:w="28" w:type="dxa"/>
          <w:bottom w:w="28" w:type="dxa"/>
          <w:right w:w="28" w:type="dxa"/>
        </w:tblCellMar>
      </w:tblPr>
      <w:tblGrid>
        <w:gridCol w:w="819"/>
        <w:gridCol w:w="258"/>
        <w:gridCol w:w="259"/>
        <w:gridCol w:w="109"/>
        <w:gridCol w:w="109"/>
        <w:gridCol w:w="109"/>
        <w:gridCol w:w="109"/>
        <w:gridCol w:w="109"/>
        <w:gridCol w:w="292"/>
        <w:gridCol w:w="667"/>
        <w:gridCol w:w="152"/>
        <w:gridCol w:w="109"/>
        <w:gridCol w:w="109"/>
        <w:gridCol w:w="109"/>
        <w:gridCol w:w="301"/>
        <w:gridCol w:w="579"/>
        <w:gridCol w:w="156"/>
        <w:gridCol w:w="109"/>
        <w:gridCol w:w="109"/>
        <w:gridCol w:w="109"/>
        <w:gridCol w:w="211"/>
        <w:gridCol w:w="406"/>
        <w:gridCol w:w="109"/>
        <w:gridCol w:w="109"/>
        <w:gridCol w:w="109"/>
        <w:gridCol w:w="109"/>
        <w:gridCol w:w="211"/>
        <w:gridCol w:w="406"/>
        <w:gridCol w:w="109"/>
        <w:gridCol w:w="109"/>
        <w:gridCol w:w="109"/>
        <w:gridCol w:w="109"/>
        <w:gridCol w:w="322"/>
        <w:gridCol w:w="621"/>
        <w:gridCol w:w="168"/>
        <w:gridCol w:w="109"/>
        <w:gridCol w:w="109"/>
        <w:gridCol w:w="109"/>
        <w:gridCol w:w="301"/>
        <w:gridCol w:w="579"/>
        <w:gridCol w:w="156"/>
        <w:gridCol w:w="109"/>
        <w:gridCol w:w="109"/>
        <w:gridCol w:w="109"/>
        <w:gridCol w:w="211"/>
        <w:gridCol w:w="406"/>
        <w:gridCol w:w="109"/>
        <w:gridCol w:w="109"/>
        <w:gridCol w:w="109"/>
        <w:gridCol w:w="109"/>
        <w:gridCol w:w="211"/>
        <w:gridCol w:w="481"/>
        <w:gridCol w:w="154"/>
      </w:tblGrid>
      <w:tr>
        <w:trPr/>
        <w:tc>
          <w:tcPr>
            <w:tcW w:w="819"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315" w:type="dxa"/>
            <w:gridSpan w:val="47"/>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c>
          <w:tcPr>
            <w:tcW w:w="1173" w:type="dxa"/>
            <w:gridSpan w:val="6"/>
            <w:tcBorders/>
          </w:tcPr>
          <w:p>
            <w:pPr>
              <w:pStyle w:val="TableContents"/>
              <w:bidi w:val="0"/>
              <w:spacing w:before="0" w:after="283"/>
              <w:jc w:val="left"/>
              <w:rPr>
                <w:sz w:val="4"/>
                <w:szCs w:val="4"/>
              </w:rPr>
            </w:pPr>
            <w:r>
              <w:rPr>
                <w:sz w:val="4"/>
                <w:szCs w:val="4"/>
              </w:rPr>
            </w:r>
          </w:p>
        </w:tc>
      </w:tr>
      <w:tr>
        <w:trPr/>
        <w:tc>
          <w:tcPr>
            <w:tcW w:w="10315" w:type="dxa"/>
            <w:gridSpan w:val="47"/>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0"/>
              <w:jc w:val="center"/>
              <w:rPr>
                <w:rFonts w:ascii="Helvetica;sans-serif" w:hAnsi="Helvetica;sans-serif"/>
                <w:b/>
                <w:color w:val="000000"/>
                <w:sz w:val="20"/>
              </w:rPr>
            </w:pPr>
            <w:r>
              <w:rPr>
                <w:rFonts w:ascii="Helvetica;sans-serif" w:hAnsi="Helvetica;sans-serif"/>
                <w:b/>
                <w:color w:val="000000"/>
                <w:sz w:val="20"/>
              </w:rPr>
              <w:t>Severance and Other Reorganization Costs Details</w:t>
            </w:r>
          </w:p>
        </w:tc>
        <w:tc>
          <w:tcPr>
            <w:tcW w:w="1173" w:type="dxa"/>
            <w:gridSpan w:val="6"/>
            <w:tcBorders/>
          </w:tcPr>
          <w:p>
            <w:pPr>
              <w:pStyle w:val="TableContents"/>
              <w:bidi w:val="0"/>
              <w:spacing w:before="0" w:after="283"/>
              <w:jc w:val="left"/>
              <w:rPr>
                <w:sz w:val="4"/>
                <w:szCs w:val="4"/>
              </w:rPr>
            </w:pPr>
            <w:r>
              <w:rPr>
                <w:sz w:val="4"/>
                <w:szCs w:val="4"/>
              </w:rPr>
            </w:r>
          </w:p>
        </w:tc>
      </w:tr>
      <w:tr>
        <w:trPr/>
        <w:tc>
          <w:tcPr>
            <w:tcW w:w="10315" w:type="dxa"/>
            <w:gridSpan w:val="47"/>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unaudited)</w:t>
            </w:r>
          </w:p>
        </w:tc>
        <w:tc>
          <w:tcPr>
            <w:tcW w:w="1173" w:type="dxa"/>
            <w:gridSpan w:val="6"/>
            <w:tcBorders/>
          </w:tcPr>
          <w:p>
            <w:pPr>
              <w:pStyle w:val="TableContents"/>
              <w:bidi w:val="0"/>
              <w:spacing w:before="0" w:after="283"/>
              <w:jc w:val="left"/>
              <w:rPr>
                <w:sz w:val="4"/>
                <w:szCs w:val="4"/>
              </w:rPr>
            </w:pPr>
            <w:r>
              <w:rPr>
                <w:sz w:val="4"/>
                <w:szCs w:val="4"/>
              </w:rPr>
            </w:r>
          </w:p>
        </w:tc>
      </w:tr>
      <w:tr>
        <w:trPr/>
        <w:tc>
          <w:tcPr>
            <w:tcW w:w="1336"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2024</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June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1336" w:type="dxa"/>
            <w:gridSpan w:val="3"/>
            <w:tcBorders>
              <w:top w:val="single" w:sz="4" w:space="0" w:color="000000"/>
              <w:left w:val="single" w:sz="8"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Operations, product, and technology</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6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w:t>
            </w:r>
          </w:p>
        </w:tc>
        <w:tc>
          <w:tcPr>
            <w:tcW w:w="154"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Sales, general, and administrative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5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(76)</w:t>
            </w:r>
          </w:p>
        </w:tc>
        <w:tc>
          <w:tcPr>
            <w:tcW w:w="154" w:type="dxa"/>
            <w:tcBorders>
              <w:right w:val="single" w:sz="8"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1336"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Total severance and other reorganization costs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351 </w:t>
            </w:r>
          </w:p>
        </w:tc>
        <w:tc>
          <w:tcPr>
            <w:tcW w:w="15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8"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57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0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4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(362)</w:t>
            </w:r>
          </w:p>
        </w:tc>
        <w:tc>
          <w:tcPr>
            <w:tcW w:w="154"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1336" w:type="dxa"/>
            <w:gridSpan w:val="3"/>
            <w:tcBorders>
              <w:left w:val="single" w:sz="8" w:space="0" w:color="000000"/>
              <w:bottom w:val="single" w:sz="8" w:space="0" w:color="000000"/>
            </w:tcBorders>
            <w:tcMar>
              <w:top w:w="0" w:type="dxa"/>
              <w:left w:w="20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doub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75260"/>
                <wp:effectExtent l="0" t="0" r="0" b="0"/>
                <wp:wrapNone/>
                <wp:docPr id="22" name="Frame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5</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385"/>
        <w:gridCol w:w="1116"/>
        <w:gridCol w:w="1095"/>
        <w:gridCol w:w="109"/>
        <w:gridCol w:w="109"/>
        <w:gridCol w:w="109"/>
        <w:gridCol w:w="109"/>
        <w:gridCol w:w="109"/>
        <w:gridCol w:w="245"/>
        <w:gridCol w:w="997"/>
        <w:gridCol w:w="126"/>
        <w:gridCol w:w="109"/>
        <w:gridCol w:w="109"/>
        <w:gridCol w:w="109"/>
        <w:gridCol w:w="236"/>
        <w:gridCol w:w="957"/>
        <w:gridCol w:w="121"/>
        <w:gridCol w:w="109"/>
        <w:gridCol w:w="109"/>
        <w:gridCol w:w="109"/>
        <w:gridCol w:w="211"/>
        <w:gridCol w:w="856"/>
        <w:gridCol w:w="109"/>
        <w:gridCol w:w="109"/>
        <w:gridCol w:w="109"/>
        <w:gridCol w:w="109"/>
        <w:gridCol w:w="211"/>
        <w:gridCol w:w="856"/>
        <w:gridCol w:w="158"/>
      </w:tblGrid>
      <w:tr>
        <w:trPr/>
        <w:tc>
          <w:tcPr>
            <w:tcW w:w="1385" w:type="dxa"/>
            <w:tcBorders/>
            <w:vAlign w:val="center"/>
          </w:tcPr>
          <w:p>
            <w:pPr>
              <w:pStyle w:val="TableContents"/>
              <w:bidi w:val="0"/>
              <w:spacing w:before="0" w:after="283"/>
              <w:jc w:val="left"/>
              <w:rPr>
                <w:sz w:val="4"/>
                <w:szCs w:val="4"/>
              </w:rPr>
            </w:pPr>
            <w:r>
              <w:rPr>
                <w:sz w:val="4"/>
                <w:szCs w:val="4"/>
              </w:rPr>
            </w:r>
          </w:p>
        </w:tc>
        <w:tc>
          <w:tcPr>
            <w:tcW w:w="1116"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8653" w:type="dxa"/>
            <w:gridSpan w:val="23"/>
            <w:tcBorders>
              <w:top w:val="single" w:sz="4" w:space="0" w:color="000000"/>
              <w:left w:val="single" w:sz="4" w:space="0" w:color="000000"/>
              <w:bottom w:val="single" w:sz="4" w:space="0" w:color="000000"/>
              <w:right w:val="single" w:sz="4"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c>
          <w:tcPr>
            <w:tcW w:w="1552" w:type="dxa"/>
            <w:gridSpan w:val="6"/>
            <w:tcBorders/>
          </w:tcPr>
          <w:p>
            <w:pPr>
              <w:pStyle w:val="TableContents"/>
              <w:bidi w:val="0"/>
              <w:spacing w:before="0" w:after="283"/>
              <w:jc w:val="left"/>
              <w:rPr>
                <w:sz w:val="4"/>
                <w:szCs w:val="4"/>
              </w:rPr>
            </w:pPr>
            <w:r>
              <w:rPr>
                <w:sz w:val="4"/>
                <w:szCs w:val="4"/>
              </w:rPr>
            </w:r>
          </w:p>
        </w:tc>
      </w:tr>
      <w:tr>
        <w:trPr/>
        <w:tc>
          <w:tcPr>
            <w:tcW w:w="8653" w:type="dxa"/>
            <w:gridSpan w:val="2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Condensed Consolidated Balance Sheets</w:t>
            </w:r>
          </w:p>
        </w:tc>
        <w:tc>
          <w:tcPr>
            <w:tcW w:w="1552" w:type="dxa"/>
            <w:gridSpan w:val="6"/>
            <w:tcBorders/>
          </w:tcPr>
          <w:p>
            <w:pPr>
              <w:pStyle w:val="TableContents"/>
              <w:bidi w:val="0"/>
              <w:spacing w:before="0" w:after="283"/>
              <w:jc w:val="left"/>
              <w:rPr>
                <w:sz w:val="4"/>
                <w:szCs w:val="4"/>
              </w:rPr>
            </w:pPr>
            <w:r>
              <w:rPr>
                <w:sz w:val="4"/>
                <w:szCs w:val="4"/>
              </w:rPr>
            </w:r>
          </w:p>
        </w:tc>
      </w:tr>
      <w:tr>
        <w:trPr/>
        <w:tc>
          <w:tcPr>
            <w:tcW w:w="8653" w:type="dxa"/>
            <w:gridSpan w:val="2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unaudited)</w:t>
            </w:r>
          </w:p>
        </w:tc>
        <w:tc>
          <w:tcPr>
            <w:tcW w:w="1552" w:type="dxa"/>
            <w:gridSpan w:val="6"/>
            <w:tcBorders/>
          </w:tcPr>
          <w:p>
            <w:pPr>
              <w:pStyle w:val="TableContents"/>
              <w:bidi w:val="0"/>
              <w:spacing w:before="0" w:after="283"/>
              <w:jc w:val="left"/>
              <w:rPr>
                <w:sz w:val="4"/>
                <w:szCs w:val="4"/>
              </w:rPr>
            </w:pPr>
            <w:r>
              <w:rPr>
                <w:sz w:val="4"/>
                <w:szCs w:val="4"/>
              </w:rPr>
            </w:r>
          </w:p>
        </w:tc>
      </w:tr>
      <w:tr>
        <w:trPr/>
        <w:tc>
          <w:tcPr>
            <w:tcW w:w="3596" w:type="dxa"/>
            <w:gridSpan w:val="3"/>
            <w:tcBorders>
              <w:top w:val="single" w:sz="4" w:space="0" w:color="000000"/>
              <w:left w:val="single" w:sz="4" w:space="0" w:color="000000"/>
            </w:tcBorders>
            <w:shd w:fill="DAEFC6" w:val="clear"/>
            <w:tcMar>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shd w:fill="DAEFC6" w:val="clear"/>
              </w:rPr>
            </w:pPr>
            <w:r>
              <w:rPr>
                <w:rFonts w:ascii="Helvetica;sans-serif" w:hAnsi="Helvetica;sans-serif"/>
                <w:b/>
                <w:color w:val="000000"/>
                <w:sz w:val="20"/>
                <w:shd w:fill="DAEFC6" w:val="clear"/>
              </w:rPr>
              <w:t>September 30,</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shd w:fill="DAEFC6" w:val="clear"/>
              </w:rPr>
            </w:pPr>
            <w:r>
              <w:rPr>
                <w:rFonts w:ascii="Helvetica;sans-serif" w:hAnsi="Helvetica;sans-serif"/>
                <w:b/>
                <w:color w:val="000000"/>
                <w:sz w:val="20"/>
                <w:shd w:fill="DAEFC6" w:val="clear"/>
              </w:rPr>
              <w:t>December 31,</w:t>
              <w:br/>
              <w:t>2025</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shd w:fill="DAEFC6" w:val="clear"/>
              </w:rPr>
            </w:pPr>
            <w:r>
              <w:rPr>
                <w:rFonts w:ascii="Helvetica;sans-serif" w:hAnsi="Helvetica;sans-serif"/>
                <w:b/>
                <w:color w:val="000000"/>
                <w:sz w:val="20"/>
                <w:shd w:fill="DAEFC6" w:val="clear"/>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right w:val="single" w:sz="4"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shd w:fill="DAEFC6" w:val="clear"/>
              </w:rPr>
            </w:pPr>
            <w:r>
              <w:rPr>
                <w:rFonts w:ascii="Helvetica;sans-serif" w:hAnsi="Helvetica;sans-serif"/>
                <w:b/>
                <w:color w:val="000000"/>
                <w:sz w:val="20"/>
                <w:shd w:fill="DAEFC6" w:val="clear"/>
              </w:rPr>
              <w:t>June 30,</w:t>
              <w:br/>
              <w:t>2026</w:t>
            </w:r>
          </w:p>
        </w:tc>
      </w:tr>
      <w:tr>
        <w:trPr/>
        <w:tc>
          <w:tcPr>
            <w:tcW w:w="3596"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Assets:</w:t>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Cash and cash equivalents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46,218 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7"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38,629 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38,996 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42,169 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Marketable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4,893 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9,498 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10,457 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10,261 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receivable,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3,725 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2,437 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4,316 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2,619 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35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5,665 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6,616 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6,159 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60,501 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56,676 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60,385 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61,208 </w:t>
            </w:r>
          </w:p>
        </w:tc>
        <w:tc>
          <w:tcPr>
            <w:tcW w:w="158"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right-of-use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27,337 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25,376 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26,353 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25,182 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Property and equipment, net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67,901 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67,243 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67,704 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65,901 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Goodwill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10,746 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5,984 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7,204 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7,105 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172,469 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167,245 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172,373 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170,142 </w:t>
            </w:r>
          </w:p>
        </w:tc>
        <w:tc>
          <w:tcPr>
            <w:tcW w:w="158"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right w:val="single" w:sz="4" w:space="0" w:color="000000"/>
            </w:tcBorders>
            <w:tcMar>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Accounts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7"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12,328 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7"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10,329 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11,864 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13,474 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Accrued and other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26,279 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24,511 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22,920 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Seller payable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17,934 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18,264 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18,947 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19,463 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5,123 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5,401 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5,776 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5,767 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Current portion of long-term debt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3,875 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65,534 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62,380 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63,699 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61,624 </w:t>
            </w:r>
          </w:p>
        </w:tc>
        <w:tc>
          <w:tcPr>
            <w:tcW w:w="158"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Operating lease liabilities, non-current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30,058 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28,580 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28,672 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27,120 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Long-term debt, net of current portion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15,247 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14,276 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17,740 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17,722 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Other non-current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2,558 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2,816 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2,871 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2,928 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113,397 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108,052 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112,982 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109,394 </w:t>
            </w:r>
          </w:p>
        </w:tc>
        <w:tc>
          <w:tcPr>
            <w:tcW w:w="158"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Commitments and contingencies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12 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13 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629,560 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635,253 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641,945 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649,257 </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3 </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(19)</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(40)</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(570,500)</w:t>
            </w:r>
          </w:p>
        </w:tc>
        <w:tc>
          <w:tcPr>
            <w:tcW w:w="12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(576,075)</w:t>
            </w:r>
          </w:p>
        </w:tc>
        <w:tc>
          <w:tcPr>
            <w:tcW w:w="12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(582,547)</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(588,482)</w:t>
            </w:r>
          </w:p>
        </w:tc>
        <w:tc>
          <w:tcPr>
            <w:tcW w:w="158"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4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59,072 </w:t>
            </w:r>
          </w:p>
        </w:tc>
        <w:tc>
          <w:tcPr>
            <w:tcW w:w="126"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59,193 </w:t>
            </w:r>
          </w:p>
        </w:tc>
        <w:tc>
          <w:tcPr>
            <w:tcW w:w="12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59,391 </w:t>
            </w:r>
          </w:p>
        </w:tc>
        <w:tc>
          <w:tcPr>
            <w:tcW w:w="109"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60,748 </w:t>
            </w:r>
          </w:p>
        </w:tc>
        <w:tc>
          <w:tcPr>
            <w:tcW w:w="158"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Total liabilities and 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9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172,469 </w:t>
            </w:r>
          </w:p>
        </w:tc>
        <w:tc>
          <w:tcPr>
            <w:tcW w:w="12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167,245 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172,373 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85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170,142 </w:t>
            </w:r>
          </w:p>
        </w:tc>
        <w:tc>
          <w:tcPr>
            <w:tcW w:w="158" w:type="dxa"/>
            <w:tcBorders>
              <w:top w:val="single" w:sz="8"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3596" w:type="dxa"/>
            <w:gridSpan w:val="3"/>
            <w:tcBorders>
              <w:left w:val="single" w:sz="4" w:space="0" w:color="000000"/>
              <w:bottom w:val="single" w:sz="4" w:space="0" w:color="000000"/>
            </w:tcBorders>
            <w:tcMar>
              <w:top w:w="0" w:type="dxa"/>
              <w:left w:w="38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8"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14"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op w:val="double" w:sz="8" w:space="0" w:color="000000"/>
              <w:bottom w:val="single" w:sz="4" w:space="0" w:color="000000"/>
              <w:right w:val="single" w:sz="2" w:space="0" w:color="000000"/>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75260"/>
                <wp:effectExtent l="0" t="0" r="0" b="0"/>
                <wp:wrapNone/>
                <wp:docPr id="23" name="Frame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6</w:t>
                      </w:r>
                    </w:p>
                  </w:txbxContent>
                </v:textbox>
                <w10:wrap type="none"/>
              </v:rect>
            </w:pict>
          </mc:Fallback>
        </mc:AlternateContent>
      </w:r>
    </w:p>
    <w:tbl>
      <w:tblPr>
        <w:tblW w:w="10205" w:type="dxa"/>
        <w:jc w:val="center"/>
        <w:tblInd w:w="0" w:type="dxa"/>
        <w:tblLayout w:type="fixed"/>
        <w:tblCellMar>
          <w:top w:w="28" w:type="dxa"/>
          <w:left w:w="28" w:type="dxa"/>
          <w:bottom w:w="28" w:type="dxa"/>
          <w:right w:w="28" w:type="dxa"/>
        </w:tblCellMar>
      </w:tblPr>
      <w:tblGrid>
        <w:gridCol w:w="1618"/>
        <w:gridCol w:w="1205"/>
        <w:gridCol w:w="1208"/>
        <w:gridCol w:w="111"/>
        <w:gridCol w:w="111"/>
        <w:gridCol w:w="111"/>
        <w:gridCol w:w="111"/>
        <w:gridCol w:w="111"/>
        <w:gridCol w:w="256"/>
        <w:gridCol w:w="876"/>
        <w:gridCol w:w="133"/>
        <w:gridCol w:w="111"/>
        <w:gridCol w:w="111"/>
        <w:gridCol w:w="111"/>
        <w:gridCol w:w="241"/>
        <w:gridCol w:w="827"/>
        <w:gridCol w:w="124"/>
        <w:gridCol w:w="111"/>
        <w:gridCol w:w="111"/>
        <w:gridCol w:w="111"/>
        <w:gridCol w:w="216"/>
        <w:gridCol w:w="740"/>
        <w:gridCol w:w="111"/>
        <w:gridCol w:w="109"/>
        <w:gridCol w:w="109"/>
        <w:gridCol w:w="109"/>
        <w:gridCol w:w="211"/>
        <w:gridCol w:w="721"/>
        <w:gridCol w:w="170"/>
      </w:tblGrid>
      <w:tr>
        <w:trPr/>
        <w:tc>
          <w:tcPr>
            <w:tcW w:w="1618"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08"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776" w:type="dxa"/>
            <w:gridSpan w:val="23"/>
            <w:tcBorders>
              <w:top w:val="single" w:sz="4" w:space="0" w:color="000000"/>
              <w:left w:val="single" w:sz="4" w:space="0" w:color="000000"/>
              <w:bottom w:val="single" w:sz="4" w:space="0" w:color="000000"/>
              <w:right w:val="single" w:sz="4"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c>
          <w:tcPr>
            <w:tcW w:w="1429" w:type="dxa"/>
            <w:gridSpan w:val="6"/>
            <w:tcBorders/>
          </w:tcPr>
          <w:p>
            <w:pPr>
              <w:pStyle w:val="TableContents"/>
              <w:bidi w:val="0"/>
              <w:spacing w:before="0" w:after="283"/>
              <w:jc w:val="left"/>
              <w:rPr>
                <w:sz w:val="4"/>
                <w:szCs w:val="4"/>
              </w:rPr>
            </w:pPr>
            <w:r>
              <w:rPr>
                <w:sz w:val="4"/>
                <w:szCs w:val="4"/>
              </w:rPr>
            </w:r>
          </w:p>
        </w:tc>
      </w:tr>
      <w:tr>
        <w:trPr/>
        <w:tc>
          <w:tcPr>
            <w:tcW w:w="8776" w:type="dxa"/>
            <w:gridSpan w:val="2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Condensed Consolidated Statements of Cash Flows</w:t>
            </w:r>
          </w:p>
        </w:tc>
        <w:tc>
          <w:tcPr>
            <w:tcW w:w="1429" w:type="dxa"/>
            <w:gridSpan w:val="6"/>
            <w:tcBorders/>
          </w:tcPr>
          <w:p>
            <w:pPr>
              <w:pStyle w:val="TableContents"/>
              <w:bidi w:val="0"/>
              <w:spacing w:before="0" w:after="283"/>
              <w:jc w:val="left"/>
              <w:rPr>
                <w:sz w:val="4"/>
                <w:szCs w:val="4"/>
              </w:rPr>
            </w:pPr>
            <w:r>
              <w:rPr>
                <w:sz w:val="4"/>
                <w:szCs w:val="4"/>
              </w:rPr>
            </w:r>
          </w:p>
        </w:tc>
      </w:tr>
      <w:tr>
        <w:trPr/>
        <w:tc>
          <w:tcPr>
            <w:tcW w:w="8776" w:type="dxa"/>
            <w:gridSpan w:val="23"/>
            <w:tcBorders>
              <w:left w:val="single" w:sz="4" w:space="0" w:color="000000"/>
              <w:right w:val="single" w:sz="4"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unaudited)</w:t>
            </w:r>
          </w:p>
        </w:tc>
        <w:tc>
          <w:tcPr>
            <w:tcW w:w="1429" w:type="dxa"/>
            <w:gridSpan w:val="6"/>
            <w:tcBorders/>
          </w:tcPr>
          <w:p>
            <w:pPr>
              <w:pStyle w:val="TableContents"/>
              <w:bidi w:val="0"/>
              <w:spacing w:before="0" w:after="283"/>
              <w:jc w:val="left"/>
              <w:rPr>
                <w:sz w:val="4"/>
                <w:szCs w:val="4"/>
              </w:rPr>
            </w:pPr>
            <w:r>
              <w:rPr>
                <w:sz w:val="4"/>
                <w:szCs w:val="4"/>
              </w:rPr>
            </w:r>
          </w:p>
        </w:tc>
      </w:tr>
      <w:tr>
        <w:trPr/>
        <w:tc>
          <w:tcPr>
            <w:tcW w:w="4031" w:type="dxa"/>
            <w:gridSpan w:val="3"/>
            <w:tcBorders>
              <w:top w:val="single" w:sz="4" w:space="0" w:color="000000"/>
              <w:left w:val="single" w:sz="4"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333"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333"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333"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right w:val="single" w:sz="4"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4031" w:type="dxa"/>
            <w:gridSpan w:val="3"/>
            <w:tcBorders>
              <w:top w:val="single" w:sz="4" w:space="0" w:color="000000"/>
              <w:left w:val="single" w:sz="4"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operating activities:</w:t>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loss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76"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(4,248)</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7"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(5,575)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0"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(6,472)</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(5,935)</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Adjustments to reconcile net loss to net cash provided by (used in) operating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Stock-based compensation expense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4,439 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4,544 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5,503 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5,925 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Depreciation and amortization</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3,138 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3,451 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3,306 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4,101 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Reduction in carrying amount of right-of-use 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1,212 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1,144 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1,172 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Impairment of long-lived 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1,070 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(750)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48 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56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Changes in operating assets and liabilities: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receivable, net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74 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1,288 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(1,880)</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1,697 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Other current and non-current assets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(520)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(465)</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404 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Accounts payable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1,622 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(2,955)</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2,510 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312 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Accrued and other current liabilities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(2,357)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2,061 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(2,229)</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Seller payable</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1,589 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330 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683 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516 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74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Operating lease liabilities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(1,235)</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(1,201)</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(1,653)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(1,561)</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(used in) operating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6,028 </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(1,463)</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4,754 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4,450 </w:t>
            </w:r>
          </w:p>
        </w:tc>
        <w:tc>
          <w:tcPr>
            <w:tcW w:w="170"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investing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marketable securities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(3,872)</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(7,762)</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(4,579)</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(5,666)</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Sale and maturities of marketable securities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5,650 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3,225 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3,675 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5,878 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Purchases of property and equipment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(3,651)</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(1,727)</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(4,111)</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(2,667)</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used in investing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(1,873)</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(6,264)</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(5,015)</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(2,455)</w:t>
            </w:r>
          </w:p>
        </w:tc>
        <w:tc>
          <w:tcPr>
            <w:tcW w:w="170"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18"/>
              </w:rPr>
            </w:pPr>
            <w:r>
              <w:rPr>
                <w:rFonts w:ascii="Helvetica;sans-serif" w:hAnsi="Helvetica;sans-serif"/>
                <w:b/>
                <w:color w:val="000000"/>
                <w:sz w:val="18"/>
              </w:rPr>
              <w:t>Cash flows from financing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4" w:space="0" w:color="000000"/>
              <w:right w:val="single" w:sz="4" w:space="0" w:color="000000"/>
            </w:tcBorders>
            <w:tcMar>
              <w:left w:w="0" w:type="dxa"/>
              <w:bottom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Payments on debt</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(1,000)</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(1,000)</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(433)</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Proceeds from issuance of stock-based awards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6,915 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6,164 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4,445 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3,947 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38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Payment of withholding taxes on stock-based awards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(8,446)</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(5,113)</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(3,384)</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(2,733)</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cash provided by (used in) financing activities</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(2,531)</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628 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1,178 </w:t>
            </w:r>
          </w:p>
        </w:tc>
        <w:tc>
          <w:tcPr>
            <w:tcW w:w="170"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r>
      <w:tr>
        <w:trPr/>
        <w:tc>
          <w:tcPr>
            <w:tcW w:w="4031"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192" w:type="dxa"/>
            <w:gridSpan w:val="3"/>
            <w:tcBorders/>
            <w:vAlign w:val="center"/>
          </w:tcPr>
          <w:p>
            <w:pPr>
              <w:pStyle w:val="TableContents"/>
              <w:bidi w:val="0"/>
              <w:spacing w:before="0" w:after="283"/>
              <w:jc w:val="left"/>
              <w:rPr>
                <w:sz w:val="4"/>
                <w:szCs w:val="4"/>
              </w:rPr>
            </w:pPr>
            <w:r>
              <w:rPr>
                <w:sz w:val="4"/>
                <w:szCs w:val="4"/>
              </w:rPr>
            </w:r>
          </w:p>
        </w:tc>
        <w:tc>
          <w:tcPr>
            <w:tcW w:w="333" w:type="dxa"/>
            <w:gridSpan w:val="3"/>
            <w:tcBorders/>
            <w:vAlign w:val="center"/>
          </w:tcPr>
          <w:p>
            <w:pPr>
              <w:pStyle w:val="TableContents"/>
              <w:bidi w:val="0"/>
              <w:spacing w:before="0" w:after="283"/>
              <w:jc w:val="left"/>
              <w:rPr>
                <w:sz w:val="4"/>
                <w:szCs w:val="4"/>
              </w:rPr>
            </w:pPr>
            <w:r>
              <w:rPr>
                <w:sz w:val="4"/>
                <w:szCs w:val="4"/>
              </w:rPr>
            </w:r>
          </w:p>
        </w:tc>
        <w:tc>
          <w:tcPr>
            <w:tcW w:w="10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Net change in cash, cash equivalents, and restricted cash</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1,624 </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(7,676)</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367 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3,173 </w:t>
            </w:r>
          </w:p>
        </w:tc>
        <w:tc>
          <w:tcPr>
            <w:tcW w:w="170"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beginning of period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49,629 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51,253 </w:t>
            </w:r>
          </w:p>
        </w:tc>
        <w:tc>
          <w:tcPr>
            <w:tcW w:w="12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43,577 </w:t>
            </w:r>
          </w:p>
        </w:tc>
        <w:tc>
          <w:tcPr>
            <w:tcW w:w="11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43,944 </w:t>
            </w:r>
          </w:p>
        </w:tc>
        <w:tc>
          <w:tcPr>
            <w:tcW w:w="170" w:type="dxa"/>
            <w:tcBorders>
              <w:right w:val="single" w:sz="4"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31" w:type="dxa"/>
            <w:gridSpan w:val="3"/>
            <w:tcBorders>
              <w:left w:val="single" w:sz="4"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Cash, cash equivalents, and restricted cash, end of period</w:t>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5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7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51,253 </w:t>
            </w:r>
          </w:p>
        </w:tc>
        <w:tc>
          <w:tcPr>
            <w:tcW w:w="133"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827"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43,577 </w:t>
            </w:r>
          </w:p>
        </w:tc>
        <w:tc>
          <w:tcPr>
            <w:tcW w:w="124"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40"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43,944 </w:t>
            </w:r>
          </w:p>
        </w:tc>
        <w:tc>
          <w:tcPr>
            <w:tcW w:w="11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18"/>
              </w:rPr>
            </w:pPr>
            <w:r>
              <w:rPr>
                <w:rFonts w:ascii="Helvetica;sans-serif" w:hAnsi="Helvetica;sans-serif"/>
                <w:b w:val="false"/>
                <w:color w:val="000000"/>
                <w:sz w:val="18"/>
              </w:rPr>
              <w:t>$</w:t>
            </w:r>
          </w:p>
        </w:tc>
        <w:tc>
          <w:tcPr>
            <w:tcW w:w="72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18"/>
              </w:rPr>
            </w:pPr>
            <w:r>
              <w:rPr>
                <w:rFonts w:ascii="Helvetica;sans-serif" w:hAnsi="Helvetica;sans-serif"/>
                <w:b w:val="false"/>
                <w:color w:val="000000"/>
                <w:sz w:val="18"/>
              </w:rPr>
              <w:t>47,117 </w:t>
            </w:r>
          </w:p>
        </w:tc>
        <w:tc>
          <w:tcPr>
            <w:tcW w:w="170" w:type="dxa"/>
            <w:tcBorders>
              <w:top w:val="single" w:sz="4" w:space="0" w:color="000000"/>
              <w:right w:val="single" w:sz="4"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4031" w:type="dxa"/>
            <w:gridSpan w:val="3"/>
            <w:tcBorders>
              <w:left w:val="single" w:sz="4" w:space="0" w:color="000000"/>
              <w:bottom w:val="single" w:sz="4"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bottom w:val="single" w:sz="4"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265"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33"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top w:val="double" w:sz="8"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double" w:sz="8" w:space="0" w:color="000000"/>
              <w:bottom w:val="single" w:sz="4" w:space="0" w:color="000000"/>
              <w:right w:val="single" w:sz="4" w:space="0" w:color="000000"/>
            </w:tcBorders>
            <w:tcMar>
              <w:lef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040"/>
        <w:gridCol w:w="783"/>
        <w:gridCol w:w="785"/>
        <w:gridCol w:w="161"/>
        <w:gridCol w:w="161"/>
        <w:gridCol w:w="161"/>
        <w:gridCol w:w="161"/>
        <w:gridCol w:w="161"/>
        <w:gridCol w:w="392"/>
        <w:gridCol w:w="959"/>
        <w:gridCol w:w="161"/>
        <w:gridCol w:w="161"/>
        <w:gridCol w:w="161"/>
        <w:gridCol w:w="161"/>
        <w:gridCol w:w="351"/>
        <w:gridCol w:w="1015"/>
        <w:gridCol w:w="161"/>
        <w:gridCol w:w="161"/>
        <w:gridCol w:w="161"/>
        <w:gridCol w:w="161"/>
        <w:gridCol w:w="313"/>
        <w:gridCol w:w="959"/>
        <w:gridCol w:w="161"/>
        <w:gridCol w:w="109"/>
        <w:gridCol w:w="109"/>
        <w:gridCol w:w="109"/>
        <w:gridCol w:w="211"/>
        <w:gridCol w:w="646"/>
        <w:gridCol w:w="170"/>
      </w:tblGrid>
      <w:tr>
        <w:trPr/>
        <w:tc>
          <w:tcPr>
            <w:tcW w:w="1040"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1015"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8851" w:type="dxa"/>
            <w:gridSpan w:val="23"/>
            <w:tcBorders>
              <w:top w:val="single" w:sz="8" w:space="0" w:color="000000"/>
              <w:left w:val="single" w:sz="8" w:space="0" w:color="000000"/>
              <w:bottom w:val="single" w:sz="4" w:space="0" w:color="000000"/>
              <w:right w:val="single" w:sz="8" w:space="0" w:color="000000"/>
            </w:tcBorders>
            <w:shd w:fill="DAEFC6" w:val="clear"/>
            <w:tcMar>
              <w:top w:w="30" w:type="dxa"/>
              <w:bottom w:w="3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ThredUp Inc.</w:t>
            </w:r>
          </w:p>
        </w:tc>
        <w:tc>
          <w:tcPr>
            <w:tcW w:w="1354" w:type="dxa"/>
            <w:gridSpan w:val="6"/>
            <w:tcBorders/>
          </w:tcPr>
          <w:p>
            <w:pPr>
              <w:pStyle w:val="TableContents"/>
              <w:bidi w:val="0"/>
              <w:spacing w:before="0" w:after="283"/>
              <w:jc w:val="left"/>
              <w:rPr>
                <w:sz w:val="4"/>
                <w:szCs w:val="4"/>
              </w:rPr>
            </w:pPr>
            <w:r>
              <w:rPr>
                <w:sz w:val="4"/>
                <w:szCs w:val="4"/>
              </w:rPr>
            </w:r>
          </w:p>
        </w:tc>
      </w:tr>
      <w:tr>
        <w:trPr/>
        <w:tc>
          <w:tcPr>
            <w:tcW w:w="8851" w:type="dxa"/>
            <w:gridSpan w:val="23"/>
            <w:tcBorders>
              <w:top w:val="single" w:sz="4"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Reconciliation of Net Cash Provided By (Used In) Operating Activities to Non-GAAP Free Cash Flow</w:t>
            </w:r>
          </w:p>
        </w:tc>
        <w:tc>
          <w:tcPr>
            <w:tcW w:w="1354" w:type="dxa"/>
            <w:gridSpan w:val="6"/>
            <w:tcBorders/>
          </w:tcPr>
          <w:p>
            <w:pPr>
              <w:pStyle w:val="TableContents"/>
              <w:bidi w:val="0"/>
              <w:spacing w:before="0" w:after="283"/>
              <w:jc w:val="left"/>
              <w:rPr>
                <w:sz w:val="4"/>
                <w:szCs w:val="4"/>
              </w:rPr>
            </w:pPr>
            <w:r>
              <w:rPr>
                <w:sz w:val="4"/>
                <w:szCs w:val="4"/>
              </w:rPr>
            </w:r>
          </w:p>
        </w:tc>
      </w:tr>
      <w:tr>
        <w:trPr/>
        <w:tc>
          <w:tcPr>
            <w:tcW w:w="8851" w:type="dxa"/>
            <w:gridSpan w:val="23"/>
            <w:tcBorders>
              <w:left w:val="single" w:sz="8" w:space="0" w:color="000000"/>
              <w:right w:val="single" w:sz="8" w:space="0" w:color="000000"/>
            </w:tcBorders>
            <w:tcMar>
              <w:top w:w="0" w:type="dxa"/>
              <w:bottom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(in thousands, unaudited)</w:t>
            </w:r>
          </w:p>
        </w:tc>
        <w:tc>
          <w:tcPr>
            <w:tcW w:w="1354" w:type="dxa"/>
            <w:gridSpan w:val="6"/>
            <w:tcBorders/>
          </w:tcPr>
          <w:p>
            <w:pPr>
              <w:pStyle w:val="TableContents"/>
              <w:bidi w:val="0"/>
              <w:spacing w:before="0" w:after="283"/>
              <w:jc w:val="left"/>
              <w:rPr>
                <w:sz w:val="4"/>
                <w:szCs w:val="4"/>
              </w:rPr>
            </w:pPr>
            <w:r>
              <w:rPr>
                <w:sz w:val="4"/>
                <w:szCs w:val="4"/>
              </w:rPr>
            </w:r>
          </w:p>
        </w:tc>
      </w:tr>
      <w:tr>
        <w:trPr/>
        <w:tc>
          <w:tcPr>
            <w:tcW w:w="2608" w:type="dxa"/>
            <w:gridSpan w:val="3"/>
            <w:tcBorders>
              <w:top w:val="single" w:sz="4" w:space="0" w:color="000000"/>
              <w:left w:val="single" w:sz="8" w:space="0" w:color="000000"/>
            </w:tcBorders>
            <w:shd w:fill="DAEFC6" w:val="clear"/>
            <w:tcMar>
              <w:top w:w="30" w:type="dxa"/>
              <w:bottom w:w="0" w:type="dxa"/>
              <w:right w:w="0" w:type="dxa"/>
            </w:tcMar>
            <w:vAlign w:val="center"/>
          </w:tcPr>
          <w:p>
            <w:pPr>
              <w:pStyle w:val="TableContents"/>
              <w:bidi w:val="0"/>
              <w:spacing w:lineRule="auto" w:line="240" w:before="0" w:after="283"/>
              <w:jc w:val="left"/>
              <w:rPr>
                <w:rFonts w:ascii="Helvetica;sans-serif" w:hAnsi="Helvetica;sans-serif"/>
                <w:b/>
                <w:color w:val="000000"/>
                <w:sz w:val="20"/>
              </w:rPr>
            </w:pPr>
            <w:r>
              <w:rPr>
                <w:rFonts w:ascii="Helvetica;sans-serif" w:hAnsi="Helvetica;sans-serif"/>
                <w:b/>
                <w:color w:val="000000"/>
                <w:sz w:val="20"/>
              </w:rPr>
              <w:t>Three Months Ended</w:t>
            </w:r>
          </w:p>
        </w:tc>
        <w:tc>
          <w:tcPr>
            <w:tcW w:w="483"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12"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September 30,</w:t>
              <w:br/>
              <w:t>2025</w:t>
            </w:r>
          </w:p>
        </w:tc>
        <w:tc>
          <w:tcPr>
            <w:tcW w:w="483"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December 31,</w:t>
              <w:br/>
              <w:t>2025</w:t>
            </w:r>
          </w:p>
        </w:tc>
        <w:tc>
          <w:tcPr>
            <w:tcW w:w="483"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4" w:space="0" w:color="000000"/>
            </w:tcBorders>
            <w:shd w:fill="DAEFC6" w:val="clear"/>
            <w:tcMar>
              <w:top w:w="30" w:type="dxa"/>
              <w:left w:w="0" w:type="dxa"/>
              <w:bottom w:w="0" w:type="dxa"/>
              <w:right w:w="0" w:type="dxa"/>
            </w:tcMar>
            <w:vAlign w:val="center"/>
          </w:tcPr>
          <w:p>
            <w:pPr>
              <w:pStyle w:val="TableContents"/>
              <w:bidi w:val="0"/>
              <w:spacing w:lineRule="auto" w:line="240" w:before="0" w:after="283"/>
              <w:jc w:val="center"/>
              <w:rPr>
                <w:rFonts w:ascii="Helvetica;sans-serif" w:hAnsi="Helvetica;sans-serif"/>
                <w:b/>
                <w:color w:val="000000"/>
                <w:sz w:val="20"/>
              </w:rPr>
            </w:pPr>
            <w:r>
              <w:rPr>
                <w:rFonts w:ascii="Helvetica;sans-serif" w:hAnsi="Helvetica;sans-serif"/>
                <w:b/>
                <w:color w:val="000000"/>
                <w:sz w:val="20"/>
              </w:rPr>
              <w:t>March 31,</w:t>
              <w:br/>
              <w:t>2026</w:t>
            </w:r>
          </w:p>
        </w:tc>
        <w:tc>
          <w:tcPr>
            <w:tcW w:w="327" w:type="dxa"/>
            <w:gridSpan w:val="3"/>
            <w:tcBorders>
              <w:top w:val="single" w:sz="4" w:space="0" w:color="000000"/>
            </w:tcBorders>
            <w:shd w:fill="DAEFC6"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single" w:sz="4" w:space="0" w:color="000000"/>
              <w:right w:val="single" w:sz="8" w:space="0" w:color="000000"/>
            </w:tcBorders>
            <w:shd w:fill="DAEFC6" w:val="clear"/>
            <w:tcMar>
              <w:top w:w="30" w:type="dxa"/>
              <w:left w:w="0" w:type="dxa"/>
              <w:bottom w:w="0" w:type="dxa"/>
            </w:tcMar>
            <w:vAlign w:val="center"/>
          </w:tcPr>
          <w:p>
            <w:pPr>
              <w:pStyle w:val="TableContents"/>
              <w:bidi w:val="0"/>
              <w:spacing w:lineRule="auto" w:line="240" w:before="0" w:after="283"/>
              <w:ind w:left="0" w:right="0" w:hanging="180"/>
              <w:jc w:val="center"/>
              <w:rPr>
                <w:rFonts w:ascii="Helvetica;sans-serif" w:hAnsi="Helvetica;sans-serif"/>
                <w:b/>
                <w:color w:val="000000"/>
                <w:sz w:val="20"/>
              </w:rPr>
            </w:pPr>
            <w:r>
              <w:rPr>
                <w:rFonts w:ascii="Helvetica;sans-serif" w:hAnsi="Helvetica;sans-serif"/>
                <w:b/>
                <w:color w:val="000000"/>
                <w:sz w:val="20"/>
              </w:rPr>
              <w:t>June 30,</w:t>
              <w:br/>
              <w:t>2026</w:t>
            </w:r>
          </w:p>
        </w:tc>
      </w:tr>
      <w:tr>
        <w:trPr/>
        <w:tc>
          <w:tcPr>
            <w:tcW w:w="2608" w:type="dxa"/>
            <w:gridSpan w:val="3"/>
            <w:tcBorders>
              <w:top w:val="single" w:sz="4" w:space="0" w:color="000000"/>
              <w:left w:val="single" w:sz="8" w:space="0" w:color="000000"/>
            </w:tcBorders>
            <w:tcMar>
              <w:top w:w="3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Net cash provided by (used in) operating activities</w:t>
            </w:r>
          </w:p>
        </w:tc>
        <w:tc>
          <w:tcPr>
            <w:tcW w:w="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92"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6,028 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5"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(1,463)</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4,754 </w:t>
            </w:r>
          </w:p>
        </w:tc>
        <w:tc>
          <w:tcPr>
            <w:tcW w:w="161" w:type="dxa"/>
            <w:tcBorders>
              <w:top w:val="single" w:sz="4"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4,450 </w:t>
            </w:r>
          </w:p>
        </w:tc>
        <w:tc>
          <w:tcPr>
            <w:tcW w:w="170" w:type="dxa"/>
            <w:tcBorders>
              <w:top w:val="single" w:sz="4" w:space="0" w:color="000000"/>
              <w:right w:val="single" w:sz="8" w:space="0" w:color="000000"/>
            </w:tcBorders>
            <w:tcMar>
              <w:top w:w="30" w:type="dxa"/>
              <w:left w:w="0" w:type="dxa"/>
              <w:bottom w:w="0" w:type="dxa"/>
            </w:tcMar>
            <w:vAlign w:val="center"/>
          </w:tcPr>
          <w:p>
            <w:pPr>
              <w:pStyle w:val="TableContents"/>
              <w:bidi w:val="0"/>
              <w:spacing w:before="0" w:after="283"/>
              <w:jc w:val="left"/>
              <w:rPr>
                <w:sz w:val="4"/>
                <w:szCs w:val="4"/>
              </w:rPr>
            </w:pPr>
            <w:r>
              <w:rPr>
                <w:sz w:val="4"/>
                <w:szCs w:val="4"/>
              </w:rPr>
            </w:r>
          </w:p>
        </w:tc>
      </w:tr>
      <w:tr>
        <w:trPr/>
        <w:tc>
          <w:tcPr>
            <w:tcW w:w="2608" w:type="dxa"/>
            <w:gridSpan w:val="3"/>
            <w:tcBorders>
              <w:left w:val="single" w:sz="8" w:space="0" w:color="000000"/>
            </w:tcBorders>
            <w:tcMar>
              <w:top w:w="0" w:type="dxa"/>
              <w:bottom w:w="0" w:type="dxa"/>
              <w:right w:w="0" w:type="dxa"/>
            </w:tcMar>
            <w:vAlign w:val="center"/>
          </w:tcPr>
          <w:p>
            <w:pPr>
              <w:pStyle w:val="TableContents"/>
              <w:bidi w:val="0"/>
              <w:spacing w:lineRule="auto" w:line="240" w:before="0" w:after="0"/>
              <w:ind w:left="0" w:right="0" w:hanging="180"/>
              <w:jc w:val="left"/>
              <w:rPr>
                <w:rFonts w:ascii="Helvetica;sans-serif" w:hAnsi="Helvetica;sans-serif"/>
                <w:b w:val="false"/>
                <w:color w:val="000000"/>
                <w:sz w:val="20"/>
              </w:rPr>
            </w:pPr>
            <w:r>
              <w:rPr>
                <w:rFonts w:ascii="Helvetica;sans-serif" w:hAnsi="Helvetica;sans-serif"/>
                <w:b w:val="false"/>
                <w:color w:val="000000"/>
                <w:sz w:val="20"/>
              </w:rPr>
              <w:t>Purchases of property and equipment</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35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(3,651)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(1,727)</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(4,111)</w:t>
            </w:r>
          </w:p>
        </w:tc>
        <w:tc>
          <w:tcPr>
            <w:tcW w:w="16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(2,667)</w:t>
            </w:r>
          </w:p>
        </w:tc>
        <w:tc>
          <w:tcPr>
            <w:tcW w:w="170" w:type="dxa"/>
            <w:tcBorders>
              <w:right w:val="single" w:sz="8" w:space="0" w:color="000000"/>
            </w:tcBorders>
            <w:tcMar>
              <w:top w:w="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8" w:type="dxa"/>
            <w:gridSpan w:val="3"/>
            <w:tcBorders>
              <w:left w:val="single" w:sz="8" w:space="0" w:color="000000"/>
            </w:tcBorders>
            <w:tcMar>
              <w:top w:w="0" w:type="dxa"/>
              <w:left w:w="20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Non-GAAP free cash flow</w:t>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2,377 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1015"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(3,190)</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95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643 </w:t>
            </w:r>
          </w:p>
        </w:tc>
        <w:tc>
          <w:tcPr>
            <w:tcW w:w="1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Helvetica;sans-serif" w:hAnsi="Helvetica;sans-serif"/>
                <w:b w:val="false"/>
                <w:color w:val="000000"/>
                <w:sz w:val="20"/>
              </w:rPr>
            </w:pPr>
            <w:r>
              <w:rPr>
                <w:rFonts w:ascii="Helvetica;sans-serif" w:hAnsi="Helvetica;sans-serif"/>
                <w:b w:val="false"/>
                <w:color w:val="000000"/>
                <w:sz w:val="20"/>
              </w:rPr>
              <w:t>$</w:t>
            </w:r>
          </w:p>
        </w:tc>
        <w:tc>
          <w:tcPr>
            <w:tcW w:w="64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Helvetica;sans-serif" w:hAnsi="Helvetica;sans-serif"/>
                <w:b w:val="false"/>
                <w:color w:val="000000"/>
                <w:sz w:val="20"/>
              </w:rPr>
            </w:pPr>
            <w:r>
              <w:rPr>
                <w:rFonts w:ascii="Helvetica;sans-serif" w:hAnsi="Helvetica;sans-serif"/>
                <w:b w:val="false"/>
                <w:color w:val="000000"/>
                <w:sz w:val="20"/>
              </w:rPr>
              <w:t>1,783 </w:t>
            </w:r>
          </w:p>
        </w:tc>
        <w:tc>
          <w:tcPr>
            <w:tcW w:w="170" w:type="dxa"/>
            <w:tcBorders>
              <w:top w:val="single" w:sz="8" w:space="0" w:color="000000"/>
              <w:right w:val="single" w:sz="8" w:space="0" w:color="000000"/>
            </w:tcBorders>
            <w:tcMar>
              <w:top w:w="30" w:type="dxa"/>
              <w:left w:w="0" w:type="dxa"/>
              <w:bottom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8" w:type="dxa"/>
            <w:gridSpan w:val="3"/>
            <w:tcBorders>
              <w:left w:val="single" w:sz="8" w:space="0" w:color="000000"/>
              <w:bottom w:val="single" w:sz="8" w:space="0" w:color="000000"/>
            </w:tcBorders>
            <w:tcMar>
              <w:top w:w="0" w:type="dxa"/>
              <w:left w:w="20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512"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3"/>
            <w:tcBorders>
              <w:top w:val="doub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75260"/>
                <wp:effectExtent l="0" t="0" r="0" b="0"/>
                <wp:wrapNone/>
                <wp:docPr id="24" name="Frame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7</w:t>
                      </w:r>
                    </w:p>
                  </w:txbxContent>
                </v:textbox>
                <w10:wrap type="none"/>
              </v:rect>
            </w:pict>
          </mc:Fallback>
        </mc:AlternateContent>
      </w:r>
    </w:p>
    <w:p>
      <w:pPr>
        <w:pStyle w:val="TextBody"/>
        <w:bidi w:val="0"/>
        <w:spacing w:lineRule="auto" w:line="288" w:before="0" w:after="0"/>
        <w:jc w:val="both"/>
        <w:rPr>
          <w:rFonts w:ascii="Helvetica;sans-serif" w:hAnsi="Helvetica;sans-serif"/>
          <w:b/>
          <w:color w:val="000000"/>
          <w:sz w:val="24"/>
        </w:rPr>
      </w:pPr>
      <w:r>
        <w:rPr>
          <w:rFonts w:ascii="Helvetica;sans-serif" w:hAnsi="Helvetica;sans-serif"/>
          <w:b/>
          <w:color w:val="000000"/>
          <w:sz w:val="24"/>
        </w:rPr>
        <w:t>Investors</w:t>
      </w:r>
    </w:p>
    <w:p>
      <w:pPr>
        <w:pStyle w:val="TextBody"/>
        <w:bidi w:val="0"/>
        <w:spacing w:lineRule="auto" w:line="288" w:before="0" w:after="0"/>
        <w:jc w:val="both"/>
        <w:rPr>
          <w:rFonts w:ascii="Helvetica;sans-serif" w:hAnsi="Helvetica;sans-serif"/>
          <w:b w:val="false"/>
          <w:color w:val="000000"/>
          <w:sz w:val="24"/>
        </w:rPr>
      </w:pPr>
      <w:r>
        <w:rPr>
          <w:rFonts w:ascii="Helvetica;sans-serif" w:hAnsi="Helvetica;sans-serif"/>
          <w:b w:val="false"/>
          <w:color w:val="000000"/>
          <w:sz w:val="24"/>
        </w:rPr>
        <w:t>ir@thredup.com</w:t>
      </w:r>
    </w:p>
    <w:p>
      <w:pPr>
        <w:pStyle w:val="TextBody"/>
        <w:bidi w:val="0"/>
        <w:spacing w:lineRule="auto" w:line="288" w:before="120" w:after="283"/>
        <w:jc w:val="both"/>
        <w:rPr>
          <w:rFonts w:ascii="Helvetica;sans-serif" w:hAnsi="Helvetica;sans-serif"/>
          <w:b/>
          <w:color w:val="000000"/>
          <w:sz w:val="24"/>
        </w:rPr>
      </w:pPr>
      <w:r>
        <w:rPr>
          <w:rFonts w:ascii="Helvetica;sans-serif" w:hAnsi="Helvetica;sans-serif"/>
          <w:b/>
          <w:color w:val="000000"/>
          <w:sz w:val="24"/>
        </w:rPr>
        <w:t>Media</w:t>
      </w:r>
    </w:p>
    <w:p>
      <w:pPr>
        <w:pStyle w:val="TextBody"/>
        <w:bidi w:val="0"/>
        <w:spacing w:lineRule="auto" w:line="288" w:before="0" w:after="0"/>
        <w:jc w:val="both"/>
        <w:rPr>
          <w:rFonts w:ascii="Helvetica;sans-serif" w:hAnsi="Helvetica;sans-serif"/>
          <w:b w:val="false"/>
          <w:color w:val="000000"/>
          <w:sz w:val="24"/>
        </w:rPr>
      </w:pPr>
      <w:r>
        <w:rPr>
          <w:rFonts w:ascii="Helvetica;sans-serif" w:hAnsi="Helvetica;sans-serif"/>
          <w:b w:val="false"/>
          <w:color w:val="000000"/>
          <w:sz w:val="24"/>
        </w:rPr>
        <w:t>media@thredup.com</w: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About ThredUp</w:t>
      </w:r>
    </w:p>
    <w:p>
      <w:pPr>
        <w:pStyle w:val="TextBody"/>
        <w:bidi w:val="0"/>
        <w:spacing w:lineRule="auto" w:line="288" w:before="120" w:after="283"/>
        <w:jc w:val="both"/>
        <w:rPr>
          <w:rFonts w:ascii="Helvetica;sans-serif" w:hAnsi="Helvetica;sans-serif"/>
          <w:b w:val="false"/>
          <w:color w:val="000000"/>
          <w:sz w:val="24"/>
        </w:rPr>
      </w:pPr>
      <w:r>
        <w:rPr>
          <w:rFonts w:ascii="Helvetica;sans-serif" w:hAnsi="Helvetica;sans-serif"/>
          <w:b w:val="false"/>
          <w:color w:val="000000"/>
          <w:sz w:val="24"/>
        </w:rPr>
        <w:t>ThredUp is transforming resale with technology and a mission to inspire the world to think secondhand first. By making it easy to buy and sell secondhand, ThredUp has become one of the world's largest online resale platforms for apparel, shoes and accessories. Sellers enjoy ThredUp because we make it easy to clean out their closets and unlock value for themselves or for the charity of their choice while doing good for the planet. Buyers enjoy shopping value, premium and luxury brands all in one place, at up to 90% off estimated retail price. Our proprietary operating platform is the foundation for our managed marketplace and consists of distributed processing infrastructure, proprietary software and systems and data science expertise. With ThredUp’s Resale-as-a-Service, some of the world's leading brands and retailers are leveraging our platform to deliver customizable, scalable resale experiences to their customers. ThredUp has processed over 200 million unique secondhand items from 60,000 brands across 100 categories. By extending the life cycle of clothing, ThredUp is changing the way consumers shop and ushering in a more sustainable future for the fashion industry.</w:t>
      </w:r>
    </w:p>
    <w:p>
      <w:pPr>
        <w:pStyle w:val="TextBody"/>
        <w:bidi w:val="0"/>
        <w:spacing w:lineRule="auto" w:line="288" w:before="240" w:after="283"/>
        <w:jc w:val="both"/>
        <w:rPr>
          <w:rFonts w:ascii="Helvetica;sans-serif" w:hAnsi="Helvetica;sans-serif"/>
          <w:b/>
          <w:color w:val="000000"/>
          <w:sz w:val="24"/>
        </w:rPr>
      </w:pPr>
      <w:r>
        <w:rPr>
          <w:rFonts w:ascii="Helvetica;sans-serif" w:hAnsi="Helvetica;sans-serif"/>
          <w:b/>
          <w:color w:val="000000"/>
          <w:sz w:val="24"/>
        </w:rPr>
        <w:t>Forward-Looking Statements</w:t>
      </w:r>
    </w:p>
    <w:p>
      <w:pPr>
        <w:pStyle w:val="TextBody"/>
        <w:bidi w:val="0"/>
        <w:spacing w:lineRule="auto" w:line="288" w:before="120" w:after="283"/>
        <w:jc w:val="both"/>
        <w:rPr>
          <w:rFonts w:ascii="Helvetica;sans-serif" w:hAnsi="Helvetica;sans-serif"/>
          <w:b w:val="false"/>
          <w:color w:val="000000"/>
          <w:sz w:val="24"/>
        </w:rPr>
      </w:pPr>
      <w:r>
        <w:rPr>
          <w:rFonts w:ascii="Helvetica;sans-serif" w:hAnsi="Helvetica;sans-serif"/>
          <w:b w:val="false"/>
          <w:color w:val="000000"/>
          <w:sz w:val="24"/>
        </w:rPr>
        <w:t>This financial supplement contains forward-looking statements within the meaning of the federal securities laws, which are statements that involve substantial risks and uncertainties. Forward-looking statements generally relate to future events or our future financial or operating performance. In some cases, you can identify forward-looking statements because they contain words such as “may,” “will,” “shall,” “should,” “expects,” “plans,” “anticipates,” “could,” “intends,” “target,” “projects,” “contemplates,” “believes,” “estimates,” “predicts,” “potential”, “looking ahead,” “looking forward,” “seeking” or “continue” or the negative of these words or other similar terms or expressions that concern our expectations, strategy, plans or intentions. Forward-looking statements in this financial supplement include, but are not limited to, guidance on financial results for the third and fourth quarters and full year of 2026; statements about future free cash flow, operating results, capital expenditures and other developments in our business and our long term growth; trends, consumer demand and growth in the online resale markets; the momentum of our business; our investments in technology and infrastructure, including with respect to AI technologies; the impact of tariffs and other changes to global trade on our business; the success and expansion of our RaaS® model and the timing and plans for future RaaS® clients;the implementation and success of direct selling and premium listings on ThredUp; our ability to attract new Active Buyers, including our efforts to make resale more engaging and accessible to a wider audience through innovative shopping experiences, such as the launch of our rebrand; and legal and regulatory developments.</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More information on these risks and other potential factors that could affect the Company’s business, reputation, results of operations, financial condition, and stock price is included in the Company’s filings with the Securities and Exchange Commission (“SEC”), including in the “Risk Factors” and “Management’s Discussion and Analysis of Financial Condition and Results of Operations” sections of the Company’s most recently filed periodic reports on Form 10-K and Form 10-Q and subsequent filings. The forward-looking statements in this financial supplement are based on information available to us as of the date hereof, and we disclaim any obligation to update any forward-looking statements, except as required by law. These forward-looking statements should not be relied upon as representing ThredUp’s views as of any date subsequent to the date of this financial supplement.</w:t>
      </w:r>
    </w:p>
    <w:p>
      <w:pPr>
        <w:pStyle w:val="TextBody"/>
        <w:bidi w:val="0"/>
        <w:spacing w:before="0" w:after="0"/>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75260"/>
                <wp:effectExtent l="0" t="0" r="0" b="0"/>
                <wp:wrapNone/>
                <wp:docPr id="25" name="Frame2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8</w:t>
                      </w:r>
                    </w:p>
                  </w:txbxContent>
                </v:textbox>
                <w10:wrap type="none"/>
              </v:rect>
            </w:pict>
          </mc:Fallback>
        </mc:AlternateConten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Additional information regarding these and other factors that could affect ThredUp's results is included in ThredUp’s SEC filings, which may be obtained by visiting our Investor Relations website at ir.thredup.com or the SEC's website at www.sec.gov.</w:t>
      </w:r>
    </w:p>
    <w:p>
      <w:pPr>
        <w:pStyle w:val="TextBody"/>
        <w:bidi w:val="0"/>
        <w:spacing w:lineRule="auto" w:line="288" w:before="360" w:after="283"/>
        <w:jc w:val="both"/>
        <w:rPr>
          <w:rFonts w:ascii="Helvetica;sans-serif" w:hAnsi="Helvetica;sans-serif"/>
          <w:b/>
          <w:color w:val="000000"/>
          <w:sz w:val="24"/>
        </w:rPr>
      </w:pPr>
      <w:r>
        <w:rPr>
          <w:rFonts w:ascii="Helvetica;sans-serif" w:hAnsi="Helvetica;sans-serif"/>
          <w:b/>
          <w:color w:val="000000"/>
          <w:sz w:val="24"/>
        </w:rPr>
        <w:t>Non-GAAP Financial Measures and Other Operating and Business Metrics</w:t>
      </w:r>
    </w:p>
    <w:p>
      <w:pPr>
        <w:pStyle w:val="TextBody"/>
        <w:bidi w:val="0"/>
        <w:spacing w:lineRule="auto" w:line="288" w:before="120" w:after="283"/>
        <w:jc w:val="both"/>
        <w:rPr>
          <w:rFonts w:ascii="Helvetica;sans-serif" w:hAnsi="Helvetica;sans-serif"/>
          <w:b w:val="false"/>
          <w:color w:val="000000"/>
          <w:sz w:val="24"/>
        </w:rPr>
      </w:pPr>
      <w:r>
        <w:rPr>
          <w:rFonts w:ascii="Helvetica;sans-serif" w:hAnsi="Helvetica;sans-serif"/>
          <w:b w:val="false"/>
          <w:color w:val="000000"/>
          <w:sz w:val="24"/>
        </w:rPr>
        <w:t>This financial supplement and the accompanying tables contain non-GAAP financial measures: Adjusted EBITDA from continuing operations, Adjusted EBITDA from continuing operations margin, Non-GAAP operating expenses, and Non-GAAP free cash flow. In addition to our results determined in accordance with GAAP, we believe that these non-GAAP financial measures, are useful in evaluating our operating performance. We use these non-GAAP financial measures to evaluate and assess our operating performance and the operating leverage in our business, and for internal planning and forecasting purposes. We believe that these non-GAAP financial measures, when taken collectively with our GAAP results, may be helpful to investors because they provide consistency and comparability with past financial performance and assist in comparisons with other companies, some of which use similar non-GAAP financial information to supplement their GAAP results. These non-GAAP financial measures are presented for supplemental informational purposes only, should not be considered a substitute for financial information presented in accordance with GAAP and may be different from similarly-titled non-GAAP financial measures used by other companies.</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A reconciliation is provided above for Non-GAAP Adjusted EBITDA from continuing operations to Loss from continuing operations, the most directly comparable financial measures stated in accordance with GAAP. We calculate Adjusted EBITDA from continuing operations as Loss from continuing operations adjusted to exclude, where applicable in a given period, stock-based compensation expense, depreciation and amortization, interest expense, provision (benefit) for income taxes, impairment of long-lived assets, legal settlement and fees, severance and other reorganization costs, and gains related to non-marketable equity investment.</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A reconciliation is provided above for Non-GAAP operating expenses to Total operating expenses, the most directly comparable financial measures stated in accordance with GAAP. Non-GAAP operating expenses are Total operating expenses adjusted to exclude stock-based compensation expense and severance and other reorganization costs.</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 xml:space="preserve">A reconciliation is provided above for Non-GAAP free cash flow to Net cash provided by (used in) operating activities, the most directly comparable financial measure stated in accordance with GAAP. We calculate Non-GAAP free cash flow as Net cash provided by (used in) operating activities reduced by Purchases of property and equipment. </w: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 xml:space="preserve">ThredUp is not providing a quantitative reconciliation of forward-looking guidance of the non-GAAP measures above, including Adjusted EBITDA margin to net loss margin, the most directly comparable financial measure under GAAP, because certain items are out of ThredUp’s control or cannot be reasonably predicted. We calculate Adjusted EBITDA as net loss adjusted to exclude, where applicable in a given period, stock-based compensation expense, depreciation and amortization, interest expense, provision (benefit) for income taxes, impairment of long-lived assets, legal settlement and fees, severance and other reorganization costs, and gains related to non-marketable equity investment. Adjusted EBITDA margin represents Adjusted EBITDA divided by Revenue for the same period. Accordingly, a reconciliation for Adjusted EBITDA in order to calculate forward-looking Adjusted EBITDA margin is not available without unreasonable effort. These items are uncertain, depend on various factors, and could result in projected net loss margin being materially greater than is indicated by the currently estimated Adjusted EBITDA margin. </w:t>
      </w:r>
    </w:p>
    <w:p>
      <w:pPr>
        <w:pStyle w:val="TextBody"/>
        <w:bidi w:val="0"/>
        <w:spacing w:before="0" w:after="0"/>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75260"/>
                <wp:effectExtent l="0" t="0" r="0" b="0"/>
                <wp:wrapNone/>
                <wp:docPr id="26" name="Frame2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9</w:t>
                      </w:r>
                    </w:p>
                  </w:txbxContent>
                </v:textbox>
                <w10:wrap type="none"/>
              </v:rect>
            </w:pict>
          </mc:Fallback>
        </mc:AlternateContent>
      </w:r>
    </w:p>
    <w:p>
      <w:pPr>
        <w:pStyle w:val="TextBody"/>
        <w:bidi w:val="0"/>
        <w:spacing w:lineRule="auto" w:line="288" w:before="240" w:after="283"/>
        <w:jc w:val="both"/>
        <w:rPr>
          <w:rFonts w:ascii="Helvetica;sans-serif" w:hAnsi="Helvetica;sans-serif"/>
          <w:b w:val="false"/>
          <w:color w:val="000000"/>
          <w:sz w:val="24"/>
        </w:rPr>
      </w:pPr>
      <w:r>
        <w:rPr>
          <w:rFonts w:ascii="Helvetica;sans-serif" w:hAnsi="Helvetica;sans-serif"/>
          <w:b w:val="false"/>
          <w:color w:val="000000"/>
          <w:sz w:val="24"/>
        </w:rPr>
        <w:t>We encourage investors to review our results determined in accordance with GAAP and the accompanying reconciliations for more information.</w:t>
      </w:r>
    </w:p>
    <w:p>
      <w:pPr>
        <w:pStyle w:val="TextBody"/>
        <w:bidi w:val="0"/>
        <w:spacing w:lineRule="auto" w:line="288" w:before="240" w:after="283"/>
        <w:jc w:val="both"/>
        <w:rPr/>
      </w:pPr>
      <w:r>
        <w:rPr>
          <w:rFonts w:ascii="Helvetica;sans-serif" w:hAnsi="Helvetica;sans-serif"/>
          <w:b w:val="false"/>
          <w:color w:val="000000"/>
          <w:sz w:val="24"/>
        </w:rPr>
        <w:t>An Active Buyer is a ThredUp buyer who has made at least one purchase in the last twelve months. A ThredUp buyer is a customer who has created an account and purchased in our marketplaces, including through our RaaS</w:t>
      </w:r>
      <w:r>
        <w:rPr>
          <w:rFonts w:ascii="Helvetica;sans-serif" w:hAnsi="Helvetica;sans-serif"/>
          <w:b w:val="false"/>
          <w:color w:val="000000"/>
          <w:sz w:val="16"/>
        </w:rPr>
        <w:t>®</w:t>
      </w:r>
      <w:r>
        <w:rPr>
          <w:color w:val="000000"/>
        </w:rPr>
        <w:t xml:space="preserve"> </w:t>
      </w:r>
      <w:r>
        <w:rPr>
          <w:rFonts w:ascii="Helvetica;sans-serif" w:hAnsi="Helvetica;sans-serif"/>
          <w:b w:val="false"/>
          <w:color w:val="000000"/>
          <w:sz w:val="24"/>
        </w:rPr>
        <w:t xml:space="preserve">clients, and is identified by a unique email address. A single person could have multiple ThredUp accounts and count as multiple Active Buyers. </w:t>
      </w:r>
    </w:p>
    <w:p>
      <w:pPr>
        <w:pStyle w:val="TextBody"/>
        <w:bidi w:val="0"/>
        <w:spacing w:lineRule="auto" w:line="288" w:before="240" w:after="283"/>
        <w:jc w:val="both"/>
        <w:rPr/>
      </w:pPr>
      <w:r>
        <w:rPr>
          <w:rFonts w:ascii="Helvetica;sans-serif" w:hAnsi="Helvetica;sans-serif"/>
          <w:b w:val="false"/>
          <w:color w:val="000000"/>
          <w:sz w:val="24"/>
        </w:rPr>
        <w:t>Orders are defined as the total number of orders placed by buyers across our marketplaces, including through our RaaS</w:t>
      </w:r>
      <w:r>
        <w:rPr>
          <w:rFonts w:ascii="Helvetica;sans-serif" w:hAnsi="Helvetica;sans-serif"/>
          <w:b w:val="false"/>
          <w:color w:val="000000"/>
          <w:sz w:val="16"/>
        </w:rPr>
        <w:t>®</w:t>
      </w:r>
      <w:r>
        <w:rPr>
          <w:color w:val="000000"/>
        </w:rPr>
        <w:t xml:space="preserve"> </w:t>
      </w:r>
      <w:r>
        <w:rPr>
          <w:rFonts w:ascii="Helvetica;sans-serif" w:hAnsi="Helvetica;sans-serif"/>
          <w:b w:val="false"/>
          <w:color w:val="000000"/>
          <w:sz w:val="24"/>
        </w:rPr>
        <w:t>clients, in a given period, net of cancellations.</w:t>
      </w:r>
    </w:p>
    <w:p>
      <w:pPr>
        <w:pStyle w:val="TextBody"/>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75260"/>
                <wp:effectExtent l="0" t="0" r="0" b="0"/>
                <wp:wrapNone/>
                <wp:docPr id="27" name="Frame2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Helvetica;sans-serif" w:hAnsi="Helvetica;sans-serif"/>
                          <w:b w:val="false"/>
                          <w:color w:val="000000"/>
                          <w:sz w:val="24"/>
                        </w:rPr>
                      </w:pPr>
                      <w:r>
                        <w:rPr>
                          <w:rFonts w:ascii="Helvetica;sans-serif" w:hAnsi="Helvetica;sans-serif"/>
                          <w:b w:val="false"/>
                          <w:color w:val="000000"/>
                          <w:sz w:val="24"/>
                        </w:rPr>
                        <w:t>10</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6481</Words>
  <Characters>36983</Characters>
  <CharactersWithSpaces>42593</CharactersWithSpaces>
  <Paragraphs>1590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