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6640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664083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Homer Christopher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THREDUP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969 BROADWAY,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ThredUp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TDUP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96" w:lineRule="exact"/>
        <w:rPr>
          <w:sz w:val="24"/>
          <w:szCs w:val="24"/>
          <w:color w:val="auto"/>
        </w:rPr>
      </w:pPr>
    </w:p>
    <w:p>
      <w:pPr>
        <w:sectPr>
          <w:pgSz w:w="11900" w:h="16838" w:orient="portrait"/>
          <w:cols w:equalWidth="0" w:num="3">
            <w:col w:w="3180" w:space="720"/>
            <w:col w:w="3103" w:space="720"/>
            <w:col w:w="3357"/>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7"/>
          </w:tcPr>
          <w:p>
            <w:pPr>
              <w:jc w:val="center"/>
              <w:ind w:right="33"/>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OAKLAND</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94607</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jc w:val="center"/>
              <w:ind w:left="588"/>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tcPr>
          <w:p>
            <w:pPr>
              <w:jc w:val="center"/>
              <w:ind w:left="608"/>
              <w:spacing w:after="0"/>
              <w:rPr>
                <w:sz w:val="20"/>
                <w:szCs w:val="20"/>
                <w:color w:val="auto"/>
              </w:rPr>
            </w:pPr>
            <w:r>
              <w:rPr>
                <w:rFonts w:ascii="Times New Roman" w:cs="Times New Roman" w:eastAsia="Times New Roman" w:hAnsi="Times New Roman"/>
                <w:sz w:val="17"/>
                <w:szCs w:val="17"/>
                <w:color w:val="0000FF"/>
                <w:w w:val="98"/>
              </w:rPr>
              <w:t>06/01/2026</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54,166</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07"/>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1,329,072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608"/>
              <w:spacing w:after="0"/>
              <w:rPr>
                <w:sz w:val="20"/>
                <w:szCs w:val="20"/>
                <w:color w:val="auto"/>
              </w:rPr>
            </w:pPr>
            <w:r>
              <w:rPr>
                <w:rFonts w:ascii="Times New Roman" w:cs="Times New Roman" w:eastAsia="Times New Roman" w:hAnsi="Times New Roman"/>
                <w:sz w:val="17"/>
                <w:szCs w:val="17"/>
                <w:color w:val="0000FF"/>
                <w:w w:val="98"/>
              </w:rPr>
              <w:t>06/02/2026</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27,229</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4.4345</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1,301,843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tcPr>
          <w:p>
            <w:pPr>
              <w:jc w:val="center"/>
              <w:ind w:left="608"/>
              <w:spacing w:after="0"/>
              <w:rPr>
                <w:sz w:val="20"/>
                <w:szCs w:val="20"/>
                <w:color w:val="auto"/>
              </w:rPr>
            </w:pPr>
            <w:r>
              <w:rPr>
                <w:rFonts w:ascii="Times New Roman" w:cs="Times New Roman" w:eastAsia="Times New Roman" w:hAnsi="Times New Roman"/>
                <w:sz w:val="17"/>
                <w:szCs w:val="17"/>
                <w:color w:val="0000FF"/>
                <w:w w:val="98"/>
              </w:rPr>
              <w:t>06/01/2026</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39,584</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07"/>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1,341,427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608"/>
              <w:spacing w:after="0"/>
              <w:rPr>
                <w:sz w:val="20"/>
                <w:szCs w:val="20"/>
                <w:color w:val="auto"/>
              </w:rPr>
            </w:pPr>
            <w:r>
              <w:rPr>
                <w:rFonts w:ascii="Times New Roman" w:cs="Times New Roman" w:eastAsia="Times New Roman" w:hAnsi="Times New Roman"/>
                <w:sz w:val="17"/>
                <w:szCs w:val="17"/>
                <w:color w:val="0000FF"/>
                <w:w w:val="98"/>
              </w:rPr>
              <w:t>06/02/2026</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19,899</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4.4346</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1,321,528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tcPr>
          <w:p>
            <w:pPr>
              <w:jc w:val="center"/>
              <w:ind w:left="608"/>
              <w:spacing w:after="0"/>
              <w:rPr>
                <w:sz w:val="20"/>
                <w:szCs w:val="20"/>
                <w:color w:val="auto"/>
              </w:rPr>
            </w:pPr>
            <w:r>
              <w:rPr>
                <w:rFonts w:ascii="Times New Roman" w:cs="Times New Roman" w:eastAsia="Times New Roman" w:hAnsi="Times New Roman"/>
                <w:sz w:val="17"/>
                <w:szCs w:val="17"/>
                <w:color w:val="0000FF"/>
                <w:w w:val="98"/>
              </w:rPr>
              <w:t>06/01/2026</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28,745</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07"/>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1,350,273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608"/>
              <w:spacing w:after="0"/>
              <w:rPr>
                <w:sz w:val="20"/>
                <w:szCs w:val="20"/>
                <w:color w:val="auto"/>
              </w:rPr>
            </w:pPr>
            <w:r>
              <w:rPr>
                <w:rFonts w:ascii="Times New Roman" w:cs="Times New Roman" w:eastAsia="Times New Roman" w:hAnsi="Times New Roman"/>
                <w:sz w:val="17"/>
                <w:szCs w:val="17"/>
                <w:color w:val="0000FF"/>
                <w:w w:val="98"/>
              </w:rPr>
              <w:t>06/02/2026</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14,450</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4.4344</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1,335,823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3"/>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48"/>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right"/>
              <w:ind w:right="272"/>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jc w:val="center"/>
              <w:ind w:right="53"/>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54,166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06/01/2026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4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54,166</w:t>
            </w: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3"/>
                <w:szCs w:val="13"/>
                <w:color w:val="0000FF"/>
              </w:rPr>
              <w:t>701,614</w:t>
            </w: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right"/>
              <w:ind w:right="272"/>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tcPr>
          <w:p>
            <w:pPr>
              <w:jc w:val="center"/>
              <w:ind w:right="53"/>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39,584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06/01/2026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4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39,584</w:t>
            </w: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3"/>
                <w:szCs w:val="13"/>
                <w:color w:val="0000FF"/>
              </w:rPr>
              <w:t>662,030</w:t>
            </w: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right"/>
              <w:ind w:right="272"/>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tcPr>
          <w:p>
            <w:pPr>
              <w:jc w:val="center"/>
              <w:ind w:right="53"/>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28,745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06/01/2026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4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28,745</w:t>
            </w: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3"/>
                <w:szCs w:val="13"/>
                <w:color w:val="0000FF"/>
              </w:rPr>
              <w:t>633,285</w:t>
            </w: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-2717165</wp:posOffset>
            </wp:positionV>
            <wp:extent cx="29210" cy="2722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7222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RSUs. This sale is mandated by the Issuer's election under its equity incentive plans to require the satisfaction of tax withholding obligations to be funded by a "sell to cover" transaction and does not represent a discretionary trade by the Reporting Person.</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Issuer's Class A Common Stock.</w:t>
      </w:r>
    </w:p>
    <w:p>
      <w:pPr>
        <w:spacing w:after="0" w:line="44" w:lineRule="exact"/>
        <w:rPr>
          <w:rFonts w:ascii="Times New Roman" w:cs="Times New Roman" w:eastAsia="Times New Roman" w:hAnsi="Times New Roman"/>
          <w:sz w:val="13"/>
          <w:szCs w:val="13"/>
          <w:color w:val="008000"/>
        </w:rPr>
      </w:pPr>
    </w:p>
    <w:p>
      <w:pPr>
        <w:ind w:left="40" w:right="4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26, 2024, the Reporting Person was granted 650,000 RSUs, vesting in twelve equal quarterly installments on June 1, September 1, December 1 and March 1 until fully vested, subject to the Reporting Person's continued service to the Issuer on each such date.</w:t>
      </w:r>
    </w:p>
    <w:p>
      <w:pPr>
        <w:spacing w:after="0" w:line="16" w:lineRule="exact"/>
        <w:rPr>
          <w:rFonts w:ascii="Times New Roman" w:cs="Times New Roman" w:eastAsia="Times New Roman" w:hAnsi="Times New Roman"/>
          <w:sz w:val="13"/>
          <w:szCs w:val="13"/>
          <w:color w:val="008000"/>
        </w:rPr>
      </w:pPr>
    </w:p>
    <w:p>
      <w:pPr>
        <w:ind w:left="40" w:right="6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9, 2025, the Reporting Person was granted 475,000 RSUs, vesting in twelve equal quarterly installments on June 1, September 1, December 1 and March 1 until fully vested, subject to the Reporting Person's continued service to the Issuer on each such date.</w:t>
      </w:r>
    </w:p>
    <w:p>
      <w:pPr>
        <w:spacing w:after="0" w:line="16" w:lineRule="exact"/>
        <w:rPr>
          <w:rFonts w:ascii="Times New Roman" w:cs="Times New Roman" w:eastAsia="Times New Roman" w:hAnsi="Times New Roman"/>
          <w:sz w:val="13"/>
          <w:szCs w:val="13"/>
          <w:color w:val="008000"/>
        </w:rPr>
      </w:pPr>
    </w:p>
    <w:p>
      <w:pPr>
        <w:ind w:left="40" w:right="5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28, 2026, the Reporting Person was granted 344,941 RSUs, vesting in twelve equal quarterly installments on June 1, September 1, December 1 and March 1 until fully vested, subject to the Reporting Person's continued service to the Issuer on each such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Alon Rotem,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06/03/2026</w:t>
            </w:r>
          </w:p>
        </w:tc>
        <w:tc>
          <w:tcPr>
            <w:tcW w:w="0" w:type="dxa"/>
            <w:vAlign w:val="bottom"/>
          </w:tcPr>
          <w:p>
            <w:pPr>
              <w:spacing w:after="0"/>
              <w:rPr>
                <w:sz w:val="1"/>
                <w:szCs w:val="1"/>
                <w:color w:val="auto"/>
              </w:rPr>
            </w:pPr>
          </w:p>
        </w:tc>
      </w:tr>
      <w:tr>
        <w:trPr>
          <w:trHeight w:val="88"/>
        </w:trPr>
        <w:tc>
          <w:tcPr>
            <w:tcW w:w="194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2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4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17" w:right="359" w:bottom="0" w:gutter="0" w:footer="0" w:header="0"/>
          <w:type w:val="continuous"/>
        </w:sectPr>
      </w:pPr>
    </w:p>
    <w:bookmarkStart w:id="1" w:name="page2"/>
    <w:bookmarkEnd w:id="1"/>
    <w:p>
      <w:pPr>
        <w:jc w:val="both"/>
        <w:ind w:right="2499"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0197" TargetMode="External"/><Relationship Id="rId14" Type="http://schemas.openxmlformats.org/officeDocument/2006/relationships/hyperlink" Target="http://www.sec.gov/cgi-bin/browse-edgar?action=getcompany&amp;CIK=00014847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2026-06-03T15:46:35Z</dcterms:created>
  <dcterms:modified xsi:type="dcterms:W3CDTF">2026-06-03T15:46:35Z</dcterms:modified>
</cp:coreProperties>
</file>