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120" w:after="283"/>
        <w:jc w:val="center"/>
        <w:rPr>
          <w:rFonts w:ascii="Helvetica;sans-serif" w:hAnsi="Helvetica;sans-serif"/>
          <w:b/>
          <w:color w:val="000000"/>
          <w:sz w:val="28"/>
        </w:rPr>
      </w:pPr>
      <w:r>
        <w:rPr>
          <w:rFonts w:ascii="Helvetica;sans-serif" w:hAnsi="Helvetica;sans-serif"/>
          <w:b/>
          <w:color w:val="000000"/>
          <w:sz w:val="28"/>
        </w:rPr>
        <w:t>FORM 10-Q</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 One)</w:t>
      </w:r>
    </w:p>
    <w:p>
      <w:pPr>
        <w:pStyle w:val="TextBody"/>
        <w:bidi w:val="0"/>
        <w:spacing w:lineRule="auto" w:line="288" w:before="0" w:after="0"/>
        <w:jc w:val="both"/>
        <w:rPr>
          <w:color w:val="000000"/>
        </w:rPr>
      </w:pPr>
      <w:r>
        <w:rPr>
          <w:color w:val="000000"/>
        </w:rPr>
        <w:t>☒    </w:t>
      </w:r>
      <w:r>
        <w:rPr>
          <w:rFonts w:ascii="Helvetica;sans-serif" w:hAnsi="Helvetica;sans-serif"/>
          <w:b/>
          <w:color w:val="000000"/>
          <w:sz w:val="20"/>
        </w:rPr>
        <w:t>QUARTERLY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quarterly period ended June 30, 2025</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or</w:t>
      </w:r>
    </w:p>
    <w:p>
      <w:pPr>
        <w:pStyle w:val="TextBody"/>
        <w:bidi w:val="0"/>
        <w:spacing w:lineRule="auto" w:line="288" w:before="120" w:after="283"/>
        <w:jc w:val="left"/>
        <w:rPr>
          <w:color w:val="000000"/>
        </w:rPr>
      </w:pPr>
      <w:r>
        <w:rPr>
          <w:color w:val="000000"/>
        </w:rPr>
        <w:t>☐    </w:t>
      </w:r>
      <w:r>
        <w:rPr>
          <w:rFonts w:ascii="Helvetica;sans-serif" w:hAnsi="Helvetica;sans-serif"/>
          <w:b/>
          <w:color w:val="000000"/>
          <w:sz w:val="20"/>
        </w:rPr>
        <w:t>TRANSITION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transition period from ____________________ to ____________________</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Commission File Number: 001-40249</w:t>
      </w:r>
    </w:p>
    <w:p>
      <w:pPr>
        <w:pStyle w:val="TextBody"/>
        <w:bidi w:val="0"/>
        <w:spacing w:before="120" w:after="283"/>
        <w:jc w:val="center"/>
        <w:rPr/>
      </w:pPr>
      <w:r>
        <w:rPr/>
        <w:drawing>
          <wp:inline distT="0" distB="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bidi w:val="0"/>
        <w:spacing w:before="0" w:after="0"/>
        <w:jc w:val="both"/>
        <w:rPr/>
      </w:pPr>
      <w:r>
        <w:rPr/>
      </w:r>
    </w:p>
    <w:tbl>
      <w:tblPr>
        <w:tblW w:w="6990" w:type="dxa"/>
        <w:jc w:val="left"/>
        <w:tblInd w:w="0" w:type="dxa"/>
        <w:tblLayout w:type="fixed"/>
        <w:tblCellMar>
          <w:top w:w="28" w:type="dxa"/>
          <w:left w:w="28" w:type="dxa"/>
          <w:bottom w:w="28" w:type="dxa"/>
          <w:right w:w="28" w:type="dxa"/>
        </w:tblCellMar>
      </w:tblPr>
      <w:tblGrid>
        <w:gridCol w:w="1566"/>
        <w:gridCol w:w="1378"/>
        <w:gridCol w:w="1391"/>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bidi w:val="0"/>
        <w:spacing w:before="0" w:after="0"/>
        <w:jc w:val="both"/>
        <w:rPr/>
      </w:pPr>
      <w:r>
        <w:rPr/>
      </w:r>
    </w:p>
    <w:p>
      <w:pPr>
        <w:pStyle w:val="TextBody"/>
        <w:bidi w:val="0"/>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bidi w:val="0"/>
        <w:spacing w:before="0" w:after="0"/>
        <w:jc w:val="both"/>
        <w:rPr/>
      </w:pPr>
      <w:r>
        <w:rPr/>
      </w:r>
    </w:p>
    <w:tbl>
      <w:tblPr>
        <w:tblW w:w="9891" w:type="dxa"/>
        <w:jc w:val="left"/>
        <w:tblInd w:w="0" w:type="dxa"/>
        <w:tblLayout w:type="fixed"/>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493"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shell company (as defined in Rule 12b-2 of the Exchange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There were 102,185,171 shares of Class A common stock and 20,975,710 shares of Class B common stock outstanding as of July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TABLE OF CONTENTS</w:t>
      </w:r>
    </w:p>
    <w:tbl>
      <w:tblPr>
        <w:tblW w:w="10141" w:type="dxa"/>
        <w:jc w:val="left"/>
        <w:tblInd w:w="0" w:type="dxa"/>
        <w:tblLayout w:type="fixed"/>
        <w:tblCellMar>
          <w:top w:w="28" w:type="dxa"/>
          <w:left w:w="28" w:type="dxa"/>
          <w:bottom w:w="28" w:type="dxa"/>
          <w:right w:w="28" w:type="dxa"/>
        </w:tblCellMar>
      </w:tblPr>
      <w:tblGrid>
        <w:gridCol w:w="320"/>
        <w:gridCol w:w="282"/>
        <w:gridCol w:w="284"/>
        <w:gridCol w:w="2614"/>
        <w:gridCol w:w="2614"/>
        <w:gridCol w:w="2617"/>
        <w:gridCol w:w="412"/>
        <w:gridCol w:w="412"/>
        <w:gridCol w:w="58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Page Number</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 FINANCIAL INFORMATION</w:t>
            </w:r>
          </w:p>
        </w:tc>
        <w:tc>
          <w:tcPr>
            <w:tcW w:w="14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13">
              <w:r>
                <w:rPr>
                  <w:rStyle w:val="InternetLink"/>
                  <w:rFonts w:ascii="Helvetica;sans-serif" w:hAnsi="Helvetica;sans-serif"/>
                  <w:b w:val="false"/>
                  <w:color w:val="0000FF"/>
                  <w:sz w:val="20"/>
                  <w:u w:val="single"/>
                </w:rPr>
                <w:t>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3">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19">
              <w:r>
                <w:rPr>
                  <w:rStyle w:val="InternetLink"/>
                  <w:rFonts w:ascii="Helvetica;sans-serif" w:hAnsi="Helvetica;sans-serif"/>
                  <w:b w:val="false"/>
                  <w:color w:val="0000FF"/>
                  <w:sz w:val="20"/>
                  <w:u w:val="single"/>
                </w:rPr>
                <w:t>Unaudited Condensed Consolidated Balance Sheets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9">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22">
              <w:r>
                <w:rPr>
                  <w:rStyle w:val="InternetLink"/>
                  <w:rFonts w:ascii="Helvetica;sans-serif" w:hAnsi="Helvetica;sans-serif"/>
                  <w:b w:val="false"/>
                  <w:color w:val="0000FF"/>
                  <w:sz w:val="20"/>
                  <w:u w:val="single"/>
                </w:rPr>
                <w:t>Unaudited Condensed Consolidated Statements of Operations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22">
              <w:r>
                <w:rPr>
                  <w:rStyle w:val="InternetLink"/>
                  <w:rFonts w:ascii="Helvetica;sans-serif" w:hAnsi="Helvetica;sans-serif"/>
                  <w:b w:val="false"/>
                  <w:strike w:val="false"/>
                  <w:dstrike w:val="false"/>
                  <w:color w:val="000000"/>
                  <w:sz w:val="20"/>
                  <w:u w:val="none"/>
                  <w:effect w:val="none"/>
                </w:rPr>
                <w:t>6</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25">
              <w:r>
                <w:rPr>
                  <w:rStyle w:val="InternetLink"/>
                  <w:rFonts w:ascii="Helvetica;sans-serif" w:hAnsi="Helvetica;sans-serif"/>
                  <w:b w:val="false"/>
                  <w:color w:val="0000FF"/>
                  <w:sz w:val="20"/>
                  <w:u w:val="single"/>
                </w:rPr>
                <w:t>Unaudited Condensed Consolidated Statements of Comprehensive Loss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25">
              <w:r>
                <w:rPr>
                  <w:rStyle w:val="InternetLink"/>
                  <w:rFonts w:ascii="Helvetica;sans-serif" w:hAnsi="Helvetica;sans-serif"/>
                  <w:b w:val="false"/>
                  <w:strike w:val="false"/>
                  <w:dstrike w:val="false"/>
                  <w:color w:val="000000"/>
                  <w:sz w:val="20"/>
                  <w:u w:val="none"/>
                  <w:effect w:val="none"/>
                </w:rPr>
                <w:t>7</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28">
              <w:r>
                <w:rPr>
                  <w:rStyle w:val="InternetLink"/>
                  <w:rFonts w:ascii="Helvetica;sans-serif" w:hAnsi="Helvetica;sans-serif"/>
                  <w:b w:val="false"/>
                  <w:color w:val="0000FF"/>
                  <w:sz w:val="20"/>
                  <w:u w:val="single"/>
                </w:rPr>
                <w:t>Unaudited Condensed Consolidated Statements of Stockholders’ Equity</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28">
              <w:r>
                <w:rPr>
                  <w:rStyle w:val="InternetLink"/>
                  <w:rFonts w:ascii="Helvetica;sans-serif" w:hAnsi="Helvetica;sans-serif"/>
                  <w:b w:val="false"/>
                  <w:strike w:val="false"/>
                  <w:dstrike w:val="false"/>
                  <w:color w:val="000000"/>
                  <w:sz w:val="20"/>
                  <w:u w:val="none"/>
                  <w:effect w:val="none"/>
                </w:rPr>
                <w:t>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31">
              <w:r>
                <w:rPr>
                  <w:rStyle w:val="InternetLink"/>
                  <w:rFonts w:ascii="Helvetica;sans-serif" w:hAnsi="Helvetica;sans-serif"/>
                  <w:b w:val="false"/>
                  <w:color w:val="0000FF"/>
                  <w:sz w:val="20"/>
                  <w:u w:val="single"/>
                </w:rPr>
                <w:t>Unaudited Condensed Consolidated Statements of Cash Flows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31">
              <w:r>
                <w:rPr>
                  <w:rStyle w:val="InternetLink"/>
                  <w:rFonts w:ascii="Helvetica;sans-serif" w:hAnsi="Helvetica;sans-serif"/>
                  <w:b w:val="false"/>
                  <w:strike w:val="false"/>
                  <w:dstrike w:val="false"/>
                  <w:color w:val="000000"/>
                  <w:sz w:val="20"/>
                  <w:u w:val="none"/>
                  <w:effect w:val="none"/>
                </w:rPr>
                <w:t>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34">
              <w:r>
                <w:rPr>
                  <w:rStyle w:val="InternetLink"/>
                  <w:rFonts w:ascii="Helvetica;sans-serif" w:hAnsi="Helvetica;sans-serif"/>
                  <w:b w:val="false"/>
                  <w:color w:val="0000FF"/>
                  <w:sz w:val="20"/>
                  <w:u w:val="single"/>
                </w:rPr>
                <w:t>Notes to Unaudited Condensed Consolidated 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34">
              <w:r>
                <w:rPr>
                  <w:rStyle w:val="InternetLink"/>
                  <w:rFonts w:ascii="Helvetica;sans-serif" w:hAnsi="Helvetica;sans-serif"/>
                  <w:b w:val="false"/>
                  <w:strike w:val="false"/>
                  <w:dstrike w:val="false"/>
                  <w:color w:val="000000"/>
                  <w:sz w:val="20"/>
                  <w:u w:val="none"/>
                  <w:effect w:val="none"/>
                </w:rPr>
                <w:t>10</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73">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73">
              <w:r>
                <w:rPr>
                  <w:rStyle w:val="InternetLink"/>
                  <w:rFonts w:ascii="Helvetica;sans-serif" w:hAnsi="Helvetica;sans-serif"/>
                  <w:b w:val="false"/>
                  <w:strike w:val="false"/>
                  <w:dstrike w:val="false"/>
                  <w:color w:val="000000"/>
                  <w:sz w:val="20"/>
                  <w:u w:val="none"/>
                  <w:effect w:val="none"/>
                </w:rPr>
                <w:t>20</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94">
              <w:r>
                <w:rPr>
                  <w:rStyle w:val="InternetLink"/>
                  <w:rFonts w:ascii="Helvetica;sans-serif" w:hAnsi="Helvetica;sans-serif"/>
                  <w:b w:val="false"/>
                  <w:color w:val="0000FF"/>
                  <w:sz w:val="20"/>
                  <w:u w:val="single"/>
                </w:rPr>
                <w:t>Quantitative and Qualitative Disclosures About Market Risk</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94">
              <w:r>
                <w:rPr>
                  <w:rStyle w:val="InternetLink"/>
                  <w:rFonts w:ascii="Helvetica;sans-serif" w:hAnsi="Helvetica;sans-serif"/>
                  <w:b w:val="false"/>
                  <w:strike w:val="false"/>
                  <w:dstrike w:val="false"/>
                  <w:color w:val="000000"/>
                  <w:sz w:val="20"/>
                  <w:u w:val="none"/>
                  <w:effect w:val="none"/>
                </w:rPr>
                <w:t>27</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4d230fb07754b6d947e10341171e7b0_97">
              <w:r>
                <w:rPr>
                  <w:rStyle w:val="InternetLink"/>
                  <w:rFonts w:ascii="Helvetica;sans-serif" w:hAnsi="Helvetica;sans-serif"/>
                  <w:b w:val="false"/>
                  <w:color w:val="0000FF"/>
                  <w:sz w:val="20"/>
                  <w:u w:val="single"/>
                </w:rPr>
                <w:t>Controls and Procedures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97">
              <w:r>
                <w:rPr>
                  <w:rStyle w:val="InternetLink"/>
                  <w:rFonts w:ascii="Helvetica;sans-serif" w:hAnsi="Helvetica;sans-serif"/>
                  <w:b w:val="false"/>
                  <w:strike w:val="false"/>
                  <w:dstrike w:val="false"/>
                  <w:color w:val="000000"/>
                  <w:sz w:val="20"/>
                  <w:u w:val="none"/>
                  <w:effect w:val="none"/>
                </w:rPr>
                <w:t>28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 OTHER INFORMATION</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03">
              <w:r>
                <w:rPr>
                  <w:rStyle w:val="InternetLink"/>
                  <w:rFonts w:ascii="Helvetica;sans-serif" w:hAnsi="Helvetica;sans-serif"/>
                  <w:b w:val="false"/>
                  <w:color w:val="0000FF"/>
                  <w:sz w:val="20"/>
                  <w:u w:val="single"/>
                </w:rPr>
                <w:t>Legal Proceedings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03">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06">
              <w:r>
                <w:rPr>
                  <w:rStyle w:val="InternetLink"/>
                  <w:rFonts w:ascii="Helvetica;sans-serif" w:hAnsi="Helvetica;sans-serif"/>
                  <w:b w:val="false"/>
                  <w:color w:val="0000FF"/>
                  <w:sz w:val="20"/>
                  <w:u w:val="single"/>
                </w:rPr>
                <w:t>Risk Factors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06">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09">
              <w:r>
                <w:rPr>
                  <w:rStyle w:val="InternetLink"/>
                  <w:rFonts w:ascii="Helvetica;sans-serif" w:hAnsi="Helvetica;sans-serif"/>
                  <w:b w:val="false"/>
                  <w:color w:val="0000FF"/>
                  <w:sz w:val="20"/>
                  <w:u w:val="single"/>
                </w:rPr>
                <w:t>Unregistered Sales of Equity Securities and Use of Proceeds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09">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12">
              <w:r>
                <w:rPr>
                  <w:rStyle w:val="InternetLink"/>
                  <w:rFonts w:ascii="Helvetica;sans-serif" w:hAnsi="Helvetica;sans-serif"/>
                  <w:b w:val="false"/>
                  <w:color w:val="0000FF"/>
                  <w:sz w:val="20"/>
                  <w:u w:val="single"/>
                </w:rPr>
                <w:t>Defaults Upon Senior Securities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12">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15">
              <w:r>
                <w:rPr>
                  <w:rStyle w:val="InternetLink"/>
                  <w:rFonts w:ascii="Helvetica;sans-serif" w:hAnsi="Helvetica;sans-serif"/>
                  <w:b w:val="false"/>
                  <w:color w:val="0000FF"/>
                  <w:sz w:val="20"/>
                  <w:u w:val="single"/>
                </w:rPr>
                <w:t>Mine Safety Disclosures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15">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18">
              <w:r>
                <w:rPr>
                  <w:rStyle w:val="InternetLink"/>
                  <w:rFonts w:ascii="Helvetica;sans-serif" w:hAnsi="Helvetica;sans-serif"/>
                  <w:b w:val="false"/>
                  <w:color w:val="0000FF"/>
                  <w:sz w:val="20"/>
                  <w:u w:val="single"/>
                </w:rPr>
                <w:t>Other Information</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18">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24">
              <w:r>
                <w:rPr>
                  <w:rStyle w:val="InternetLink"/>
                  <w:rFonts w:ascii="Helvetica;sans-serif" w:hAnsi="Helvetica;sans-serif"/>
                  <w:b w:val="false"/>
                  <w:color w:val="0000FF"/>
                  <w:sz w:val="20"/>
                  <w:u w:val="single"/>
                </w:rPr>
                <w:t>Exhibits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24">
              <w:r>
                <w:rPr>
                  <w:rStyle w:val="InternetLink"/>
                  <w:rFonts w:ascii="Helvetica;sans-serif" w:hAnsi="Helvetica;sans-serif"/>
                  <w:b w:val="false"/>
                  <w:strike w:val="false"/>
                  <w:dstrike w:val="false"/>
                  <w:color w:val="000000"/>
                  <w:sz w:val="20"/>
                  <w:u w:val="none"/>
                  <w:effect w:val="none"/>
                </w:rPr>
                <w:t>29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d230fb07754b6d947e10341171e7b0_127">
              <w:r>
                <w:rPr>
                  <w:rStyle w:val="InternetLink"/>
                  <w:rFonts w:ascii="Helvetica;sans-serif" w:hAnsi="Helvetica;sans-serif"/>
                  <w:b w:val="false"/>
                  <w:color w:val="0000FF"/>
                  <w:sz w:val="20"/>
                  <w:u w:val="single"/>
                </w:rPr>
                <w:t>Signatures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d230fb07754b6d947e10341171e7b0_127">
              <w:r>
                <w:rPr>
                  <w:rStyle w:val="InternetLink"/>
                  <w:rFonts w:ascii="Helvetica;sans-serif" w:hAnsi="Helvetica;sans-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SPECIAL NOTE REGARDING FORWARD-LOOKING STATEMENTS</w:t>
      </w:r>
    </w:p>
    <w:p>
      <w:pPr>
        <w:pStyle w:val="TextBody"/>
        <w:bidi w:val="0"/>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“possible”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future financial performance, including our revenue, cost of revenue and operating expenses and our ability to achieve and maintain future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the sufficiency of our cash, cash equivalents and capital resources to meet our liquidity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manage or sustain our growth and to effectively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strategies, plans, objectives and goals, including our expectations regarding future infrastructure investments as well as restructuring activities;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attract and retain buyers and sellers and the continued impact of network effects as we scale our platform, and the capacity of our operations and processing infrastructure to support that growth;</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trends in our key financial and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estimated market opportunity;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economic and industry trends, projected growth or trend analysis, including inflationary pressures, increased interest rates, cybersecurity risks, changing consumer habits, climate change and extreme weather events and general global political and economic uncertainty;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comply with applicable laws and regulations;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incorporate artificial intelligence and machine learning and other emergent technologies into our business operations successfully; and</w:t>
      </w:r>
    </w:p>
    <w:p>
      <w:pPr>
        <w:pStyle w:val="TextBody"/>
        <w:bidi w:val="0"/>
        <w:spacing w:lineRule="auto" w:line="288" w:before="120" w:after="283"/>
        <w:ind w:left="0" w:right="0" w:hanging="360"/>
        <w:jc w:val="left"/>
        <w:rPr/>
      </w:pPr>
      <w:r>
        <w:rPr>
          <w:color w:val="000000"/>
        </w:rPr>
        <w:t>•</w:t>
      </w:r>
      <w:r>
        <w:rPr>
          <w:rFonts w:ascii="Helvetica;sans-serif" w:hAnsi="Helvetica;sans-serif"/>
          <w:b w:val="false"/>
          <w:i/>
          <w:color w:val="000000"/>
          <w:sz w:val="20"/>
        </w:rPr>
        <w:t>our discontinuation of European operations in connection with the divestiture of our Remix subsidiary.</w:t>
      </w:r>
    </w:p>
    <w:p>
      <w:pPr>
        <w:pStyle w:val="TextBody"/>
        <w:bidi w:val="0"/>
        <w:spacing w:lineRule="auto" w:line="288" w:before="360" w:after="283"/>
        <w:ind w:left="0" w:right="0" w:firstLine="360"/>
        <w:jc w:val="left"/>
        <w:rPr/>
      </w:pPr>
      <w:r>
        <w:rPr>
          <w:rFonts w:ascii="Helvetica;sans-serif" w:hAnsi="Helvetica;sans-serif"/>
          <w:b w:val="false"/>
          <w:i/>
          <w:color w:val="000000"/>
          <w:sz w:val="20"/>
        </w:rPr>
        <w:t>You should not rely upon forward-looking statements as predictions of future events. 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risks from an intensely competitive market; our ability to effectively deploy new and evolving technologies, such as artificial intelligence and machine learning, in our offerings; risks arising from economic and industry trends, including the effects of inflationary pressures, increased interest rates, changing consumer habits, climate change and general global political and economic uncertainty; our ability to comply with applicable laws and regulations; our ability to recognize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w:t>
      </w:r>
      <w:r>
        <w:rPr>
          <w:color w:val="000000"/>
        </w:rPr>
        <w:t xml:space="preserve"> </w:t>
      </w:r>
      <w:r>
        <w:rPr>
          <w:rFonts w:ascii="Helvetica;sans-serif" w:hAnsi="Helvetica;sans-serif"/>
          <w:b w:val="false"/>
          <w:i/>
          <w:color w:val="000000"/>
          <w:sz w:val="20"/>
        </w:rPr>
        <w:t>in Part I, Item 1A, Risk Factors, of our Annual Report on Form 10-K for the year ended December 31, 2024, in Part II, Item 1A, Risk Factors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or unless the context requires otherwise, all references in this document to “ThredUp”, “the Company”, “we”, “us”, “our”, or similar references are to ThredUp Inc. and its consolidated subsidiaries.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is one of the world’s largest online resale platforms for apparel, shoes and accessories, based primarily on items processed, items sold and the capacity of our distribution centers.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pStyle w:val="TextBody"/>
        <w:bidi w:val="0"/>
        <w:spacing w:before="240" w:after="283"/>
        <w:ind w:left="0" w:right="0" w:firstLine="36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Channels for Disclosure of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9"/>
        <w:gridCol w:w="2154"/>
        <w:gridCol w:w="2088"/>
        <w:gridCol w:w="109"/>
        <w:gridCol w:w="109"/>
        <w:gridCol w:w="109"/>
        <w:gridCol w:w="221"/>
        <w:gridCol w:w="897"/>
        <w:gridCol w:w="114"/>
        <w:gridCol w:w="114"/>
        <w:gridCol w:w="114"/>
        <w:gridCol w:w="114"/>
        <w:gridCol w:w="221"/>
        <w:gridCol w:w="897"/>
        <w:gridCol w:w="165"/>
      </w:tblGrid>
      <w:tr>
        <w:trPr/>
        <w:tc>
          <w:tcPr>
            <w:tcW w:w="277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2024</w:t>
            </w:r>
          </w:p>
        </w:tc>
      </w:tr>
      <w:tr>
        <w:trPr/>
        <w:tc>
          <w:tcPr>
            <w:tcW w:w="7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par value amounts)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40,969 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31,851 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9,179 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60,742 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56,922 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28,853 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67,654 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68,480 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6,224 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173,603 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171,225 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8,326 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29,856 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15,142 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4,345 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63,173 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61,524 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32,489 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18,151 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113,396 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114,924 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June 30, 2025 and December 31, 2024; 123,048 and 116,134 shares issued and outstanding as of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626,449 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612,148 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(566,252)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(555,861)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60,207 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56,301 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173,603 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171,225 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08"/>
        <w:gridCol w:w="1257"/>
        <w:gridCol w:w="1260"/>
        <w:gridCol w:w="109"/>
        <w:gridCol w:w="109"/>
        <w:gridCol w:w="109"/>
        <w:gridCol w:w="211"/>
        <w:gridCol w:w="751"/>
        <w:gridCol w:w="109"/>
        <w:gridCol w:w="109"/>
        <w:gridCol w:w="109"/>
        <w:gridCol w:w="109"/>
        <w:gridCol w:w="211"/>
        <w:gridCol w:w="782"/>
        <w:gridCol w:w="109"/>
        <w:gridCol w:w="109"/>
        <w:gridCol w:w="109"/>
        <w:gridCol w:w="109"/>
        <w:gridCol w:w="211"/>
        <w:gridCol w:w="856"/>
        <w:gridCol w:w="109"/>
        <w:gridCol w:w="109"/>
        <w:gridCol w:w="109"/>
        <w:gridCol w:w="109"/>
        <w:gridCol w:w="211"/>
        <w:gridCol w:w="856"/>
        <w:gridCol w:w="156"/>
      </w:tblGrid>
      <w:tr>
        <w:trPr/>
        <w:tc>
          <w:tcPr>
            <w:tcW w:w="180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r>
      <w:tr>
        <w:trPr/>
        <w:tc>
          <w:tcPr>
            <w:tcW w:w="4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104,271 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72,100 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30,062 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62,163 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128,786 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126,271 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(9,605)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(10,679)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(22,000)</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(10,303)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(21,565)</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(21,582)</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(8,926)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(0.20)</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discontinued operations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(0.28)</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LOSS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16"/>
        <w:gridCol w:w="1410"/>
        <w:gridCol w:w="1424"/>
        <w:gridCol w:w="109"/>
        <w:gridCol w:w="109"/>
        <w:gridCol w:w="109"/>
        <w:gridCol w:w="211"/>
        <w:gridCol w:w="701"/>
        <w:gridCol w:w="109"/>
        <w:gridCol w:w="109"/>
        <w:gridCol w:w="109"/>
        <w:gridCol w:w="109"/>
        <w:gridCol w:w="211"/>
        <w:gridCol w:w="806"/>
        <w:gridCol w:w="109"/>
        <w:gridCol w:w="109"/>
        <w:gridCol w:w="109"/>
        <w:gridCol w:w="109"/>
        <w:gridCol w:w="211"/>
        <w:gridCol w:w="806"/>
        <w:gridCol w:w="109"/>
        <w:gridCol w:w="109"/>
        <w:gridCol w:w="109"/>
        <w:gridCol w:w="109"/>
        <w:gridCol w:w="211"/>
        <w:gridCol w:w="806"/>
        <w:gridCol w:w="157"/>
      </w:tblGrid>
      <w:tr>
        <w:trPr/>
        <w:tc>
          <w:tcPr>
            <w:tcW w:w="161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(30,508)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(1,097)</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(31,605)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76"/>
        <w:gridCol w:w="378"/>
        <w:gridCol w:w="379"/>
        <w:gridCol w:w="109"/>
        <w:gridCol w:w="109"/>
        <w:gridCol w:w="109"/>
        <w:gridCol w:w="368"/>
        <w:gridCol w:w="368"/>
        <w:gridCol w:w="216"/>
        <w:gridCol w:w="109"/>
        <w:gridCol w:w="109"/>
        <w:gridCol w:w="109"/>
        <w:gridCol w:w="231"/>
        <w:gridCol w:w="390"/>
        <w:gridCol w:w="130"/>
        <w:gridCol w:w="109"/>
        <w:gridCol w:w="109"/>
        <w:gridCol w:w="109"/>
        <w:gridCol w:w="204"/>
        <w:gridCol w:w="766"/>
        <w:gridCol w:w="113"/>
        <w:gridCol w:w="109"/>
        <w:gridCol w:w="109"/>
        <w:gridCol w:w="109"/>
        <w:gridCol w:w="509"/>
        <w:gridCol w:w="665"/>
        <w:gridCol w:w="284"/>
        <w:gridCol w:w="109"/>
        <w:gridCol w:w="109"/>
        <w:gridCol w:w="109"/>
        <w:gridCol w:w="217"/>
        <w:gridCol w:w="837"/>
        <w:gridCol w:w="122"/>
        <w:gridCol w:w="109"/>
        <w:gridCol w:w="109"/>
        <w:gridCol w:w="109"/>
        <w:gridCol w:w="252"/>
        <w:gridCol w:w="833"/>
        <w:gridCol w:w="205"/>
      </w:tblGrid>
      <w:tr>
        <w:trPr/>
        <w:tc>
          <w:tcPr>
            <w:tcW w:w="7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5"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116,134 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612,148 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(555,861)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56,301 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344 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5,594 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(936)</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(5,215)</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117,781 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617,150 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(561,076)</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56,083 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6,854 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4,624 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(2,178)</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(5,176)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123,048 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626,449 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2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(566,252)</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60,207 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2"/>
        <w:gridCol w:w="384"/>
        <w:gridCol w:w="385"/>
        <w:gridCol w:w="109"/>
        <w:gridCol w:w="109"/>
        <w:gridCol w:w="109"/>
        <w:gridCol w:w="368"/>
        <w:gridCol w:w="368"/>
        <w:gridCol w:w="216"/>
        <w:gridCol w:w="109"/>
        <w:gridCol w:w="109"/>
        <w:gridCol w:w="109"/>
        <w:gridCol w:w="231"/>
        <w:gridCol w:w="390"/>
        <w:gridCol w:w="130"/>
        <w:gridCol w:w="109"/>
        <w:gridCol w:w="109"/>
        <w:gridCol w:w="109"/>
        <w:gridCol w:w="204"/>
        <w:gridCol w:w="767"/>
        <w:gridCol w:w="113"/>
        <w:gridCol w:w="109"/>
        <w:gridCol w:w="109"/>
        <w:gridCol w:w="109"/>
        <w:gridCol w:w="320"/>
        <w:gridCol w:w="934"/>
        <w:gridCol w:w="179"/>
        <w:gridCol w:w="109"/>
        <w:gridCol w:w="109"/>
        <w:gridCol w:w="109"/>
        <w:gridCol w:w="218"/>
        <w:gridCol w:w="838"/>
        <w:gridCol w:w="122"/>
        <w:gridCol w:w="109"/>
        <w:gridCol w:w="109"/>
        <w:gridCol w:w="109"/>
        <w:gridCol w:w="231"/>
        <w:gridCol w:w="872"/>
        <w:gridCol w:w="191"/>
      </w:tblGrid>
      <w:tr>
        <w:trPr/>
        <w:tc>
          <w:tcPr>
            <w:tcW w:w="7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108,784 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585,156 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(478,875)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103,917 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7,506 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(16,554)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(16,554)</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110,217 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592,193 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(3,245)</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(495,429)</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93,530 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7,314 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(581)</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(13,954)</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112,386 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599,333 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(3,472)</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(509,383)</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86,489 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97"/>
        <w:gridCol w:w="2283"/>
        <w:gridCol w:w="2298"/>
        <w:gridCol w:w="109"/>
        <w:gridCol w:w="109"/>
        <w:gridCol w:w="109"/>
        <w:gridCol w:w="211"/>
        <w:gridCol w:w="792"/>
        <w:gridCol w:w="109"/>
        <w:gridCol w:w="109"/>
        <w:gridCol w:w="109"/>
        <w:gridCol w:w="109"/>
        <w:gridCol w:w="211"/>
        <w:gridCol w:w="792"/>
        <w:gridCol w:w="158"/>
      </w:tblGrid>
      <w:tr>
        <w:trPr/>
        <w:tc>
          <w:tcPr>
            <w:tcW w:w="2697"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continuing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(21,582)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loss from continuing operations to net cash provided by continuing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13,630 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7,370 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 in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continuing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continuing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(15,153)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 and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13,000 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continuing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(4,127)</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continuing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issuance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continuing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(2,662)</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(6,536)</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flow used in discontinued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flow used in discontinued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(4,648)</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(11,344)</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61,469 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49,629 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50,125 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Inc. (“ThredUp” or the “Company”) was formed as a corporation in the State of Delaware in January 2009. ThredUp operates a large resale platform that enables consumers to buy and sell primarily secondhand apparel, shoes,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2. Significant Accounting Policies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Basis of Presentation and 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noBreakHyphen/>
        <w:t>Q and Article 10 of Regulation S-X. As permitted under those rules, certain footnotes or other financial information may be condensed or omitted.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breakage on loyalty points and rewards and gift cards, valuation of inventory, stock-based compensation, lease liabilities, and goodwill.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opinion of management, the accompanying unaudited condensed consolidated financial statements reflect all normal and recurring adjustments necessary to present fairly the financial position of the Company as of June 30, 2025 and 2024, and the results of operations and cash flows for the interim periods presented.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2024 (the “2024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Reclassification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prior period amounts have been reclassified to conform to the current period’s presentation. Beginning in the first quarter of 2025, the Company combined consignment revenue and product revenue into a single line item, revenue, on the condensed consolidated statements of operations, and similarly combined related cost of revenue line items, reflecting the immateriality of product revenue following the Company’s transition to a primarily consignment model. The Company also reclassified inventory to other current assets on the condensed consolidated balance sheets and statements of cash flows to align with the combined presentation. These reclassifications had no impact on previously reported total revenue, net loss, stockholders’ equity, or cash flows.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Discontinued Operations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the fourth quarter of 2024, the Company divested 91% of its European business and Bulgarian subsidiary, Remix Global EAD (“Remix”), meeting the requirements for reporting Remix as a discontinued operation. Accordingly, Remix’s results during 2024 are presented as discontinued operations in the condensed consolidated statements of operations and excluded from continuing operations for the three and six months ended June 30, 2024. In the condensed consolidated statements of cash flows, cash flows attributable to Remix have been segregated and presented separately as net cash flow used in discontinued operating activities and net cash flow used in discontinued investing activities for the three and six months ended June 30, 2024. Unless otherwise noted, amounts and disclosures in these notes to condensed consolidated financial statements pertain to the Company’s continuing operations. See Note 12, </w:t>
      </w:r>
      <w:r>
        <w:rPr>
          <w:rFonts w:ascii="Helvetica;sans-serif" w:hAnsi="Helvetica;sans-serif"/>
          <w:b w:val="false"/>
          <w:i/>
          <w:color w:val="000000"/>
          <w:sz w:val="20"/>
        </w:rPr>
        <w:t>Discontinued Operations</w:t>
      </w:r>
      <w:r>
        <w:rPr>
          <w:rFonts w:ascii="Helvetica;sans-serif" w:hAnsi="Helvetica;sans-serif"/>
          <w:b w:val="false"/>
          <w:color w:val="000000"/>
          <w:sz w:val="20"/>
        </w:rPr>
        <w:t>, for further details on the transaction.</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Recently Adopted Accounting Pronouncements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accounting pronouncements adopted during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Accounting Pronouncements Not Yet Effective</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November 2024, the Financial Accounting Standards Board ("FASB") issued Accounting Standards Update ("ASU") 2024-03, </w:t>
      </w:r>
      <w:r>
        <w:rPr>
          <w:rFonts w:ascii="Helvetica;sans-serif" w:hAnsi="Helvetica;sans-serif"/>
          <w:b w:val="false"/>
          <w:i/>
          <w:color w:val="000000"/>
          <w:sz w:val="20"/>
        </w:rPr>
        <w:t>Income Statement-Reporting Comprehensive Income-Expense Disaggregation Disclosures (Subtopic 220-40): Disaggregation of Income Statement Expenses</w:t>
      </w:r>
      <w:r>
        <w:rPr>
          <w:rFonts w:ascii="Helvetica;sans-serif" w:hAnsi="Helvetica;sans-serif"/>
          <w:b w:val="false"/>
          <w:color w:val="000000"/>
          <w:sz w:val="20"/>
        </w:rPr>
        <w:t>, which expands disclosures about a public entity’s expenses, including inventory, employee compensation, depreciation, intangible asset amortization, selling expenses and other expense categories. ASU 2024-03 is effective for annual period beginning after December 15, 2026, and interim periods within annual periods beginning after December 15, 2027, which will be the annual period ending December 31, 2027 and interim periods within the annual period ending December 31, 2028 for the Company. The Company is currently evaluating the potential impact on its consolidated financial statement disclosures.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December 2023, the FASB issued ASU No. 2023-09, </w:t>
      </w:r>
      <w:r>
        <w:rPr>
          <w:rFonts w:ascii="Helvetica;sans-serif" w:hAnsi="Helvetica;sans-serif"/>
          <w:b w:val="false"/>
          <w:i/>
          <w:color w:val="000000"/>
          <w:sz w:val="20"/>
        </w:rPr>
        <w:t>Income Taxes (Topic 740): Improvements to Income Tax Disclosures</w:t>
      </w:r>
      <w:r>
        <w:rPr>
          <w:rFonts w:ascii="Helvetica;sans-serif" w:hAnsi="Helvetica;sans-serif"/>
          <w:b w:val="false"/>
          <w:color w:val="000000"/>
          <w:sz w:val="20"/>
        </w:rPr>
        <w:t>.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annual period ending December 31, 2025 for the Company. The Company expects the adoption to result in enhanced income tax disclosures in its annual consolidated financial statements.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October 2023, the FASB issued ASU 2023-06, </w:t>
      </w:r>
      <w:r>
        <w:rPr>
          <w:rFonts w:ascii="Helvetica;sans-serif" w:hAnsi="Helvetica;sans-serif"/>
          <w:b w:val="false"/>
          <w:i/>
          <w:color w:val="000000"/>
          <w:sz w:val="20"/>
        </w:rPr>
        <w:t>Disclosure Improvements: Codification Amendments in Response to the SEC’s Disclosure Update and Simplification Initiative</w:t>
      </w:r>
      <w:r>
        <w:rPr>
          <w:rFonts w:ascii="Helvetica;sans-serif" w:hAnsi="Helvetica;sans-serif"/>
          <w:b w:val="false"/>
          <w:color w:val="000000"/>
          <w:sz w:val="20"/>
        </w:rPr>
        <w:t>, to amend certain disclosure and presentation requirements for a variety of topics within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its consolidated financial statements and disclosures.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Segment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operates under one operating segment and one reportable segment as its chief operating decision maker (“CODM”), who is its Chief Executive Officer, reviews financial information presented on a consolidated basis for purposes of making operating decisions, allocating resources and evaluating financial performance. The Company does not have material intra-entity sales or transfers.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key measure of segment profit or loss that the CODM uses to allocate resources and assess performance is the Company’s loss from continuing operations, as reported in the condensed consolidated statements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Significant expenses within operating loss, as well as within loss from continuing operations, include cost of revenue, operations, product and technology, marketing, and sales, general and administrative expenses, which are each separately presented in the condensed consolidated statements of operations. Other segment items within loss from continuing operations include interest expense, other income, net, and provision for income taxes. The CODM manages the business using consolidated expense information, as well as regularly provided budgeted or forecasted expense information. Assets provided to the CODM are consistent with those reported on the condensed consolidated balance sheets.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from Loyalty Reward Redemption and Expiration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previously had a customer loyalty program, which allowed end-customers to earn and accumulate points with each qualifying purchase. Earned points could be redeemed for loyalty rewards, such as non-cashoutable shopping credit, free shipping, or waived restocking fee, which could be applied to future purchases or returns. Unredeemed points expired after one year from the date the points were earned. Reward coupons expired six months from the date the reward was claimed. Points earned on purchases were considered a material right, representing a separate performance obligation.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allocated consideration for the points earned through qualifying purchase transactions was deferred based on the standalone selling price of the points, adjusted for expected breakage in proportion to the pattern of redemption, and recorded within deferred revenue under accrued and other current liabilities within the Company’s condensed consolidated balance sheets. Revenue was recognized for these performance obligations at a point in time when rewards were redeemed by the end customer or expired.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Effective October 1, 2024, customers were no longer able to earn loyalty points and after March 31, 2025, they could no longer redeem any previously accumulated points. As a result, as of June 30, 2025, the Company did not have a deferred revenue liability related to its customer loyalty program. As of December 31, 2024, the Company had a deferred revenue liability of $1.5 million related to the program, which was included in accrued and other current liabilities within the Company’s condensed consolidated balance sheets. The Company recognized $0 and $3.8 million of revenue from loyalty reward redemptions and expirations for the three months ended June 30, 2025 and June 30, 2024, respectively, and $1.5 million and $7.4 million for the six months ended June 30, 2025 and 2024,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Gift Cards and Site Credits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sells ThredUp gift cards on its e-commerce website and may also convert seller payables and site credits to ThredUp gift cards one year after issuance at the discretion of the Company. ThredUp gift cards do not expire or lose value over periods of inactivity. The Company accounts for gift cards by recognizing a gift card liability at the time a gift card is delivered to the customer. As of June 30, 2025 and December 31, 2024, gift card liabilities of $6.9 million and $8.5 million, respectively, were included in accrued and other current liabilities within the Company’s condensed consolidated balance sheets. Revenue from redemption of gift cards was not material for the three and six months ended June 30, 2025, and was $0.3 million and $0.6 million for the three and six months ended June 30, 2024,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breakage revenue for the portion of gift card values that are not expected to be redeemed. Previously, breakage revenue was estimated when gift card redemption was deemed remote. Beginning in the fourth quarter of 2024, with more historical data available, breakage revenue is estimated based upon historical customer redemption patterns. Breakage revenue primarily relates to gift cards converted from seller payables and site credits. Judgment is required in determining the appropriate grouping of gift cards for analyzing breakage rates, redemption patterns, and estimating the ultimate value of gift cards not expected to be redeemed. Breakage revenue was $1.7 million and $1.3 million for the three months ended June 30, 2025 and 2024, respectively, and $3.9 million and $2.6 million for the six months ended June 30, 2025 and 2024, respectively.</w:t>
      </w:r>
    </w:p>
    <w:p>
      <w:pPr>
        <w:pStyle w:val="TextBody"/>
        <w:bidi w:val="0"/>
        <w:spacing w:lineRule="auto" w:line="288" w:before="240" w:after="283"/>
        <w:ind w:left="0" w:right="0" w:firstLine="360"/>
        <w:jc w:val="both"/>
        <w:rPr/>
      </w:pPr>
      <w:r>
        <w:rPr>
          <w:rFonts w:ascii="Helvetica;sans-serif" w:hAnsi="Helvetica;sans-serif"/>
          <w:b w:val="false"/>
          <w:color w:val="000000"/>
          <w:sz w:val="20"/>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June 30, 2025 and December 31, 2024, $4.0 million and $3.8 million, respectively, of such customer site credits were included in accrued and other current liabilities within the Company’s condensed consolidated balance sheets. Revenue recognized from the redemption of site credits was $12.9 million and $11.4 million for the three months ended June 30, 2025 and 2024, respectively, and</w:t>
      </w:r>
      <w:r>
        <w:rPr>
          <w:color w:val="000000"/>
        </w:rPr>
        <w:t xml:space="preserve"> </w:t>
      </w:r>
      <w:r>
        <w:rPr>
          <w:rFonts w:ascii="Helvetica;sans-serif" w:hAnsi="Helvetica;sans-serif"/>
          <w:b w:val="false"/>
          <w:color w:val="000000"/>
          <w:sz w:val="20"/>
        </w:rPr>
        <w:t>$23.9 million and $22.1 million for the six months ended June 30, 2025 and 2024,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Seller Payable</w:t>
      </w:r>
    </w:p>
    <w:p>
      <w:pPr>
        <w:pStyle w:val="TextBody"/>
        <w:bidi w:val="0"/>
        <w:spacing w:lineRule="auto" w:line="288" w:before="120" w:after="283"/>
        <w:ind w:left="0" w:right="0" w:firstLine="360"/>
        <w:jc w:val="both"/>
        <w:rPr/>
      </w:pPr>
      <w:r>
        <w:rPr>
          <w:rFonts w:ascii="Helvetica;sans-serif" w:hAnsi="Helvetica;sans-serif"/>
          <w:b w:val="false"/>
          <w:color w:val="000000"/>
          <w:sz w:val="20"/>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 As of June 30, 2025 and December 31, 2024, there was $16.3 million and $15.1 million, respectively, of seller payable within the Company’s condensed consolidated balance sheets. Revenue recognized from the redemption of seller credits was $7.4 million</w:t>
      </w:r>
      <w:r>
        <w:rPr>
          <w:color w:val="000000"/>
        </w:rPr>
        <w:t xml:space="preserve"> </w:t>
      </w:r>
      <w:r>
        <w:rPr>
          <w:rFonts w:ascii="Helvetica;sans-serif" w:hAnsi="Helvetica;sans-serif"/>
          <w:b w:val="false"/>
          <w:color w:val="000000"/>
          <w:sz w:val="20"/>
        </w:rPr>
        <w:t>and $6.3 million</w:t>
      </w:r>
      <w:r>
        <w:rPr>
          <w:color w:val="000000"/>
        </w:rPr>
        <w:t xml:space="preserve"> </w:t>
      </w:r>
      <w:r>
        <w:rPr>
          <w:rFonts w:ascii="Helvetica;sans-serif" w:hAnsi="Helvetica;sans-serif"/>
          <w:b w:val="false"/>
          <w:color w:val="000000"/>
          <w:sz w:val="20"/>
        </w:rPr>
        <w:t>for the three months ended June 30, 2025 and 2024, respectively, and $13.5 million and $11.4 million for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Cash Equivalents and Restricted Cash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cash, cash equivalents and restricted cash reported within the Company’s condensed consolidated balance sheets, which sum to the total of the same such amounts shown in the Company’s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633"/>
        <w:gridCol w:w="2315"/>
        <w:gridCol w:w="2323"/>
        <w:gridCol w:w="109"/>
        <w:gridCol w:w="109"/>
        <w:gridCol w:w="109"/>
        <w:gridCol w:w="211"/>
        <w:gridCol w:w="751"/>
        <w:gridCol w:w="109"/>
        <w:gridCol w:w="109"/>
        <w:gridCol w:w="109"/>
        <w:gridCol w:w="109"/>
        <w:gridCol w:w="227"/>
        <w:gridCol w:w="813"/>
        <w:gridCol w:w="169"/>
      </w:tblGrid>
      <w:tr>
        <w:trPr/>
        <w:tc>
          <w:tcPr>
            <w:tcW w:w="2633"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2024</w:t>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31,851 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4,947 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 shown in the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49,629 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40,488 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3. Financial Instruments and Fair Value Measurements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applies the provisions of FASB ASC Topic 820, </w:t>
      </w:r>
      <w:r>
        <w:rPr>
          <w:rFonts w:ascii="Helvetica;sans-serif" w:hAnsi="Helvetica;sans-serif"/>
          <w:b w:val="false"/>
          <w:i/>
          <w:color w:val="000000"/>
          <w:sz w:val="20"/>
        </w:rPr>
        <w:t>Fair Value Measurements and Disclosures</w:t>
      </w:r>
      <w:r>
        <w:rPr>
          <w:rFonts w:ascii="Helvetica;sans-serif" w:hAnsi="Helvetica;sans-serif"/>
          <w:b w:val="false"/>
          <w:color w:val="000000"/>
          <w:sz w:val="20"/>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1 inputs are quoted prices (unadjusted) in active markets for identical assets or liabilities that the reporting entity has the ability to access at the measurement date.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3 inputs are unobservable inputs for the asset or liability.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 - Recurring Basis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provide information about the Company’s financial instruments that are measured at fair value on a recurring basis and indicate the fair value hierarchy of the valuation techniques utilized to determine such values as of June 30, 2025 and December 31, 2024:</w:t>
      </w:r>
    </w:p>
    <w:tbl>
      <w:tblPr>
        <w:tblW w:w="6608" w:type="dxa"/>
        <w:jc w:val="center"/>
        <w:tblInd w:w="0" w:type="dxa"/>
        <w:tblLayout w:type="fixed"/>
        <w:tblCellMar>
          <w:top w:w="28" w:type="dxa"/>
          <w:left w:w="28" w:type="dxa"/>
          <w:bottom w:w="28" w:type="dxa"/>
          <w:right w:w="28" w:type="dxa"/>
        </w:tblCellMar>
      </w:tblPr>
      <w:tblGrid>
        <w:gridCol w:w="893"/>
        <w:gridCol w:w="786"/>
        <w:gridCol w:w="795"/>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89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22,280 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tbl>
      <w:tblPr>
        <w:tblW w:w="6999"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9,484 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20,748 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21,809 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and December 31, 2024, the Company’s cash equivalents and marketable securities approximated their estimated fair value. As such, the unrealized gains or losses related to the Company’s cash equivalents and marketable securities were not material.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and six months ended June 30, 2025 and 2024, the Company did not recognize any losses on its marketable securities due to credit-related factors.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the Company’s money market funds were valued using Level 1 inputs because they were valued using quoted prices in active markets. The Company’s commercial paper and U.S. treasury securities were valued using Level 2 inputs because they were valued using quoted prices for similar assets or liabilities in active markets and quoted prices for identical or similar assets or liabilities in markets that are not active.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and December 31, 2024, the Company had no assets or liabilities classified within Level 3 of the fair value hierarchy. There were no transfers into or out of Level 3 during the three and six months ended June 30, 2025. As of June 30, 2025, all of the $6.6 million carrying amount of marketable securities had a contractual maturity date of less than one year.</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 - Nonrecurring Basis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measures the fair value of certain assets on a nonrecurring basis when events or changes in circumstances indicate that the carrying value of the asset or asset group may not be recoverable. Such nonrecurring fair value measurements generally result from impairment charges. The Company did not have any assets resulting in nonrecurring fair value measurements as of June 30, 2025 and December 31, 2024 in the Company’s condensed consolidated balance sheets.</w:t>
      </w:r>
    </w:p>
    <w:p>
      <w:pPr>
        <w:pStyle w:val="TextBody"/>
        <w:bidi w:val="0"/>
        <w:spacing w:lineRule="auto" w:line="288" w:before="360" w:after="283"/>
        <w:jc w:val="left"/>
        <w:rPr>
          <w:rFonts w:ascii="Helvetica;sans-serif" w:hAnsi="Helvetica;sans-serif"/>
          <w:b w:val="false"/>
          <w:i/>
          <w:color w:val="000000"/>
          <w:sz w:val="20"/>
        </w:rPr>
      </w:pPr>
      <w:r>
        <w:rPr>
          <w:rFonts w:ascii="Helvetica;sans-serif" w:hAnsi="Helvetica;sans-serif"/>
          <w:b w:val="false"/>
          <w:i/>
          <w:color w:val="000000"/>
          <w:sz w:val="20"/>
        </w:rPr>
        <w:t>Other Fair Value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and December 31, 2024,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4. Property and Equipment,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7318" w:type="dxa"/>
        <w:jc w:val="center"/>
        <w:tblInd w:w="0" w:type="dxa"/>
        <w:tblLayout w:type="fixed"/>
        <w:tblCellMar>
          <w:top w:w="28" w:type="dxa"/>
          <w:left w:w="28" w:type="dxa"/>
          <w:bottom w:w="28" w:type="dxa"/>
          <w:right w:w="28" w:type="dxa"/>
        </w:tblCellMar>
      </w:tblPr>
      <w:tblGrid>
        <w:gridCol w:w="1584"/>
        <w:gridCol w:w="1395"/>
        <w:gridCol w:w="1400"/>
        <w:gridCol w:w="109"/>
        <w:gridCol w:w="109"/>
        <w:gridCol w:w="109"/>
        <w:gridCol w:w="211"/>
        <w:gridCol w:w="751"/>
        <w:gridCol w:w="109"/>
        <w:gridCol w:w="109"/>
        <w:gridCol w:w="109"/>
        <w:gridCol w:w="109"/>
        <w:gridCol w:w="229"/>
        <w:gridCol w:w="818"/>
        <w:gridCol w:w="167"/>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2024</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78,908 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23,901 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11,681 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7,396 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5,583 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133,956 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129,598 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(61,118)</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67,654 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68,480 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and amortization expense of property and equipment was $3.2 million and $3.6 million for the three months ended June 30, 2025 and 2024, respectively, and $6.3 million and $7.4 million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5. Balance Sheet Components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Accrued and other current liabilities consisted of the following:</w:t>
      </w:r>
    </w:p>
    <w:tbl>
      <w:tblPr>
        <w:tblW w:w="5908" w:type="dxa"/>
        <w:jc w:val="center"/>
        <w:tblInd w:w="0" w:type="dxa"/>
        <w:tblLayout w:type="fixed"/>
        <w:tblCellMar>
          <w:top w:w="28" w:type="dxa"/>
          <w:left w:w="28" w:type="dxa"/>
          <w:bottom w:w="28" w:type="dxa"/>
          <w:right w:w="28" w:type="dxa"/>
        </w:tblCellMar>
      </w:tblPr>
      <w:tblGrid>
        <w:gridCol w:w="1074"/>
        <w:gridCol w:w="944"/>
        <w:gridCol w:w="951"/>
        <w:gridCol w:w="109"/>
        <w:gridCol w:w="109"/>
        <w:gridCol w:w="109"/>
        <w:gridCol w:w="211"/>
        <w:gridCol w:w="751"/>
        <w:gridCol w:w="109"/>
        <w:gridCol w:w="109"/>
        <w:gridCol w:w="109"/>
        <w:gridCol w:w="109"/>
        <w:gridCol w:w="229"/>
        <w:gridCol w:w="818"/>
        <w:gridCol w:w="167"/>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2024</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Gift card and site credit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vendor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Allowance for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3,438 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26,934 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29,856 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6. Long-Term Debt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2019, the Company entered into a loan and security agreement (“Term Loan”) with Western Alliance Bank for an aggregate amount of up to $40.0 million.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was subsequently amended several times, with the most recent amendment taking place in December 2023. As amended, the Term Loan matures on July 14, 2027 and provides for an aggregate borrowing amount of up to $48.8 million, of which $22.5 million remains available and is designated for the purchase of certain equipment. The Term Loan bears interest at the prime rate published in the Wall Street Journal plus a margin of 1.25%, with a floor of 4.75%.</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June 30, 2025, the Company was in compliance with its debt covenants under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is payable in consecutive monthly installments. Interest is due monthly on amounts outstanding under the Term Loan. The Company is permitted to make voluntary prepayments without penalty or premium at any time.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and December 31, 2024, the effective interest rate for borrowings under the Term Loan was 9.71%.</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six months ended June 30, 2025 and 2024, the Company did not make any borrowings under the Term Loan and repaid a total of $2.0 million in each of the periods on amounts outstanding under the Term Loan. As of June 30, 2025 and December 31, 2024, the amounts outstanding under the Term Loan were $20.3 million and $22.3 million,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incurred interest expense related to the Term Loan of $0.5 million and $0.7 million for the three months ended June 30, 2025 and 2024, respectively, and $1.0 million and $1.3 million for the six months ended June 30, 2025 and 2024, respectively.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the future annual principal payments of the Term Loan were as follows:</w:t>
      </w:r>
    </w:p>
    <w:tbl>
      <w:tblPr>
        <w:tblW w:w="4962" w:type="dxa"/>
        <w:jc w:val="center"/>
        <w:tblInd w:w="0" w:type="dxa"/>
        <w:tblLayout w:type="fixed"/>
        <w:tblCellMar>
          <w:top w:w="28" w:type="dxa"/>
          <w:left w:w="28" w:type="dxa"/>
          <w:bottom w:w="28" w:type="dxa"/>
          <w:right w:w="28" w:type="dxa"/>
        </w:tblCellMar>
      </w:tblPr>
      <w:tblGrid>
        <w:gridCol w:w="1245"/>
        <w:gridCol w:w="1093"/>
        <w:gridCol w:w="1097"/>
        <w:gridCol w:w="109"/>
        <w:gridCol w:w="109"/>
        <w:gridCol w:w="109"/>
        <w:gridCol w:w="227"/>
        <w:gridCol w:w="808"/>
        <w:gridCol w:w="165"/>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20,333 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16,216 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7. Common Stock and Stockholders’ Equity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share of Class A common stock is entitled to one vote per share. Each share of Class B common stock is entitled to ten votes per share and is convertible at any time into one share of Class A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summarizes the Class A common stock and Class B common stock authorized, issued and outstanding as of June 30, 2025 and December 31, 2024:</w:t>
      </w:r>
    </w:p>
    <w:tbl>
      <w:tblPr>
        <w:tblW w:w="10205" w:type="dxa"/>
        <w:jc w:val="center"/>
        <w:tblInd w:w="0" w:type="dxa"/>
        <w:tblLayout w:type="fixed"/>
        <w:tblCellMar>
          <w:top w:w="28" w:type="dxa"/>
          <w:left w:w="28" w:type="dxa"/>
          <w:bottom w:w="28" w:type="dxa"/>
          <w:right w:w="28" w:type="dxa"/>
        </w:tblCellMar>
      </w:tblPr>
      <w:tblGrid>
        <w:gridCol w:w="733"/>
        <w:gridCol w:w="645"/>
        <w:gridCol w:w="650"/>
        <w:gridCol w:w="109"/>
        <w:gridCol w:w="109"/>
        <w:gridCol w:w="109"/>
        <w:gridCol w:w="510"/>
        <w:gridCol w:w="511"/>
        <w:gridCol w:w="331"/>
        <w:gridCol w:w="127"/>
        <w:gridCol w:w="127"/>
        <w:gridCol w:w="127"/>
        <w:gridCol w:w="654"/>
        <w:gridCol w:w="643"/>
        <w:gridCol w:w="645"/>
        <w:gridCol w:w="109"/>
        <w:gridCol w:w="109"/>
        <w:gridCol w:w="109"/>
        <w:gridCol w:w="510"/>
        <w:gridCol w:w="511"/>
        <w:gridCol w:w="331"/>
        <w:gridCol w:w="165"/>
        <w:gridCol w:w="165"/>
        <w:gridCol w:w="165"/>
        <w:gridCol w:w="596"/>
        <w:gridCol w:w="577"/>
        <w:gridCol w:w="828"/>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4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102,071 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88,061 </w:t>
            </w:r>
          </w:p>
        </w:tc>
        <w:tc>
          <w:tcPr>
            <w:tcW w:w="8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20,977 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28,073 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123,048 </w:t>
            </w:r>
          </w:p>
        </w:tc>
        <w:tc>
          <w:tcPr>
            <w:tcW w:w="6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116,134 </w:t>
            </w:r>
          </w:p>
        </w:tc>
        <w:tc>
          <w:tcPr>
            <w:tcW w:w="8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8. Stock-Based Compensation</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has stock-based compensation plans, which are more fully described in Note 10, </w:t>
      </w:r>
      <w:r>
        <w:rPr>
          <w:rFonts w:ascii="Helvetica;sans-serif" w:hAnsi="Helvetica;sans-serif"/>
          <w:b w:val="false"/>
          <w:i/>
          <w:color w:val="000000"/>
          <w:sz w:val="20"/>
        </w:rPr>
        <w:t>Stock-Based Compensation Plans</w:t>
      </w:r>
      <w:r>
        <w:rPr>
          <w:rFonts w:ascii="Helvetica;sans-serif" w:hAnsi="Helvetica;sans-serif"/>
          <w:b w:val="false"/>
          <w:color w:val="000000"/>
          <w:sz w:val="20"/>
        </w:rPr>
        <w:t>, to the Consolidated Financial Statements included in the 2024 10-K. During the six months ended June 30, 2025, the Company granted restricted stock units subject to service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120"/>
        <w:jc w:val="both"/>
        <w:rPr>
          <w:rFonts w:ascii="Helvetica;sans-serif" w:hAnsi="Helvetica;sans-serif"/>
          <w:b w:val="false"/>
          <w:i/>
          <w:color w:val="000000"/>
          <w:sz w:val="20"/>
        </w:rPr>
      </w:pPr>
      <w:r>
        <w:rPr>
          <w:rFonts w:ascii="Helvetica;sans-serif" w:hAnsi="Helvetica;sans-serif"/>
          <w:b w:val="false"/>
          <w:i/>
          <w:color w:val="000000"/>
          <w:sz w:val="20"/>
        </w:rPr>
        <w:t>Stock-Based Compensation Expense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information about stock-based compensation expense by financial statement line item:</w:t>
      </w:r>
    </w:p>
    <w:tbl>
      <w:tblPr>
        <w:tblW w:w="9177" w:type="dxa"/>
        <w:jc w:val="center"/>
        <w:tblInd w:w="0" w:type="dxa"/>
        <w:tblLayout w:type="fixed"/>
        <w:tblCellMar>
          <w:top w:w="28" w:type="dxa"/>
          <w:left w:w="28" w:type="dxa"/>
          <w:bottom w:w="28" w:type="dxa"/>
          <w:right w:w="28" w:type="dxa"/>
        </w:tblCellMar>
      </w:tblPr>
      <w:tblGrid>
        <w:gridCol w:w="1359"/>
        <w:gridCol w:w="1192"/>
        <w:gridCol w:w="1199"/>
        <w:gridCol w:w="109"/>
        <w:gridCol w:w="109"/>
        <w:gridCol w:w="109"/>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6,719 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13,630 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Stock-based compensation expense capitalized in internal use software was not material for the three and six months ended June 30, 2025 and 2024.</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 Options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stock options under the Company’s stock-based compensation plans for the six months ended June 30, 2025:</w:t>
      </w:r>
    </w:p>
    <w:tbl>
      <w:tblPr>
        <w:tblW w:w="10205" w:type="dxa"/>
        <w:jc w:val="center"/>
        <w:tblInd w:w="0" w:type="dxa"/>
        <w:tblLayout w:type="fixed"/>
        <w:tblCellMar>
          <w:top w:w="28" w:type="dxa"/>
          <w:left w:w="28" w:type="dxa"/>
          <w:bottom w:w="28" w:type="dxa"/>
          <w:right w:w="28" w:type="dxa"/>
        </w:tblCellMar>
      </w:tblPr>
      <w:tblGrid>
        <w:gridCol w:w="632"/>
        <w:gridCol w:w="556"/>
        <w:gridCol w:w="557"/>
        <w:gridCol w:w="109"/>
        <w:gridCol w:w="109"/>
        <w:gridCol w:w="109"/>
        <w:gridCol w:w="512"/>
        <w:gridCol w:w="504"/>
        <w:gridCol w:w="505"/>
        <w:gridCol w:w="109"/>
        <w:gridCol w:w="109"/>
        <w:gridCol w:w="109"/>
        <w:gridCol w:w="503"/>
        <w:gridCol w:w="1290"/>
        <w:gridCol w:w="261"/>
        <w:gridCol w:w="109"/>
        <w:gridCol w:w="109"/>
        <w:gridCol w:w="109"/>
        <w:gridCol w:w="709"/>
        <w:gridCol w:w="709"/>
        <w:gridCol w:w="710"/>
        <w:gridCol w:w="109"/>
        <w:gridCol w:w="109"/>
        <w:gridCol w:w="109"/>
        <w:gridCol w:w="272"/>
        <w:gridCol w:w="972"/>
        <w:gridCol w:w="205"/>
      </w:tblGrid>
      <w:tr>
        <w:trPr/>
        <w:tc>
          <w:tcPr>
            <w:tcW w:w="63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 (1)</w:t>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13,742 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5,300 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(3,228)</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10,445 </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10,213 </w:t>
            </w:r>
          </w:p>
        </w:tc>
        <w:tc>
          <w:tcPr>
            <w:tcW w:w="50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54,182 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(1)The intrinsic value is the amount by which the current market value of the underlying stock exceeds the exercise price of the stock awards.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the total unrecognized compensation cost related to all nonvested stock options was not material.</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Restricted Stock Units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restricted stock units (“RSUs”) under the Company’s stock-based compensation plans for the six months ended June 30, 2025:</w:t>
      </w:r>
    </w:p>
    <w:tbl>
      <w:tblPr>
        <w:tblW w:w="10205" w:type="dxa"/>
        <w:jc w:val="center"/>
        <w:tblInd w:w="0" w:type="dxa"/>
        <w:tblLayout w:type="fixed"/>
        <w:tblCellMar>
          <w:top w:w="28" w:type="dxa"/>
          <w:left w:w="28" w:type="dxa"/>
          <w:bottom w:w="28" w:type="dxa"/>
          <w:right w:w="28" w:type="dxa"/>
        </w:tblCellMar>
      </w:tblPr>
      <w:tblGrid>
        <w:gridCol w:w="1554"/>
        <w:gridCol w:w="1366"/>
        <w:gridCol w:w="1370"/>
        <w:gridCol w:w="109"/>
        <w:gridCol w:w="109"/>
        <w:gridCol w:w="109"/>
        <w:gridCol w:w="508"/>
        <w:gridCol w:w="474"/>
        <w:gridCol w:w="476"/>
        <w:gridCol w:w="109"/>
        <w:gridCol w:w="109"/>
        <w:gridCol w:w="109"/>
        <w:gridCol w:w="884"/>
        <w:gridCol w:w="2267"/>
        <w:gridCol w:w="652"/>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 Date Fair Value Per Share</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2.26 </w:t>
            </w:r>
          </w:p>
        </w:tc>
        <w:tc>
          <w:tcPr>
            <w:tcW w:w="65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2.93 </w:t>
            </w:r>
          </w:p>
        </w:tc>
        <w:tc>
          <w:tcPr>
            <w:tcW w:w="6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(4,130)</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65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6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10,094 </w:t>
            </w:r>
          </w:p>
        </w:tc>
        <w:tc>
          <w:tcPr>
            <w:tcW w:w="4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RSUs as of the vesting date was $16.2 million and $4.5 million during the three months ended June 30, 2025 and 2024, respectively, and $20.6 million and $7.9 million during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the total unrecognized compensation cost related to all nonvested RSUs was $23.1 million and the related weighted-average period over which it is expected to be recognized was approximately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9. Commitments and Contingencies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Legal Contingencies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10. 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quarterly income tax provision reflects an estimate of the corresponding quarter’s state taxes in the U.S. The provision for income tax expense for the three and six months ended June 30, 2025 and 2024 was determined based upon estimates of the Company’s annual effective tax rate for the years ending December 31, 2025 and 2024, respectively. Since the Company is in a full valuation allowance position due to losses incurred since inception, the provision for taxes consists solely of certain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11. 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participating securities have been excluded from the computation of diluted loss per share for the periods presented because including them would have been anti-dilutive:</w:t>
      </w:r>
    </w:p>
    <w:tbl>
      <w:tblPr>
        <w:tblW w:w="5554" w:type="dxa"/>
        <w:jc w:val="center"/>
        <w:tblInd w:w="0" w:type="dxa"/>
        <w:tblLayout w:type="fixed"/>
        <w:tblCellMar>
          <w:top w:w="28" w:type="dxa"/>
          <w:left w:w="28" w:type="dxa"/>
          <w:bottom w:w="28" w:type="dxa"/>
          <w:right w:w="28" w:type="dxa"/>
        </w:tblCellMar>
      </w:tblPr>
      <w:tblGrid>
        <w:gridCol w:w="1017"/>
        <w:gridCol w:w="889"/>
        <w:gridCol w:w="899"/>
        <w:gridCol w:w="109"/>
        <w:gridCol w:w="109"/>
        <w:gridCol w:w="109"/>
        <w:gridCol w:w="375"/>
        <w:gridCol w:w="376"/>
        <w:gridCol w:w="256"/>
        <w:gridCol w:w="109"/>
        <w:gridCol w:w="109"/>
        <w:gridCol w:w="109"/>
        <w:gridCol w:w="375"/>
        <w:gridCol w:w="376"/>
        <w:gridCol w:w="337"/>
      </w:tblGrid>
      <w:tr>
        <w:trPr/>
        <w:tc>
          <w:tcPr>
            <w:tcW w:w="101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16,013 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13,215 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20,548 </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29,260 </w:t>
            </w:r>
          </w:p>
        </w:tc>
        <w:tc>
          <w:tcPr>
            <w:tcW w:w="3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12. Discontinued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November 30, 2024, the Company completed the sale of its European subsidiary, Remix, to Remix’s management (the “Transaction”). The Transaction qualified for held-for-sale classification on November 30, 2024 and represented a strategic shift with a major effect on the Company’s operations and financial results. Following the divestiture, the Company did not have any significant continuing involvement in the operations of Remix. As a result, Remix met the criteria for reporting as a discontinued operation on the same date.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Remix’s financial results during 2024 are presented as loss from discontinued operations, net of tax in the condensed consolidated statements of operations for the three and six months ended June 30, 2024. The following table presents the major components of Remix’s financial results for the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tbl>
      <w:tblPr>
        <w:tblW w:w="7102" w:type="dxa"/>
        <w:jc w:val="left"/>
        <w:tblInd w:w="0" w:type="dxa"/>
        <w:tblLayout w:type="fixed"/>
        <w:tblCellMar>
          <w:top w:w="28" w:type="dxa"/>
          <w:left w:w="28" w:type="dxa"/>
          <w:bottom w:w="28" w:type="dxa"/>
          <w:right w:w="28" w:type="dxa"/>
        </w:tblCellMar>
      </w:tblPr>
      <w:tblGrid>
        <w:gridCol w:w="1125"/>
        <w:gridCol w:w="988"/>
        <w:gridCol w:w="992"/>
        <w:gridCol w:w="109"/>
        <w:gridCol w:w="109"/>
        <w:gridCol w:w="109"/>
        <w:gridCol w:w="345"/>
        <w:gridCol w:w="1231"/>
        <w:gridCol w:w="178"/>
        <w:gridCol w:w="109"/>
        <w:gridCol w:w="109"/>
        <w:gridCol w:w="109"/>
        <w:gridCol w:w="300"/>
        <w:gridCol w:w="1070"/>
        <w:gridCol w:w="219"/>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2024</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28,093 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(4,562)</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(8,926)</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both"/>
        <w:rPr/>
      </w:pPr>
      <w:r>
        <w:rPr>
          <w:rFonts w:ascii="Helvetica;sans-serif" w:hAnsi="Helvetica;sans-serif"/>
          <w:b w:val="false"/>
          <w:i/>
          <w:color w:val="000000"/>
          <w:sz w:val="20"/>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Helvetica;sans-serif" w:hAnsi="Helvetica;sans-serif"/>
          <w:b w:val="false"/>
          <w:color w:val="000000"/>
          <w:sz w:val="20"/>
        </w:rPr>
        <w:t>Financial Statements</w:t>
      </w:r>
      <w:r>
        <w:rPr>
          <w:rFonts w:ascii="Helvetica;sans-serif" w:hAnsi="Helvetica;sans-serif"/>
          <w:b w:val="false"/>
          <w:i/>
          <w:color w:val="000000"/>
          <w:sz w:val="20"/>
        </w:rPr>
        <w:t xml:space="preserve">, of this Quarterly Report on Form 10-Q; Part I, Item 1A, </w:t>
      </w:r>
      <w:r>
        <w:rPr>
          <w:rFonts w:ascii="Helvetica;sans-serif" w:hAnsi="Helvetica;sans-serif"/>
          <w:b w:val="false"/>
          <w:color w:val="000000"/>
          <w:sz w:val="20"/>
        </w:rPr>
        <w:t>Risk Factors</w:t>
      </w:r>
      <w:r>
        <w:rPr>
          <w:rFonts w:ascii="Helvetica;sans-serif" w:hAnsi="Helvetica;sans-serif"/>
          <w:b w:val="false"/>
          <w:i/>
          <w:color w:val="000000"/>
          <w:sz w:val="20"/>
        </w:rPr>
        <w:t>, of this Quarterly Report on Form 10-Q; and our consolidated financial statements and related notes appearing in our Annual Report on Form 10-K for the year ended December 31, 2024 (the “</w:t>
      </w:r>
      <w:r>
        <w:rPr>
          <w:rFonts w:ascii="Helvetica;sans-serif" w:hAnsi="Helvetica;sans-serif"/>
          <w:b w:val="false"/>
          <w:color w:val="000000"/>
          <w:sz w:val="20"/>
        </w:rPr>
        <w:t>2024</w:t>
      </w:r>
      <w:r>
        <w:rPr>
          <w:color w:val="000000"/>
        </w:rPr>
        <w:t> </w:t>
      </w:r>
      <w:r>
        <w:rPr>
          <w:rFonts w:ascii="Helvetica;sans-serif" w:hAnsi="Helvetica;sans-serif"/>
          <w:b w:val="false"/>
          <w:i/>
          <w:color w:val="000000"/>
          <w:sz w:val="20"/>
        </w:rPr>
        <w:t>10-K”). There have been no material changes to the risk factors described in our 2024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2025.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ThredUp’s proprietary operating platform is the foundation for our managed marketplace, where we have bridged online and offline technology to make the buying and selling of tens of millions of unique items easy and fun. The marketplaces we have built enable buyers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In addition to our core marketplace, some of the world’s leading brands and retailers are taking advantage of our Resale-as-a-Service (“RaaS”) offering, which allows them to conveniently offer a scalable closet clean out service and/or resale shop to their customers. We believe that RaaS will accelerate the growth of this emerging category and supplements our overall supply strategy.</w:t>
      </w:r>
    </w:p>
    <w:p>
      <w:pPr>
        <w:pStyle w:val="TextBody"/>
        <w:bidi w:val="0"/>
        <w:spacing w:before="0" w:after="0"/>
        <w:ind w:left="0" w:right="0" w:firstLine="36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Recent Business Developments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Discontinued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November 30, 2024, we divested 91% of our European business and Bulgarian subsidiary, Remix, which qualified for reporting as a discontinued operation. As a result, Remix’s results during 2024 are presented as a single line item, loss from discontinued operations, net of tax in the condensed consolidated statements of operations and excluded from continuing operations for the three and six months ended June 30, 2024. In the condensed consolidated statements of cash flows, cash flows attributable to Remix have been segregated and presented separately as net cash flow used in discontinued operating activities and net cash flow used in discontinued investing activities for the six months ended June 30, 2024. Accordingly, any discussion of historical information in the following sections reflects Remix’s results as a discontinued operation, and amounts, including key operating metrics, and disclosures below pertain to our continuing operations for all periods presented, unless otherwise noted.</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Tax Reform</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July 4, 2025, the U.S. enacted a budget reconciliation package known as the One Big Beautiful Bill Act of 2025 (OBBBA) which includes both tax and non-tax provisions. The changes resulting from the tax provisions in OBBBA are not expected to have a material impact on the Company’s financial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 of Second Quarter Results</w:t>
      </w:r>
    </w:p>
    <w:p>
      <w:pPr>
        <w:pStyle w:val="TextBody"/>
        <w:bidi w:val="0"/>
        <w:spacing w:lineRule="auto" w:line="288" w:before="120" w:after="283"/>
        <w:ind w:left="0" w:right="0" w:firstLine="36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Revenue totaled $77.7 million, representing an increase of 16.4% year over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color w:val="000000"/>
          <w:sz w:val="20"/>
        </w:rPr>
        <w:t>Gross Profit and Margin:</w:t>
      </w:r>
      <w:r>
        <w:rPr>
          <w:color w:val="000000"/>
        </w:rPr>
        <w:t xml:space="preserve"> </w:t>
      </w:r>
      <w:r>
        <w:rPr>
          <w:rFonts w:ascii="Helvetica;sans-serif" w:hAnsi="Helvetica;sans-serif"/>
          <w:b w:val="false"/>
          <w:color w:val="000000"/>
          <w:sz w:val="20"/>
        </w:rPr>
        <w:t>Gross profit totaled $61.7 million, representing an increase of 17.5% year over year. Gross margin was 79.5%, an increase of 70 basis points from 78.8% in the comparable quarter last year.</w:t>
      </w:r>
    </w:p>
    <w:p>
      <w:pPr>
        <w:pStyle w:val="TextBody"/>
        <w:bidi w:val="0"/>
        <w:spacing w:lineRule="auto" w:line="288" w:before="240" w:after="283"/>
        <w:ind w:left="0" w:right="0" w:firstLine="360"/>
        <w:jc w:val="both"/>
        <w:rPr/>
      </w:pPr>
      <w:r>
        <w:rPr>
          <w:rFonts w:ascii="Helvetica;sans-serif" w:hAnsi="Helvetica;sans-serif"/>
          <w:b/>
          <w:color w:val="000000"/>
          <w:sz w:val="20"/>
        </w:rPr>
        <w:t>Loss from continuing operations:</w:t>
      </w:r>
      <w:r>
        <w:rPr>
          <w:color w:val="000000"/>
        </w:rPr>
        <w:t xml:space="preserve"> </w:t>
      </w:r>
      <w:r>
        <w:rPr>
          <w:rFonts w:ascii="Helvetica;sans-serif" w:hAnsi="Helvetica;sans-serif"/>
          <w:b w:val="false"/>
          <w:color w:val="000000"/>
          <w:sz w:val="20"/>
        </w:rPr>
        <w:t xml:space="preserve">Loss from continuing operations was $5.2 million, or a negative 6.7% of revenue, for the second quarter of 2025, compared to a loss of $9.4 million, or a negative 14.1% of revenue, for the second quarter of 2024. </w:t>
      </w:r>
    </w:p>
    <w:p>
      <w:pPr>
        <w:pStyle w:val="TextBody"/>
        <w:bidi w:val="0"/>
        <w:spacing w:lineRule="auto" w:line="288" w:before="240" w:after="283"/>
        <w:ind w:left="0" w:right="0" w:firstLine="360"/>
        <w:jc w:val="both"/>
        <w:rPr/>
      </w:pPr>
      <w:r>
        <w:rPr>
          <w:rFonts w:ascii="Helvetica;sans-serif" w:hAnsi="Helvetica;sans-serif"/>
          <w:b/>
          <w:color w:val="000000"/>
          <w:sz w:val="20"/>
        </w:rPr>
        <w:t>Non-GAAP Adjusted EBITDA from continuing operations</w:t>
      </w:r>
      <w:r>
        <w:rPr>
          <w:rFonts w:ascii="Helvetica;sans-serif" w:hAnsi="Helvetica;sans-serif"/>
          <w:b/>
          <w:color w:val="000000"/>
          <w:sz w:val="13"/>
        </w:rPr>
        <w:t>(1)</w:t>
      </w:r>
      <w:r>
        <w:rPr>
          <w:rFonts w:ascii="Helvetica;sans-serif" w:hAnsi="Helvetica;sans-serif"/>
          <w:b/>
          <w:color w:val="000000"/>
          <w:sz w:val="20"/>
        </w:rPr>
        <w:t>:</w:t>
      </w:r>
      <w:r>
        <w:rPr>
          <w:color w:val="000000"/>
        </w:rPr>
        <w:t xml:space="preserve"> </w:t>
      </w:r>
      <w:r>
        <w:rPr>
          <w:rFonts w:ascii="Helvetica;sans-serif" w:hAnsi="Helvetica;sans-serif"/>
          <w:b w:val="false"/>
          <w:color w:val="000000"/>
          <w:sz w:val="20"/>
        </w:rPr>
        <w:t>Non-GAAP Adjusted EBITDA from continuing operations was $3.0 million, or 3.9% of revenue, for the second quarter of 2025, compared to $1.5 million, or 2.2% of revenue, for the second quarter of 2024.</w:t>
      </w:r>
    </w:p>
    <w:p>
      <w:pPr>
        <w:pStyle w:val="TextBody"/>
        <w:bidi w:val="0"/>
        <w:spacing w:lineRule="auto" w:line="288" w:before="240" w:after="283"/>
        <w:ind w:left="0" w:right="0" w:firstLine="360"/>
        <w:jc w:val="both"/>
        <w:rPr/>
      </w:pPr>
      <w:r>
        <w:rPr>
          <w:rFonts w:ascii="Helvetica;sans-serif" w:hAnsi="Helvetica;sans-serif"/>
          <w:b/>
          <w:color w:val="000000"/>
          <w:sz w:val="20"/>
        </w:rPr>
        <w:t>Active Buyers and Orders:</w:t>
      </w:r>
      <w:r>
        <w:rPr>
          <w:color w:val="000000"/>
        </w:rPr>
        <w:t xml:space="preserve"> </w:t>
      </w:r>
      <w:r>
        <w:rPr>
          <w:rFonts w:ascii="Helvetica;sans-serif" w:hAnsi="Helvetica;sans-serif"/>
          <w:b w:val="false"/>
          <w:color w:val="000000"/>
          <w:sz w:val="20"/>
        </w:rPr>
        <w:t>Active Buyers and Orders each totaled 1.5 million in the second quarter of 2025, representing increases of 16.5% and 20.8%, respectively, compared to the second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Financial and Operating Metrics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tbl>
      <w:tblPr>
        <w:tblW w:w="10576"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211"/>
        <w:gridCol w:w="751"/>
        <w:gridCol w:w="286"/>
        <w:gridCol w:w="109"/>
        <w:gridCol w:w="109"/>
        <w:gridCol w:w="109"/>
        <w:gridCol w:w="211"/>
        <w:gridCol w:w="751"/>
        <w:gridCol w:w="286"/>
        <w:gridCol w:w="109"/>
        <w:gridCol w:w="109"/>
        <w:gridCol w:w="109"/>
        <w:gridCol w:w="322"/>
        <w:gridCol w:w="324"/>
        <w:gridCol w:w="497"/>
        <w:gridCol w:w="109"/>
        <w:gridCol w:w="109"/>
        <w:gridCol w:w="109"/>
        <w:gridCol w:w="211"/>
        <w:gridCol w:w="856"/>
        <w:gridCol w:w="286"/>
        <w:gridCol w:w="109"/>
        <w:gridCol w:w="109"/>
        <w:gridCol w:w="109"/>
        <w:gridCol w:w="211"/>
        <w:gridCol w:w="856"/>
        <w:gridCol w:w="286"/>
        <w:gridCol w:w="109"/>
        <w:gridCol w:w="109"/>
        <w:gridCol w:w="109"/>
        <w:gridCol w:w="322"/>
        <w:gridCol w:w="324"/>
        <w:gridCol w:w="542"/>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Active Buyers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131,250 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104,271 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from continuing operations(1)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102.8 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from continuing operations margin(1)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(1)Non-GAAP Adjusted EBITDA from continuing operations and Non-GAAP Adjusted EBITDA from continuing operations margin are non-GAAP measures, which may not be comparable to similarly-titled measures used by other companies. See below for a reconciliation of Non-GAAP Adjusted EBITDA from continuing operations to its most directly comparable GAAP measure, loss from continuing operations.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Active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Orders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Orders means the total number of orders placed by buyers across our marketplaces, including through our RaaS clients, in a given period, net of cancellations.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Non-GAAP Financial Measures from Continuing Operations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Non-GAAP Adjusted EBITDA from Continuing Operations and Non-GAAP Adjusted EBITDA from Continuing Operations Margin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Non-GAAP Adjusted EBITDA from continuing operations means loss from continuing operations adjusted to exclude, where applicable in a given period, stock-based compensation expense, depreciation and amortization, interest expense, provision for income taxes, gain on sale of non-marketable equity investment, and severance and other reorganization costs. Non-GAAP Adjusted EBITDA from continuing operations margin represents Non-GAAP Adjusted EBITDA from continuing operations divided by Revenue. We use these non-GAAP measures to evaluate and assess our operating performance and the operating leverage in our business, and for internal planning and forecasting purposes. We believe these non-GAAP measures,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loss from continuing operations to Non-GAAP Adjusted EBITDA from continuing operations:</w:t>
      </w:r>
    </w:p>
    <w:tbl>
      <w:tblPr>
        <w:tblW w:w="10205" w:type="dxa"/>
        <w:jc w:val="center"/>
        <w:tblInd w:w="0" w:type="dxa"/>
        <w:tblLayout w:type="fixed"/>
        <w:tblCellMar>
          <w:top w:w="28" w:type="dxa"/>
          <w:left w:w="28" w:type="dxa"/>
          <w:bottom w:w="28" w:type="dxa"/>
          <w:right w:w="28" w:type="dxa"/>
        </w:tblCellMar>
      </w:tblPr>
      <w:tblGrid>
        <w:gridCol w:w="1456"/>
        <w:gridCol w:w="1094"/>
        <w:gridCol w:w="1098"/>
        <w:gridCol w:w="109"/>
        <w:gridCol w:w="109"/>
        <w:gridCol w:w="109"/>
        <w:gridCol w:w="211"/>
        <w:gridCol w:w="751"/>
        <w:gridCol w:w="286"/>
        <w:gridCol w:w="109"/>
        <w:gridCol w:w="109"/>
        <w:gridCol w:w="109"/>
        <w:gridCol w:w="211"/>
        <w:gridCol w:w="751"/>
        <w:gridCol w:w="286"/>
        <w:gridCol w:w="109"/>
        <w:gridCol w:w="109"/>
        <w:gridCol w:w="109"/>
        <w:gridCol w:w="211"/>
        <w:gridCol w:w="856"/>
        <w:gridCol w:w="286"/>
        <w:gridCol w:w="109"/>
        <w:gridCol w:w="109"/>
        <w:gridCol w:w="109"/>
        <w:gridCol w:w="211"/>
        <w:gridCol w:w="856"/>
        <w:gridCol w:w="333"/>
      </w:tblGrid>
      <w:tr>
        <w:trPr/>
        <w:tc>
          <w:tcPr>
            <w:tcW w:w="14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(9,392)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(21,582)</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13,630 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7,370 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1,329 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Gain on sale of non-marketable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Severance and other reorganization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2,612 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1,488 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6,825 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3,376 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66,717 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131,250 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from continuing operations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Comparison of the Three and Six Months Ended June 30, 2025 and 2024</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in the first quarter of 2025, we combined consignment revenue and product revenue into a single line item, revenue, on the condensed consolidated statements of operations and similarly combined related cost of revenue line items. With our transition to a primarily consignment model, product revenue is no longer material. Prior period amounts have been reclassified to conform to the current period’s presentation.</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w:t>
      </w:r>
    </w:p>
    <w:tbl>
      <w:tblPr>
        <w:tblW w:w="11837"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70"/>
        <w:gridCol w:w="271"/>
        <w:gridCol w:w="286"/>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33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Revenue increased $10.9 million, or 16.4%, for the three months ended June 30, 2025 as compared to the same period in 2024. The growth in revenue was mainly driven by a 20.8% increase in Orders, partially offset by a 2.4% decrease in the average order value, reflecting continued strength in our core marketplace business and our ongoing focus on the higher-margin, capital-efficient consignment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Revenue increased $17.7 million, or 13.5%, for the six months ended June 30, 2025 as compared to the same period in 2024. The growth in revenue was mainly driven by an 18.5% increase in Orders, partially offset by a more modest 0.7% increase in the average order value, reflecting continued strength in our core marketplace business and our ongoing focus on the higher-margin, capital-efficient consignment model.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Gross Margin</w:t>
      </w:r>
    </w:p>
    <w:tbl>
      <w:tblPr>
        <w:tblW w:w="12188"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70"/>
        <w:gridCol w:w="271"/>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0"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104,271 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Helvetica;sans-serif" w:hAnsi="Helvetica;sans-serif"/>
          <w:b w:val="false"/>
          <w:color w:val="000000"/>
          <w:sz w:val="20"/>
        </w:rPr>
        <w:t>Gross margin was 79.5% and 78.8% for the three months ended June 30, 2025 and 2024, respectively, or an increase of 70 basis points</w:t>
      </w:r>
      <w:r>
        <w:rPr>
          <w:rFonts w:ascii="Helvetica;sans-serif" w:hAnsi="Helvetica;sans-serif"/>
          <w:b w:val="false"/>
          <w:color w:val="000000"/>
          <w:sz w:val="24"/>
        </w:rPr>
        <w:t xml:space="preserve">. </w:t>
      </w:r>
      <w:r>
        <w:rPr>
          <w:rFonts w:ascii="Helvetica;sans-serif" w:hAnsi="Helvetica;sans-serif"/>
          <w:b w:val="false"/>
          <w:color w:val="000000"/>
          <w:sz w:val="20"/>
        </w:rPr>
        <w:t>The increase in gross margin for the three months ended June 30, 2025 as compared to the same period in 2024 was primarily driven by lower cost of goods as a percentage of revenue.</w:t>
      </w:r>
    </w:p>
    <w:p>
      <w:pPr>
        <w:pStyle w:val="TextBody"/>
        <w:bidi w:val="0"/>
        <w:spacing w:lineRule="auto" w:line="288" w:before="240" w:after="283"/>
        <w:ind w:left="0" w:right="0" w:firstLine="360"/>
        <w:jc w:val="both"/>
        <w:rPr/>
      </w:pPr>
      <w:r>
        <w:rPr>
          <w:rFonts w:ascii="Helvetica;sans-serif" w:hAnsi="Helvetica;sans-serif"/>
          <w:b w:val="false"/>
          <w:color w:val="000000"/>
          <w:sz w:val="20"/>
        </w:rPr>
        <w:t>Gross margin was 79.3% and 79.4% for the six months ended June 30, 2025 and 2024, respectively, remaining relatively stable with only a slight decline of 10 basis points</w:t>
      </w:r>
      <w:r>
        <w:rPr>
          <w:rFonts w:ascii="Helvetica;sans-serif" w:hAnsi="Helvetica;sans-serif"/>
          <w:b w:val="false"/>
          <w:color w:val="000000"/>
          <w:sz w:val="24"/>
        </w:rPr>
        <w:t xml:space="preserve">.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tbl>
      <w:tblPr>
        <w:tblW w:w="11813" w:type="dxa"/>
        <w:jc w:val="center"/>
        <w:tblInd w:w="0" w:type="dxa"/>
        <w:tblLayout w:type="fixed"/>
        <w:tblCellMar>
          <w:top w:w="28" w:type="dxa"/>
          <w:left w:w="28" w:type="dxa"/>
          <w:bottom w:w="28" w:type="dxa"/>
          <w:right w:w="28" w:type="dxa"/>
        </w:tblCellMar>
      </w:tblPr>
      <w:tblGrid>
        <w:gridCol w:w="408"/>
        <w:gridCol w:w="358"/>
        <w:gridCol w:w="360"/>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286"/>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0"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72,100 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increased $2.6 million, or 7.3%, for the three months ended June 30, 2025 as compared to the same period in 2024. The increase was primarily due to a $3.1 million increase in personnel-related costs, primarily driven by higher headcount at our distribution centers to support greater supply availability for customers, and a $0.4 million increase in facilities, technology and other costs. This increase was partially offset by a $0.9 million decrease in inbound shipping costs, primarily driven by lower rates. The decrease in operations, product, and technology expenses as a percentage of revenue was primarily due to increased operating leverage resulting from higher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increased $0.6 million, or 0.8%, for the six months ended June 30, 2025 as compared to the same period in 2024. The increase was primarily due to a $3.6 million increase in personnel-related costs, primarily driven by higher headcount at our distribution centers to support greater supply availability for customers. This increase was partially offset by a $1.2 million decrease in inbound shipping costs, primarily driven by lower rates; a $1.0 million decrease in severance costs following the completion of our workforce reorganization in March 2024; and a $0.8 million decrease in facilities, technology and other costs. The decrease in operations, product, and technology expenses as a percentage of revenue was primarily due to increased operating leverage resulting from higher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tbl>
      <w:tblPr>
        <w:tblW w:w="12143" w:type="dxa"/>
        <w:jc w:val="left"/>
        <w:tblInd w:w="0" w:type="dxa"/>
        <w:tblLayout w:type="fixed"/>
        <w:tblCellMar>
          <w:top w:w="28" w:type="dxa"/>
          <w:left w:w="28" w:type="dxa"/>
          <w:bottom w:w="28" w:type="dxa"/>
          <w:right w:w="28" w:type="dxa"/>
        </w:tblCellMar>
      </w:tblPr>
      <w:tblGrid>
        <w:gridCol w:w="390"/>
        <w:gridCol w:w="344"/>
        <w:gridCol w:w="347"/>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expenses increased $2.9 million, or 22.2%, for the three months ended June 30, 2025 as compared to the same period in 2024. The increase was primarily due to a $2.1 million increase in advertising costs, a $0.5 million increase in professional services, and a $0.2 million increase in personnel-related costs driven by higher headcount. The increase in marketing expenses as a percentage of revenue reflected a higher rate of marketing spend relative to the growth in revenue, as we continue to invest in marketing initiatives to support future growth.</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expenses increased $5.2 million, or 21.7%, for the six months ended June 30, 2025 as compared to the same period in 2024. The increase was primarily due to a $4.6 million increase in advertising costs and a $1.1 million increase in professional services. This increase was partially offset by a $0.6 million decrease in personnel-related costs as a result of the March 2024 workforce reorganization. The increase in marketing expenses as a percentage of revenue reflected a higher rate of marketing spend relative to the growth in revenue, as we continue to invest in marketing initiatives to support future growth.</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tbl>
      <w:tblPr>
        <w:tblW w:w="12128" w:type="dxa"/>
        <w:jc w:val="center"/>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decreased $0.7 million, or 4.9%, for the three months ended June 30, 2025 as compared to the same period in 2024. The decrease was primarily due to a $1.5 million decrease in personnel-related costs, primarily attributable to lower stock-based compensation expense. This decrease was partially offset by a $0.8 million increase in facilities, technology and other costs. The decrease in sales, general, and administrative expenses as a percentage of revenue was primarily due to increased operating leverage resulting from higher revenue and lower overall costs.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decreased $3.3 million, or 10.9%, for the six months ended June 30, 2025 as compared to the same period in 2024. The decrease was primarily due to a $5.0 million decrease in personnel-related costs, including a $3.2 million decrease in stock-based compensation expense, and a $1.2 million decrease in severance costs following the completion of our workforce reorganization in March 2024. This decrease was partially offset by a $1.4 million increase in facilities, technology and other costs and a $0.4 million increase in professional services. The decrease in sales, general, and administrative expenses as a percentage of revenue was primarily due to increased operating leverage resulting from higher revenue and lower overall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tbl>
      <w:tblPr>
        <w:tblW w:w="10307"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70"/>
        <w:gridCol w:w="271"/>
        <w:gridCol w:w="286"/>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270"/>
        <w:gridCol w:w="271"/>
        <w:gridCol w:w="3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decreased $0.2 million for the three months ended June 30, 2025 as compared to the same period in 2024, primarily due to a lower interest rate environment and reduced outstanding debt balances.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decreased $0.3 million for the six months ended June 30, 2025 as compared to the same period in 2024, primarily due to a lower interest rate environment and reduced outstanding debt balances.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Net</w:t>
      </w:r>
    </w:p>
    <w:tbl>
      <w:tblPr>
        <w:tblW w:w="1026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70"/>
        <w:gridCol w:w="271"/>
        <w:gridCol w:w="286"/>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270"/>
        <w:gridCol w:w="271"/>
        <w:gridCol w:w="33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decreased $0.3 million for the three months ended June 30, 2025 as compared to the same period in 2024, primarily due to lower interest income resulting from both a decline in interest rates and a reduced average cash balance.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decreased $0.4 million for the six months ended June 30, 2025 as compared to the same period in 2024, primarily due to lower interest income resulting from both a decline in interest rates and a reduced average cash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While we have a history of negative cash flows from operations, we generated positive cash flows from continuing operations of $6.1 million for the six months ended June 30, 2025. We have primarily financed our operations through private and public sales of equity securities and debt. As of June 30, 2025, we had cash, cash equivalents, restricted cash and short-term marketable securities of $56.2 million. Additionally, we have a term loan facility (“Term Loan”) under which $22.5 million remained available to be drawn as of June 30, 2025 for the purchase of certain equipment, and we were in full compliance with our debt covenants under the Term Loan as of that date. See Note 6,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a further discussion on our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operating losses to continue in 2025 as we continue to invest in growing our business and our infrastructure. Our primary sources of liquidity are cash flows generated from operations, cash on hand and borrowings available under the Term Loan. Our primary use of cash includes seller payouts, operating costs such as distribution network spend, product and technology, marketing, personnel-related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Our future capital requirements will depend on many factors, including but not limited to, the timing of any future distribution center automation and expansion plans to support planned revenue growth, the expansion of sales and marketing activities, the potential introduction of new offerings, the continuing growth of our marketplaces and overall economic conditions. However, we expect that our capital expenditures will remain modest for the remainder of 2025. See the section titled </w:t>
      </w:r>
      <w:r>
        <w:rPr>
          <w:color w:val="000000"/>
        </w:rPr>
        <w:t>“</w:t>
      </w:r>
      <w:r>
        <w:rPr>
          <w:rFonts w:ascii="Helvetica;sans-serif" w:hAnsi="Helvetica;sans-serif"/>
          <w:b w:val="false"/>
          <w:i/>
          <w:color w:val="000000"/>
          <w:sz w:val="20"/>
        </w:rPr>
        <w:t>Risk Factors—Risks Relating to Our Indebtedness and Liquidity</w:t>
      </w:r>
      <w:r>
        <w:rPr>
          <w:color w:val="000000"/>
        </w:rPr>
        <w:t>—</w:t>
      </w:r>
      <w:r>
        <w:rPr>
          <w:rFonts w:ascii="Helvetica;sans-serif" w:hAnsi="Helvetica;sans-serif"/>
          <w:b w:val="false"/>
          <w:color w:val="000000"/>
          <w:sz w:val="20"/>
        </w:rPr>
        <w:t>We may require additional capital to support business growth, and this capital might not be available or may be available only by diluting existing stockholders” within the 2024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Flows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indicated:</w:t>
      </w:r>
    </w:p>
    <w:tbl>
      <w:tblPr>
        <w:tblW w:w="10205" w:type="dxa"/>
        <w:jc w:val="center"/>
        <w:tblInd w:w="0" w:type="dxa"/>
        <w:tblLayout w:type="fixed"/>
        <w:tblCellMar>
          <w:top w:w="28" w:type="dxa"/>
          <w:left w:w="28" w:type="dxa"/>
          <w:bottom w:w="28" w:type="dxa"/>
          <w:right w:w="28" w:type="dxa"/>
        </w:tblCellMar>
      </w:tblPr>
      <w:tblGrid>
        <w:gridCol w:w="1750"/>
        <w:gridCol w:w="1508"/>
        <w:gridCol w:w="1518"/>
        <w:gridCol w:w="109"/>
        <w:gridCol w:w="109"/>
        <w:gridCol w:w="109"/>
        <w:gridCol w:w="211"/>
        <w:gridCol w:w="646"/>
        <w:gridCol w:w="109"/>
        <w:gridCol w:w="109"/>
        <w:gridCol w:w="109"/>
        <w:gridCol w:w="109"/>
        <w:gridCol w:w="211"/>
        <w:gridCol w:w="681"/>
        <w:gridCol w:w="109"/>
        <w:gridCol w:w="109"/>
        <w:gridCol w:w="109"/>
        <w:gridCol w:w="109"/>
        <w:gridCol w:w="211"/>
        <w:gridCol w:w="751"/>
        <w:gridCol w:w="109"/>
        <w:gridCol w:w="109"/>
        <w:gridCol w:w="109"/>
        <w:gridCol w:w="109"/>
        <w:gridCol w:w="375"/>
        <w:gridCol w:w="376"/>
        <w:gridCol w:w="332"/>
      </w:tblGrid>
      <w:tr>
        <w:trPr/>
        <w:tc>
          <w:tcPr>
            <w:tcW w:w="175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Continuing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2305.9 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Continuing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Continuing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(178.2)</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9,141 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(6,536)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(239.9)</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Continuing Operating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continuing operating activities was $6.1 million during the six months ended June 30, 2025, compared to $0.3 million during the six months ended June 30, 2024. The $5.8 million increase in continuing operating cash inflows was primarily due to a $11.2 million decrease in our loss from continuing operations, partially offset by a $4.2 million decrease in non-cash charges and a $1.1 million net use of cash from changes in operating assets and liabilities. The decrease in non-cash charges was primarily related to a $3.6 million reduction in stock-based compensation expense as a result of the March 2024 workforce reorganization, and a $1.0 million decrease in depreciation expense due to the accelerated depreciation recorded in the fourth quarter of 2024 for warehouse equipment we no longer plan to use. The $1.1 million net decrease in operating assets and liabilities was primarily attributable to cash outflows of $2.3 million from overall lower accounts payable and accrued and other liabilities, primarily reflecting the timing of vendor and bonus payments; $1.6 million from higher accounts receivable, reflecting the timing of cash receipts from payment processors; and $1.4 million from higher other current assets, primarily related to lower sales of owned inventory. These were partially offset by cash inflows of $3.6 million from higher seller payable, primarily reflecting the timing of seller credit cash-outs or redemptions and conversions to gift cards.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Continuing Investing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continuing investing activities for the six months ended June 30, 2025 was $1.0 million as compared to net cash used in continuing investing activities of $4.1 million for the same period in 2024. The $5.1 million increase in cash inflows was primarily due to a $6.1 million decrease in purchases of marketable securities and a $2.2 million increase in sale and maturities of marketable securities, partially offset by a $3.1 million increase in purchases of property and equipment.</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Continuing Financing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continuing financing activities for the six months ended June 30, 2025 was $2.1 million as compared to net cash used in continuing financing activities of $2.7 million for the same period in 2024. The $4.7 million increase in cash inflows was primarily due to a $13.1 million increase in proceeds from issuance of stock-based awards, driven by a higher stock price, partially offset by a $8.3 million increase in payroll taxes paid on stock-based award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There have been no material changes to our critical accounting policies since the 2024 10-K. For a description of critical accounting policies that affect our significant judgments and estimates used in the preparation of our condensed consolidated financial statements, see Part II, Item 7, </w:t>
      </w:r>
      <w:r>
        <w:rPr>
          <w:rFonts w:ascii="Helvetica;sans-serif" w:hAnsi="Helvetica;sans-serif"/>
          <w:b w:val="false"/>
          <w:i/>
          <w:color w:val="000000"/>
          <w:sz w:val="20"/>
        </w:rPr>
        <w:t>Management’s Discussion and Analysis of Financial Condition and Results of Operations</w:t>
      </w:r>
      <w:r>
        <w:rPr>
          <w:rFonts w:ascii="Helvetica;sans-serif" w:hAnsi="Helvetica;sans-serif"/>
          <w:b w:val="false"/>
          <w:color w:val="000000"/>
          <w:sz w:val="20"/>
        </w:rPr>
        <w:t>, of the 2024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JOBS Act Accounting Election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See discussion under Note 2, </w:t>
      </w:r>
      <w:r>
        <w:rPr>
          <w:rFonts w:ascii="Helvetica;sans-serif" w:hAnsi="Helvetica;sans-serif"/>
          <w:b w:val="false"/>
          <w:i/>
          <w:color w:val="000000"/>
          <w:sz w:val="20"/>
        </w:rPr>
        <w:t>Significant Accounting Policies</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risks in the ordinary course of our business. These risks primarily include: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June 30, 2025, we had non-restricted cash and cash equivalents of $41.0 million and marketable securities of $6.6 million, consisting primarily of money market funds, commercial paper and U.S. treasury securities,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Inflation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June 30, 2025, inflation remains at elevated levels in the U.S.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Evaluation of Disclosure Controls and Procedures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June 30, 2025.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that evaluation, our Chief Executive Officer and Chief Financial Officer concluded that our disclosure controls and procedures were effective as of June 30, 2025.</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Changes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changes in our internal control over financial reporting that occurred during our most recent quarter ended June 30, 2025 that materially affected, or are reasonably likely to materially affect, our internal control over financial reporting.</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Inherent Limitations on Effectiveness of Controls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Risks affecting our business are discussed in the section titled “Risk Factors” in Part I, Item 1A of our Annual Report on Form 10-K for the fiscal year ended December 31, 2024 filed with the SEC on March 3, 2025 (our “Fiscal 2024 10-K”). There have been no material changes to our risk factors as previously disclosed in our Fiscal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bidi w:val="0"/>
        <w:spacing w:lineRule="auto" w:line="288" w:before="120" w:after="283"/>
        <w:ind w:left="0" w:right="0" w:hanging="360"/>
        <w:jc w:val="left"/>
        <w:rPr>
          <w:rFonts w:ascii="Helvetica;sans-serif" w:hAnsi="Helvetica;sans-serif"/>
          <w:b w:val="false"/>
          <w:color w:val="000000"/>
          <w:sz w:val="20"/>
        </w:rPr>
      </w:pPr>
      <w:r>
        <w:rPr>
          <w:rFonts w:ascii="Helvetica;sans-serif" w:hAnsi="Helvetica;sans-serif"/>
          <w:b w:val="false"/>
          <w:color w:val="000000"/>
          <w:sz w:val="20"/>
        </w:rPr>
        <w:t>(b)None.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(c)Rule 10b5-1 Trading Plans</w:t>
      </w:r>
    </w:p>
    <w:p>
      <w:pPr>
        <w:pStyle w:val="TextBody"/>
        <w:bidi w:val="0"/>
        <w:spacing w:lineRule="auto" w:line="288" w:before="12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On June 13, 2025, Chris Homer, Chief Operating Officer, adopted a Rule 10b5-1 trading arrangement that is intended to satisfy the affirmative defense of Rule 10b5-1(c) of the Exchange Act for the sale of up to 510,000 shares of the Company’s Class A common stock until September 17, 2026.</w:t>
      </w:r>
    </w:p>
    <w:p>
      <w:pPr>
        <w:pStyle w:val="TextBody"/>
        <w:bidi w:val="0"/>
        <w:spacing w:before="120" w:after="283"/>
        <w:ind w:left="0" w:right="0" w:firstLine="720"/>
        <w:jc w:val="both"/>
        <w:rPr/>
      </w:pPr>
      <w:r>
        <w:rPr/>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There were no other Rule 10b5-1 trading arrangements or non-Rule 10b5-1 trading arrangements adopted, modified or terminated by our directors or officers during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p>
      <w:pPr>
        <w:pStyle w:val="TextBody"/>
        <w:bidi w:val="0"/>
        <w:spacing w:lineRule="auto" w:line="288" w:before="120" w:after="283"/>
        <w:ind w:left="0" w:right="0" w:hanging="360"/>
        <w:jc w:val="left"/>
        <w:rPr>
          <w:rFonts w:ascii="Helvetica;sans-serif" w:hAnsi="Helvetica;sans-serif"/>
          <w:b w:val="false"/>
          <w:color w:val="000000"/>
          <w:sz w:val="20"/>
        </w:rPr>
      </w:pPr>
      <w:r>
        <w:rPr>
          <w:rFonts w:ascii="Helvetica;sans-serif" w:hAnsi="Helvetica;sans-serif"/>
          <w:b w:val="false"/>
          <w:color w:val="000000"/>
          <w:sz w:val="20"/>
        </w:rPr>
        <w:t>(a)Exhibit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43"/>
        <w:gridCol w:w="301"/>
        <w:gridCol w:w="302"/>
        <w:gridCol w:w="109"/>
        <w:gridCol w:w="109"/>
        <w:gridCol w:w="109"/>
        <w:gridCol w:w="2099"/>
        <w:gridCol w:w="1918"/>
        <w:gridCol w:w="1937"/>
        <w:gridCol w:w="109"/>
        <w:gridCol w:w="109"/>
        <w:gridCol w:w="109"/>
        <w:gridCol w:w="175"/>
        <w:gridCol w:w="175"/>
        <w:gridCol w:w="176"/>
        <w:gridCol w:w="121"/>
        <w:gridCol w:w="121"/>
        <w:gridCol w:w="121"/>
        <w:gridCol w:w="220"/>
        <w:gridCol w:w="220"/>
        <w:gridCol w:w="221"/>
        <w:gridCol w:w="121"/>
        <w:gridCol w:w="121"/>
        <w:gridCol w:w="121"/>
        <w:gridCol w:w="214"/>
        <w:gridCol w:w="214"/>
        <w:gridCol w:w="310"/>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20"/>
                  <w:u w:val="single"/>
                </w:rPr>
                <w:t>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10-Q</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8/5/2024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Helvetica;sans-serif" w:hAnsi="Helvetica;sans-serif"/>
                  <w:b w:val="false"/>
                  <w:color w:val="0000FF"/>
                  <w:sz w:val="20"/>
                  <w:u w:val="single"/>
                </w:rPr>
                <w:t>Amended and Restated Bylaws of the Registrant, as adopted on February 16,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2/21/2023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FF"/>
                  <w:sz w:val="20"/>
                  <w:u w:val="single"/>
                </w:rPr>
                <w:t>Tenth Amended and Restated Investors’ Rights Agreement, dated February 16, 2021, by and among the Registrant and certain of its stockholders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22025.htm">
              <w:r>
                <w:rPr>
                  <w:rStyle w:val="InternetLink"/>
                  <w:rFonts w:ascii="Helvetica;sans-serif" w:hAnsi="Helvetica;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5.htm">
              <w:r>
                <w:rPr>
                  <w:rStyle w:val="InternetLink"/>
                  <w:rFonts w:ascii="Helvetica;sans-serif" w:hAnsi="Helvetica;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5.htm">
              <w:r>
                <w:rPr>
                  <w:rStyle w:val="InternetLink"/>
                  <w:rFonts w:ascii="Helvetica;sans-serif" w:hAnsi="Helvetica;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q22025.htm">
              <w:r>
                <w:rPr>
                  <w:rStyle w:val="InternetLink"/>
                  <w:rFonts w:ascii="Helvetica;sans-serif" w:hAnsi="Helvetica;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Filed herewith.</w:t>
      </w:r>
    </w:p>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Furnished herewith.</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4d230fb07754b6d947e10341171e7b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thereunto duly authorized.</w:t>
      </w:r>
    </w:p>
    <w:tbl>
      <w:tblPr>
        <w:tblW w:w="4968" w:type="dxa"/>
        <w:jc w:val="center"/>
        <w:tblInd w:w="0" w:type="dxa"/>
        <w:tblLayout w:type="fixed"/>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Chief Executive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June 30, 2025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Chief Financial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June 30, 2025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August 4, 2025</w:t>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84778/000148477824000117/ex31tdup-publiccompanyrest.htm" TargetMode="External"/><Relationship Id="rId4" Type="http://schemas.openxmlformats.org/officeDocument/2006/relationships/hyperlink" Target="https://www.sec.gov/Archives/edgar/data/1484778/000148477823000037/thredup-arpubliccompanybyl.htm" TargetMode="External"/><Relationship Id="rId5" Type="http://schemas.openxmlformats.org/officeDocument/2006/relationships/hyperlink" Target="https://www.sec.gov/Archives/edgar/data/1484778/000162828021003857/exhibit41-sx1.htm" TargetMode="External"/><Relationship Id="rId6" Type="http://schemas.openxmlformats.org/officeDocument/2006/relationships/hyperlink" Target="https://www.sec.gov/Archives/edgar/data/1484778/000162828021003857/exhibit42-sx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14255</Words>
  <Characters>79041</Characters>
  <CharactersWithSpaces>92027</CharactersWithSpaces>
  <Paragraphs>1894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