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Helvetica;sans-serif" w:hAnsi="Helvetica;sans-serif"/>
          <w:b/>
          <w:color w:val="000000"/>
          <w:sz w:val="28"/>
        </w:rPr>
      </w:pPr>
      <w:r>
        <w:rPr>
          <w:rFonts w:ascii="Helvetica;sans-serif" w:hAnsi="Helvetica;sans-serif"/>
          <w:b/>
          <w:color w:val="000000"/>
          <w:sz w:val="28"/>
        </w:rPr>
        <w:t>UNITED STATES</w:t>
      </w:r>
    </w:p>
    <w:p>
      <w:pPr>
        <w:pStyle w:val="TextBody"/>
        <w:bidi w:val="0"/>
        <w:spacing w:lineRule="auto" w:line="288" w:before="0" w:after="0"/>
        <w:jc w:val="center"/>
        <w:rPr>
          <w:rFonts w:ascii="Helvetica;sans-serif" w:hAnsi="Helvetica;sans-serif"/>
          <w:b/>
          <w:color w:val="000000"/>
          <w:sz w:val="28"/>
        </w:rPr>
      </w:pPr>
      <w:r>
        <w:rPr>
          <w:rFonts w:ascii="Helvetica;sans-serif" w:hAnsi="Helvetica;sans-serif"/>
          <w:b/>
          <w:color w:val="000000"/>
          <w:sz w:val="28"/>
        </w:rPr>
        <w:t>SECURITIES AND EXCHANGE COMMISSION</w:t>
      </w:r>
    </w:p>
    <w:p>
      <w:pPr>
        <w:pStyle w:val="TextBody"/>
        <w:bidi w:val="0"/>
        <w:spacing w:lineRule="auto" w:line="288" w:before="0" w:after="0"/>
        <w:jc w:val="center"/>
        <w:rPr>
          <w:rFonts w:ascii="Helvetica;sans-serif" w:hAnsi="Helvetica;sans-serif"/>
          <w:b/>
          <w:color w:val="000000"/>
          <w:sz w:val="28"/>
        </w:rPr>
      </w:pPr>
      <w:r>
        <w:rPr>
          <w:rFonts w:ascii="Helvetica;sans-serif" w:hAnsi="Helvetica;sans-serif"/>
          <w:b/>
          <w:color w:val="000000"/>
          <w:sz w:val="28"/>
        </w:rPr>
        <w:t>Washington, D.C. 20549</w:t>
      </w:r>
    </w:p>
    <w:p>
      <w:pPr>
        <w:pStyle w:val="TextBody"/>
        <w:bidi w:val="0"/>
        <w:spacing w:lineRule="auto" w:line="288" w:before="120" w:after="283"/>
        <w:jc w:val="center"/>
        <w:rPr>
          <w:rFonts w:ascii="Helvetica;sans-serif" w:hAnsi="Helvetica;sans-serif"/>
          <w:b/>
          <w:color w:val="000000"/>
          <w:sz w:val="28"/>
        </w:rPr>
      </w:pPr>
      <w:r>
        <w:rPr>
          <w:rFonts w:ascii="Helvetica;sans-serif" w:hAnsi="Helvetica;sans-serif"/>
          <w:b/>
          <w:color w:val="000000"/>
          <w:sz w:val="28"/>
        </w:rPr>
        <w:t>FORM 10-Q</w:t>
      </w:r>
    </w:p>
    <w:p>
      <w:pPr>
        <w:pStyle w:val="TextBody"/>
        <w:bidi w:val="0"/>
        <w:spacing w:lineRule="auto" w:line="288" w:before="120" w:after="283"/>
        <w:jc w:val="both"/>
        <w:rPr>
          <w:rFonts w:ascii="Helvetica;sans-serif" w:hAnsi="Helvetica;sans-serif"/>
          <w:b/>
          <w:color w:val="000000"/>
          <w:sz w:val="20"/>
        </w:rPr>
      </w:pPr>
      <w:r>
        <w:rPr>
          <w:rFonts w:ascii="Helvetica;sans-serif" w:hAnsi="Helvetica;sans-serif"/>
          <w:b/>
          <w:color w:val="000000"/>
          <w:sz w:val="20"/>
        </w:rPr>
        <w:t>(Mark One)</w:t>
      </w:r>
    </w:p>
    <w:p>
      <w:pPr>
        <w:pStyle w:val="TextBody"/>
        <w:bidi w:val="0"/>
        <w:spacing w:lineRule="auto" w:line="288" w:before="0" w:after="0"/>
        <w:jc w:val="both"/>
        <w:rPr>
          <w:color w:val="000000"/>
        </w:rPr>
      </w:pPr>
      <w:r>
        <w:rPr>
          <w:color w:val="000000"/>
        </w:rPr>
        <w:t>☒    </w:t>
      </w:r>
      <w:r>
        <w:rPr>
          <w:rFonts w:ascii="Helvetica;sans-serif" w:hAnsi="Helvetica;sans-serif"/>
          <w:b/>
          <w:color w:val="000000"/>
          <w:sz w:val="20"/>
        </w:rPr>
        <w:t>QUARTERLY REPORT PURSUANT TO SECTION 13 OR 15(d) OF THE SECURITIES EXCHANGE ACT OF 1934</w:t>
      </w:r>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For the quarterly period ended June 30, 2026</w:t>
      </w:r>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or</w:t>
      </w:r>
    </w:p>
    <w:p>
      <w:pPr>
        <w:pStyle w:val="TextBody"/>
        <w:bidi w:val="0"/>
        <w:spacing w:lineRule="auto" w:line="288" w:before="120" w:after="283"/>
        <w:jc w:val="left"/>
        <w:rPr>
          <w:color w:val="000000"/>
        </w:rPr>
      </w:pPr>
      <w:r>
        <w:rPr>
          <w:color w:val="000000"/>
        </w:rPr>
        <w:t>☐    </w:t>
      </w:r>
      <w:r>
        <w:rPr>
          <w:rFonts w:ascii="Helvetica;sans-serif" w:hAnsi="Helvetica;sans-serif"/>
          <w:b/>
          <w:color w:val="000000"/>
          <w:sz w:val="20"/>
        </w:rPr>
        <w:t>TRANSITION REPORT PURSUANT TO SECTION 13 OR 15(d) OF THE SECURITIES EXCHANGE ACT OF 1934</w:t>
      </w:r>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For the transition period from ____________________ to ____________________</w:t>
      </w:r>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Commission File Number: 001-40249</w:t>
      </w:r>
    </w:p>
    <w:p>
      <w:pPr>
        <w:pStyle w:val="TextBody"/>
        <w:bidi w:val="0"/>
        <w:spacing w:before="120" w:after="283"/>
        <w:jc w:val="center"/>
        <w:rPr/>
      </w:pPr>
      <w:r>
        <w:rPr/>
        <w:drawing>
          <wp:inline distT="0" distB="0" distL="0" distR="0">
            <wp:extent cx="1724025"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24025" cy="428625"/>
                    </a:xfrm>
                    <a:prstGeom prst="rect">
                      <a:avLst/>
                    </a:prstGeom>
                  </pic:spPr>
                </pic:pic>
              </a:graphicData>
            </a:graphic>
          </wp:inline>
        </w:drawing>
      </w:r>
      <w:bookmarkStart w:id="0" w:name="i-1"/>
      <w:bookmarkEnd w:id="0"/>
    </w:p>
    <w:p>
      <w:pPr>
        <w:pStyle w:val="TextBody"/>
        <w:bidi w:val="0"/>
        <w:spacing w:lineRule="auto" w:line="288" w:before="120" w:after="283"/>
        <w:jc w:val="center"/>
        <w:rPr>
          <w:rFonts w:ascii="Helvetica;sans-serif" w:hAnsi="Helvetica;sans-serif"/>
          <w:b/>
          <w:color w:val="000000"/>
          <w:sz w:val="32"/>
        </w:rPr>
      </w:pPr>
      <w:r>
        <w:rPr>
          <w:rFonts w:ascii="Helvetica;sans-serif" w:hAnsi="Helvetica;sans-serif"/>
          <w:b/>
          <w:color w:val="000000"/>
          <w:sz w:val="32"/>
        </w:rPr>
        <w:t>ThredUp Inc.</w:t>
      </w:r>
    </w:p>
    <w:p>
      <w:pPr>
        <w:pStyle w:val="TextBody"/>
        <w:bidi w:val="0"/>
        <w:spacing w:lineRule="auto" w:line="288" w:before="0" w:after="0"/>
        <w:jc w:val="center"/>
        <w:rPr>
          <w:rFonts w:ascii="Helvetica;sans-serif" w:hAnsi="Helvetica;sans-serif"/>
          <w:b w:val="false"/>
          <w:i/>
          <w:color w:val="000000"/>
          <w:sz w:val="16"/>
        </w:rPr>
      </w:pPr>
      <w:r>
        <w:rPr>
          <w:rFonts w:ascii="Helvetica;sans-serif" w:hAnsi="Helvetica;sans-serif"/>
          <w:b w:val="false"/>
          <w:i/>
          <w:color w:val="000000"/>
          <w:sz w:val="16"/>
        </w:rPr>
        <w:t>(Exact name of registrant as specified in its charter)</w:t>
      </w:r>
    </w:p>
    <w:p>
      <w:pPr>
        <w:pStyle w:val="TextBody"/>
        <w:bidi w:val="0"/>
        <w:spacing w:before="0" w:after="0"/>
        <w:jc w:val="both"/>
        <w:rPr/>
      </w:pPr>
      <w:r>
        <w:rPr/>
      </w:r>
    </w:p>
    <w:tbl>
      <w:tblPr>
        <w:tblW w:w="6990" w:type="dxa"/>
        <w:jc w:val="left"/>
        <w:tblInd w:w="0" w:type="dxa"/>
        <w:tblLayout w:type="fixed"/>
        <w:tblCellMar>
          <w:top w:w="28" w:type="dxa"/>
          <w:left w:w="28" w:type="dxa"/>
          <w:bottom w:w="28" w:type="dxa"/>
          <w:right w:w="28" w:type="dxa"/>
        </w:tblCellMar>
      </w:tblPr>
      <w:tblGrid>
        <w:gridCol w:w="1566"/>
        <w:gridCol w:w="1378"/>
        <w:gridCol w:w="1391"/>
        <w:gridCol w:w="773"/>
        <w:gridCol w:w="773"/>
        <w:gridCol w:w="1109"/>
      </w:tblGrid>
      <w:tr>
        <w:trPr/>
        <w:tc>
          <w:tcPr>
            <w:tcW w:w="1566"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Delaware</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26-4009181</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(State or other jurisdiction of incorporation or organization)</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(I.R.S. Employer Identification No.)</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969 Broadway, Suite 200</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Oakland, California</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94607</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(Address of principal executive offices)</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(Zip Code)</w:t>
            </w:r>
          </w:p>
        </w:tc>
      </w:tr>
    </w:tbl>
    <w:p>
      <w:pPr>
        <w:pStyle w:val="TextBody"/>
        <w:bidi w:val="0"/>
        <w:spacing w:before="0" w:after="0"/>
        <w:jc w:val="both"/>
        <w:rPr/>
      </w:pPr>
      <w:r>
        <w:rPr/>
      </w:r>
    </w:p>
    <w:p>
      <w:pPr>
        <w:pStyle w:val="TextBody"/>
        <w:bidi w:val="0"/>
        <w:spacing w:lineRule="auto" w:line="288" w:before="40" w:after="283"/>
        <w:jc w:val="center"/>
        <w:rPr>
          <w:rFonts w:ascii="Helvetica;sans-serif" w:hAnsi="Helvetica;sans-serif"/>
          <w:b/>
          <w:color w:val="000000"/>
          <w:sz w:val="16"/>
        </w:rPr>
      </w:pPr>
      <w:r>
        <w:rPr>
          <w:rFonts w:ascii="Helvetica;sans-serif" w:hAnsi="Helvetica;sans-serif"/>
          <w:b/>
          <w:color w:val="000000"/>
          <w:sz w:val="16"/>
        </w:rPr>
        <w:t>(415) 402-5202</w:t>
      </w:r>
    </w:p>
    <w:p>
      <w:pPr>
        <w:pStyle w:val="TextBody"/>
        <w:bidi w:val="0"/>
        <w:spacing w:lineRule="auto" w:line="288" w:before="0" w:after="0"/>
        <w:jc w:val="center"/>
        <w:rPr>
          <w:rFonts w:ascii="Helvetica;sans-serif" w:hAnsi="Helvetica;sans-serif"/>
          <w:b w:val="false"/>
          <w:i/>
          <w:color w:val="000000"/>
          <w:sz w:val="16"/>
        </w:rPr>
      </w:pPr>
      <w:r>
        <w:rPr>
          <w:rFonts w:ascii="Helvetica;sans-serif" w:hAnsi="Helvetica;sans-serif"/>
          <w:b w:val="false"/>
          <w:i/>
          <w:color w:val="000000"/>
          <w:sz w:val="16"/>
        </w:rPr>
        <w:t>(Registrant’s telephone number, including area code)</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Securities registered pursuant to Section 12(b) of the Act:</w:t>
      </w:r>
    </w:p>
    <w:p>
      <w:pPr>
        <w:pStyle w:val="TextBody"/>
        <w:bidi w:val="0"/>
        <w:spacing w:before="0" w:after="0"/>
        <w:jc w:val="both"/>
        <w:rPr/>
      </w:pPr>
      <w:r>
        <w:rPr/>
      </w:r>
    </w:p>
    <w:tbl>
      <w:tblPr>
        <w:tblW w:w="9891" w:type="dxa"/>
        <w:jc w:val="left"/>
        <w:tblInd w:w="0" w:type="dxa"/>
        <w:tblLayout w:type="fixed"/>
        <w:tblCellMar>
          <w:top w:w="28" w:type="dxa"/>
          <w:left w:w="28" w:type="dxa"/>
          <w:bottom w:w="28" w:type="dxa"/>
          <w:right w:w="28" w:type="dxa"/>
        </w:tblCellMar>
      </w:tblPr>
      <w:tblGrid>
        <w:gridCol w:w="1447"/>
        <w:gridCol w:w="1271"/>
        <w:gridCol w:w="1286"/>
        <w:gridCol w:w="109"/>
        <w:gridCol w:w="109"/>
        <w:gridCol w:w="109"/>
        <w:gridCol w:w="524"/>
        <w:gridCol w:w="524"/>
        <w:gridCol w:w="526"/>
        <w:gridCol w:w="109"/>
        <w:gridCol w:w="109"/>
        <w:gridCol w:w="109"/>
        <w:gridCol w:w="1071"/>
        <w:gridCol w:w="1071"/>
        <w:gridCol w:w="1517"/>
      </w:tblGrid>
      <w:tr>
        <w:trPr/>
        <w:tc>
          <w:tcPr>
            <w:tcW w:w="1447"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Name of each exchange on which registered</w:t>
            </w:r>
          </w:p>
        </w:tc>
      </w:tr>
      <w:tr>
        <w:trPr/>
        <w:tc>
          <w:tcPr>
            <w:tcW w:w="40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Class A 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TDUP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6"/>
              </w:rPr>
            </w:pPr>
            <w:r>
              <w:rPr>
                <w:rFonts w:ascii="Helvetica;sans-serif" w:hAnsi="Helvetica;sans-serif"/>
                <w:b w:val="false"/>
                <w:color w:val="000000"/>
                <w:sz w:val="16"/>
              </w:rPr>
              <w:t>The Nasdaq Stock Market LLC</w:t>
            </w:r>
          </w:p>
          <w:p>
            <w:pPr>
              <w:pStyle w:val="TableContents"/>
              <w:bidi w:val="0"/>
              <w:spacing w:lineRule="auto" w:line="240" w:before="0" w:after="0"/>
              <w:jc w:val="center"/>
              <w:rPr>
                <w:rFonts w:ascii="Helvetica;sans-serif" w:hAnsi="Helvetica;sans-serif"/>
                <w:b w:val="false"/>
                <w:color w:val="000000"/>
                <w:sz w:val="16"/>
              </w:rPr>
            </w:pPr>
            <w:r>
              <w:rPr>
                <w:rFonts w:ascii="Helvetica;sans-serif" w:hAnsi="Helvetica;sans-serif"/>
                <w:b w:val="false"/>
                <w:color w:val="000000"/>
                <w:sz w:val="16"/>
              </w:rPr>
              <w:t>Long-Term Stock Exchange</w:t>
            </w:r>
          </w:p>
        </w:tc>
      </w:tr>
    </w:tbl>
    <w:p>
      <w:pPr>
        <w:pStyle w:val="TextBody"/>
        <w:bidi w:val="0"/>
        <w:spacing w:before="0" w:after="0"/>
        <w:jc w:val="both"/>
        <w:rPr/>
      </w:pPr>
      <w:r>
        <w:rPr/>
      </w:r>
    </w:p>
    <w:p>
      <w:pPr>
        <w:pStyle w:val="TextBody"/>
        <w:bidi w:val="0"/>
        <w:spacing w:lineRule="auto" w:line="288" w:before="40" w:after="283"/>
        <w:jc w:val="both"/>
        <w:rPr>
          <w:rFonts w:ascii="Helvetica;sans-serif" w:hAnsi="Helvetica;sans-serif"/>
          <w:b w:val="false"/>
          <w:color w:val="000000"/>
          <w:sz w:val="16"/>
        </w:rPr>
      </w:pPr>
      <w:r>
        <w:rPr>
          <w:rFonts w:ascii="Helvetica;sans-serif" w:hAnsi="Helvetica;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both"/>
        <w:rPr/>
      </w:pPr>
      <w:r>
        <w:rPr/>
      </w:r>
    </w:p>
    <w:tbl>
      <w:tblPr>
        <w:tblW w:w="4493" w:type="dxa"/>
        <w:jc w:val="center"/>
        <w:tblInd w:w="0" w:type="dxa"/>
        <w:tblLayout w:type="fixed"/>
        <w:tblCellMar>
          <w:top w:w="28" w:type="dxa"/>
          <w:left w:w="28" w:type="dxa"/>
          <w:bottom w:w="28" w:type="dxa"/>
          <w:right w:w="28" w:type="dxa"/>
        </w:tblCellMar>
      </w:tblPr>
      <w:tblGrid>
        <w:gridCol w:w="629"/>
        <w:gridCol w:w="554"/>
        <w:gridCol w:w="556"/>
        <w:gridCol w:w="109"/>
        <w:gridCol w:w="109"/>
        <w:gridCol w:w="109"/>
        <w:gridCol w:w="684"/>
        <w:gridCol w:w="684"/>
        <w:gridCol w:w="687"/>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both"/>
        <w:rPr/>
      </w:pPr>
      <w:r>
        <w:rPr/>
      </w:r>
    </w:p>
    <w:p>
      <w:pPr>
        <w:pStyle w:val="TextBody"/>
        <w:bidi w:val="0"/>
        <w:spacing w:lineRule="auto" w:line="288" w:before="40" w:after="283"/>
        <w:jc w:val="both"/>
        <w:rPr>
          <w:rFonts w:ascii="Helvetica;sans-serif" w:hAnsi="Helvetica;sans-serif"/>
          <w:b w:val="false"/>
          <w:color w:val="000000"/>
          <w:sz w:val="16"/>
        </w:rPr>
      </w:pPr>
      <w:r>
        <w:rPr>
          <w:rFonts w:ascii="Helvetica;sans-serif" w:hAnsi="Helvetica;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Indicate by check mark whether the registrant is a shell company (as defined in Rule 12b-2 of the Exchange Act).    Yes  ☐    No  ☒</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There were 111,010,151 shares of Class A common stock and 20,323,499 shares of Class B common stock outstanding as of July 29,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TABLE OF CONTENTS</w:t>
      </w:r>
    </w:p>
    <w:tbl>
      <w:tblPr>
        <w:tblW w:w="10141" w:type="dxa"/>
        <w:jc w:val="left"/>
        <w:tblInd w:w="0" w:type="dxa"/>
        <w:tblLayout w:type="fixed"/>
        <w:tblCellMar>
          <w:top w:w="28" w:type="dxa"/>
          <w:left w:w="28" w:type="dxa"/>
          <w:bottom w:w="28" w:type="dxa"/>
          <w:right w:w="28" w:type="dxa"/>
        </w:tblCellMar>
      </w:tblPr>
      <w:tblGrid>
        <w:gridCol w:w="320"/>
        <w:gridCol w:w="282"/>
        <w:gridCol w:w="284"/>
        <w:gridCol w:w="2614"/>
        <w:gridCol w:w="2614"/>
        <w:gridCol w:w="2617"/>
        <w:gridCol w:w="412"/>
        <w:gridCol w:w="412"/>
        <w:gridCol w:w="586"/>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Page Number</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PART I. FINANCIAL INFORMATION</w:t>
            </w:r>
          </w:p>
        </w:tc>
        <w:tc>
          <w:tcPr>
            <w:tcW w:w="14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1.</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9e795779b5247aeb0dd8ee89026a236_13">
              <w:r>
                <w:rPr>
                  <w:rStyle w:val="InternetLink"/>
                  <w:rFonts w:ascii="Helvetica;sans-serif" w:hAnsi="Helvetica;sans-serif"/>
                  <w:b w:val="false"/>
                  <w:color w:val="0000FF"/>
                  <w:sz w:val="20"/>
                  <w:u w:val="single"/>
                </w:rPr>
                <w:t>Financial Statements</w:t>
              </w:r>
            </w:hyperlink>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9e795779b5247aeb0dd8ee89026a236_13">
              <w:r>
                <w:rPr>
                  <w:rStyle w:val="InternetLink"/>
                  <w:rFonts w:ascii="Helvetica;sans-serif" w:hAnsi="Helvetica;sans-serif"/>
                  <w:b w:val="false"/>
                  <w:strike w:val="false"/>
                  <w:dstrike w:val="false"/>
                  <w:color w:val="000000"/>
                  <w:sz w:val="20"/>
                  <w:u w:val="none"/>
                  <w:effect w:val="none"/>
                </w:rPr>
                <w:t>5</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9e795779b5247aeb0dd8ee89026a236_19">
              <w:r>
                <w:rPr>
                  <w:rStyle w:val="InternetLink"/>
                  <w:rFonts w:ascii="Helvetica;sans-serif" w:hAnsi="Helvetica;sans-serif"/>
                  <w:b w:val="false"/>
                  <w:color w:val="0000FF"/>
                  <w:sz w:val="20"/>
                  <w:u w:val="single"/>
                </w:rPr>
                <w:t>Unaudited Condensed Consolidated Balance Sheets</w:t>
              </w:r>
            </w:hyperlink>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9e795779b5247aeb0dd8ee89026a236_19">
              <w:r>
                <w:rPr>
                  <w:rStyle w:val="InternetLink"/>
                  <w:rFonts w:ascii="Helvetica;sans-serif" w:hAnsi="Helvetica;sans-serif"/>
                  <w:b w:val="false"/>
                  <w:strike w:val="false"/>
                  <w:dstrike w:val="false"/>
                  <w:color w:val="000000"/>
                  <w:sz w:val="20"/>
                  <w:u w:val="none"/>
                  <w:effect w:val="none"/>
                </w:rPr>
                <w:t>5</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9e795779b5247aeb0dd8ee89026a236_22">
              <w:r>
                <w:rPr>
                  <w:rStyle w:val="InternetLink"/>
                  <w:rFonts w:ascii="Helvetica;sans-serif" w:hAnsi="Helvetica;sans-serif"/>
                  <w:b w:val="false"/>
                  <w:color w:val="0000FF"/>
                  <w:sz w:val="20"/>
                  <w:u w:val="single"/>
                </w:rPr>
                <w:t>Unaudited Condensed Consolidated Statements of Operations</w:t>
              </w:r>
            </w:hyperlink>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9e795779b5247aeb0dd8ee89026a236_22">
              <w:r>
                <w:rPr>
                  <w:rStyle w:val="InternetLink"/>
                  <w:rFonts w:ascii="Helvetica;sans-serif" w:hAnsi="Helvetica;sans-serif"/>
                  <w:b w:val="false"/>
                  <w:strike w:val="false"/>
                  <w:dstrike w:val="false"/>
                  <w:color w:val="000000"/>
                  <w:sz w:val="20"/>
                  <w:u w:val="none"/>
                  <w:effect w:val="none"/>
                </w:rPr>
                <w:t>6</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9e795779b5247aeb0dd8ee89026a236_25">
              <w:r>
                <w:rPr>
                  <w:rStyle w:val="InternetLink"/>
                  <w:rFonts w:ascii="Helvetica;sans-serif" w:hAnsi="Helvetica;sans-serif"/>
                  <w:b w:val="false"/>
                  <w:color w:val="0000FF"/>
                  <w:sz w:val="20"/>
                  <w:u w:val="single"/>
                </w:rPr>
                <w:t>Unaudited Condensed Consolidated Statements of Comprehensive Loss</w:t>
              </w:r>
            </w:hyperlink>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9e795779b5247aeb0dd8ee89026a236_25">
              <w:r>
                <w:rPr>
                  <w:rStyle w:val="InternetLink"/>
                  <w:rFonts w:ascii="Helvetica;sans-serif" w:hAnsi="Helvetica;sans-serif"/>
                  <w:b w:val="false"/>
                  <w:strike w:val="false"/>
                  <w:dstrike w:val="false"/>
                  <w:color w:val="000000"/>
                  <w:sz w:val="20"/>
                  <w:u w:val="none"/>
                  <w:effect w:val="none"/>
                </w:rPr>
                <w:t>7</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9e795779b5247aeb0dd8ee89026a236_28">
              <w:r>
                <w:rPr>
                  <w:rStyle w:val="InternetLink"/>
                  <w:rFonts w:ascii="Helvetica;sans-serif" w:hAnsi="Helvetica;sans-serif"/>
                  <w:b w:val="false"/>
                  <w:color w:val="0000FF"/>
                  <w:sz w:val="20"/>
                  <w:u w:val="single"/>
                </w:rPr>
                <w:t>Unaudited Condensed Consolidated Statements of Stockholders’ Equity</w:t>
              </w:r>
            </w:hyperlink>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9e795779b5247aeb0dd8ee89026a236_28">
              <w:r>
                <w:rPr>
                  <w:rStyle w:val="InternetLink"/>
                  <w:rFonts w:ascii="Helvetica;sans-serif" w:hAnsi="Helvetica;sans-serif"/>
                  <w:b w:val="false"/>
                  <w:strike w:val="false"/>
                  <w:dstrike w:val="false"/>
                  <w:color w:val="000000"/>
                  <w:sz w:val="20"/>
                  <w:u w:val="none"/>
                  <w:effect w:val="none"/>
                </w:rPr>
                <w:t>8</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9e795779b5247aeb0dd8ee89026a236_31">
              <w:r>
                <w:rPr>
                  <w:rStyle w:val="InternetLink"/>
                  <w:rFonts w:ascii="Helvetica;sans-serif" w:hAnsi="Helvetica;sans-serif"/>
                  <w:b w:val="false"/>
                  <w:color w:val="0000FF"/>
                  <w:sz w:val="20"/>
                  <w:u w:val="single"/>
                </w:rPr>
                <w:t>Unaudited Condensed Consolidated Statements of Cash Flows</w:t>
              </w:r>
            </w:hyperlink>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9e795779b5247aeb0dd8ee89026a236_31">
              <w:r>
                <w:rPr>
                  <w:rStyle w:val="InternetLink"/>
                  <w:rFonts w:ascii="Helvetica;sans-serif" w:hAnsi="Helvetica;sans-serif"/>
                  <w:b w:val="false"/>
                  <w:strike w:val="false"/>
                  <w:dstrike w:val="false"/>
                  <w:color w:val="000000"/>
                  <w:sz w:val="20"/>
                  <w:u w:val="none"/>
                  <w:effect w:val="none"/>
                </w:rPr>
                <w:t>9</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9e795779b5247aeb0dd8ee89026a236_34">
              <w:r>
                <w:rPr>
                  <w:rStyle w:val="InternetLink"/>
                  <w:rFonts w:ascii="Helvetica;sans-serif" w:hAnsi="Helvetica;sans-serif"/>
                  <w:b w:val="false"/>
                  <w:color w:val="0000FF"/>
                  <w:sz w:val="20"/>
                  <w:u w:val="single"/>
                </w:rPr>
                <w:t>Notes to Unaudited Condensed Consolidated Financial Statements</w:t>
              </w:r>
            </w:hyperlink>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9e795779b5247aeb0dd8ee89026a236_34">
              <w:r>
                <w:rPr>
                  <w:rStyle w:val="InternetLink"/>
                  <w:rFonts w:ascii="Helvetica;sans-serif" w:hAnsi="Helvetica;sans-serif"/>
                  <w:b w:val="false"/>
                  <w:strike w:val="false"/>
                  <w:dstrike w:val="false"/>
                  <w:color w:val="000000"/>
                  <w:sz w:val="20"/>
                  <w:u w:val="none"/>
                  <w:effect w:val="none"/>
                </w:rPr>
                <w:t>10</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2.</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9e795779b5247aeb0dd8ee89026a236_70">
              <w:r>
                <w:rPr>
                  <w:rStyle w:val="InternetLink"/>
                  <w:rFonts w:ascii="Helvetica;sans-serif" w:hAnsi="Helvetica;sans-serif"/>
                  <w:b w:val="false"/>
                  <w:color w:val="0000FF"/>
                  <w:sz w:val="20"/>
                  <w:u w:val="single"/>
                </w:rPr>
                <w:t>Management’s Discussion and Analysis of Financial Condition and Results of Operations</w:t>
              </w:r>
            </w:hyperlink>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9e795779b5247aeb0dd8ee89026a236_70">
              <w:r>
                <w:rPr>
                  <w:rStyle w:val="InternetLink"/>
                  <w:rFonts w:ascii="Helvetica;sans-serif" w:hAnsi="Helvetica;sans-serif"/>
                  <w:b w:val="false"/>
                  <w:strike w:val="false"/>
                  <w:dstrike w:val="false"/>
                  <w:color w:val="000000"/>
                  <w:sz w:val="20"/>
                  <w:u w:val="none"/>
                  <w:effect w:val="none"/>
                </w:rPr>
                <w:t>19</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3.</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9e795779b5247aeb0dd8ee89026a236_91">
              <w:r>
                <w:rPr>
                  <w:rStyle w:val="InternetLink"/>
                  <w:rFonts w:ascii="Helvetica;sans-serif" w:hAnsi="Helvetica;sans-serif"/>
                  <w:b w:val="false"/>
                  <w:color w:val="0000FF"/>
                  <w:sz w:val="20"/>
                  <w:u w:val="single"/>
                </w:rPr>
                <w:t>Quantitative and Qualitative Disclosures About Market Risk</w:t>
              </w:r>
            </w:hyperlink>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9e795779b5247aeb0dd8ee89026a236_91">
              <w:r>
                <w:rPr>
                  <w:rStyle w:val="InternetLink"/>
                  <w:rFonts w:ascii="Helvetica;sans-serif" w:hAnsi="Helvetica;sans-serif"/>
                  <w:b w:val="false"/>
                  <w:strike w:val="false"/>
                  <w:dstrike w:val="false"/>
                  <w:color w:val="000000"/>
                  <w:sz w:val="20"/>
                  <w:u w:val="none"/>
                  <w:effect w:val="none"/>
                </w:rPr>
                <w:t>25</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4.</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9e795779b5247aeb0dd8ee89026a236_94">
              <w:r>
                <w:rPr>
                  <w:rStyle w:val="InternetLink"/>
                  <w:rFonts w:ascii="Helvetica;sans-serif" w:hAnsi="Helvetica;sans-serif"/>
                  <w:b w:val="false"/>
                  <w:color w:val="0000FF"/>
                  <w:sz w:val="20"/>
                  <w:u w:val="single"/>
                </w:rPr>
                <w:t>Controls and Procedures</w:t>
              </w:r>
            </w:hyperlink>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9e795779b5247aeb0dd8ee89026a236_94">
              <w:r>
                <w:rPr>
                  <w:rStyle w:val="InternetLink"/>
                  <w:rFonts w:ascii="Helvetica;sans-serif" w:hAnsi="Helvetica;sans-serif"/>
                  <w:b w:val="false"/>
                  <w:strike w:val="false"/>
                  <w:dstrike w:val="false"/>
                  <w:color w:val="000000"/>
                  <w:sz w:val="20"/>
                  <w:u w:val="none"/>
                  <w:effect w:val="none"/>
                </w:rPr>
                <w:t>26</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PART II. OTHER INFORMATION</w:t>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1.</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e795779b5247aeb0dd8ee89026a236_100">
              <w:r>
                <w:rPr>
                  <w:rStyle w:val="InternetLink"/>
                  <w:rFonts w:ascii="Helvetica;sans-serif" w:hAnsi="Helvetica;sans-serif"/>
                  <w:b w:val="false"/>
                  <w:color w:val="0000FF"/>
                  <w:sz w:val="20"/>
                  <w:u w:val="single"/>
                </w:rPr>
                <w:t>Legal Proceedings</w:t>
              </w:r>
            </w:hyperlink>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9e795779b5247aeb0dd8ee89026a236_100">
              <w:r>
                <w:rPr>
                  <w:rStyle w:val="InternetLink"/>
                  <w:rFonts w:ascii="Helvetica;sans-serif" w:hAnsi="Helvetica;sans-serif"/>
                  <w:b w:val="false"/>
                  <w:strike w:val="false"/>
                  <w:dstrike w:val="false"/>
                  <w:color w:val="000000"/>
                  <w:sz w:val="20"/>
                  <w:u w:val="none"/>
                  <w:effect w:val="none"/>
                </w:rPr>
                <w:t>28</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1A.</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e795779b5247aeb0dd8ee89026a236_103">
              <w:r>
                <w:rPr>
                  <w:rStyle w:val="InternetLink"/>
                  <w:rFonts w:ascii="Helvetica;sans-serif" w:hAnsi="Helvetica;sans-serif"/>
                  <w:b w:val="false"/>
                  <w:color w:val="0000FF"/>
                  <w:sz w:val="20"/>
                  <w:u w:val="single"/>
                </w:rPr>
                <w:t>Risk Factors</w:t>
              </w:r>
            </w:hyperlink>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9e795779b5247aeb0dd8ee89026a236_103">
              <w:r>
                <w:rPr>
                  <w:rStyle w:val="InternetLink"/>
                  <w:rFonts w:ascii="Helvetica;sans-serif" w:hAnsi="Helvetica;sans-serif"/>
                  <w:b w:val="false"/>
                  <w:strike w:val="false"/>
                  <w:dstrike w:val="false"/>
                  <w:color w:val="000000"/>
                  <w:sz w:val="20"/>
                  <w:u w:val="none"/>
                  <w:effect w:val="none"/>
                </w:rPr>
                <w:t>28</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2.</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e795779b5247aeb0dd8ee89026a236_106">
              <w:r>
                <w:rPr>
                  <w:rStyle w:val="InternetLink"/>
                  <w:rFonts w:ascii="Helvetica;sans-serif" w:hAnsi="Helvetica;sans-serif"/>
                  <w:b w:val="false"/>
                  <w:color w:val="0000FF"/>
                  <w:sz w:val="20"/>
                  <w:u w:val="single"/>
                </w:rPr>
                <w:t>Unregistered Sales of Equity Securities and Use of Proceeds</w:t>
              </w:r>
            </w:hyperlink>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9e795779b5247aeb0dd8ee89026a236_106">
              <w:r>
                <w:rPr>
                  <w:rStyle w:val="InternetLink"/>
                  <w:rFonts w:ascii="Helvetica;sans-serif" w:hAnsi="Helvetica;sans-serif"/>
                  <w:b w:val="false"/>
                  <w:strike w:val="false"/>
                  <w:dstrike w:val="false"/>
                  <w:color w:val="000000"/>
                  <w:sz w:val="20"/>
                  <w:u w:val="none"/>
                  <w:effect w:val="none"/>
                </w:rPr>
                <w:t>28</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3.</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e795779b5247aeb0dd8ee89026a236_109">
              <w:r>
                <w:rPr>
                  <w:rStyle w:val="InternetLink"/>
                  <w:rFonts w:ascii="Helvetica;sans-serif" w:hAnsi="Helvetica;sans-serif"/>
                  <w:b w:val="false"/>
                  <w:color w:val="0000FF"/>
                  <w:sz w:val="20"/>
                  <w:u w:val="single"/>
                </w:rPr>
                <w:t>Defaults Upon Senior Securities</w:t>
              </w:r>
            </w:hyperlink>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9e795779b5247aeb0dd8ee89026a236_109">
              <w:r>
                <w:rPr>
                  <w:rStyle w:val="InternetLink"/>
                  <w:rFonts w:ascii="Helvetica;sans-serif" w:hAnsi="Helvetica;sans-serif"/>
                  <w:b w:val="false"/>
                  <w:strike w:val="false"/>
                  <w:dstrike w:val="false"/>
                  <w:color w:val="000000"/>
                  <w:sz w:val="20"/>
                  <w:u w:val="none"/>
                  <w:effect w:val="none"/>
                </w:rPr>
                <w:t>28</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4.</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e795779b5247aeb0dd8ee89026a236_112">
              <w:r>
                <w:rPr>
                  <w:rStyle w:val="InternetLink"/>
                  <w:rFonts w:ascii="Helvetica;sans-serif" w:hAnsi="Helvetica;sans-serif"/>
                  <w:b w:val="false"/>
                  <w:color w:val="0000FF"/>
                  <w:sz w:val="20"/>
                  <w:u w:val="single"/>
                </w:rPr>
                <w:t>Mine Safety Disclosures</w:t>
              </w:r>
            </w:hyperlink>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9e795779b5247aeb0dd8ee89026a236_112">
              <w:r>
                <w:rPr>
                  <w:rStyle w:val="InternetLink"/>
                  <w:rFonts w:ascii="Helvetica;sans-serif" w:hAnsi="Helvetica;sans-serif"/>
                  <w:b w:val="false"/>
                  <w:strike w:val="false"/>
                  <w:dstrike w:val="false"/>
                  <w:color w:val="000000"/>
                  <w:sz w:val="20"/>
                  <w:u w:val="none"/>
                  <w:effect w:val="none"/>
                </w:rPr>
                <w:t>28</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5.</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e795779b5247aeb0dd8ee89026a236_115">
              <w:r>
                <w:rPr>
                  <w:rStyle w:val="InternetLink"/>
                  <w:rFonts w:ascii="Helvetica;sans-serif" w:hAnsi="Helvetica;sans-serif"/>
                  <w:b w:val="false"/>
                  <w:color w:val="0000FF"/>
                  <w:sz w:val="20"/>
                  <w:u w:val="single"/>
                </w:rPr>
                <w:t>Other Information</w:t>
              </w:r>
            </w:hyperlink>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9e795779b5247aeb0dd8ee89026a236_115">
              <w:r>
                <w:rPr>
                  <w:rStyle w:val="InternetLink"/>
                  <w:rFonts w:ascii="Helvetica;sans-serif" w:hAnsi="Helvetica;sans-serif"/>
                  <w:b w:val="false"/>
                  <w:strike w:val="false"/>
                  <w:dstrike w:val="false"/>
                  <w:color w:val="000000"/>
                  <w:sz w:val="20"/>
                  <w:u w:val="none"/>
                  <w:effect w:val="none"/>
                </w:rPr>
                <w:t>28</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6.</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e795779b5247aeb0dd8ee89026a236_121">
              <w:r>
                <w:rPr>
                  <w:rStyle w:val="InternetLink"/>
                  <w:rFonts w:ascii="Helvetica;sans-serif" w:hAnsi="Helvetica;sans-serif"/>
                  <w:b w:val="false"/>
                  <w:color w:val="0000FF"/>
                  <w:sz w:val="20"/>
                  <w:u w:val="single"/>
                </w:rPr>
                <w:t>Exhibits</w:t>
              </w:r>
            </w:hyperlink>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9e795779b5247aeb0dd8ee89026a236_121">
              <w:r>
                <w:rPr>
                  <w:rStyle w:val="InternetLink"/>
                  <w:rFonts w:ascii="Helvetica;sans-serif" w:hAnsi="Helvetica;sans-serif"/>
                  <w:b w:val="false"/>
                  <w:strike w:val="false"/>
                  <w:dstrike w:val="false"/>
                  <w:color w:val="000000"/>
                  <w:sz w:val="20"/>
                  <w:u w:val="none"/>
                  <w:effect w:val="none"/>
                </w:rPr>
                <w:t>28</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e795779b5247aeb0dd8ee89026a236_124">
              <w:r>
                <w:rPr>
                  <w:rStyle w:val="InternetLink"/>
                  <w:rFonts w:ascii="Helvetica;sans-serif" w:hAnsi="Helvetica;sans-serif"/>
                  <w:b w:val="false"/>
                  <w:color w:val="0000FF"/>
                  <w:sz w:val="20"/>
                  <w:u w:val="single"/>
                </w:rPr>
                <w:t>Signatures</w:t>
              </w:r>
            </w:hyperlink>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9e795779b5247aeb0dd8ee89026a236_124">
              <w:r>
                <w:rPr>
                  <w:rStyle w:val="InternetLink"/>
                  <w:rFonts w:ascii="Helvetica;sans-serif" w:hAnsi="Helvetica;sans-serif"/>
                  <w:b w:val="false"/>
                  <w:strike w:val="false"/>
                  <w:dstrike w:val="false"/>
                  <w:color w:val="000000"/>
                  <w:sz w:val="20"/>
                  <w:u w:val="none"/>
                  <w:effect w:val="none"/>
                </w:rPr>
                <w:t>30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d9e795779b5247aeb0dd8ee89026a23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SPECIAL NOTE REGARDING FORWARD-LOOKING STATEMENTS</w:t>
      </w:r>
    </w:p>
    <w:p>
      <w:pPr>
        <w:pStyle w:val="TextBody"/>
        <w:bidi w:val="0"/>
        <w:spacing w:lineRule="auto" w:line="288" w:before="120" w:after="283"/>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This Quarterly Report on Form 10-Q contains forward-looking statements within the meaning of the Private Securities Litigation Reform Act of 1995, Section 27A of the Securities Act of 1933, as amended, and Section 21E of the Securities Exchange Act of 1934, as amended,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“possible”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future financial performance, including our revenue, cost of revenue and operating expenses and our ability to achieve and maintain future profitability;</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the sufficiency of our cash, cash equivalents and capital resources to meet our liquidity needs;</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ability to effectively manage or sustain our growth and to effectively expand our operations;</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strategies, plans, objectives and goals, including our expectations regarding future infrastructure investments as well as restructuring activities;</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ability to attract and retain buyers and sellers and the continued impact of network effects as we scale our platform, and the capacity of our operations and processing infrastructure to support that growth;</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trends in our key financial and operating metrics;</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estimated market opportunity;</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economic and industry trends, projected growth or trend analysis, including inflationary pressures, interest rate volatility, cybersecurity risks, changing consumer habits, climate change and extreme weather events and general global political and economic uncertainty;</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ability to comply with applicable laws and regulations; and</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ability to incorporate artificial intelligence and machine learning and other emergent technologies into our business operations successfully.</w:t>
      </w:r>
    </w:p>
    <w:p>
      <w:pPr>
        <w:pStyle w:val="TextBody"/>
        <w:bidi w:val="0"/>
        <w:spacing w:lineRule="auto" w:line="288" w:before="360" w:after="283"/>
        <w:ind w:left="0" w:right="0" w:firstLine="360"/>
        <w:jc w:val="left"/>
        <w:rPr/>
      </w:pPr>
      <w:r>
        <w:rPr>
          <w:rFonts w:ascii="Helvetica;sans-serif" w:hAnsi="Helvetica;sans-serif"/>
          <w:b w:val="false"/>
          <w:i/>
          <w:color w:val="000000"/>
          <w:sz w:val="20"/>
        </w:rPr>
        <w:t>You should not rely upon forward-looking statements as predictions of future events. Forward-looking statements are neither historical facts nor assurances of future performance. Forward-looking statements involve substantial risks and uncertainties that may cause actual results to differ materially from those that we expect. These risks and uncertainties include, but are not limited to: our ability to attract new users and convert users into buyers and active buyers; the sufficiency of our cash, cash equivalents and capital resources to meet our liquidity needs; our ability to effectively manage or sustain our growth and to effectively expand our operations; risks from an intensely competitive market; our ability to effectively deploy new and evolving technologies, such as artificial intelligence and machine learning, in our offerings; risks arising from economic and industry trends, including the effects of inflationary pressures, interest rate volatility, changing consumer habits, climate change and general global political and economic uncertainty; our ability to comply with applicable laws and regulations; our ability to realize expected savings or benefits from reorganization activities; and our ability to successfully integrate and realize the benefits of our past or future strategic acquisitions or investments. More information on these risks and other potential factors that could affect the Company’s business, reputation, results of operations, financial condition, and stock price is included in the Company’s filings with the Securities and Exchange Commission (“SEC”), including</w:t>
      </w:r>
      <w:r>
        <w:rPr>
          <w:color w:val="000000"/>
        </w:rPr>
        <w:t xml:space="preserve"> </w:t>
      </w:r>
      <w:r>
        <w:rPr>
          <w:rFonts w:ascii="Helvetica;sans-serif" w:hAnsi="Helvetica;sans-serif"/>
          <w:b w:val="false"/>
          <w:i/>
          <w:color w:val="000000"/>
          <w:sz w:val="20"/>
        </w:rPr>
        <w:t>in Part I, Item 1A, Risk Factors, of our Annual Report on Form 10-K for the year ended December 31, 2025, in Part II, Item 1A, Risk Factors and elsewhere in this Quarterly Report on Form 10-Q, as well as in our other filings with the SEC.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lineRule="auto" w:line="288" w:before="240" w:after="283"/>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d9e795779b5247aeb0dd8ee89026a236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Unless otherwise indicated or unless the context requires otherwise, all references in this document to “ThredUp”, “the Company”, “we”, “us”, “our”, or similar references are to ThredUp Inc. and its consolidated subsidiaries.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ThredUp is one of the world’s largest online resale platforms for apparel, shoes and accessories, based primarily on items processed, items sold and the capacity of our distribution centers.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“estimated retail price” of an item is based on the estimated original retail price of a comparable item of the same quality, construction and material offered elsewhere in new condition. Our estimated original retail prices are set by our team of merchants who periodically monitor market prices for the brands and styles that we offer on our marketplaces.</w:t>
      </w:r>
    </w:p>
    <w:p>
      <w:pPr>
        <w:pStyle w:val="TextBody"/>
        <w:bidi w:val="0"/>
        <w:spacing w:before="240" w:after="283"/>
        <w:ind w:left="0" w:right="0" w:firstLine="360"/>
        <w:jc w:val="both"/>
        <w:rPr/>
      </w:pPr>
      <w:r>
        <w:rPr/>
      </w:r>
    </w:p>
    <w:p>
      <w:pPr>
        <w:pStyle w:val="TextBody"/>
        <w:bidi w:val="0"/>
        <w:spacing w:lineRule="auto" w:line="288" w:before="0" w:after="0"/>
        <w:jc w:val="both"/>
        <w:rPr>
          <w:rFonts w:ascii="Helvetica;sans-serif" w:hAnsi="Helvetica;sans-serif"/>
          <w:b/>
          <w:color w:val="000000"/>
          <w:sz w:val="20"/>
        </w:rPr>
      </w:pPr>
      <w:r>
        <w:rPr>
          <w:rFonts w:ascii="Helvetica;sans-serif" w:hAnsi="Helvetica;sans-serif"/>
          <w:b/>
          <w:color w:val="000000"/>
          <w:sz w:val="20"/>
        </w:rPr>
        <w:t>Channels for Disclosure of Information</w:t>
      </w:r>
    </w:p>
    <w:p>
      <w:pPr>
        <w:pStyle w:val="TextBody"/>
        <w:bidi w:val="0"/>
        <w:spacing w:before="0" w:after="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ThredUp intends to announce material information to the public through the ThredUp Investor Relations website (ir.thredup.com), SEC filings, press releases, public conference calls, and public webcasts. ThredUp uses these channels, as well as social media, to communicate with its investors, customers, and the public about the company, its offerings, and other issues. It is possible that the information ThredUp posts on social media could be deemed to be material information. As such, ThredUp encourages investors, the media, and others to follow the channels listed above, including the social media channels listed on ThredUp’s investor relations website, and to review the information disclosed through such channels.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d9e795779b5247aeb0dd8ee89026a23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Helvetica;sans-serif" w:hAnsi="Helvetica;sans-serif"/>
          <w:b/>
          <w:color w:val="000000"/>
          <w:sz w:val="20"/>
        </w:rPr>
      </w:pPr>
      <w:r>
        <w:rPr>
          <w:rFonts w:ascii="Helvetica;sans-serif" w:hAnsi="Helvetica;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BALANCE SHEETS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79"/>
        <w:gridCol w:w="2154"/>
        <w:gridCol w:w="2088"/>
        <w:gridCol w:w="109"/>
        <w:gridCol w:w="109"/>
        <w:gridCol w:w="109"/>
        <w:gridCol w:w="221"/>
        <w:gridCol w:w="897"/>
        <w:gridCol w:w="114"/>
        <w:gridCol w:w="114"/>
        <w:gridCol w:w="114"/>
        <w:gridCol w:w="114"/>
        <w:gridCol w:w="221"/>
        <w:gridCol w:w="897"/>
        <w:gridCol w:w="165"/>
      </w:tblGrid>
      <w:tr>
        <w:trPr/>
        <w:tc>
          <w:tcPr>
            <w:tcW w:w="2779"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br/>
              <w:t>2025</w:t>
            </w:r>
          </w:p>
        </w:tc>
      </w:tr>
      <w:tr>
        <w:trPr/>
        <w:tc>
          <w:tcPr>
            <w:tcW w:w="7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 except par value amounts)</w:t>
            </w:r>
          </w:p>
        </w:tc>
      </w:tr>
      <w:tr>
        <w:trPr/>
        <w:tc>
          <w:tcPr>
            <w:tcW w:w="1020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20"/>
              </w:rPr>
            </w:pPr>
            <w:r>
              <w:rPr>
                <w:rFonts w:ascii="Helvetica;sans-serif" w:hAnsi="Helvetica;sans-serif"/>
                <w:b/>
                <w:color w:val="000000"/>
                <w:sz w:val="20"/>
              </w:rPr>
              <w:t>ASSETS</w:t>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42,169 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38,629 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10,261 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9,498 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2,437 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6,112 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61,208 </w:t>
            </w:r>
          </w:p>
        </w:tc>
        <w:tc>
          <w:tcPr>
            <w:tcW w:w="1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56,676 </w:t>
            </w:r>
          </w:p>
        </w:tc>
        <w:tc>
          <w:tcPr>
            <w:tcW w:w="1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25,182 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25,376 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65,901 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67,243 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10,746 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7,204 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170,142 </w:t>
            </w:r>
          </w:p>
        </w:tc>
        <w:tc>
          <w:tcPr>
            <w:tcW w:w="11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167,245 </w:t>
            </w:r>
          </w:p>
        </w:tc>
        <w:tc>
          <w:tcPr>
            <w:tcW w:w="16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20"/>
              </w:rPr>
            </w:pPr>
            <w:r>
              <w:rPr>
                <w:rFonts w:ascii="Helvetica;sans-serif" w:hAnsi="Helvetica;sans-serif"/>
                <w:b/>
                <w:color w:val="000000"/>
                <w:sz w:val="20"/>
              </w:rPr>
              <w:t>LIABILITIES AND STOCKHOLDERS’ EQUITY</w:t>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13,474 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10,329 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22,920 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24,511 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Seller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19,463 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18,264 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liabilities,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5,401 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3,875 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61,624 </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62,380 </w:t>
            </w:r>
          </w:p>
        </w:tc>
        <w:tc>
          <w:tcPr>
            <w:tcW w:w="16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27,120 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28,580 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Long-term debt,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17,722 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14,276 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2,816 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109,394 </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108,052 </w:t>
            </w:r>
          </w:p>
        </w:tc>
        <w:tc>
          <w:tcPr>
            <w:tcW w:w="16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Commitments and contingencies (Note 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Class A and B common stock, $0.0001 par value; 1,120,000 shares authorized as of June 30, 2026 and December 31, 2025; 131,296 and 127,027 shares issued and outstanding as of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649,257 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635,253 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(588,482)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(576,075)</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60,748 </w:t>
            </w:r>
          </w:p>
        </w:tc>
        <w:tc>
          <w:tcPr>
            <w:tcW w:w="1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59,193 </w:t>
            </w:r>
          </w:p>
        </w:tc>
        <w:tc>
          <w:tcPr>
            <w:tcW w:w="1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170,142 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167,245 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d9e795779b5247aeb0dd8ee89026a236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OPERATIONS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816"/>
        <w:gridCol w:w="1269"/>
        <w:gridCol w:w="1272"/>
        <w:gridCol w:w="109"/>
        <w:gridCol w:w="109"/>
        <w:gridCol w:w="109"/>
        <w:gridCol w:w="211"/>
        <w:gridCol w:w="751"/>
        <w:gridCol w:w="109"/>
        <w:gridCol w:w="109"/>
        <w:gridCol w:w="109"/>
        <w:gridCol w:w="109"/>
        <w:gridCol w:w="211"/>
        <w:gridCol w:w="751"/>
        <w:gridCol w:w="109"/>
        <w:gridCol w:w="109"/>
        <w:gridCol w:w="109"/>
        <w:gridCol w:w="109"/>
        <w:gridCol w:w="211"/>
        <w:gridCol w:w="856"/>
        <w:gridCol w:w="109"/>
        <w:gridCol w:w="109"/>
        <w:gridCol w:w="109"/>
        <w:gridCol w:w="109"/>
        <w:gridCol w:w="211"/>
        <w:gridCol w:w="856"/>
        <w:gridCol w:w="155"/>
      </w:tblGrid>
      <w:tr>
        <w:trPr/>
        <w:tc>
          <w:tcPr>
            <w:tcW w:w="181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r>
          </w:p>
        </w:tc>
      </w:tr>
      <w:tr>
        <w:trPr/>
        <w:tc>
          <w:tcPr>
            <w:tcW w:w="4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r>
      <w:tr>
        <w:trPr/>
        <w:tc>
          <w:tcPr>
            <w:tcW w:w="4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 except per share amounts)</w:t>
            </w:r>
          </w:p>
        </w:tc>
      </w:tr>
      <w:tr>
        <w:trPr/>
        <w:tc>
          <w:tcPr>
            <w:tcW w:w="4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172,438 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148,948 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30,841 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72,524 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61,736 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137,184 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118,107 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 product, and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72,651 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29,349 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Sales,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26,786 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78,637 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66,981 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149,886 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128,786 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(6,113)</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(5,245)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(12,702)</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(10,679)</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(1,010)</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1,386 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(5,908)</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(5,145)</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(12,356)</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(10,303)</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(12,407)</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(10,391)</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per share,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(0.05)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(0.04)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(0.10)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(0.09)</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Weighted-average shares used to compute loss per share,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118,496 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d9e795779b5247aeb0dd8ee89026a236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COMPREHENSIVE LOSS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tbl>
      <w:tblPr>
        <w:tblW w:w="9821" w:type="dxa"/>
        <w:jc w:val="center"/>
        <w:tblInd w:w="0" w:type="dxa"/>
        <w:tblLayout w:type="fixed"/>
        <w:tblCellMar>
          <w:top w:w="28" w:type="dxa"/>
          <w:left w:w="28" w:type="dxa"/>
          <w:bottom w:w="28" w:type="dxa"/>
          <w:right w:w="28" w:type="dxa"/>
        </w:tblCellMar>
      </w:tblPr>
      <w:tblGrid>
        <w:gridCol w:w="1502"/>
        <w:gridCol w:w="1320"/>
        <w:gridCol w:w="1332"/>
        <w:gridCol w:w="109"/>
        <w:gridCol w:w="109"/>
        <w:gridCol w:w="109"/>
        <w:gridCol w:w="211"/>
        <w:gridCol w:w="706"/>
        <w:gridCol w:w="109"/>
        <w:gridCol w:w="109"/>
        <w:gridCol w:w="109"/>
        <w:gridCol w:w="109"/>
        <w:gridCol w:w="211"/>
        <w:gridCol w:w="706"/>
        <w:gridCol w:w="109"/>
        <w:gridCol w:w="109"/>
        <w:gridCol w:w="109"/>
        <w:gridCol w:w="109"/>
        <w:gridCol w:w="211"/>
        <w:gridCol w:w="811"/>
        <w:gridCol w:w="109"/>
        <w:gridCol w:w="109"/>
        <w:gridCol w:w="109"/>
        <w:gridCol w:w="109"/>
        <w:gridCol w:w="211"/>
        <w:gridCol w:w="811"/>
        <w:gridCol w:w="154"/>
      </w:tblGrid>
      <w:tr>
        <w:trPr/>
        <w:tc>
          <w:tcPr>
            <w:tcW w:w="1502"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(10,391)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Unrealized loss on available-for-sale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(12,450)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(10,396)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d9e795779b5247aeb0dd8ee89026a236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STOCKHOLDERS’ EQUITY</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776"/>
        <w:gridCol w:w="378"/>
        <w:gridCol w:w="379"/>
        <w:gridCol w:w="109"/>
        <w:gridCol w:w="109"/>
        <w:gridCol w:w="109"/>
        <w:gridCol w:w="368"/>
        <w:gridCol w:w="368"/>
        <w:gridCol w:w="216"/>
        <w:gridCol w:w="109"/>
        <w:gridCol w:w="109"/>
        <w:gridCol w:w="109"/>
        <w:gridCol w:w="231"/>
        <w:gridCol w:w="390"/>
        <w:gridCol w:w="130"/>
        <w:gridCol w:w="109"/>
        <w:gridCol w:w="109"/>
        <w:gridCol w:w="109"/>
        <w:gridCol w:w="204"/>
        <w:gridCol w:w="766"/>
        <w:gridCol w:w="113"/>
        <w:gridCol w:w="109"/>
        <w:gridCol w:w="109"/>
        <w:gridCol w:w="109"/>
        <w:gridCol w:w="438"/>
        <w:gridCol w:w="775"/>
        <w:gridCol w:w="245"/>
        <w:gridCol w:w="109"/>
        <w:gridCol w:w="109"/>
        <w:gridCol w:w="109"/>
        <w:gridCol w:w="217"/>
        <w:gridCol w:w="837"/>
        <w:gridCol w:w="122"/>
        <w:gridCol w:w="109"/>
        <w:gridCol w:w="109"/>
        <w:gridCol w:w="109"/>
        <w:gridCol w:w="252"/>
        <w:gridCol w:w="833"/>
        <w:gridCol w:w="205"/>
      </w:tblGrid>
      <w:tr>
        <w:trPr/>
        <w:tc>
          <w:tcPr>
            <w:tcW w:w="77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Stockholders’ Equity</w:t>
            </w:r>
          </w:p>
        </w:tc>
      </w:tr>
      <w:tr>
        <w:trPr/>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5" w:type="dxa"/>
            <w:gridSpan w:val="3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127,027 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635,253 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(576,075)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59,193 </w:t>
            </w:r>
          </w:p>
        </w:tc>
        <w:tc>
          <w:tcPr>
            <w:tcW w:w="20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from exercise of stock options and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1,977 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1,080 </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5,612 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5,612 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(6,472)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(6,472)</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w:t>
            </w:r>
          </w:p>
        </w:tc>
        <w:tc>
          <w:tcPr>
            <w:tcW w:w="20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Balance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129,004 </w:t>
            </w:r>
          </w:p>
        </w:tc>
        <w:tc>
          <w:tcPr>
            <w:tcW w:w="2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9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12 </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641,945 </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7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w:t>
            </w:r>
          </w:p>
        </w:tc>
        <w:tc>
          <w:tcPr>
            <w:tcW w:w="24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(582,547)</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59,391 </w:t>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from exercise of stock options, restricted stock units, and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2,292 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1,197 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1,198 </w:t>
            </w:r>
          </w:p>
        </w:tc>
        <w:tc>
          <w:tcPr>
            <w:tcW w:w="20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6,115 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6,115 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(5,935)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(5,935)</w:t>
            </w:r>
          </w:p>
        </w:tc>
        <w:tc>
          <w:tcPr>
            <w:tcW w:w="20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131,296 </w:t>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649,257 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w:t>
            </w:r>
          </w:p>
        </w:tc>
        <w:tc>
          <w:tcPr>
            <w:tcW w:w="2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(588,482)</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60,748 </w:t>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76"/>
        <w:gridCol w:w="378"/>
        <w:gridCol w:w="379"/>
        <w:gridCol w:w="109"/>
        <w:gridCol w:w="109"/>
        <w:gridCol w:w="109"/>
        <w:gridCol w:w="368"/>
        <w:gridCol w:w="368"/>
        <w:gridCol w:w="216"/>
        <w:gridCol w:w="109"/>
        <w:gridCol w:w="109"/>
        <w:gridCol w:w="109"/>
        <w:gridCol w:w="231"/>
        <w:gridCol w:w="390"/>
        <w:gridCol w:w="130"/>
        <w:gridCol w:w="109"/>
        <w:gridCol w:w="109"/>
        <w:gridCol w:w="109"/>
        <w:gridCol w:w="204"/>
        <w:gridCol w:w="766"/>
        <w:gridCol w:w="113"/>
        <w:gridCol w:w="109"/>
        <w:gridCol w:w="109"/>
        <w:gridCol w:w="109"/>
        <w:gridCol w:w="509"/>
        <w:gridCol w:w="665"/>
        <w:gridCol w:w="284"/>
        <w:gridCol w:w="109"/>
        <w:gridCol w:w="109"/>
        <w:gridCol w:w="109"/>
        <w:gridCol w:w="217"/>
        <w:gridCol w:w="837"/>
        <w:gridCol w:w="122"/>
        <w:gridCol w:w="109"/>
        <w:gridCol w:w="109"/>
        <w:gridCol w:w="109"/>
        <w:gridCol w:w="252"/>
        <w:gridCol w:w="833"/>
        <w:gridCol w:w="205"/>
      </w:tblGrid>
      <w:tr>
        <w:trPr/>
        <w:tc>
          <w:tcPr>
            <w:tcW w:w="77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Stockholders’ Equity</w:t>
            </w:r>
          </w:p>
        </w:tc>
      </w:tr>
      <w:tr>
        <w:trPr/>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5" w:type="dxa"/>
            <w:gridSpan w:val="3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116,134 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612,148 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(555,861)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56,301 </w:t>
            </w:r>
          </w:p>
        </w:tc>
        <w:tc>
          <w:tcPr>
            <w:tcW w:w="20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from exercise of stock options and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2,047 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344 </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5,594 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5,594 </w:t>
            </w:r>
          </w:p>
        </w:tc>
        <w:tc>
          <w:tcPr>
            <w:tcW w:w="20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Shares withheld for net share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(936)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(936)</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(5,215)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(5,215)</w:t>
            </w:r>
          </w:p>
        </w:tc>
        <w:tc>
          <w:tcPr>
            <w:tcW w:w="20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117,781 </w:t>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617,150 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w:t>
            </w:r>
          </w:p>
        </w:tc>
        <w:tc>
          <w:tcPr>
            <w:tcW w:w="28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(561,076)</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56,083 </w:t>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from exercise of stock options, restricted stock units, and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5,570 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6,853 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6,854 </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4,624 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4,624 </w:t>
            </w:r>
          </w:p>
        </w:tc>
        <w:tc>
          <w:tcPr>
            <w:tcW w:w="20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Shares withheld for net share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(2,178)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(2,178)</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(5,176)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(5,176)</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Balance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123,048 </w:t>
            </w:r>
          </w:p>
        </w:tc>
        <w:tc>
          <w:tcPr>
            <w:tcW w:w="2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9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12 </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626,449 </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6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w:t>
            </w:r>
          </w:p>
        </w:tc>
        <w:tc>
          <w:tcPr>
            <w:tcW w:w="28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(566,252)</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60,207 </w:t>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d9e795779b5247aeb0dd8ee89026a236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CASH FLOWS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tbl>
      <w:tblPr>
        <w:tblW w:w="9845" w:type="dxa"/>
        <w:jc w:val="center"/>
        <w:tblInd w:w="0" w:type="dxa"/>
        <w:tblLayout w:type="fixed"/>
        <w:tblCellMar>
          <w:top w:w="28" w:type="dxa"/>
          <w:left w:w="28" w:type="dxa"/>
          <w:bottom w:w="28" w:type="dxa"/>
          <w:right w:w="28" w:type="dxa"/>
        </w:tblCellMar>
      </w:tblPr>
      <w:tblGrid>
        <w:gridCol w:w="2495"/>
        <w:gridCol w:w="2186"/>
        <w:gridCol w:w="2203"/>
        <w:gridCol w:w="109"/>
        <w:gridCol w:w="109"/>
        <w:gridCol w:w="109"/>
        <w:gridCol w:w="211"/>
        <w:gridCol w:w="811"/>
        <w:gridCol w:w="109"/>
        <w:gridCol w:w="109"/>
        <w:gridCol w:w="109"/>
        <w:gridCol w:w="109"/>
        <w:gridCol w:w="211"/>
        <w:gridCol w:w="811"/>
        <w:gridCol w:w="154"/>
      </w:tblGrid>
      <w:tr>
        <w:trPr/>
        <w:tc>
          <w:tcPr>
            <w:tcW w:w="2495"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r>
          </w:p>
        </w:tc>
      </w:tr>
      <w:tr>
        <w:trPr/>
        <w:tc>
          <w:tcPr>
            <w:tcW w:w="6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r>
      <w:tr>
        <w:trPr/>
        <w:tc>
          <w:tcPr>
            <w:tcW w:w="6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(10,391)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Adjustments to reconcile net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10,020 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6,335 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Reduction in carrying amount of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2,224 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current and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2,754 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(2,942)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Seller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(2,331)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9,204 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6,087 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Purchases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(9,089)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 and maturities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15,154 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(5,094)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(7,470)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Payments on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Proceeds from issuance of 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14,852 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Payments of withholding taxes on stock-based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(10,769)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2,083 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change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3,540 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9,141 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6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6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6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6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6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cash equivalents, and restricted cash,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40,488 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cash equivalents, and restricted cash,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47,117 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49,629 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d9e795779b5247aeb0dd8ee89026a236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Helvetica;sans-serif" w:hAnsi="Helvetica;sans-serif"/>
          <w:b/>
          <w:color w:val="000000"/>
          <w:sz w:val="20"/>
        </w:rPr>
      </w:pPr>
      <w:r>
        <w:rPr>
          <w:rFonts w:ascii="Helvetica;sans-serif" w:hAnsi="Helvetica;sans-serif"/>
          <w:b/>
          <w:color w:val="000000"/>
          <w:sz w:val="20"/>
        </w:rPr>
        <w:t>1. Organization and Description of Business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ThredUp Inc. (“ThredUp” or the “Company”) was formed as a corporation in the State of Delaware in January 2009. ThredUp operates a large resale platform that enables consumers to buy and sell primarily secondhand apparel, shoes, and accessories.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2. Significant Accounting Policies</w:t>
      </w:r>
    </w:p>
    <w:p>
      <w:pPr>
        <w:pStyle w:val="TextBody"/>
        <w:bidi w:val="0"/>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Basis of Presentation and Use of Estimates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accompanying unaudited condensed consolidated financial statements include the accounts of the Company and its wholly-owned subsidiaries. All intercompany account balances and transactions have been eliminated upon consolidation. The unaudited condensed consolidated financial statements were prepared in accordance with the United States (“U.S.”) Generally Accepted Accounting Principles (“GAAP”) for interim financial information and with the instructions to Quarterly Report on Form 10</w:t>
        <w:noBreakHyphen/>
        <w:t>Q and Article 10 of Regulation S-X. As permitted under those rules, certain footnotes or other financial information may be condensed or omitted.</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preparation of consolidated financial statements in accordance with GAAP requires management to make estimates and assumptions that affect the amounts that are reported in the consolidated financial statements and the related disclosures. Actual results could differ from those estimates. Significant items subject to such estimates and assumptions include, but are not limited to: the useful lives of property and equipment, allowance for sales returns, breakage on gift cards, stock-based compensation, lease liabilities, and goodwill.</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the opinion of management, the accompanying unaudited condensed consolidated financial statements reflect all normal and recurring adjustments necessary to present fairly the financial position of the Company as of June 30, 2026 and December 31, 2025, and the results of operations and cash flows for the interim periods presented.</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accompanying unaudited condensed consolidated financial statements and related financial information should be read in conjunction with the Company’s audited consolidated financial statements and related notes included in the Company’s Annual Report on Form 10-K for the year ended December 31, 2025 (the “2025 10-K”).</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Recently Adopted Accounting Pronouncements</w:t>
      </w:r>
    </w:p>
    <w:p>
      <w:pPr>
        <w:pStyle w:val="TextBody"/>
        <w:bidi w:val="0"/>
        <w:spacing w:lineRule="auto" w:line="288" w:before="240" w:after="283"/>
        <w:ind w:left="0" w:right="0" w:firstLine="360"/>
        <w:jc w:val="both"/>
        <w:rPr/>
      </w:pPr>
      <w:r>
        <w:rPr>
          <w:rFonts w:ascii="Helvetica;sans-serif" w:hAnsi="Helvetica;sans-serif"/>
          <w:b w:val="false"/>
          <w:color w:val="000000"/>
          <w:sz w:val="20"/>
        </w:rPr>
        <w:t xml:space="preserve">In July 2025, the FASB issued ASU 2025-05, </w:t>
      </w:r>
      <w:r>
        <w:rPr>
          <w:rFonts w:ascii="Helvetica;sans-serif" w:hAnsi="Helvetica;sans-serif"/>
          <w:b w:val="false"/>
          <w:i/>
          <w:color w:val="000000"/>
          <w:sz w:val="20"/>
        </w:rPr>
        <w:t>Financial Instruments - Credit Losses (Topic 326): Measurement of Credit Losses for Accounts Receivable and Contract Assets.</w:t>
      </w:r>
      <w:r>
        <w:rPr>
          <w:color w:val="000000"/>
        </w:rPr>
        <w:t xml:space="preserve"> </w:t>
      </w:r>
      <w:r>
        <w:rPr>
          <w:rFonts w:ascii="Helvetica;sans-serif" w:hAnsi="Helvetica;sans-serif"/>
          <w:b w:val="false"/>
          <w:color w:val="000000"/>
          <w:sz w:val="20"/>
        </w:rPr>
        <w:t xml:space="preserve">ASU 2025-05 provides a practical expedient that permits entities to assume that conditions existing as of the balance sheet date remain unchanged over the life of the asset when estimating expected credit losses for current accounts receivable and current contract assets. ASU 2025-05 is effective for annual periods beginning after December 15, 2025, including interim periods within those annual periods. The Company adopted ASU 2025-05 as of January 1, 2026, and the adoption did not have a material impact on its consolidated financial statements. </w:t>
      </w:r>
    </w:p>
    <w:p>
      <w:pPr>
        <w:pStyle w:val="TextBody"/>
        <w:bidi w:val="0"/>
        <w:spacing w:lineRule="auto" w:line="288" w:before="240" w:after="283"/>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Accounting Pronouncements Not Yet Effective</w:t>
      </w:r>
    </w:p>
    <w:p>
      <w:pPr>
        <w:pStyle w:val="TextBody"/>
        <w:bidi w:val="0"/>
        <w:spacing w:lineRule="auto" w:line="288" w:before="120" w:after="283"/>
        <w:ind w:left="0" w:right="0" w:firstLine="360"/>
        <w:jc w:val="both"/>
        <w:rPr/>
      </w:pPr>
      <w:r>
        <w:rPr>
          <w:rFonts w:ascii="Helvetica;sans-serif" w:hAnsi="Helvetica;sans-serif"/>
          <w:b w:val="false"/>
          <w:color w:val="000000"/>
          <w:sz w:val="20"/>
        </w:rPr>
        <w:t xml:space="preserve">In September 2025, the Financial Accounting Standards Board ("FASB") issued Accounting Standards Update ("ASU”) 2025-06, </w:t>
      </w:r>
      <w:r>
        <w:rPr>
          <w:rFonts w:ascii="Helvetica;sans-serif" w:hAnsi="Helvetica;sans-serif"/>
          <w:b w:val="false"/>
          <w:i/>
          <w:color w:val="000000"/>
          <w:sz w:val="20"/>
        </w:rPr>
        <w:t xml:space="preserve">Intangibles - Goodwill and Other - Internal-Use Software (Subtopic 350-40): Targeted Improvements to the Accounting for Internal-Use Software, </w:t>
      </w:r>
      <w:r>
        <w:rPr>
          <w:rFonts w:ascii="Helvetica;sans-serif" w:hAnsi="Helvetica;sans-serif"/>
          <w:b w:val="false"/>
          <w:color w:val="000000"/>
          <w:sz w:val="20"/>
        </w:rPr>
        <w:t>which removes stage-based criteria and instead requires capitalization once a project is approved and it is probable that the project will be completed, unless significant development uncertainty exists. ASU 2025-06 is effective for annual periods beginning after December 15, 2027, and interim periods within those annual periods. For the Company, the ASU will be effective for the annual period ending December 31, 2028. Early adoption is permitted. The Company is currently evaluating the potential impact on its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d9e795779b5247aeb0dd8ee89026a236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pPr>
      <w:r>
        <w:rPr>
          <w:rFonts w:ascii="Helvetica;sans-serif" w:hAnsi="Helvetica;sans-serif"/>
          <w:b w:val="false"/>
          <w:color w:val="000000"/>
          <w:sz w:val="20"/>
        </w:rPr>
        <w:t xml:space="preserve">In November 2024, the FASB issued ASU 2024-03, </w:t>
      </w:r>
      <w:r>
        <w:rPr>
          <w:rFonts w:ascii="Helvetica;sans-serif" w:hAnsi="Helvetica;sans-serif"/>
          <w:b w:val="false"/>
          <w:i/>
          <w:color w:val="000000"/>
          <w:sz w:val="20"/>
        </w:rPr>
        <w:t>Income Statement-Reporting Comprehensive Income-Expense Disaggregation Disclosures (Subtopic 220-40): Disaggregation of Income Statement Expenses</w:t>
      </w:r>
      <w:r>
        <w:rPr>
          <w:rFonts w:ascii="Helvetica;sans-serif" w:hAnsi="Helvetica;sans-serif"/>
          <w:b w:val="false"/>
          <w:color w:val="000000"/>
          <w:sz w:val="20"/>
        </w:rPr>
        <w:t>, which expands disclosures about a public entity’s expenses, including inventory, employee compensation, depreciation, intangible asset amortization, selling expenses and other expense categories. ASU 2024-03 is effective for annual period beginning after December 15, 2026, and interim periods within annual periods beginning after December 15, 2027. For the Company, the ASU will be effective for the annual period ending December 31, 2027. The Company is currently evaluating the potential impact on its consolidated financial statement disclosures.</w:t>
      </w:r>
    </w:p>
    <w:p>
      <w:pPr>
        <w:pStyle w:val="TextBody"/>
        <w:bidi w:val="0"/>
        <w:spacing w:lineRule="auto" w:line="288" w:before="240" w:after="283"/>
        <w:ind w:left="0" w:right="0" w:firstLine="360"/>
        <w:jc w:val="both"/>
        <w:rPr/>
      </w:pPr>
      <w:r>
        <w:rPr>
          <w:rFonts w:ascii="Helvetica;sans-serif" w:hAnsi="Helvetica;sans-serif"/>
          <w:b w:val="false"/>
          <w:color w:val="000000"/>
          <w:sz w:val="20"/>
        </w:rPr>
        <w:t xml:space="preserve">In October 2023, the FASB issued ASU 2023-06, </w:t>
      </w:r>
      <w:r>
        <w:rPr>
          <w:rFonts w:ascii="Helvetica;sans-serif" w:hAnsi="Helvetica;sans-serif"/>
          <w:b w:val="false"/>
          <w:i/>
          <w:color w:val="000000"/>
          <w:sz w:val="20"/>
        </w:rPr>
        <w:t>Disclosure Improvements: Codification Amendments in Response to the SEC’s Disclosure Update and Simplification Initiative</w:t>
      </w:r>
      <w:r>
        <w:rPr>
          <w:rFonts w:ascii="Helvetica;sans-serif" w:hAnsi="Helvetica;sans-serif"/>
          <w:b w:val="false"/>
          <w:color w:val="000000"/>
          <w:sz w:val="20"/>
        </w:rPr>
        <w:t>, to amend certain disclosure and presentation requirements for a variety of topics within the ASC. These amendments align the requirements in the ASC to the removal of certain disclosure requirements set out in Regulation S-X and Regulation S-K, announced by the SEC. The effective date for each amended topic in the ASC is either the date on which the SEC’s removal of the related disclosure requirement from Regulation S-X or Regulation S-K becomes effective, or on June 30, 2027, if the SEC has not removed the requirements by that date. Early adoption is prohibited. The Company does not expect that the application of this standard will have an impact on its consolidated financial statements and disclosures.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Segment Reporting</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Company operates under one operating segment and one reportable segment as its chief operating decision maker (“CODM”), who is its Chief Executive Officer, reviews financial information presented on a consolidated basis for purposes of making operating decisions, allocating resources and evaluating financial performance. The Company does not have material intra-entity sales or transfers.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key measure of segment profit or loss that the CODM uses to allocate resources and assess performance is the Company’s net loss, as reported in the condensed consolidated statements of operations.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Significant expenses within operating loss, as well as within net loss, include cost of revenue, operations, product and technology, marketing, and sales, general and administrative expenses, which are each separately presented in the condensed consolidated statements of operations. Other segment items within net loss include interest expense, other income, net, and provision for income taxes. The CODM manages the business using consolidated expense information, as well as regularly provided budgeted or forecasted expense information. Assets provided to the CODM are consistent with those reported on the condensed consolidated balance sheets. </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Revenue from Loyalty Reward Redemption and Expiration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previously had a customer loyalty program that has since been discontinued. Effective October 1, 2024, customers were no longer able to earn loyalty points and after March 31, 2025, they could no longer redeem any previously accumulated points. As a result, as of June 30, 2026 and December 31, 2025, the Company did not have a deferred revenue liability related to its customer loyalty program. The Company recognized no revenue from loyalty reward redemptions and expirations for the three months ended June 30, 2026 and 2025, and $0 and $1.5 million for the six months ended June 30, 2026 and 2025, respectively.</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Gift Cards, Site Credits and Seller Payable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sells ThredUp gift cards on its e-commerce website and may also convert seller payables and site credits to ThredUp gift cards one year after issuance at the discretion of the Company. ThredUp gift cards do not expire or lose value over periods of inactivity. The Company accounts for gift cards by recognizing a gift card liability at the time a gift card is delivered to the customer. As of June 30, 2026 and December 31, 2025, gift card liabilities of $3.2 million and $3.9 million, respectively, were included in accrued and other current liabilities within the Company’s condensed consolidated balance sheets. Revenue from redemption of gift cards was not material for the three and six months ended June 30, 2026 and 2025.</w:t>
      </w:r>
    </w:p>
    <w:p>
      <w:pPr>
        <w:pStyle w:val="TextBody"/>
        <w:bidi w:val="0"/>
        <w:spacing w:lineRule="auto" w:line="288" w:before="240" w:after="283"/>
        <w:ind w:left="0" w:right="0" w:firstLine="360"/>
        <w:jc w:val="both"/>
        <w:rPr/>
      </w:pPr>
      <w:r>
        <w:rPr>
          <w:rFonts w:ascii="Helvetica;sans-serif" w:hAnsi="Helvetica;sans-serif"/>
          <w:b w:val="false"/>
          <w:color w:val="000000"/>
          <w:sz w:val="20"/>
        </w:rPr>
        <w:t>The Company recognizes breakage revenue for the portion of gift card values that are not expected to be redeemed. Breakage revenue is estimated based upon historical customer redemption patterns. Breakage revenue primarily relates to gift cards converted from seller payables and site credits. Judgment is required in determining the appropriate grouping of gift cards for analyzing breakage rates, redemption patterns, and estimating the ultimate value of gift cards not expected to be redeemed. Breakage revenue was $1.1 million and $1.7 million for the three months ended June 30, 2026 and 2025, respectively, and</w:t>
      </w:r>
      <w:r>
        <w:rPr>
          <w:color w:val="000000"/>
        </w:rPr>
        <w:t xml:space="preserve"> </w:t>
      </w:r>
      <w:r>
        <w:rPr>
          <w:rFonts w:ascii="Helvetica;sans-serif" w:hAnsi="Helvetica;sans-serif"/>
          <w:b w:val="false"/>
          <w:color w:val="000000"/>
          <w:sz w:val="20"/>
        </w:rPr>
        <w:t>$2.4 million and $3.9 million for the six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d9e795779b5247aeb0dd8ee89026a236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pPr>
      <w:r>
        <w:rPr>
          <w:rFonts w:ascii="Helvetica;sans-serif" w:hAnsi="Helvetica;sans-serif"/>
          <w:b w:val="false"/>
          <w:color w:val="000000"/>
          <w:sz w:val="20"/>
        </w:rPr>
        <w:t>The Company issues site credits for returns, which can be applied toward future charges but may not be converted into cash. Site credits may also be converted to ThredUp gift cards beginning after one year at the discretion of the Company. These credits are recognized as revenue when used. As of June 30, 2026 and December 31, 2025, $4.3 million and $4.1 million, respectively, of such customer site credits were included in accrued and other current liabilities within the Company’s condensed consolidated balance sheets. Revenue recognized from the redemption of site credits was $11.4 million and $12.9 million</w:t>
      </w:r>
      <w:r>
        <w:rPr>
          <w:color w:val="000000"/>
        </w:rPr>
        <w:t xml:space="preserve"> </w:t>
      </w:r>
      <w:r>
        <w:rPr>
          <w:rFonts w:ascii="Helvetica;sans-serif" w:hAnsi="Helvetica;sans-serif"/>
          <w:b w:val="false"/>
          <w:color w:val="000000"/>
          <w:sz w:val="20"/>
        </w:rPr>
        <w:t>for the three months ended June 30, 2026 and 2025, respectively, and</w:t>
      </w:r>
      <w:r>
        <w:rPr>
          <w:color w:val="000000"/>
        </w:rPr>
        <w:t xml:space="preserve"> </w:t>
      </w:r>
      <w:r>
        <w:rPr>
          <w:rFonts w:ascii="Helvetica;sans-serif" w:hAnsi="Helvetica;sans-serif"/>
          <w:b w:val="false"/>
          <w:color w:val="000000"/>
          <w:sz w:val="20"/>
        </w:rPr>
        <w:t>$22.7 million and $23.9 million for the six months ended June 30, 2026 and 2025, respectively.</w:t>
      </w:r>
    </w:p>
    <w:p>
      <w:pPr>
        <w:pStyle w:val="TextBody"/>
        <w:bidi w:val="0"/>
        <w:spacing w:lineRule="auto" w:line="288" w:before="120" w:after="283"/>
        <w:ind w:left="0" w:right="0" w:firstLine="360"/>
        <w:jc w:val="both"/>
        <w:rPr/>
      </w:pPr>
      <w:r>
        <w:rPr>
          <w:rFonts w:ascii="Helvetica;sans-serif" w:hAnsi="Helvetica;sans-serif"/>
          <w:b w:val="false"/>
          <w:color w:val="000000"/>
          <w:sz w:val="20"/>
        </w:rPr>
        <w:t>Seller payable includes amounts owed to sellers upon the purchase of sellers’ goods by the Company or by buyers. Amounts are initially provided as a credit to sellers (“seller credits”). These credits may be applied towards purchases from the Company, converted to third-party retailer or ThredUp gift cards or redeemed for cash. As of June 30, 2026 and December 31, 2025, there was $19.5 million and $18.3 million, respectively, of seller payable within the Company’s condensed consolidated balance sheets. Revenue recognized from the redemption of seller credits was $9.8 million</w:t>
      </w:r>
      <w:r>
        <w:rPr>
          <w:color w:val="000000"/>
        </w:rPr>
        <w:t xml:space="preserve"> </w:t>
      </w:r>
      <w:r>
        <w:rPr>
          <w:rFonts w:ascii="Helvetica;sans-serif" w:hAnsi="Helvetica;sans-serif"/>
          <w:b w:val="false"/>
          <w:color w:val="000000"/>
          <w:sz w:val="20"/>
        </w:rPr>
        <w:t>and</w:t>
      </w:r>
      <w:r>
        <w:rPr>
          <w:color w:val="000000"/>
        </w:rPr>
        <w:t xml:space="preserve"> </w:t>
      </w:r>
      <w:r>
        <w:rPr>
          <w:rFonts w:ascii="Helvetica;sans-serif" w:hAnsi="Helvetica;sans-serif"/>
          <w:b w:val="false"/>
          <w:color w:val="000000"/>
          <w:sz w:val="20"/>
        </w:rPr>
        <w:t>$7.4 million for the three months ended June 30, 2026 and 2025, respectively, and $17.9 million and $13.5 million for the six months ended June 30, 2026 and 2025, respectively.</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Cash, Cash Equivalents and Restricted Cash</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provides a reconciliation of cash, cash equivalents and restricted cash reported within the Company’s condensed consolidated balance sheets, which sum to the total of the same such amounts shown in the Company’s condensed consolidated statements of cash flows:</w:t>
      </w:r>
    </w:p>
    <w:tbl>
      <w:tblPr>
        <w:tblW w:w="10205" w:type="dxa"/>
        <w:jc w:val="left"/>
        <w:tblInd w:w="0" w:type="dxa"/>
        <w:tblLayout w:type="fixed"/>
        <w:tblCellMar>
          <w:top w:w="28" w:type="dxa"/>
          <w:left w:w="28" w:type="dxa"/>
          <w:bottom w:w="28" w:type="dxa"/>
          <w:right w:w="28" w:type="dxa"/>
        </w:tblCellMar>
      </w:tblPr>
      <w:tblGrid>
        <w:gridCol w:w="2633"/>
        <w:gridCol w:w="2315"/>
        <w:gridCol w:w="2323"/>
        <w:gridCol w:w="109"/>
        <w:gridCol w:w="109"/>
        <w:gridCol w:w="109"/>
        <w:gridCol w:w="211"/>
        <w:gridCol w:w="751"/>
        <w:gridCol w:w="109"/>
        <w:gridCol w:w="109"/>
        <w:gridCol w:w="109"/>
        <w:gridCol w:w="109"/>
        <w:gridCol w:w="227"/>
        <w:gridCol w:w="813"/>
        <w:gridCol w:w="169"/>
      </w:tblGrid>
      <w:tr>
        <w:trPr/>
        <w:tc>
          <w:tcPr>
            <w:tcW w:w="2633"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br/>
              <w:t>2025</w:t>
            </w:r>
          </w:p>
        </w:tc>
      </w:tr>
      <w:tr>
        <w:trPr/>
        <w:tc>
          <w:tcPr>
            <w:tcW w:w="7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38,629 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Restricted cash included in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225 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Restricted cash included in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4,723 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cash, cash equivalents, and restricted cash shown in the statement of cash 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47,117 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43,577 </w:t>
            </w:r>
          </w:p>
        </w:tc>
        <w:tc>
          <w:tcPr>
            <w:tcW w:w="16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3. Financial Instruments and Fair Value Measurements</w:t>
      </w:r>
    </w:p>
    <w:p>
      <w:pPr>
        <w:pStyle w:val="TextBody"/>
        <w:bidi w:val="0"/>
        <w:spacing w:lineRule="auto" w:line="288" w:before="120" w:after="283"/>
        <w:ind w:left="0" w:right="0" w:firstLine="360"/>
        <w:jc w:val="both"/>
        <w:rPr/>
      </w:pPr>
      <w:r>
        <w:rPr>
          <w:rFonts w:ascii="Helvetica;sans-serif" w:hAnsi="Helvetica;sans-serif"/>
          <w:b w:val="false"/>
          <w:color w:val="000000"/>
          <w:sz w:val="20"/>
        </w:rPr>
        <w:t xml:space="preserve">The Company applies the provisions of FASB ASC Topic 820, </w:t>
      </w:r>
      <w:r>
        <w:rPr>
          <w:rFonts w:ascii="Helvetica;sans-serif" w:hAnsi="Helvetica;sans-serif"/>
          <w:b w:val="false"/>
          <w:i/>
          <w:color w:val="000000"/>
          <w:sz w:val="20"/>
        </w:rPr>
        <w:t>Fair Value Measurements and Disclosures</w:t>
      </w:r>
      <w:r>
        <w:rPr>
          <w:rFonts w:ascii="Helvetica;sans-serif" w:hAnsi="Helvetica;sans-serif"/>
          <w:b w:val="false"/>
          <w:color w:val="000000"/>
          <w:sz w:val="20"/>
        </w:rPr>
        <w:t>, for its financial and non-financial assets and liabilities. ASC 820 defines fair value as the price that would be received to sell an asset or paid to transfer a liability in an orderly transaction between market participants at the measurement date. ASC 820 establishes a fair value hierarchy, which prioritizes the inputs used in measuring fair value into three broad levels as follows: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Level 1 inputs are quoted prices (unadjusted) in active markets for identical assets or liabilities that the reporting entity has the ability to access at the measurement date.</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Level 2 inputs include quoted prices for similar assets or liabilities in active markets,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Level 3 inputs are unobservable inputs for the asset or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d9e795779b5247aeb0dd8ee89026a236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Fair Value Measurements - Recurring Basis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tables provide information about the Company’s financial instruments that are measured at fair value on a recurring basis and indicate the fair value hierarchy of the valuation techniques utilized to determine such values as of June 30, 2026 and December 31, 2025:</w:t>
      </w:r>
    </w:p>
    <w:tbl>
      <w:tblPr>
        <w:tblW w:w="6999" w:type="dxa"/>
        <w:jc w:val="center"/>
        <w:tblInd w:w="0" w:type="dxa"/>
        <w:tblLayout w:type="fixed"/>
        <w:tblCellMar>
          <w:top w:w="28" w:type="dxa"/>
          <w:left w:w="28" w:type="dxa"/>
          <w:bottom w:w="28" w:type="dxa"/>
          <w:right w:w="28" w:type="dxa"/>
        </w:tblCellMar>
      </w:tblPr>
      <w:tblGrid>
        <w:gridCol w:w="1034"/>
        <w:gridCol w:w="910"/>
        <w:gridCol w:w="921"/>
        <w:gridCol w:w="109"/>
        <w:gridCol w:w="109"/>
        <w:gridCol w:w="109"/>
        <w:gridCol w:w="211"/>
        <w:gridCol w:w="646"/>
        <w:gridCol w:w="109"/>
        <w:gridCol w:w="109"/>
        <w:gridCol w:w="109"/>
        <w:gridCol w:w="109"/>
        <w:gridCol w:w="211"/>
        <w:gridCol w:w="751"/>
        <w:gridCol w:w="109"/>
        <w:gridCol w:w="109"/>
        <w:gridCol w:w="109"/>
        <w:gridCol w:w="109"/>
        <w:gridCol w:w="211"/>
        <w:gridCol w:w="751"/>
        <w:gridCol w:w="154"/>
      </w:tblGrid>
      <w:tr>
        <w:trPr/>
        <w:tc>
          <w:tcPr>
            <w:tcW w:w="1034"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2026</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15"/>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2,063 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2,063 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10,812 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12,875 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6,755 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2,682 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10,261 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10,261 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2,063 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21,073 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23,136 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329" w:type="dxa"/>
        <w:jc w:val="center"/>
        <w:tblInd w:w="0" w:type="dxa"/>
        <w:tblLayout w:type="fixed"/>
        <w:tblCellMar>
          <w:top w:w="28" w:type="dxa"/>
          <w:left w:w="28" w:type="dxa"/>
          <w:bottom w:w="28" w:type="dxa"/>
          <w:right w:w="28" w:type="dxa"/>
        </w:tblCellMar>
      </w:tblPr>
      <w:tblGrid>
        <w:gridCol w:w="1153"/>
        <w:gridCol w:w="1015"/>
        <w:gridCol w:w="1027"/>
        <w:gridCol w:w="109"/>
        <w:gridCol w:w="109"/>
        <w:gridCol w:w="109"/>
        <w:gridCol w:w="211"/>
        <w:gridCol w:w="646"/>
        <w:gridCol w:w="109"/>
        <w:gridCol w:w="109"/>
        <w:gridCol w:w="109"/>
        <w:gridCol w:w="109"/>
        <w:gridCol w:w="211"/>
        <w:gridCol w:w="751"/>
        <w:gridCol w:w="109"/>
        <w:gridCol w:w="109"/>
        <w:gridCol w:w="109"/>
        <w:gridCol w:w="109"/>
        <w:gridCol w:w="211"/>
        <w:gridCol w:w="751"/>
        <w:gridCol w:w="154"/>
      </w:tblGrid>
      <w:tr>
        <w:trPr/>
        <w:tc>
          <w:tcPr>
            <w:tcW w:w="115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2025</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15"/>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5,030 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6,681 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5,030 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8,227 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13,257 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Marketable securities,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2,374 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marketable securities,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9,498 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9,498 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5,030 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17,725 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22,755 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June 30, 2026 and December 31, 2025, the Company’s cash equivalents and marketable securities approximated their estimated fair value. As such, the unrealized gains or losses related to the Company’s cash equivalents and marketable securities were not material.</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For the Company’s marketable securities, which were all classified as available-for-sale, the Company utilizes third-party pricing services to obtain fair value. Third-party pricing methodologies incorporate bond terms and conditions, current performance data, proprietary pricing models, real-time quotes from contributing dealers, trade prices and other market data. The Company determined that the declines in the fair value of its marketable securities were not driven by credit-related factors. During the three and six months ended June 30, 2026 and 2025, the Company did not recognize any losses on its marketable securities due to credit-related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d9e795779b5247aeb0dd8ee89026a236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June 30, 2026, the Company’s money market funds were valued using Level 1 inputs because they were valued using quoted prices in active markets. The Company’s commercial paper, corporate debt securities, U.S. government agency bonds and U.S. treasury securities were valued using Level 2 inputs because they were valued using quoted prices for similar assets or liabilities in active markets and quoted prices for identical or similar assets or liabilities in markets that are not active.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June 30, 2026 and December 31, 2025, the Company had no assets or liabilities classified within Level 3 of the fair value hierarchy. There were no transfers into or out of Level 3 during the three and six months ended June 30, 2026.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presents the fair value of the Company’s marketable securities by contractual maturities as of June 30, 2026:</w:t>
      </w:r>
    </w:p>
    <w:tbl>
      <w:tblPr>
        <w:tblW w:w="7359" w:type="dxa"/>
        <w:jc w:val="left"/>
        <w:tblInd w:w="0" w:type="dxa"/>
        <w:tblLayout w:type="fixed"/>
        <w:tblCellMar>
          <w:top w:w="28" w:type="dxa"/>
          <w:left w:w="28" w:type="dxa"/>
          <w:bottom w:w="28" w:type="dxa"/>
          <w:right w:w="28" w:type="dxa"/>
        </w:tblCellMar>
      </w:tblPr>
      <w:tblGrid>
        <w:gridCol w:w="1037"/>
        <w:gridCol w:w="911"/>
        <w:gridCol w:w="916"/>
        <w:gridCol w:w="109"/>
        <w:gridCol w:w="109"/>
        <w:gridCol w:w="109"/>
        <w:gridCol w:w="304"/>
        <w:gridCol w:w="933"/>
        <w:gridCol w:w="157"/>
        <w:gridCol w:w="109"/>
        <w:gridCol w:w="109"/>
        <w:gridCol w:w="109"/>
        <w:gridCol w:w="219"/>
        <w:gridCol w:w="672"/>
        <w:gridCol w:w="113"/>
        <w:gridCol w:w="109"/>
        <w:gridCol w:w="109"/>
        <w:gridCol w:w="109"/>
        <w:gridCol w:w="211"/>
        <w:gridCol w:w="751"/>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2026</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Less than 1 year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1 to 2 years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15"/>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3,327 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3,428 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6,755 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2,682 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5,834 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4,427 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classifies marketable securities as current assets as they are available to support current operations, including highly liquid securities with maturities beyond 12 months.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 xml:space="preserve">Fair Value Measurements - Nonrecurring Basis </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Company holds a minority equity interest in a privately held company of which 91% was divested in 2024. The investment does not have a readily determinable fair value and is accounted for under the measurement alternative. Under this approach, the investment is carried at cost, adjusted for observable transactions or impairment.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 remeasurements or impairments were recognized during the three and six months ended June 30, 2026 and 2025. As of June 30, 2026 and December 31, 2025, the carrying amount of the investment was $1.8 million, included in other assets on the Company’s condensed consolidated balance sheets, and is classified as a Level 3 asset within the fair value hierarchy. Cumulatively, the Company has recorded $0.8 million of upward adjustments from observable transactions and no impairments or downward adjustments to the carrying value of the investment.</w:t>
      </w:r>
    </w:p>
    <w:p>
      <w:pPr>
        <w:pStyle w:val="TextBody"/>
        <w:bidi w:val="0"/>
        <w:spacing w:lineRule="auto" w:line="288" w:before="360" w:after="283"/>
        <w:jc w:val="left"/>
        <w:rPr>
          <w:rFonts w:ascii="Helvetica;sans-serif" w:hAnsi="Helvetica;sans-serif"/>
          <w:b w:val="false"/>
          <w:i/>
          <w:color w:val="000000"/>
          <w:sz w:val="20"/>
        </w:rPr>
      </w:pPr>
      <w:r>
        <w:rPr>
          <w:rFonts w:ascii="Helvetica;sans-serif" w:hAnsi="Helvetica;sans-serif"/>
          <w:b w:val="false"/>
          <w:i/>
          <w:color w:val="000000"/>
          <w:sz w:val="20"/>
        </w:rPr>
        <w:t>Other Fair Value Disclosures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June 30, 2026 and December 31, 2025, the carrying amounts of the Company’s accounts receivable, other current assets, other assets, accounts payable, seller payable and accrued and other current liabilities approximated their estimated fair values due to their relatively short maturities. Management believes the terms of its long-term variable-rate debt reflect current market conditions for an instrument with similar terms and maturity, and as such, the carrying value of the Company’s long-term debt approximated its fair value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d9e795779b5247aeb0dd8ee89026a236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4. Property and Equipment, Net</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Property and equipment, net consisted of the following:</w:t>
      </w:r>
    </w:p>
    <w:tbl>
      <w:tblPr>
        <w:tblW w:w="7318" w:type="dxa"/>
        <w:jc w:val="center"/>
        <w:tblInd w:w="0" w:type="dxa"/>
        <w:tblLayout w:type="fixed"/>
        <w:tblCellMar>
          <w:top w:w="28" w:type="dxa"/>
          <w:left w:w="28" w:type="dxa"/>
          <w:bottom w:w="28" w:type="dxa"/>
          <w:right w:w="28" w:type="dxa"/>
        </w:tblCellMar>
      </w:tblPr>
      <w:tblGrid>
        <w:gridCol w:w="1584"/>
        <w:gridCol w:w="1395"/>
        <w:gridCol w:w="1400"/>
        <w:gridCol w:w="109"/>
        <w:gridCol w:w="109"/>
        <w:gridCol w:w="109"/>
        <w:gridCol w:w="211"/>
        <w:gridCol w:w="751"/>
        <w:gridCol w:w="109"/>
        <w:gridCol w:w="109"/>
        <w:gridCol w:w="109"/>
        <w:gridCol w:w="109"/>
        <w:gridCol w:w="229"/>
        <w:gridCol w:w="818"/>
        <w:gridCol w:w="167"/>
      </w:tblGrid>
      <w:tr>
        <w:trPr/>
        <w:tc>
          <w:tcPr>
            <w:tcW w:w="1584"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br/>
              <w:t>2025</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Property and equipment,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Machinery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84,745 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23,457 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Internal-use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13,444 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Computers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7,909 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6,858 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2,196 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property and equipment,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144,239 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138,609 </w:t>
            </w:r>
          </w:p>
        </w:tc>
        <w:tc>
          <w:tcPr>
            <w:tcW w:w="16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 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(71,366)</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65,901 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67,243 </w:t>
            </w:r>
          </w:p>
        </w:tc>
        <w:tc>
          <w:tcPr>
            <w:tcW w:w="1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Depreciation and amortization expense of property and equipment was $4.1 million and $3.2 million for the three months ended June 30, 2026 and 2025, respectively, and $7.4 million and $6.3 million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5. Balance Sheet Components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Accrued and other current liabilities consisted of the following:</w:t>
      </w:r>
    </w:p>
    <w:tbl>
      <w:tblPr>
        <w:tblW w:w="5908" w:type="dxa"/>
        <w:jc w:val="center"/>
        <w:tblInd w:w="0" w:type="dxa"/>
        <w:tblLayout w:type="fixed"/>
        <w:tblCellMar>
          <w:top w:w="28" w:type="dxa"/>
          <w:left w:w="28" w:type="dxa"/>
          <w:bottom w:w="28" w:type="dxa"/>
          <w:right w:w="28" w:type="dxa"/>
        </w:tblCellMar>
      </w:tblPr>
      <w:tblGrid>
        <w:gridCol w:w="1074"/>
        <w:gridCol w:w="944"/>
        <w:gridCol w:w="951"/>
        <w:gridCol w:w="109"/>
        <w:gridCol w:w="109"/>
        <w:gridCol w:w="109"/>
        <w:gridCol w:w="211"/>
        <w:gridCol w:w="751"/>
        <w:gridCol w:w="109"/>
        <w:gridCol w:w="109"/>
        <w:gridCol w:w="109"/>
        <w:gridCol w:w="109"/>
        <w:gridCol w:w="229"/>
        <w:gridCol w:w="818"/>
        <w:gridCol w:w="167"/>
      </w:tblGrid>
      <w:tr>
        <w:trPr/>
        <w:tc>
          <w:tcPr>
            <w:tcW w:w="107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br/>
              <w:t>2025</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Gift card and site credit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8,026 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vendor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4,844 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Allowance for returns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3,814 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2,527 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2,571 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1,573 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1,156 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22,920 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24,511 </w:t>
            </w:r>
          </w:p>
        </w:tc>
        <w:tc>
          <w:tcPr>
            <w:tcW w:w="1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6. Long-Term Debt</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February 2019, the Company entered into a loan and security agreement (“Term Loan”) with Western Alliance Bank for an aggregate amount of up to $40.0 million. Following subsequent amendments, with the most recent amendment taking place on January 30, 2026, the Term Loan matures on July 10, 2030, provides for an aggregate borrowing capacity of up to $28.0 million, of which $10.0 million remains available and is designated for the purchase of certain equipment, and bears interest at secured overnight financing rate (“SOFR”), subject to a 2.50% per annum floor, plus a margin of 3.25% per annum. The January 2026 amendment also modified amortization such that only interest, and no principal, is payable until January 10, 2028, after which the Term Loan is payable in consecutive monthly installments.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Term Loan requires the Company to comply with certain financial covenants, including, among other things, liquidity requirements and minimum cash deposits with Western Alliance Bank. The Term Loan also contains affirmative and negative covenants customary for financings of this type, including, among other things, limitations or prohibitions on repurchasing common shares, declaring and paying dividends and other distributions, redeeming and repurchasing certain other indebtedness, loans and investments, additional indebtedness, liens, mergers, asset sales and transactions with affiliates. In addition, the Term Loan contains customary events of default. As of June 30, 2026, the Company was in compliance with its debt covenants under the Term Loan. The Company is permitted to make voluntary prepayments without penalty or premium at any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d9e795779b5247aeb0dd8ee89026a236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June 30, 2026 and December 31, 2025, the effective interest rate for borrowings under the Term Loan was 7.54% and 8.94%, respectively.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During the six months ended June 30, 2026 and 2025, the Company did not make any borrowings under the Term Loan and repaid $0.3 million and $2.0 million in principal, respectively. As of June 30, 2026 and December 31, 2025, the principal outstanding under the Term Loan was $18.0 million and $18.3 million, respectively.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Company incurred interest expense related to the Term Loan of $0.3 million and $0.5 million for the three months ended June 30, 2026 and 2025, respectively, and $0.7 million and $1.0 million for the six months ended June 30, 2026 and 2025, respectively.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June 30, 2026, the future annual principal payments of the Term Loan were as follows:</w:t>
      </w:r>
    </w:p>
    <w:tbl>
      <w:tblPr>
        <w:tblW w:w="4827" w:type="dxa"/>
        <w:jc w:val="center"/>
        <w:tblInd w:w="0" w:type="dxa"/>
        <w:tblLayout w:type="fixed"/>
        <w:tblCellMar>
          <w:top w:w="28" w:type="dxa"/>
          <w:left w:w="28" w:type="dxa"/>
          <w:bottom w:w="28" w:type="dxa"/>
          <w:right w:w="28" w:type="dxa"/>
        </w:tblCellMar>
      </w:tblPr>
      <w:tblGrid>
        <w:gridCol w:w="1194"/>
        <w:gridCol w:w="1048"/>
        <w:gridCol w:w="1058"/>
        <w:gridCol w:w="109"/>
        <w:gridCol w:w="109"/>
        <w:gridCol w:w="109"/>
        <w:gridCol w:w="227"/>
        <w:gridCol w:w="808"/>
        <w:gridCol w:w="165"/>
      </w:tblGrid>
      <w:tr>
        <w:trPr/>
        <w:tc>
          <w:tcPr>
            <w:tcW w:w="1194"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4,000 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4,000 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10,000 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principal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18,000 </w:t>
            </w:r>
          </w:p>
        </w:tc>
        <w:tc>
          <w:tcPr>
            <w:tcW w:w="16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 unamortized debt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17,722 </w:t>
            </w:r>
          </w:p>
        </w:tc>
        <w:tc>
          <w:tcPr>
            <w:tcW w:w="16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7. Common Stock and Stockholders’ Equity</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Each share of Class A common stock is entitled to one vote per share. Each share of Class B common stock is entitled to ten votes per share and is convertible at any time into one share of Class A common stock.</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table below summarizes the Class A common stock and Class B common stock authorized, issued and outstanding as of June 30, 2026 and December 31, 2025:</w:t>
      </w:r>
    </w:p>
    <w:tbl>
      <w:tblPr>
        <w:tblW w:w="10205" w:type="dxa"/>
        <w:jc w:val="center"/>
        <w:tblInd w:w="0" w:type="dxa"/>
        <w:tblLayout w:type="fixed"/>
        <w:tblCellMar>
          <w:top w:w="28" w:type="dxa"/>
          <w:left w:w="28" w:type="dxa"/>
          <w:bottom w:w="28" w:type="dxa"/>
          <w:right w:w="28" w:type="dxa"/>
        </w:tblCellMar>
      </w:tblPr>
      <w:tblGrid>
        <w:gridCol w:w="733"/>
        <w:gridCol w:w="645"/>
        <w:gridCol w:w="650"/>
        <w:gridCol w:w="109"/>
        <w:gridCol w:w="109"/>
        <w:gridCol w:w="109"/>
        <w:gridCol w:w="510"/>
        <w:gridCol w:w="511"/>
        <w:gridCol w:w="331"/>
        <w:gridCol w:w="127"/>
        <w:gridCol w:w="127"/>
        <w:gridCol w:w="127"/>
        <w:gridCol w:w="654"/>
        <w:gridCol w:w="643"/>
        <w:gridCol w:w="645"/>
        <w:gridCol w:w="109"/>
        <w:gridCol w:w="109"/>
        <w:gridCol w:w="109"/>
        <w:gridCol w:w="510"/>
        <w:gridCol w:w="511"/>
        <w:gridCol w:w="331"/>
        <w:gridCol w:w="165"/>
        <w:gridCol w:w="165"/>
        <w:gridCol w:w="165"/>
        <w:gridCol w:w="596"/>
        <w:gridCol w:w="577"/>
        <w:gridCol w:w="828"/>
      </w:tblGrid>
      <w:tr>
        <w:trPr/>
        <w:tc>
          <w:tcPr>
            <w:tcW w:w="73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2025</w:t>
            </w:r>
          </w:p>
        </w:tc>
      </w:tr>
      <w:tr>
        <w:trPr/>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Authorized</w:t>
            </w:r>
          </w:p>
        </w:tc>
        <w:tc>
          <w:tcPr>
            <w:tcW w:w="3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Issued and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Authorized</w:t>
            </w:r>
          </w:p>
        </w:tc>
        <w:tc>
          <w:tcPr>
            <w:tcW w:w="4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Issued and Outstanding</w:t>
            </w:r>
          </w:p>
        </w:tc>
      </w:tr>
      <w:tr>
        <w:trPr/>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0"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1,000,000 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110,972 </w:t>
            </w:r>
          </w:p>
        </w:tc>
        <w:tc>
          <w:tcPr>
            <w:tcW w:w="6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1,000,000 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106,358 </w:t>
            </w:r>
          </w:p>
        </w:tc>
        <w:tc>
          <w:tcPr>
            <w:tcW w:w="82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Class B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120,000 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20,324 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120,000 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20,669 </w:t>
            </w:r>
          </w:p>
        </w:tc>
        <w:tc>
          <w:tcPr>
            <w:tcW w:w="82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1,120,000 </w:t>
            </w:r>
          </w:p>
        </w:tc>
        <w:tc>
          <w:tcPr>
            <w:tcW w:w="3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131,296 </w:t>
            </w:r>
          </w:p>
        </w:tc>
        <w:tc>
          <w:tcPr>
            <w:tcW w:w="64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1,120,000 </w:t>
            </w:r>
          </w:p>
        </w:tc>
        <w:tc>
          <w:tcPr>
            <w:tcW w:w="3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127,027 </w:t>
            </w:r>
          </w:p>
        </w:tc>
        <w:tc>
          <w:tcPr>
            <w:tcW w:w="82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8. Stock-Based Compensation</w:t>
      </w:r>
    </w:p>
    <w:p>
      <w:pPr>
        <w:pStyle w:val="TextBody"/>
        <w:bidi w:val="0"/>
        <w:spacing w:lineRule="auto" w:line="288" w:before="120" w:after="283"/>
        <w:ind w:left="0" w:right="0" w:firstLine="360"/>
        <w:jc w:val="both"/>
        <w:rPr/>
      </w:pPr>
      <w:r>
        <w:rPr>
          <w:rFonts w:ascii="Helvetica;sans-serif" w:hAnsi="Helvetica;sans-serif"/>
          <w:b w:val="false"/>
          <w:color w:val="000000"/>
          <w:sz w:val="20"/>
        </w:rPr>
        <w:t xml:space="preserve">The Company has stock-based compensation plans, which are more fully described in Note 9, </w:t>
      </w:r>
      <w:r>
        <w:rPr>
          <w:rFonts w:ascii="Helvetica;sans-serif" w:hAnsi="Helvetica;sans-serif"/>
          <w:b w:val="false"/>
          <w:i/>
          <w:color w:val="000000"/>
          <w:sz w:val="20"/>
        </w:rPr>
        <w:t>Stock-Based Compensation Plans</w:t>
      </w:r>
      <w:r>
        <w:rPr>
          <w:rFonts w:ascii="Helvetica;sans-serif" w:hAnsi="Helvetica;sans-serif"/>
          <w:b w:val="false"/>
          <w:color w:val="000000"/>
          <w:sz w:val="20"/>
        </w:rPr>
        <w:t>, to the consolidated financial statements included in the 2025 10-K. During the six months ended June 30, 2026, the Company granted restricted stock units subject to service condition (“RSUs”) and performance-based restricted stock units subject to service and performance conditions (“PSUs”).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d9e795779b5247aeb0dd8ee89026a236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120"/>
        <w:jc w:val="both"/>
        <w:rPr>
          <w:rFonts w:ascii="Helvetica;sans-serif" w:hAnsi="Helvetica;sans-serif"/>
          <w:b w:val="false"/>
          <w:i/>
          <w:color w:val="000000"/>
          <w:sz w:val="20"/>
        </w:rPr>
      </w:pPr>
      <w:r>
        <w:rPr>
          <w:rFonts w:ascii="Helvetica;sans-serif" w:hAnsi="Helvetica;sans-serif"/>
          <w:b w:val="false"/>
          <w:i/>
          <w:color w:val="000000"/>
          <w:sz w:val="20"/>
        </w:rPr>
        <w:t>Stock-Based Compensation Expense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provides information about stock-based compensation expense by financial statement line item:</w:t>
      </w:r>
    </w:p>
    <w:tbl>
      <w:tblPr>
        <w:tblW w:w="9177" w:type="dxa"/>
        <w:jc w:val="center"/>
        <w:tblInd w:w="0" w:type="dxa"/>
        <w:tblLayout w:type="fixed"/>
        <w:tblCellMar>
          <w:top w:w="28" w:type="dxa"/>
          <w:left w:w="28" w:type="dxa"/>
          <w:bottom w:w="28" w:type="dxa"/>
          <w:right w:w="28" w:type="dxa"/>
        </w:tblCellMar>
      </w:tblPr>
      <w:tblGrid>
        <w:gridCol w:w="1359"/>
        <w:gridCol w:w="1192"/>
        <w:gridCol w:w="1199"/>
        <w:gridCol w:w="109"/>
        <w:gridCol w:w="109"/>
        <w:gridCol w:w="109"/>
        <w:gridCol w:w="211"/>
        <w:gridCol w:w="646"/>
        <w:gridCol w:w="109"/>
        <w:gridCol w:w="109"/>
        <w:gridCol w:w="109"/>
        <w:gridCol w:w="109"/>
        <w:gridCol w:w="211"/>
        <w:gridCol w:w="646"/>
        <w:gridCol w:w="109"/>
        <w:gridCol w:w="109"/>
        <w:gridCol w:w="109"/>
        <w:gridCol w:w="109"/>
        <w:gridCol w:w="211"/>
        <w:gridCol w:w="751"/>
        <w:gridCol w:w="109"/>
        <w:gridCol w:w="109"/>
        <w:gridCol w:w="109"/>
        <w:gridCol w:w="109"/>
        <w:gridCol w:w="211"/>
        <w:gridCol w:w="751"/>
        <w:gridCol w:w="154"/>
      </w:tblGrid>
      <w:tr>
        <w:trPr/>
        <w:tc>
          <w:tcPr>
            <w:tcW w:w="135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 product, and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4,951 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Sales,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4,843 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5,925 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4,500 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11,428 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10,020 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Helvetica;sans-serif" w:hAnsi="Helvetica;sans-serif"/>
          <w:b w:val="false"/>
          <w:color w:val="000000"/>
          <w:sz w:val="20"/>
        </w:rPr>
      </w:pPr>
      <w:r>
        <w:rPr>
          <w:rFonts w:ascii="Helvetica;sans-serif" w:hAnsi="Helvetica;sans-serif"/>
          <w:b w:val="false"/>
          <w:color w:val="000000"/>
          <w:sz w:val="20"/>
        </w:rPr>
        <w:t>Stock-based compensation expense capitalized in internal use software was not material for the three and six months ended June 30, 2026 and 2025.</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Stock Options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summarizes the activities for all stock options under the Company’s stock-based compensation plans for the six months ended June 30, 2026:</w:t>
      </w:r>
    </w:p>
    <w:tbl>
      <w:tblPr>
        <w:tblW w:w="10205" w:type="dxa"/>
        <w:jc w:val="left"/>
        <w:tblInd w:w="0" w:type="dxa"/>
        <w:tblLayout w:type="fixed"/>
        <w:tblCellMar>
          <w:top w:w="28" w:type="dxa"/>
          <w:left w:w="28" w:type="dxa"/>
          <w:bottom w:w="28" w:type="dxa"/>
          <w:right w:w="28" w:type="dxa"/>
        </w:tblCellMar>
      </w:tblPr>
      <w:tblGrid>
        <w:gridCol w:w="633"/>
        <w:gridCol w:w="556"/>
        <w:gridCol w:w="558"/>
        <w:gridCol w:w="109"/>
        <w:gridCol w:w="109"/>
        <w:gridCol w:w="109"/>
        <w:gridCol w:w="504"/>
        <w:gridCol w:w="504"/>
        <w:gridCol w:w="505"/>
        <w:gridCol w:w="109"/>
        <w:gridCol w:w="109"/>
        <w:gridCol w:w="109"/>
        <w:gridCol w:w="503"/>
        <w:gridCol w:w="1291"/>
        <w:gridCol w:w="262"/>
        <w:gridCol w:w="109"/>
        <w:gridCol w:w="109"/>
        <w:gridCol w:w="109"/>
        <w:gridCol w:w="709"/>
        <w:gridCol w:w="709"/>
        <w:gridCol w:w="711"/>
        <w:gridCol w:w="109"/>
        <w:gridCol w:w="109"/>
        <w:gridCol w:w="109"/>
        <w:gridCol w:w="273"/>
        <w:gridCol w:w="972"/>
        <w:gridCol w:w="207"/>
      </w:tblGrid>
      <w:tr>
        <w:trPr/>
        <w:tc>
          <w:tcPr>
            <w:tcW w:w="63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Number of 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Weighted-Average Remaining Contractual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Aggregate Intrinsic Value (1)</w:t>
            </w:r>
          </w:p>
        </w:tc>
      </w:tr>
      <w:tr>
        <w:trPr/>
        <w:tc>
          <w:tcPr>
            <w:tcW w:w="1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1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9,411 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39,825 </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(837)</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Forfeited or 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Outstanding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8,550 </w:t>
            </w:r>
          </w:p>
        </w:tc>
        <w:tc>
          <w:tcPr>
            <w:tcW w:w="5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40,017 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Exercisable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8,550 </w:t>
            </w:r>
          </w:p>
        </w:tc>
        <w:tc>
          <w:tcPr>
            <w:tcW w:w="50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40,017 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(1) The intrinsic value is the amount by which the current market value of the underlying stock exceeds the exercise price of the stock awards.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June 30, 2026, there was no unrecognized compensation cost related to nonvested stock options.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RSUs and PSUs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summarizes the activities for all RSUs and PSUs, under the Company’s stock-based compensation plans for the six months ended June 30, 2026:</w:t>
      </w:r>
    </w:p>
    <w:tbl>
      <w:tblPr>
        <w:tblW w:w="10205" w:type="dxa"/>
        <w:jc w:val="left"/>
        <w:tblInd w:w="0" w:type="dxa"/>
        <w:tblLayout w:type="fixed"/>
        <w:tblCellMar>
          <w:top w:w="28" w:type="dxa"/>
          <w:left w:w="28" w:type="dxa"/>
          <w:bottom w:w="28" w:type="dxa"/>
          <w:right w:w="28" w:type="dxa"/>
        </w:tblCellMar>
      </w:tblPr>
      <w:tblGrid>
        <w:gridCol w:w="1557"/>
        <w:gridCol w:w="1369"/>
        <w:gridCol w:w="1372"/>
        <w:gridCol w:w="109"/>
        <w:gridCol w:w="109"/>
        <w:gridCol w:w="109"/>
        <w:gridCol w:w="495"/>
        <w:gridCol w:w="475"/>
        <w:gridCol w:w="477"/>
        <w:gridCol w:w="109"/>
        <w:gridCol w:w="109"/>
        <w:gridCol w:w="109"/>
        <w:gridCol w:w="885"/>
        <w:gridCol w:w="2270"/>
        <w:gridCol w:w="651"/>
      </w:tblGrid>
      <w:tr>
        <w:trPr/>
        <w:tc>
          <w:tcPr>
            <w:tcW w:w="1557"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4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Weighted-Average Grant Date Fair Value Per Share</w:t>
            </w:r>
          </w:p>
        </w:tc>
      </w:tr>
      <w:tr>
        <w:trPr/>
        <w:tc>
          <w:tcPr>
            <w:tcW w:w="4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3"/>
            <w:tcBorders>
              <w:top w:val="single" w:sz="4"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Outstanding and nonvested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8,930 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2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3.78 </w:t>
            </w:r>
          </w:p>
        </w:tc>
        <w:tc>
          <w:tcPr>
            <w:tcW w:w="65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Granted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3,906 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4.15 </w:t>
            </w:r>
          </w:p>
        </w:tc>
        <w:tc>
          <w:tcPr>
            <w:tcW w:w="65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(3,288)</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2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3.56 </w:t>
            </w:r>
          </w:p>
        </w:tc>
        <w:tc>
          <w:tcPr>
            <w:tcW w:w="65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(360)</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3.82 </w:t>
            </w:r>
          </w:p>
        </w:tc>
        <w:tc>
          <w:tcPr>
            <w:tcW w:w="65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Outstanding and nonvested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9,188 </w:t>
            </w:r>
          </w:p>
        </w:tc>
        <w:tc>
          <w:tcPr>
            <w:tcW w:w="47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2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4.01 </w:t>
            </w:r>
          </w:p>
        </w:tc>
        <w:tc>
          <w:tcPr>
            <w:tcW w:w="6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(1) Includes 869 thousand PSUs at target, with a weighted-average grant-date fair value of $3.39. Actual shares earned may range from 0% to 200% of target based on the achievement of applicable performance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d9e795779b5247aeb0dd8ee89026a236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June 30, 2026, the total unrecognized compensation cost related to all nonvested RSUs and PSUs was $34.4 million, of which $2.6 million was related to PSUs, and the related weighted-average period over which it is expected to be recognized was approximately two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9. Commitments and Contingencies</w:t>
      </w:r>
    </w:p>
    <w:p>
      <w:pPr>
        <w:pStyle w:val="TextBody"/>
        <w:bidi w:val="0"/>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Legal Contingencies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is subject to litigation claims and assessments from time to time in the ordinary course of business. The Company’s management does not believe that any such matters, individually or in the aggregate, will have a material adverse effect on the Company’s business, financial condition, results of operations or cash flows.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Indemnifications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the normal course of business, the Company enters into contracts and agreements that contain a variety of representations and warranties and provide for limited and customary indemnification obligations. The Company’s exposure under these agreements is unknown because it involves claims that may be made against the Company in the future, but that have not yet been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10. Income Taxes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quarterly income tax provision reflects an estimate of the corresponding quarter’s state taxes in the U.S. The provision for income tax expense for the three and six months ended June 30, 2026 and 2025 was determined based upon estimates of the Company’s annual effective tax rate for the years ending December 31, 2026 and 2025, respectively. Since the Company is in a full valuation allowance position due to losses incurred since inception, the provision for taxes consists solely of certain state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11. Loss Per Share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securities have been excluded from the computation of diluted loss per share for the periods presented because including them would have been anti-dilutive:</w:t>
      </w:r>
    </w:p>
    <w:tbl>
      <w:tblPr>
        <w:tblW w:w="5553" w:type="dxa"/>
        <w:jc w:val="center"/>
        <w:tblInd w:w="0" w:type="dxa"/>
        <w:tblLayout w:type="fixed"/>
        <w:tblCellMar>
          <w:top w:w="28" w:type="dxa"/>
          <w:left w:w="28" w:type="dxa"/>
          <w:bottom w:w="28" w:type="dxa"/>
          <w:right w:w="28" w:type="dxa"/>
        </w:tblCellMar>
      </w:tblPr>
      <w:tblGrid>
        <w:gridCol w:w="1015"/>
        <w:gridCol w:w="892"/>
        <w:gridCol w:w="897"/>
        <w:gridCol w:w="109"/>
        <w:gridCol w:w="109"/>
        <w:gridCol w:w="109"/>
        <w:gridCol w:w="375"/>
        <w:gridCol w:w="376"/>
        <w:gridCol w:w="256"/>
        <w:gridCol w:w="109"/>
        <w:gridCol w:w="109"/>
        <w:gridCol w:w="109"/>
        <w:gridCol w:w="375"/>
        <w:gridCol w:w="376"/>
        <w:gridCol w:w="337"/>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9,188 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10,094 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8,550 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10,445 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33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17,755 </w:t>
            </w:r>
          </w:p>
        </w:tc>
        <w:tc>
          <w:tcPr>
            <w:tcW w:w="2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20,548 </w:t>
            </w:r>
          </w:p>
        </w:tc>
        <w:tc>
          <w:tcPr>
            <w:tcW w:w="33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d9e795779b5247aeb0dd8ee89026a23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both"/>
        <w:rPr>
          <w:rFonts w:ascii="Helvetica;sans-serif" w:hAnsi="Helvetica;sans-serif"/>
          <w:b/>
          <w:color w:val="000000"/>
          <w:sz w:val="20"/>
        </w:rPr>
      </w:pPr>
      <w:r>
        <w:rPr>
          <w:rFonts w:ascii="Helvetica;sans-serif" w:hAnsi="Helvetica;sans-serif"/>
          <w:b/>
          <w:color w:val="000000"/>
          <w:sz w:val="20"/>
        </w:rPr>
        <w:t>Item 2.    Management’s Discussion and Analysis of Financial Condition and Results of Operations</w:t>
      </w:r>
    </w:p>
    <w:p>
      <w:pPr>
        <w:pStyle w:val="TextBody"/>
        <w:bidi w:val="0"/>
        <w:spacing w:lineRule="auto" w:line="288" w:before="120" w:after="283"/>
        <w:ind w:left="0" w:right="0" w:firstLine="360"/>
        <w:jc w:val="both"/>
        <w:rPr/>
      </w:pPr>
      <w:r>
        <w:rPr>
          <w:rFonts w:ascii="Helvetica;sans-serif" w:hAnsi="Helvetica;sans-serif"/>
          <w:b w:val="false"/>
          <w:i/>
          <w:color w:val="000000"/>
          <w:sz w:val="20"/>
        </w:rPr>
        <w:t xml:space="preserve">The following discussion and analysis of our financial condition and results of operations should be read in conjunction with other information, including our condensed consolidated financial statements and related notes included in Part I, Item 1, </w:t>
      </w:r>
      <w:r>
        <w:rPr>
          <w:rFonts w:ascii="Helvetica;sans-serif" w:hAnsi="Helvetica;sans-serif"/>
          <w:b w:val="false"/>
          <w:color w:val="000000"/>
          <w:sz w:val="20"/>
        </w:rPr>
        <w:t>Financial Statements</w:t>
      </w:r>
      <w:r>
        <w:rPr>
          <w:rFonts w:ascii="Helvetica;sans-serif" w:hAnsi="Helvetica;sans-serif"/>
          <w:b w:val="false"/>
          <w:i/>
          <w:color w:val="000000"/>
          <w:sz w:val="20"/>
        </w:rPr>
        <w:t xml:space="preserve">, of this Quarterly Report on Form 10-Q; Part II, Item 1A, </w:t>
      </w:r>
      <w:r>
        <w:rPr>
          <w:rFonts w:ascii="Helvetica;sans-serif" w:hAnsi="Helvetica;sans-serif"/>
          <w:b w:val="false"/>
          <w:color w:val="000000"/>
          <w:sz w:val="20"/>
        </w:rPr>
        <w:t>Risk Factors</w:t>
      </w:r>
      <w:r>
        <w:rPr>
          <w:rFonts w:ascii="Helvetica;sans-serif" w:hAnsi="Helvetica;sans-serif"/>
          <w:b w:val="false"/>
          <w:i/>
          <w:color w:val="000000"/>
          <w:sz w:val="20"/>
        </w:rPr>
        <w:t>, of this Quarterly Report on Form 10-Q; and our consolidated financial statements and related notes appearing in our Annual Report on Form 10-K for the year ended December 31, 2025 (the “2025 10-K”). There have been no material changes to the risk factors described in our 2025 10-K. The following discussion contains forward-looking statements that reflect our plans, estimates and beliefs. Our actual results could differ materially from those discussed in the forward-looking statements. You should review the section titled “Special Note Regarding Forward-Looking Statements” for a discussion of forward-looking statements and the section titled “Risk Factors” for a discussion of factors that could cause actual results to differ materially from the results described in or implied by the forward-looking statements contained in the following discussion and analysis. Our historical results are not necessarily indicative of the results that may be expected for any period in the future, and our interim results are not necessarily indicative of the results we expect for the full calendar year or any other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Overview</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ThredUp operates one of the world’s largest online resale platforms for apparel, shoes and accessories. Our mission is to inspire the world to think secondhand first. We believe in a sustainable fashion future and we are proud that our business model creates a positive impact to the benefit of our buyers, sellers, clients, employees, investors and the environment. Our custom-built operating platform consists of distributed processing infrastructure, proprietary software and systems, and data science and artificial intelligence expertise. This platform is powering the rapidly emerging resale economy, one of the fastest growing sectors in retail, according to a GlobalData market survey conducted in April 2026.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ThredUp’s proprietary operating platform is the foundation for our managed marketplace, where we have bridged online and offline technology to make the buying and selling of tens of millions of unique items easy and fun. The marketplaces we have built, enhanced by artificial intelligence-powered search and personalization tools, enable buyers to browse and purchase resale items for primarily apparel, shoes and accessories across a wide range of price points. Buyers enjoy shopping value, premium and luxury brands all in one place, at up to 90% off estimated retail price. Sellers enjoy ThredUp because we make it easy to clean out their closets and unlock value for themselves or for the charity of their choice while doing good for the planet. ThredUp’s sellers order a Clean Out Bag or a prepaid shipping label, fill a bag or a box and return it to us. We take it from there and do the work to make those items available for resale. In addition to our core marketplace, some of the world’s leading brands and retailers are taking advantage of our Resale-as-a-Service (“RaaS”) offering, which leverages our generative artificial intelligence technology to allow them to conveniently offer a scalable closet clean out service and/or resale shop to their customers. We believe that RaaS will accelerate the growth of this emerging category and supplements our overall supply strategy and other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Overview of Second Quarter Results</w:t>
      </w:r>
    </w:p>
    <w:p>
      <w:pPr>
        <w:pStyle w:val="TextBody"/>
        <w:bidi w:val="0"/>
        <w:spacing w:lineRule="auto" w:line="288" w:before="120" w:after="283"/>
        <w:ind w:left="0" w:right="0" w:firstLine="360"/>
        <w:jc w:val="both"/>
        <w:rPr/>
      </w:pPr>
      <w:r>
        <w:rPr>
          <w:rFonts w:ascii="Helvetica;sans-serif" w:hAnsi="Helvetica;sans-serif"/>
          <w:b/>
          <w:color w:val="000000"/>
          <w:sz w:val="20"/>
        </w:rPr>
        <w:t>Revenue</w:t>
      </w:r>
      <w:r>
        <w:rPr>
          <w:color w:val="000000"/>
        </w:rPr>
        <w:t xml:space="preserve"> </w:t>
      </w:r>
      <w:r>
        <w:rPr>
          <w:rFonts w:ascii="Helvetica;sans-serif" w:hAnsi="Helvetica;sans-serif"/>
          <w:b w:val="false"/>
          <w:color w:val="000000"/>
          <w:sz w:val="20"/>
        </w:rPr>
        <w:t>totaled $90.8 million for the second quarter of 2026, compared to $77.7 million for the second quarter of 2025, representing an increase of 16.9% year over year.</w:t>
      </w:r>
    </w:p>
    <w:p>
      <w:pPr>
        <w:pStyle w:val="TextBody"/>
        <w:bidi w:val="0"/>
        <w:spacing w:lineRule="auto" w:line="288" w:before="240" w:after="283"/>
        <w:ind w:left="0" w:right="0" w:firstLine="360"/>
        <w:jc w:val="both"/>
        <w:rPr/>
      </w:pPr>
      <w:r>
        <w:rPr>
          <w:rFonts w:ascii="Helvetica;sans-serif" w:hAnsi="Helvetica;sans-serif"/>
          <w:b/>
          <w:color w:val="000000"/>
          <w:sz w:val="20"/>
        </w:rPr>
        <w:t>Gross Profit and Margin:</w:t>
      </w:r>
      <w:r>
        <w:rPr>
          <w:color w:val="000000"/>
        </w:rPr>
        <w:t xml:space="preserve"> </w:t>
      </w:r>
      <w:r>
        <w:rPr>
          <w:rFonts w:ascii="Helvetica;sans-serif" w:hAnsi="Helvetica;sans-serif"/>
          <w:b w:val="false"/>
          <w:color w:val="000000"/>
          <w:sz w:val="20"/>
        </w:rPr>
        <w:t>Gross profit totaled $72.5 million for the second quarter of 2026, compared to $61.7 million for the second quarter of 2025, representing an increase of 17.5% year over year. Gross margin was 79.9%, an increase of 40 basis points from 79.5% in the comparable quarter last year.</w:t>
      </w:r>
    </w:p>
    <w:p>
      <w:pPr>
        <w:pStyle w:val="TextBody"/>
        <w:bidi w:val="0"/>
        <w:spacing w:lineRule="auto" w:line="288" w:before="240" w:after="283"/>
        <w:ind w:left="0" w:right="0" w:firstLine="360"/>
        <w:jc w:val="both"/>
        <w:rPr/>
      </w:pPr>
      <w:r>
        <w:rPr>
          <w:rFonts w:ascii="Helvetica;sans-serif" w:hAnsi="Helvetica;sans-serif"/>
          <w:b/>
          <w:color w:val="000000"/>
          <w:sz w:val="20"/>
        </w:rPr>
        <w:t>Net Loss</w:t>
      </w:r>
      <w:r>
        <w:rPr>
          <w:color w:val="000000"/>
        </w:rPr>
        <w:t xml:space="preserve"> </w:t>
      </w:r>
      <w:r>
        <w:rPr>
          <w:rFonts w:ascii="Helvetica;sans-serif" w:hAnsi="Helvetica;sans-serif"/>
          <w:b w:val="false"/>
          <w:color w:val="000000"/>
          <w:sz w:val="20"/>
        </w:rPr>
        <w:t xml:space="preserve">was $5.9 million, or a negative 6.5% of revenue, for the second quarter of 2026, compared to $5.2 million, or a negative 6.7% of revenue, for the second quarter of 2025, representing an increase of 14.7% year over year. </w:t>
      </w:r>
    </w:p>
    <w:p>
      <w:pPr>
        <w:pStyle w:val="TextBody"/>
        <w:bidi w:val="0"/>
        <w:spacing w:lineRule="auto" w:line="288" w:before="240" w:after="283"/>
        <w:ind w:left="0" w:right="0" w:firstLine="360"/>
        <w:jc w:val="both"/>
        <w:rPr/>
      </w:pPr>
      <w:r>
        <w:rPr>
          <w:rFonts w:ascii="Helvetica;sans-serif" w:hAnsi="Helvetica;sans-serif"/>
          <w:b/>
          <w:color w:val="000000"/>
          <w:sz w:val="20"/>
        </w:rPr>
        <w:t>Non-GAAP Adjusted EBITDA</w:t>
      </w:r>
      <w:r>
        <w:rPr>
          <w:rFonts w:ascii="Helvetica;sans-serif" w:hAnsi="Helvetica;sans-serif"/>
          <w:b/>
          <w:color w:val="000000"/>
          <w:sz w:val="13"/>
        </w:rPr>
        <w:t xml:space="preserve">(1) </w:t>
      </w:r>
      <w:r>
        <w:rPr>
          <w:rFonts w:ascii="Helvetica;sans-serif" w:hAnsi="Helvetica;sans-serif"/>
          <w:b w:val="false"/>
          <w:color w:val="000000"/>
          <w:sz w:val="20"/>
        </w:rPr>
        <w:t>was $4.8 million, or 5.3% of revenue, for the second quarter of 2026, compared to $3.0 million, or 3.9% of revenue, for the second quarter of 2025, representing an increase of 58.4% year over year.</w:t>
      </w:r>
    </w:p>
    <w:p>
      <w:pPr>
        <w:pStyle w:val="TextBody"/>
        <w:bidi w:val="0"/>
        <w:spacing w:lineRule="auto" w:line="288" w:before="240" w:after="283"/>
        <w:ind w:left="0" w:right="0" w:firstLine="360"/>
        <w:jc w:val="both"/>
        <w:rPr/>
      </w:pPr>
      <w:r>
        <w:rPr>
          <w:rFonts w:ascii="Helvetica;sans-serif" w:hAnsi="Helvetica;sans-serif"/>
          <w:b/>
          <w:color w:val="000000"/>
          <w:sz w:val="20"/>
        </w:rPr>
        <w:t>Active Buyers and Orders:</w:t>
      </w:r>
      <w:r>
        <w:rPr>
          <w:color w:val="000000"/>
        </w:rPr>
        <w:t xml:space="preserve"> </w:t>
      </w:r>
      <w:r>
        <w:rPr>
          <w:rFonts w:ascii="Helvetica;sans-serif" w:hAnsi="Helvetica;sans-serif"/>
          <w:b w:val="false"/>
          <w:color w:val="000000"/>
          <w:sz w:val="20"/>
        </w:rPr>
        <w:t>Active Buyers totaled 1.8 million and Orders totaled 1.9 million in the second quarter of 2026, compared to 1.5 million and 1.5 million, respectively, in the second quarter of 2025, representing increases of 20.9% and 21.9%, respectively, year over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d9e795779b5247aeb0dd8ee89026a236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Key Financial and Operating Metrics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review a number of operating and financial metrics, including the following key business and non-GAAP metrics, to evaluate our business, measure our performance, identify trends affecting our business, formulate business plans and make strategic decisions. These key financial and operating metrics are set forth below for the periods presented.</w:t>
      </w:r>
    </w:p>
    <w:tbl>
      <w:tblPr>
        <w:tblW w:w="10366" w:type="dxa"/>
        <w:jc w:val="center"/>
        <w:tblInd w:w="0" w:type="dxa"/>
        <w:tblLayout w:type="fixed"/>
        <w:tblCellMar>
          <w:top w:w="28" w:type="dxa"/>
          <w:left w:w="28" w:type="dxa"/>
          <w:bottom w:w="28" w:type="dxa"/>
          <w:right w:w="28" w:type="dxa"/>
        </w:tblCellMar>
      </w:tblPr>
      <w:tblGrid>
        <w:gridCol w:w="611"/>
        <w:gridCol w:w="234"/>
        <w:gridCol w:w="236"/>
        <w:gridCol w:w="109"/>
        <w:gridCol w:w="109"/>
        <w:gridCol w:w="109"/>
        <w:gridCol w:w="211"/>
        <w:gridCol w:w="751"/>
        <w:gridCol w:w="286"/>
        <w:gridCol w:w="109"/>
        <w:gridCol w:w="109"/>
        <w:gridCol w:w="109"/>
        <w:gridCol w:w="211"/>
        <w:gridCol w:w="751"/>
        <w:gridCol w:w="286"/>
        <w:gridCol w:w="109"/>
        <w:gridCol w:w="109"/>
        <w:gridCol w:w="109"/>
        <w:gridCol w:w="270"/>
        <w:gridCol w:w="271"/>
        <w:gridCol w:w="497"/>
        <w:gridCol w:w="109"/>
        <w:gridCol w:w="109"/>
        <w:gridCol w:w="109"/>
        <w:gridCol w:w="211"/>
        <w:gridCol w:w="856"/>
        <w:gridCol w:w="286"/>
        <w:gridCol w:w="109"/>
        <w:gridCol w:w="109"/>
        <w:gridCol w:w="109"/>
        <w:gridCol w:w="211"/>
        <w:gridCol w:w="856"/>
        <w:gridCol w:w="286"/>
        <w:gridCol w:w="109"/>
        <w:gridCol w:w="109"/>
        <w:gridCol w:w="109"/>
        <w:gridCol w:w="270"/>
        <w:gridCol w:w="271"/>
        <w:gridCol w:w="542"/>
      </w:tblGrid>
      <w:tr>
        <w:trPr/>
        <w:tc>
          <w:tcPr>
            <w:tcW w:w="6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Active Buyers (as of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1,771 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1,465 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20.9 </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1,771 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1,465 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20.9 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Orders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1,871 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1,535 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21.9 </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3,506 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2,906 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20.6 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90,767 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77,657 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16.9 </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172,438 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148,948 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15.8 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72,524 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61,736 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17.5 </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137,184 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118,107 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16.2 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40 </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Helvetica;sans-serif" w:hAnsi="Helvetica;sans-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Helvetica;sans-serif" w:hAnsi="Helvetica;sans-serif"/>
                <w:b w:val="false"/>
                <w:color w:val="000000"/>
                <w:sz w:val="20"/>
              </w:rPr>
              <w:t>bps</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(5,935)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(5,176)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14.7 </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(12,407)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(10,391)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19.4 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Helvetica;sans-serif" w:hAnsi="Helvetica;sans-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 </w:t>
            </w:r>
            <w:r>
              <w:rPr>
                <w:rFonts w:ascii="Helvetica;sans-serif" w:hAnsi="Helvetica;sans-serif"/>
                <w:b w:val="false"/>
                <w:color w:val="000000"/>
                <w:sz w:val="20"/>
              </w:rPr>
              <w:t>bps</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Non-GAAP Adjusted EBITDA(1)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4,779 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58.4 </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7,524 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6,825 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Non-GAAP Adjusted EBITDA margin(1)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140 </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Helvetica;sans-serif" w:hAnsi="Helvetica;sans-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Helvetica;sans-serif" w:hAnsi="Helvetica;sans-serif"/>
                <w:b w:val="false"/>
                <w:color w:val="000000"/>
                <w:sz w:val="20"/>
              </w:rPr>
              <w:t>bps</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(1)Non-GAAP Adjusted EBITDA and Non-GAAP Adjusted EBITDA margin are non-GAAP measures, which may not be comparable to similarly-titled measures used by other companies. See below for a reconciliation of Non-GAAP Adjusted EBITDA to its most directly comparable GAAP measure, Net loss.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Active Buyers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An Active Buyer is a ThredUp buyer who has made at least one purchase in the last twelve months. A ThredUp buyer is a customer who has created an account and purchased in our marketplaces, including through our RaaS clients, and is identified by a unique email address. A single person could have multiple ThredUp accounts and count as multiple Active Buyers. The number of Active Buyers is a key driver of revenue for our marketplaces.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Orders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Orders means the total number of orders placed by buyers across our marketplaces, including through our RaaS clients, in a given period, net of cancellations.</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Non-GAAP Financial Measures</w:t>
      </w:r>
    </w:p>
    <w:p>
      <w:pPr>
        <w:pStyle w:val="TextBody"/>
        <w:bidi w:val="0"/>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Non-GAAP Adjusted EBITDA and Non-GAAP Adjusted EBITDA Margin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Non-GAAP Adjusted EBITDA means Net loss adjusted to exclude, where applicable in a given period, stock-based compensation expense, depreciation and amortization, interest expense, provision for income taxes, severance and other reorganization costs, and gains related to non-marketable equity investments. Non-GAAP Adjusted EBITDA margin represents Non-GAAP Adjusted EBITDA divided by Revenue. We use these non-GAAP measures to evaluate and assess our operating performance and the operating leverage in our business, and for internal planning and forecasting purposes. We believe these non-GAAP measures, when taken collectively with our GAAP results, may be helpful to investors because they provide consistency and comparability with past financial performance and assist in comparisons with other companies, some of which use similar non-GAAP financial information to supplement their GAAP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d9e795779b5247aeb0dd8ee89026a236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provides a reconciliation of Net loss to Non-GAAP Adjusted EBITDA:</w:t>
      </w:r>
    </w:p>
    <w:tbl>
      <w:tblPr>
        <w:tblW w:w="10205" w:type="dxa"/>
        <w:jc w:val="center"/>
        <w:tblInd w:w="0" w:type="dxa"/>
        <w:tblLayout w:type="fixed"/>
        <w:tblCellMar>
          <w:top w:w="28" w:type="dxa"/>
          <w:left w:w="28" w:type="dxa"/>
          <w:bottom w:w="28" w:type="dxa"/>
          <w:right w:w="28" w:type="dxa"/>
        </w:tblCellMar>
      </w:tblPr>
      <w:tblGrid>
        <w:gridCol w:w="1342"/>
        <w:gridCol w:w="1146"/>
        <w:gridCol w:w="1160"/>
        <w:gridCol w:w="109"/>
        <w:gridCol w:w="109"/>
        <w:gridCol w:w="109"/>
        <w:gridCol w:w="211"/>
        <w:gridCol w:w="751"/>
        <w:gridCol w:w="286"/>
        <w:gridCol w:w="109"/>
        <w:gridCol w:w="109"/>
        <w:gridCol w:w="109"/>
        <w:gridCol w:w="211"/>
        <w:gridCol w:w="751"/>
        <w:gridCol w:w="286"/>
        <w:gridCol w:w="109"/>
        <w:gridCol w:w="109"/>
        <w:gridCol w:w="109"/>
        <w:gridCol w:w="211"/>
        <w:gridCol w:w="856"/>
        <w:gridCol w:w="286"/>
        <w:gridCol w:w="109"/>
        <w:gridCol w:w="109"/>
        <w:gridCol w:w="109"/>
        <w:gridCol w:w="211"/>
        <w:gridCol w:w="856"/>
        <w:gridCol w:w="333"/>
      </w:tblGrid>
      <w:tr>
        <w:trPr/>
        <w:tc>
          <w:tcPr>
            <w:tcW w:w="134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r>
          </w:p>
        </w:tc>
      </w:tr>
      <w:tr>
        <w:trPr/>
        <w:tc>
          <w:tcPr>
            <w:tcW w:w="3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r>
      <w:tr>
        <w:trPr/>
        <w:tc>
          <w:tcPr>
            <w:tcW w:w="3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0"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3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(5,935)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(5,176)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(12,407)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(10,391)</w:t>
            </w:r>
          </w:p>
        </w:tc>
        <w:tc>
          <w:tcPr>
            <w:tcW w:w="33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5,925 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11,428 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10,020 </w:t>
            </w:r>
          </w:p>
        </w:tc>
        <w:tc>
          <w:tcPr>
            <w:tcW w:w="33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3,166 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6,335 </w:t>
            </w:r>
          </w:p>
        </w:tc>
        <w:tc>
          <w:tcPr>
            <w:tcW w:w="33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1,010 </w:t>
            </w:r>
          </w:p>
        </w:tc>
        <w:tc>
          <w:tcPr>
            <w:tcW w:w="33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88 </w:t>
            </w:r>
          </w:p>
        </w:tc>
        <w:tc>
          <w:tcPr>
            <w:tcW w:w="33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Severance and other reorganization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Gains related to non-marketable equity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(234)</w:t>
            </w:r>
          </w:p>
        </w:tc>
        <w:tc>
          <w:tcPr>
            <w:tcW w:w="33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Non-GAAP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4,779 </w:t>
            </w:r>
          </w:p>
        </w:tc>
        <w:tc>
          <w:tcPr>
            <w:tcW w:w="2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3,017 </w:t>
            </w:r>
          </w:p>
        </w:tc>
        <w:tc>
          <w:tcPr>
            <w:tcW w:w="2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7,524 </w:t>
            </w:r>
          </w:p>
        </w:tc>
        <w:tc>
          <w:tcPr>
            <w:tcW w:w="2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6,825 </w:t>
            </w:r>
          </w:p>
        </w:tc>
        <w:tc>
          <w:tcPr>
            <w:tcW w:w="3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90,767 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77,657 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172,438 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148,948 </w:t>
            </w:r>
          </w:p>
        </w:tc>
        <w:tc>
          <w:tcPr>
            <w:tcW w:w="3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Non-GAAP 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Comparison of Financial Results for the Three and Six Months Ended June 30, 2026 and 2025</w:t>
      </w:r>
    </w:p>
    <w:p>
      <w:pPr>
        <w:pStyle w:val="TextBody"/>
        <w:bidi w:val="0"/>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Revenue</w:t>
      </w:r>
    </w:p>
    <w:tbl>
      <w:tblPr>
        <w:tblW w:w="11837" w:type="dxa"/>
        <w:jc w:val="center"/>
        <w:tblInd w:w="0" w:type="dxa"/>
        <w:tblLayout w:type="fixed"/>
        <w:tblCellMar>
          <w:top w:w="28" w:type="dxa"/>
          <w:left w:w="28" w:type="dxa"/>
          <w:bottom w:w="28" w:type="dxa"/>
          <w:right w:w="28" w:type="dxa"/>
        </w:tblCellMar>
      </w:tblPr>
      <w:tblGrid>
        <w:gridCol w:w="321"/>
        <w:gridCol w:w="282"/>
        <w:gridCol w:w="283"/>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70"/>
        <w:gridCol w:w="271"/>
        <w:gridCol w:w="286"/>
        <w:gridCol w:w="109"/>
        <w:gridCol w:w="109"/>
        <w:gridCol w:w="109"/>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270"/>
        <w:gridCol w:w="271"/>
        <w:gridCol w:w="331"/>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4" w:type="dxa"/>
            <w:gridSpan w:val="45"/>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172,438 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148,948 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15.8 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Revenue increased $13.1 million, or 16.9%, for the three months ended June 30, 2026 as compared to the same period in 2025. The growth in revenue was mainly driven by a 21.9% increase in Orders, supported by higher engagement from both new and returning buyers, partially offset by a 2.9% decrease in the average order value, primarily driven by a higher mix of smaller orders. These trends reflect the continued strength in our core marketplace business and our ongoing focus on driving platform growth.</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Revenue increased $23.5 million, or 15.8%, for the six months ended June 30, 2026 as compared to the same period in 2025. The growth in revenue was mainly driven by a 20.6% increase in Orders, supported by higher engagement from both new and returning buyers, partially offset by a 2.3% decrease in the average order value, primarily driven by a higher mix of smaller orders. These trends reflect the continued strength in our core marketplace business and our ongoing focus on driving platform growth.</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Gross Margin</w:t>
      </w:r>
    </w:p>
    <w:tbl>
      <w:tblPr>
        <w:tblW w:w="12293" w:type="dxa"/>
        <w:jc w:val="center"/>
        <w:tblInd w:w="0" w:type="dxa"/>
        <w:tblLayout w:type="fixed"/>
        <w:tblCellMar>
          <w:top w:w="28" w:type="dxa"/>
          <w:left w:w="28" w:type="dxa"/>
          <w:bottom w:w="28" w:type="dxa"/>
          <w:right w:w="28" w:type="dxa"/>
        </w:tblCellMar>
      </w:tblPr>
      <w:tblGrid>
        <w:gridCol w:w="294"/>
        <w:gridCol w:w="258"/>
        <w:gridCol w:w="259"/>
        <w:gridCol w:w="109"/>
        <w:gridCol w:w="109"/>
        <w:gridCol w:w="109"/>
        <w:gridCol w:w="211"/>
        <w:gridCol w:w="751"/>
        <w:gridCol w:w="286"/>
        <w:gridCol w:w="109"/>
        <w:gridCol w:w="109"/>
        <w:gridCol w:w="109"/>
        <w:gridCol w:w="211"/>
        <w:gridCol w:w="751"/>
        <w:gridCol w:w="286"/>
        <w:gridCol w:w="109"/>
        <w:gridCol w:w="109"/>
        <w:gridCol w:w="109"/>
        <w:gridCol w:w="211"/>
        <w:gridCol w:w="751"/>
        <w:gridCol w:w="109"/>
        <w:gridCol w:w="109"/>
        <w:gridCol w:w="109"/>
        <w:gridCol w:w="109"/>
        <w:gridCol w:w="270"/>
        <w:gridCol w:w="271"/>
        <w:gridCol w:w="286"/>
        <w:gridCol w:w="109"/>
        <w:gridCol w:w="109"/>
        <w:gridCol w:w="109"/>
        <w:gridCol w:w="211"/>
        <w:gridCol w:w="856"/>
        <w:gridCol w:w="286"/>
        <w:gridCol w:w="109"/>
        <w:gridCol w:w="109"/>
        <w:gridCol w:w="109"/>
        <w:gridCol w:w="211"/>
        <w:gridCol w:w="856"/>
        <w:gridCol w:w="286"/>
        <w:gridCol w:w="109"/>
        <w:gridCol w:w="109"/>
        <w:gridCol w:w="109"/>
        <w:gridCol w:w="211"/>
        <w:gridCol w:w="751"/>
        <w:gridCol w:w="109"/>
        <w:gridCol w:w="109"/>
        <w:gridCol w:w="109"/>
        <w:gridCol w:w="109"/>
        <w:gridCol w:w="270"/>
        <w:gridCol w:w="271"/>
        <w:gridCol w:w="154"/>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5" w:type="dxa"/>
            <w:gridSpan w:val="45"/>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18,243 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15,921 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35,254 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30,841 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14.3 </w:t>
            </w:r>
          </w:p>
        </w:tc>
        <w:tc>
          <w:tcPr>
            <w:tcW w:w="15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72,524 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61,736 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137,184 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118,107 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16.2 </w:t>
            </w:r>
          </w:p>
        </w:tc>
        <w:tc>
          <w:tcPr>
            <w:tcW w:w="15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pPr>
      <w:r>
        <w:rPr>
          <w:rFonts w:ascii="Helvetica;sans-serif" w:hAnsi="Helvetica;sans-serif"/>
          <w:b w:val="false"/>
          <w:color w:val="000000"/>
          <w:sz w:val="20"/>
        </w:rPr>
        <w:t>Gross margin was 79.9% for the three months ended June 30, 2026, compared to 79.5% in the same period in 2025, an increase of 40 basis points</w:t>
      </w:r>
      <w:r>
        <w:rPr>
          <w:rFonts w:ascii="Helvetica;sans-serif" w:hAnsi="Helvetica;sans-serif"/>
          <w:b w:val="false"/>
          <w:color w:val="000000"/>
          <w:sz w:val="24"/>
        </w:rPr>
        <w:t xml:space="preserve">. </w:t>
      </w:r>
      <w:r>
        <w:rPr>
          <w:rFonts w:ascii="Helvetica;sans-serif" w:hAnsi="Helvetica;sans-serif"/>
          <w:b w:val="false"/>
          <w:color w:val="000000"/>
          <w:sz w:val="20"/>
        </w:rPr>
        <w:t>Overall, gross margin remained relatively stable across the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d9e795779b5247aeb0dd8ee89026a236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pPr>
      <w:r>
        <w:rPr>
          <w:rFonts w:ascii="Helvetica;sans-serif" w:hAnsi="Helvetica;sans-serif"/>
          <w:b w:val="false"/>
          <w:color w:val="000000"/>
          <w:sz w:val="20"/>
        </w:rPr>
        <w:t>Gross margin was 79.6% for the six months ended June 30, 2026, compared to 79.3% in the same period in 2025, an increase of 30 basis points</w:t>
      </w:r>
      <w:r>
        <w:rPr>
          <w:rFonts w:ascii="Helvetica;sans-serif" w:hAnsi="Helvetica;sans-serif"/>
          <w:b w:val="false"/>
          <w:color w:val="000000"/>
          <w:sz w:val="24"/>
        </w:rPr>
        <w:t xml:space="preserve">. </w:t>
      </w:r>
      <w:r>
        <w:rPr>
          <w:rFonts w:ascii="Helvetica;sans-serif" w:hAnsi="Helvetica;sans-serif"/>
          <w:b w:val="false"/>
          <w:color w:val="000000"/>
          <w:sz w:val="20"/>
        </w:rPr>
        <w:t>Overall, gross margin remained relatively stable across the periods.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Operations, Product, and Technology</w:t>
      </w:r>
    </w:p>
    <w:tbl>
      <w:tblPr>
        <w:tblW w:w="12293" w:type="dxa"/>
        <w:jc w:val="center"/>
        <w:tblInd w:w="0" w:type="dxa"/>
        <w:tblLayout w:type="fixed"/>
        <w:tblCellMar>
          <w:top w:w="28" w:type="dxa"/>
          <w:left w:w="28" w:type="dxa"/>
          <w:bottom w:w="28" w:type="dxa"/>
          <w:right w:w="28" w:type="dxa"/>
        </w:tblCellMar>
      </w:tblPr>
      <w:tblGrid>
        <w:gridCol w:w="408"/>
        <w:gridCol w:w="358"/>
        <w:gridCol w:w="360"/>
        <w:gridCol w:w="109"/>
        <w:gridCol w:w="109"/>
        <w:gridCol w:w="109"/>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270"/>
        <w:gridCol w:w="271"/>
        <w:gridCol w:w="286"/>
        <w:gridCol w:w="109"/>
        <w:gridCol w:w="109"/>
        <w:gridCol w:w="109"/>
        <w:gridCol w:w="211"/>
        <w:gridCol w:w="751"/>
        <w:gridCol w:w="286"/>
        <w:gridCol w:w="109"/>
        <w:gridCol w:w="109"/>
        <w:gridCol w:w="109"/>
        <w:gridCol w:w="211"/>
        <w:gridCol w:w="751"/>
        <w:gridCol w:w="286"/>
        <w:gridCol w:w="109"/>
        <w:gridCol w:w="109"/>
        <w:gridCol w:w="109"/>
        <w:gridCol w:w="211"/>
        <w:gridCol w:w="751"/>
        <w:gridCol w:w="109"/>
        <w:gridCol w:w="109"/>
        <w:gridCol w:w="109"/>
        <w:gridCol w:w="109"/>
        <w:gridCol w:w="270"/>
        <w:gridCol w:w="271"/>
        <w:gridCol w:w="154"/>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0" w:type="dxa"/>
            <w:gridSpan w:val="45"/>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 product, and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45,115 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37,525 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86,190 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72,651 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18.6 </w:t>
            </w:r>
          </w:p>
        </w:tc>
        <w:tc>
          <w:tcPr>
            <w:tcW w:w="15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 product, and technology as a 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Operations, product, and technology expenses increased $7.6 million, or 20.2%, for the three months ended June 30, 2026 as compared to the same period in 2025. The increase was primarily due to a $4.2 million increase in personnel-related costs, mainly reflecting distribution center headcount, a $2.0 million increase in inbound shipping costs driven by higher supply volume, and a $1.4 million increase in facilities, technology and other distribution center-related costs. The increase in operations, product, and technology expenses as a percentage of revenue for the three months ended June 30, 2026 as compared to the same period in 2025 reflects higher labor and inbound shipping costs associated with increased processing volume.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Operations, product, and technology expenses increased $13.5 million, or 18.6%, for the six months ended June 30, 2026 as compared to the same period in 2025. The increase was primarily due to a $7.7 million increase in personnel-related costs, mainly reflecting distribution center headcount, a $3.7 million increase in inbound shipping costs driven by higher supply volume, and a $2.1 million increase in facilities, technology and other distribution center-related costs. The increase in operations, product, and technology expenses as a percentage of revenue for the six months ended June 30, 2026 as compared to the same period in 2025 reflects higher labor and inbound shipping costs associated with increased processing volume.</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Marketing</w:t>
      </w:r>
    </w:p>
    <w:tbl>
      <w:tblPr>
        <w:tblW w:w="12038" w:type="dxa"/>
        <w:jc w:val="left"/>
        <w:tblInd w:w="0" w:type="dxa"/>
        <w:tblLayout w:type="fixed"/>
        <w:tblCellMar>
          <w:top w:w="28" w:type="dxa"/>
          <w:left w:w="28" w:type="dxa"/>
          <w:bottom w:w="28" w:type="dxa"/>
          <w:right w:w="28" w:type="dxa"/>
        </w:tblCellMar>
      </w:tblPr>
      <w:tblGrid>
        <w:gridCol w:w="390"/>
        <w:gridCol w:w="344"/>
        <w:gridCol w:w="347"/>
        <w:gridCol w:w="109"/>
        <w:gridCol w:w="109"/>
        <w:gridCol w:w="109"/>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218"/>
        <w:gridCol w:w="218"/>
        <w:gridCol w:w="286"/>
        <w:gridCol w:w="109"/>
        <w:gridCol w:w="109"/>
        <w:gridCol w:w="109"/>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270"/>
        <w:gridCol w:w="271"/>
        <w:gridCol w:w="154"/>
      </w:tblGrid>
      <w:tr>
        <w:trPr/>
        <w:tc>
          <w:tcPr>
            <w:tcW w:w="39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0" w:type="dxa"/>
            <w:gridSpan w:val="45"/>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17,761 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16,206 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32,702 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29,349 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11.4 </w:t>
            </w:r>
          </w:p>
        </w:tc>
        <w:tc>
          <w:tcPr>
            <w:tcW w:w="15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 as a 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Helvetica;sans-serif" w:hAnsi="Helvetica;sans-serif"/>
          <w:b w:val="false"/>
          <w:color w:val="000000"/>
          <w:sz w:val="20"/>
        </w:rPr>
      </w:pPr>
      <w:r>
        <w:rPr>
          <w:rFonts w:ascii="Helvetica;sans-serif" w:hAnsi="Helvetica;sans-serif"/>
          <w:b w:val="false"/>
          <w:color w:val="000000"/>
          <w:sz w:val="20"/>
        </w:rPr>
        <w:t>Marketing expenses increased $1.6 million, or 9.6%, for the three months ended June 30, 2026 as compared to the same period in 2025, which was primarily due to an increase in advertising costs related to our marketing initiatives aimed at driving customer engagement and platform growth. The decrease in marketing expenses as a percentage of revenue for the three months ended June 30, 2026 as compared to the same period in 2025 was primarily due to increased operating leverage resulting from higher revenue.</w:t>
      </w:r>
    </w:p>
    <w:p>
      <w:pPr>
        <w:pStyle w:val="TextBody"/>
        <w:bidi w:val="0"/>
        <w:spacing w:lineRule="auto" w:line="288" w:before="240" w:after="283"/>
        <w:ind w:left="0" w:right="0" w:firstLine="360"/>
        <w:jc w:val="left"/>
        <w:rPr>
          <w:rFonts w:ascii="Helvetica;sans-serif" w:hAnsi="Helvetica;sans-serif"/>
          <w:b w:val="false"/>
          <w:color w:val="000000"/>
          <w:sz w:val="20"/>
        </w:rPr>
      </w:pPr>
      <w:r>
        <w:rPr>
          <w:rFonts w:ascii="Helvetica;sans-serif" w:hAnsi="Helvetica;sans-serif"/>
          <w:b w:val="false"/>
          <w:color w:val="000000"/>
          <w:sz w:val="20"/>
        </w:rPr>
        <w:t>Marketing expenses increased $3.4 million, or 11.4%, for the six months ended June 30, 2026 as compared to the same period in 2025, which was primarily due to an increase in advertising costs related to our marketing initiatives aimed at driving customer engagement and platform growth. The decrease in marketing expenses as a percentage of revenue for the six months ended June 30, 2026 as compared to the same period in 2025 was primarily due to increased operating leverage resulting from higher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d9e795779b5247aeb0dd8ee89026a236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Sales, General and Administrative</w:t>
      </w:r>
    </w:p>
    <w:tbl>
      <w:tblPr>
        <w:tblW w:w="12398" w:type="dxa"/>
        <w:jc w:val="center"/>
        <w:tblInd w:w="0" w:type="dxa"/>
        <w:tblLayout w:type="fixed"/>
        <w:tblCellMar>
          <w:top w:w="28" w:type="dxa"/>
          <w:left w:w="28" w:type="dxa"/>
          <w:bottom w:w="28" w:type="dxa"/>
          <w:right w:w="28" w:type="dxa"/>
        </w:tblCellMar>
      </w:tblPr>
      <w:tblGrid>
        <w:gridCol w:w="484"/>
        <w:gridCol w:w="425"/>
        <w:gridCol w:w="427"/>
        <w:gridCol w:w="109"/>
        <w:gridCol w:w="109"/>
        <w:gridCol w:w="109"/>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270"/>
        <w:gridCol w:w="271"/>
        <w:gridCol w:w="286"/>
        <w:gridCol w:w="109"/>
        <w:gridCol w:w="109"/>
        <w:gridCol w:w="109"/>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270"/>
        <w:gridCol w:w="271"/>
        <w:gridCol w:w="154"/>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5" w:type="dxa"/>
            <w:gridSpan w:val="45"/>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Sales,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15,761 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13,250 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30,994 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26,786 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15.7 </w:t>
            </w:r>
          </w:p>
        </w:tc>
        <w:tc>
          <w:tcPr>
            <w:tcW w:w="15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Sales, general, and administrative as a 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Sales, general, and administrative expenses increased $2.5 million, or 19.0%, for the three months ended June 30, 2026 as compared to the same period in 2025. The increase was primarily due to a $1.5 million increase in personnel-related costs, of which $1.0 million was attributable to stock-based compensation, a $0.4 million increase in professional services, a $0.3 million increase in payment processing fees driven by higher gross sales volume during the period, and a $0.3 million increase in facilities, technology and other costs. The sales, general, and administrative expenses as a percentage of revenue remained consistent across the periods.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Sales, general, and administrative expenses increased $4.2 million, or 15.7%, for the six months ended June 30, 2026 as compared to the same period in 2025. The increase was primarily due to a $2.5 million increase in personnel-related costs, of which $1.0 million was attributable to stock-based compensation, a $0.9 million increase in facilities, technology and other costs, and a $0.8 million increase in payment processing fees driven by higher gross sales volume during the period. The sales, general, and administrative expenses as a percentage of revenue remained consistent across the periods.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Interest Expense</w:t>
      </w:r>
    </w:p>
    <w:tbl>
      <w:tblPr>
        <w:tblW w:w="10205" w:type="dxa"/>
        <w:jc w:val="left"/>
        <w:tblInd w:w="0" w:type="dxa"/>
        <w:tblLayout w:type="fixed"/>
        <w:tblCellMar>
          <w:top w:w="28" w:type="dxa"/>
          <w:left w:w="28" w:type="dxa"/>
          <w:bottom w:w="28" w:type="dxa"/>
          <w:right w:w="28" w:type="dxa"/>
        </w:tblCellMar>
      </w:tblPr>
      <w:tblGrid>
        <w:gridCol w:w="327"/>
        <w:gridCol w:w="287"/>
        <w:gridCol w:w="289"/>
        <w:gridCol w:w="109"/>
        <w:gridCol w:w="109"/>
        <w:gridCol w:w="109"/>
        <w:gridCol w:w="211"/>
        <w:gridCol w:w="481"/>
        <w:gridCol w:w="109"/>
        <w:gridCol w:w="109"/>
        <w:gridCol w:w="109"/>
        <w:gridCol w:w="109"/>
        <w:gridCol w:w="211"/>
        <w:gridCol w:w="481"/>
        <w:gridCol w:w="109"/>
        <w:gridCol w:w="109"/>
        <w:gridCol w:w="109"/>
        <w:gridCol w:w="109"/>
        <w:gridCol w:w="211"/>
        <w:gridCol w:w="484"/>
        <w:gridCol w:w="109"/>
        <w:gridCol w:w="109"/>
        <w:gridCol w:w="109"/>
        <w:gridCol w:w="109"/>
        <w:gridCol w:w="271"/>
        <w:gridCol w:w="272"/>
        <w:gridCol w:w="286"/>
        <w:gridCol w:w="109"/>
        <w:gridCol w:w="109"/>
        <w:gridCol w:w="109"/>
        <w:gridCol w:w="211"/>
        <w:gridCol w:w="481"/>
        <w:gridCol w:w="109"/>
        <w:gridCol w:w="109"/>
        <w:gridCol w:w="109"/>
        <w:gridCol w:w="109"/>
        <w:gridCol w:w="211"/>
        <w:gridCol w:w="646"/>
        <w:gridCol w:w="109"/>
        <w:gridCol w:w="109"/>
        <w:gridCol w:w="109"/>
        <w:gridCol w:w="109"/>
        <w:gridCol w:w="211"/>
        <w:gridCol w:w="484"/>
        <w:gridCol w:w="109"/>
        <w:gridCol w:w="109"/>
        <w:gridCol w:w="109"/>
        <w:gridCol w:w="109"/>
        <w:gridCol w:w="271"/>
        <w:gridCol w:w="272"/>
        <w:gridCol w:w="337"/>
      </w:tblGrid>
      <w:tr>
        <w:trPr/>
        <w:tc>
          <w:tcPr>
            <w:tcW w:w="32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45"/>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(39.7)</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(32.4)</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Interest expense decreased $0.2 million for the three months ended June 30, 2026 as compared to the same period in 2025, primarily due to a lower interest rate resulting from our recent debt amendment and reduced outstanding debt balances.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Interest expense decreased $0.3 million for the six months ended June 30, 2026 as compared to the same period in 2025, primarily due to a lower interest rate resulting from our recent debt amendment and reduced outstanding debt balances.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Other Income, Net</w:t>
      </w:r>
    </w:p>
    <w:tbl>
      <w:tblPr>
        <w:tblW w:w="10212"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11"/>
        <w:gridCol w:w="481"/>
        <w:gridCol w:w="109"/>
        <w:gridCol w:w="109"/>
        <w:gridCol w:w="109"/>
        <w:gridCol w:w="109"/>
        <w:gridCol w:w="211"/>
        <w:gridCol w:w="481"/>
        <w:gridCol w:w="109"/>
        <w:gridCol w:w="109"/>
        <w:gridCol w:w="109"/>
        <w:gridCol w:w="109"/>
        <w:gridCol w:w="211"/>
        <w:gridCol w:w="431"/>
        <w:gridCol w:w="109"/>
        <w:gridCol w:w="109"/>
        <w:gridCol w:w="109"/>
        <w:gridCol w:w="109"/>
        <w:gridCol w:w="270"/>
        <w:gridCol w:w="271"/>
        <w:gridCol w:w="286"/>
        <w:gridCol w:w="109"/>
        <w:gridCol w:w="109"/>
        <w:gridCol w:w="109"/>
        <w:gridCol w:w="211"/>
        <w:gridCol w:w="646"/>
        <w:gridCol w:w="109"/>
        <w:gridCol w:w="109"/>
        <w:gridCol w:w="109"/>
        <w:gridCol w:w="109"/>
        <w:gridCol w:w="211"/>
        <w:gridCol w:w="646"/>
        <w:gridCol w:w="109"/>
        <w:gridCol w:w="109"/>
        <w:gridCol w:w="109"/>
        <w:gridCol w:w="109"/>
        <w:gridCol w:w="211"/>
        <w:gridCol w:w="481"/>
        <w:gridCol w:w="109"/>
        <w:gridCol w:w="109"/>
        <w:gridCol w:w="109"/>
        <w:gridCol w:w="109"/>
        <w:gridCol w:w="270"/>
        <w:gridCol w:w="271"/>
        <w:gridCol w:w="331"/>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45"/>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(25.8)</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Other income, net remained relatively consistent for the three months ended June 30, 2026 as compared to the same period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d9e795779b5247aeb0dd8ee89026a236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Other income, net, decreased $0.4 million for the six months ended June 30, 2026 as compared to the same period in 2025, primarily due to a gain recognized on a non-marketable equity investment in the first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Liquidity and Capital Resources</w:t>
      </w:r>
    </w:p>
    <w:p>
      <w:pPr>
        <w:pStyle w:val="TextBody"/>
        <w:bidi w:val="0"/>
        <w:spacing w:lineRule="auto" w:line="288" w:before="120" w:after="283"/>
        <w:ind w:left="0" w:right="0" w:firstLine="360"/>
        <w:jc w:val="both"/>
        <w:rPr/>
      </w:pPr>
      <w:r>
        <w:rPr>
          <w:rFonts w:ascii="Helvetica;sans-serif" w:hAnsi="Helvetica;sans-serif"/>
          <w:b w:val="false"/>
          <w:color w:val="000000"/>
          <w:sz w:val="20"/>
        </w:rPr>
        <w:t xml:space="preserve">We generated positive cash flows from operating activities of $9.2 million for the six months ended June 30, 2026. We have primarily financed our operations through private and public sales of equity securities and a term loan facility (“Term Loan”). As of June 30, 2026, we had cash, cash equivalents, restricted cash and marketable securities of $57.4 million, an increase of $4.3 million from December 31, 2025. Additionally, we have a Term Loan under which $10.0 million remained available to be drawn as of June 30, 2026 for the purchase of certain equipment, and we were in full compliance with our debt covenants under the Term Loan as of that date. See Note 6, </w:t>
      </w:r>
      <w:r>
        <w:rPr>
          <w:rFonts w:ascii="Helvetica;sans-serif" w:hAnsi="Helvetica;sans-serif"/>
          <w:b w:val="false"/>
          <w:i/>
          <w:color w:val="000000"/>
          <w:sz w:val="20"/>
        </w:rPr>
        <w:t>Long-Term Debt</w:t>
      </w:r>
      <w:r>
        <w:rPr>
          <w:rFonts w:ascii="Helvetica;sans-serif" w:hAnsi="Helvetica;sans-serif"/>
          <w:b w:val="false"/>
          <w:color w:val="000000"/>
          <w:sz w:val="20"/>
        </w:rPr>
        <w:t xml:space="preserve">, to the condensed consolidated financial statements included in Part I, Item 1, </w:t>
      </w:r>
      <w:r>
        <w:rPr>
          <w:rFonts w:ascii="Helvetica;sans-serif" w:hAnsi="Helvetica;sans-serif"/>
          <w:b w:val="false"/>
          <w:i/>
          <w:color w:val="000000"/>
          <w:sz w:val="20"/>
        </w:rPr>
        <w:t>Financial Statements</w:t>
      </w:r>
      <w:r>
        <w:rPr>
          <w:rFonts w:ascii="Helvetica;sans-serif" w:hAnsi="Helvetica;sans-serif"/>
          <w:b w:val="false"/>
          <w:color w:val="000000"/>
          <w:sz w:val="20"/>
        </w:rPr>
        <w:t>, of this Quarterly Report on Form 10-Q for a further discussion on our Term Loan.</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primary sources of liquidity are cash flows generated from operations, cash on hand and borrowings available under the Term Loan. Our primary uses of cash include seller payouts, operating costs such as distribution network spend, product and technology, marketing, personnel-related expenses, and other expenditures necessary to support our operations and our growth, as well as repayments on our Term Loan. Additionally, our primary capital expenditures are related to the set-up, expansion and/or automation of our distribution network. Based upon our current operating plans, we believe that our existing cash, cash equivalents and marketable securities will be sufficient for at least the next 12 months and beyond to meet our short and long-term capital requirements, and we do not anticipate expanding our distribution network to include additional locations in the near term. Our cash flow forecast is a forward-looking statement that involves risks and uncertainties, and actual results could vary materially.</w:t>
      </w:r>
    </w:p>
    <w:p>
      <w:pPr>
        <w:pStyle w:val="TextBody"/>
        <w:bidi w:val="0"/>
        <w:spacing w:lineRule="auto" w:line="288" w:before="240" w:after="283"/>
        <w:ind w:left="0" w:right="0" w:firstLine="360"/>
        <w:jc w:val="both"/>
        <w:rPr/>
      </w:pPr>
      <w:r>
        <w:rPr>
          <w:rFonts w:ascii="Helvetica;sans-serif" w:hAnsi="Helvetica;sans-serif"/>
          <w:b w:val="false"/>
          <w:color w:val="000000"/>
          <w:sz w:val="20"/>
        </w:rPr>
        <w:t xml:space="preserve">Our future capital requirements will depend on many factors, including but not limited to, the timing of any future distribution center automation and expansion plans to support planned revenue growth, the expansion of sales and marketing activities, the potential introduction of new offerings, the continuing growth of our marketplaces and overall economic conditions. However, we expect that our capital expenditures will remain modest for the remainder of 2026. See the section titled </w:t>
      </w:r>
      <w:r>
        <w:rPr>
          <w:color w:val="000000"/>
        </w:rPr>
        <w:t>“</w:t>
      </w:r>
      <w:r>
        <w:rPr>
          <w:rFonts w:ascii="Helvetica;sans-serif" w:hAnsi="Helvetica;sans-serif"/>
          <w:b w:val="false"/>
          <w:i/>
          <w:color w:val="000000"/>
          <w:sz w:val="20"/>
        </w:rPr>
        <w:t>Risk Factors—Risks Relating to Our Indebtedness and Liquidity</w:t>
      </w:r>
      <w:r>
        <w:rPr>
          <w:color w:val="000000"/>
        </w:rPr>
        <w:t>—</w:t>
      </w:r>
      <w:r>
        <w:rPr>
          <w:rFonts w:ascii="Helvetica;sans-serif" w:hAnsi="Helvetica;sans-serif"/>
          <w:b w:val="false"/>
          <w:color w:val="000000"/>
          <w:sz w:val="20"/>
        </w:rPr>
        <w:t>We may require additional capital to support business growth, and this capital might not be available or may be available only by diluting existing stockholders” within the 2025 10-K.</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Cash Flows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summarizes our cash flows for the periods indicated:</w:t>
      </w:r>
    </w:p>
    <w:tbl>
      <w:tblPr>
        <w:tblW w:w="10205" w:type="dxa"/>
        <w:jc w:val="center"/>
        <w:tblInd w:w="0" w:type="dxa"/>
        <w:tblLayout w:type="fixed"/>
        <w:tblCellMar>
          <w:top w:w="28" w:type="dxa"/>
          <w:left w:w="28" w:type="dxa"/>
          <w:bottom w:w="28" w:type="dxa"/>
          <w:right w:w="28" w:type="dxa"/>
        </w:tblCellMar>
      </w:tblPr>
      <w:tblGrid>
        <w:gridCol w:w="1780"/>
        <w:gridCol w:w="1558"/>
        <w:gridCol w:w="1569"/>
        <w:gridCol w:w="109"/>
        <w:gridCol w:w="109"/>
        <w:gridCol w:w="109"/>
        <w:gridCol w:w="211"/>
        <w:gridCol w:w="646"/>
        <w:gridCol w:w="109"/>
        <w:gridCol w:w="109"/>
        <w:gridCol w:w="109"/>
        <w:gridCol w:w="109"/>
        <w:gridCol w:w="211"/>
        <w:gridCol w:w="646"/>
        <w:gridCol w:w="109"/>
        <w:gridCol w:w="109"/>
        <w:gridCol w:w="109"/>
        <w:gridCol w:w="109"/>
        <w:gridCol w:w="211"/>
        <w:gridCol w:w="703"/>
        <w:gridCol w:w="109"/>
        <w:gridCol w:w="109"/>
        <w:gridCol w:w="109"/>
        <w:gridCol w:w="109"/>
        <w:gridCol w:w="349"/>
        <w:gridCol w:w="352"/>
        <w:gridCol w:w="334"/>
      </w:tblGrid>
      <w:tr>
        <w:trPr/>
        <w:tc>
          <w:tcPr>
            <w:tcW w:w="1780"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4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4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4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1" w:type="dxa"/>
            <w:gridSpan w:val="21"/>
            <w:tcBorders/>
            <w:tcMar>
              <w:top w:w="0" w:type="dxa"/>
              <w:left w:w="0" w:type="dxa"/>
              <w:bottom w:w="0" w:type="dxa"/>
              <w:right w:w="0" w:type="dxa"/>
            </w:tcMar>
            <w:vAlign w:val="center"/>
          </w:tcPr>
          <w:p>
            <w:pPr>
              <w:pStyle w:val="TableContents"/>
              <w:bidi w:val="0"/>
              <w:spacing w:lineRule="auto" w:line="240" w:before="0" w:after="0"/>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(used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51.2 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(869.3)</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(13.3)</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Net change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3,540 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9,141 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(5,601)</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(61.3)</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360" w:after="283"/>
        <w:jc w:val="both"/>
        <w:rPr>
          <w:rFonts w:ascii="Helvetica;sans-serif" w:hAnsi="Helvetica;sans-serif"/>
          <w:b w:val="false"/>
          <w:color w:val="000000"/>
          <w:sz w:val="20"/>
          <w:u w:val="single"/>
        </w:rPr>
      </w:pPr>
      <w:r>
        <w:rPr>
          <w:rFonts w:ascii="Helvetica;sans-serif" w:hAnsi="Helvetica;sans-serif"/>
          <w:b w:val="false"/>
          <w:color w:val="000000"/>
          <w:sz w:val="20"/>
          <w:u w:val="single"/>
        </w:rPr>
        <w:t>Changes in Cash Flows from Operating Activities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Net cash provided by operating activities was $9.2 million during the six months ended June 30, 2026, compared to $6.1 million for the same period in 2025. The $3.1 million increase in operating cash inflows was primarily due to a $0.8 million improvement in net loss, adjusted for non-cash items, as well as a $2.3 million increase in the net cash provided by changes in operating assets and liabilities. Changes in operating assets and liabilities were primarily driven by $3.3 million in higher cash inflows from accounts payable and accrued and other liabilities, primarily reflecting the timing of vendor payments and compensation, partially offset by $0.9 million in higher cash outflows from operating liabilities reflecting higher lease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d9e795779b5247aeb0dd8ee89026a236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val="false"/>
          <w:color w:val="000000"/>
          <w:sz w:val="20"/>
          <w:u w:val="single"/>
        </w:rPr>
      </w:pPr>
      <w:r>
        <w:rPr>
          <w:rFonts w:ascii="Helvetica;sans-serif" w:hAnsi="Helvetica;sans-serif"/>
          <w:b w:val="false"/>
          <w:color w:val="000000"/>
          <w:sz w:val="20"/>
          <w:u w:val="single"/>
        </w:rPr>
        <w:t>Changes in Cash Flows from Investing Activities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Net cash used in investing activities for the six months ended June 30, 2026 was $7.5 million as compared to net cash provided by investing activities of $1.0 million for the same period in 2025. The $8.4 million increase in cash outflows was primarily due to a $5.6 million decrease in sale and maturities of marketable securities, a $1.7 million increase in purchases of property and equipment, and a $1.1 million increase in purchases of marketable securities.</w:t>
      </w:r>
    </w:p>
    <w:p>
      <w:pPr>
        <w:pStyle w:val="TextBody"/>
        <w:bidi w:val="0"/>
        <w:spacing w:lineRule="auto" w:line="288" w:before="360" w:after="283"/>
        <w:jc w:val="both"/>
        <w:rPr>
          <w:rFonts w:ascii="Helvetica;sans-serif" w:hAnsi="Helvetica;sans-serif"/>
          <w:b w:val="false"/>
          <w:color w:val="000000"/>
          <w:sz w:val="20"/>
          <w:u w:val="single"/>
        </w:rPr>
      </w:pPr>
      <w:r>
        <w:rPr>
          <w:rFonts w:ascii="Helvetica;sans-serif" w:hAnsi="Helvetica;sans-serif"/>
          <w:b w:val="false"/>
          <w:color w:val="000000"/>
          <w:sz w:val="20"/>
          <w:u w:val="single"/>
        </w:rPr>
        <w:t>Changes in Cash Flows from Financing Activities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Net cash provided by financing activities for the six months ended June 30, 2026 was $1.8 million as compared to $2.1 million for the same period in 2025. The $0.3 million decrease in cash inflows was primarily due to a $6.5 million decrease in proceeds from issuance of stock-based awards, partially offset by a $4.7 million decrease in withholding taxes paid on stock-based award activity and a $1.5 million decrease in payments on debt resulting from our debt amendment in the first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Critical Accounting Policies and Estimates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U.S. GAAP requires us to make estimates and assumptions that affect the reported amounts of assets and liabilities and disclosures of contingent assets and liabilities at the date of the financial statements and the reported amounts of revenue and expenses during the year. We base our estimates and assumptions on current facts, historical experience and various other factors that we believe to be reasonable under the circumstances, the results of which form the basis for making judgments about the carrying values of assets and liabilities and the recording of revenue, costs and expenses. Actual results could differ from those estimates.</w:t>
      </w:r>
    </w:p>
    <w:p>
      <w:pPr>
        <w:pStyle w:val="TextBody"/>
        <w:bidi w:val="0"/>
        <w:spacing w:lineRule="auto" w:line="288" w:before="240" w:after="283"/>
        <w:ind w:left="0" w:right="0" w:firstLine="360"/>
        <w:jc w:val="both"/>
        <w:rPr/>
      </w:pPr>
      <w:r>
        <w:rPr>
          <w:rFonts w:ascii="Helvetica;sans-serif" w:hAnsi="Helvetica;sans-serif"/>
          <w:b w:val="false"/>
          <w:color w:val="000000"/>
          <w:sz w:val="20"/>
        </w:rPr>
        <w:t xml:space="preserve">There have been no material changes to our critical accounting policies since the 2025 10-K. For a description of critical accounting policies that affect our significant judgments and estimates used in the preparation of our condensed consolidated financial statements, see Part II, Item 7, </w:t>
      </w:r>
      <w:r>
        <w:rPr>
          <w:rFonts w:ascii="Helvetica;sans-serif" w:hAnsi="Helvetica;sans-serif"/>
          <w:b w:val="false"/>
          <w:i/>
          <w:color w:val="000000"/>
          <w:sz w:val="20"/>
        </w:rPr>
        <w:t>Management’s Discussion and Analysis of Financial Condition and Results of Operations</w:t>
      </w:r>
      <w:r>
        <w:rPr>
          <w:rFonts w:ascii="Helvetica;sans-serif" w:hAnsi="Helvetica;sans-serif"/>
          <w:b w:val="false"/>
          <w:color w:val="000000"/>
          <w:sz w:val="20"/>
        </w:rPr>
        <w:t>, of the 2025 10-K.</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JOBS Act Accounting Election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an “emerging growth company,” as defined in the Jumpstart Our Business Startups Act (“JOBS Act”).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condensed consolidated financial statements may not be comparable to companies that comply with new or revised accounting pronouncements as of public company effective dates. However, we will cease to qualify as an emerging growth company as of December 31, 2026, the last day of the fiscal year in which the fifth anniversary of our initial public offering occurs. Upon losing emerging growth company status, we will be required to adopt any accounting standards for which we have been using private company effective dates beginning with our Annual Report on Form 10-K for the fiscal year ending December 31, 2026.</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New Accounting Pronouncements</w:t>
      </w:r>
    </w:p>
    <w:p>
      <w:pPr>
        <w:pStyle w:val="TextBody"/>
        <w:bidi w:val="0"/>
        <w:spacing w:lineRule="auto" w:line="288" w:before="120" w:after="283"/>
        <w:ind w:left="0" w:right="0" w:firstLine="360"/>
        <w:jc w:val="both"/>
        <w:rPr/>
      </w:pPr>
      <w:r>
        <w:rPr>
          <w:rFonts w:ascii="Helvetica;sans-serif" w:hAnsi="Helvetica;sans-serif"/>
          <w:b w:val="false"/>
          <w:color w:val="000000"/>
          <w:sz w:val="20"/>
        </w:rPr>
        <w:t xml:space="preserve">See discussion under Note 2, </w:t>
      </w:r>
      <w:r>
        <w:rPr>
          <w:rFonts w:ascii="Helvetica;sans-serif" w:hAnsi="Helvetica;sans-serif"/>
          <w:b w:val="false"/>
          <w:i/>
          <w:color w:val="000000"/>
          <w:sz w:val="20"/>
        </w:rPr>
        <w:t>Significant Accounting Policies</w:t>
      </w:r>
      <w:r>
        <w:rPr>
          <w:rFonts w:ascii="Helvetica;sans-serif" w:hAnsi="Helvetica;sans-serif"/>
          <w:b w:val="false"/>
          <w:color w:val="000000"/>
          <w:sz w:val="20"/>
        </w:rPr>
        <w:t xml:space="preserve">, to the condensed consolidated financial statements included in Part I, Item 1, </w:t>
      </w:r>
      <w:r>
        <w:rPr>
          <w:rFonts w:ascii="Helvetica;sans-serif" w:hAnsi="Helvetica;sans-serif"/>
          <w:b w:val="false"/>
          <w:i/>
          <w:color w:val="000000"/>
          <w:sz w:val="20"/>
        </w:rPr>
        <w:t>Financial Statements</w:t>
      </w:r>
      <w:r>
        <w:rPr>
          <w:rFonts w:ascii="Helvetica;sans-serif" w:hAnsi="Helvetica;sans-serif"/>
          <w:b w:val="false"/>
          <w:color w:val="000000"/>
          <w:sz w:val="20"/>
        </w:rPr>
        <w:t>, of this Quarterly Report on Form 10-Q for information on new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Item 3.    Quantitative and Qualitative Disclosures About Market Risk</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exposed to market risks in the ordinary course of our business. These risks primarily include: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d9e795779b5247aeb0dd8ee89026a236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Interest Rate Risk</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June 30, 2026, we had non-restricted cash and cash equivalents of $42.2 million and marketable securities of $10.3 million, consisting primarily of commercial paper, corporate debt securities, U.S. government agency bonds and U.S. treasury securities, which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 to intermediate-term nature of our investments, we have not been exposed to, nor do we anticipate being exposed to, material risks due to fluctuations in interest rates.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Term Loan bears variable interest rates tied to SOFR, with a floor of 2.50%, plus a margin of 3.25% and therefore carries interest rate risk. If interest rates were to increase or decrease by 1% for the year and our borrowing amounts on the Term Loan remained constant, the increase or decrease to our annual interest expense would not be material. </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Inflation Risk</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June 30, 2026, inflation remains elevated relative to historical norms in the U.S. where we conduct our business, resulting in higher costs in areas such as fuel, labor and processing, freight and other costs that have affected our gross margin and operating expenses. We believe these increases have negatively impacted our business, and although difficult to quantify, inflation is potentially having an adverse effect on our customers’ ability to purchase in our marketplaces, which could slow revenue and Order growth. If we are unable to increase our prices to sufficiently offset the rising costs of doing business, our profitability and financial position could be adversely impacted.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Item 4.    Controls and Procedures</w:t>
      </w:r>
    </w:p>
    <w:p>
      <w:pPr>
        <w:pStyle w:val="TextBody"/>
        <w:bidi w:val="0"/>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Evaluation of Disclosure Controls and Procedures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Under the supervision and with the participation of our management, including our Chief Executive Officer and Chief Financial Officer, we evaluated the effectiveness of the design and operation of our disclosure controls and procedures pursuant to Rules 13a-15(e) and 15d-15(e) under the Securities Exchange Act of 1934, as amended (the “Exchange Act”), as of June 30, 2026. The term “disclosure controls and procedures,” as defined under the Exchange Act, means controls and procedures that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not absolute, assurance of achieving the desired control objective and management necessarily applies its judgment in evaluating the cost-benefit relationship of possible controls and procedures.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Based on that evaluation, our Chief Executive Officer and Chief Financial Officer concluded that our disclosure controls and procedures were effective as of June 30, 2026.</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Changes in Internal Control over Financial Reporting</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There were no changes in our internal control over financial reporting that occurred during our most recent quarter ended June 30, 2026 that materially affected, or are reasonably likely to materially affect, our internal control over financial reporting.</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Inherent Limitations on Effectiveness of Controls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d9e795779b5247aeb0dd8ee89026a236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management, including our Chief Executive Officer and Chief Financial Officer, does not expect that our disclosure controls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d9e795779b5247aeb0dd8ee89026a23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Helvetica;sans-serif" w:hAnsi="Helvetica;sans-serif"/>
          <w:b/>
          <w:color w:val="000000"/>
          <w:sz w:val="20"/>
        </w:rPr>
      </w:pPr>
      <w:r>
        <w:rPr>
          <w:rFonts w:ascii="Helvetica;sans-serif" w:hAnsi="Helvetica;sans-serif"/>
          <w:b/>
          <w:color w:val="000000"/>
          <w:sz w:val="20"/>
        </w:rPr>
        <w:t>Item 1.    Legal Proceedings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not a party to any material pending legal proceedings. From time to time, we may be subject to legal proceedings and claims arising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Item 1A.    Risk Factors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Risks affecting our business are discussed in the section titled “Risk Factors” in Part I, Item 1A of our Annual Report on Form 10-K for the fiscal year ended December 31, 2025 filed with the SEC on March 2, 2026 (our “Fiscal 2025 10-K”). There have been no material changes to our risk factors as previously disclosed in our Fiscal 2025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Item 2.    Unregistered Sales of Equity Securities and Use of Proceeds</w:t>
      </w:r>
    </w:p>
    <w:p>
      <w:pPr>
        <w:pStyle w:val="TextBody"/>
        <w:bidi w:val="0"/>
        <w:spacing w:lineRule="auto" w:line="288" w:before="12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(a)None.</w:t>
      </w:r>
    </w:p>
    <w:p>
      <w:pPr>
        <w:pStyle w:val="TextBody"/>
        <w:bidi w:val="0"/>
        <w:spacing w:lineRule="auto" w:line="288" w:before="120" w:after="283"/>
        <w:ind w:left="0" w:right="0" w:hanging="360"/>
        <w:jc w:val="left"/>
        <w:rPr>
          <w:rFonts w:ascii="Helvetica;sans-serif" w:hAnsi="Helvetica;sans-serif"/>
          <w:b w:val="false"/>
          <w:color w:val="000000"/>
          <w:sz w:val="20"/>
        </w:rPr>
      </w:pPr>
      <w:r>
        <w:rPr>
          <w:rFonts w:ascii="Helvetica;sans-serif" w:hAnsi="Helvetica;sans-serif"/>
          <w:b w:val="false"/>
          <w:color w:val="000000"/>
          <w:sz w:val="20"/>
        </w:rPr>
        <w:t>(b)None.</w:t>
      </w:r>
    </w:p>
    <w:p>
      <w:pPr>
        <w:pStyle w:val="TextBody"/>
        <w:bidi w:val="0"/>
        <w:spacing w:lineRule="auto" w:line="288" w:before="12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(c)None.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Item 3.    Defaults Upon Senior Securities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Item 4.    Mine Safety Disclosures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Item 5.    Other Information</w:t>
      </w:r>
    </w:p>
    <w:p>
      <w:pPr>
        <w:pStyle w:val="TextBody"/>
        <w:bidi w:val="0"/>
        <w:spacing w:lineRule="auto" w:line="288" w:before="12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(a)None.</w:t>
      </w:r>
    </w:p>
    <w:p>
      <w:pPr>
        <w:pStyle w:val="TextBody"/>
        <w:bidi w:val="0"/>
        <w:spacing w:lineRule="auto" w:line="288" w:before="12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(b)None.</w:t>
      </w:r>
    </w:p>
    <w:p>
      <w:pPr>
        <w:pStyle w:val="TextBody"/>
        <w:bidi w:val="0"/>
        <w:spacing w:lineRule="auto" w:line="288" w:before="12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(c)Rule 10b5-1 Trading Plans</w:t>
      </w:r>
    </w:p>
    <w:p>
      <w:pPr>
        <w:pStyle w:val="TextBody"/>
        <w:bidi w:val="0"/>
        <w:spacing w:lineRule="auto" w:line="288" w:before="120" w:after="283"/>
        <w:ind w:left="0" w:right="0" w:firstLine="720"/>
        <w:jc w:val="both"/>
        <w:rPr>
          <w:rFonts w:ascii="Helvetica;sans-serif" w:hAnsi="Helvetica;sans-serif"/>
          <w:b w:val="false"/>
          <w:color w:val="000000"/>
          <w:sz w:val="20"/>
        </w:rPr>
      </w:pPr>
      <w:r>
        <w:rPr>
          <w:rFonts w:ascii="Helvetica;sans-serif" w:hAnsi="Helvetica;sans-serif"/>
          <w:b w:val="false"/>
          <w:color w:val="000000"/>
          <w:sz w:val="20"/>
        </w:rPr>
        <w:t>On June 15, 2026, Chris Homer, our Chief Operating Officer, adopted a Rule 10b5-1 trading arrangement that is intended to satisfy the affirmative defense of Rule 10b5-1(c) of the Exchange Act for the sale of up to 616,728 shares of the Company’s Class A common stock until September 24, 2027.</w:t>
      </w:r>
    </w:p>
    <w:p>
      <w:pPr>
        <w:pStyle w:val="TextBody"/>
        <w:bidi w:val="0"/>
        <w:spacing w:lineRule="auto" w:line="268" w:before="0" w:after="0"/>
        <w:ind w:left="0" w:right="0" w:firstLine="720"/>
        <w:jc w:val="left"/>
        <w:rPr>
          <w:rFonts w:ascii="Helvetica;sans-serif" w:hAnsi="Helvetica;sans-serif"/>
          <w:b w:val="false"/>
          <w:color w:val="000000"/>
          <w:sz w:val="20"/>
        </w:rPr>
      </w:pPr>
      <w:r>
        <w:rPr>
          <w:rFonts w:ascii="Helvetica;sans-serif" w:hAnsi="Helvetica;sans-serif"/>
          <w:b w:val="false"/>
          <w:color w:val="000000"/>
          <w:sz w:val="20"/>
        </w:rPr>
        <w:t>Other than as disclosed above, during the three months ended June 30, 2026, none of our directors or officers (as defined in Rule 16a-1(f) under the Exchange Act) adopted or terminated any contract, instruction or written plan for the purchase or sale of our securities that was intended to satisfy the affirmative defense conditions of Rule 10b5-1(c) under the Exchange Act or any “non-Rule 10b5-1 trading arrangement,”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Helvetica;sans-serif" w:hAnsi="Helvetica;sans-serif"/>
          <w:b/>
          <w:color w:val="000000"/>
          <w:sz w:val="20"/>
        </w:rPr>
      </w:pPr>
      <w:r>
        <w:rPr>
          <w:rFonts w:ascii="Helvetica;sans-serif" w:hAnsi="Helvetica;sans-serif"/>
          <w:b/>
          <w:color w:val="000000"/>
          <w:sz w:val="20"/>
        </w:rPr>
        <w:t>Item 6.    Exhibits</w:t>
      </w:r>
    </w:p>
    <w:p>
      <w:pPr>
        <w:pStyle w:val="TextBody"/>
        <w:bidi w:val="0"/>
        <w:spacing w:lineRule="auto" w:line="288" w:before="120" w:after="283"/>
        <w:ind w:left="0" w:right="0" w:hanging="360"/>
        <w:jc w:val="left"/>
        <w:rPr>
          <w:rFonts w:ascii="Helvetica;sans-serif" w:hAnsi="Helvetica;sans-serif"/>
          <w:b w:val="false"/>
          <w:color w:val="000000"/>
          <w:sz w:val="20"/>
        </w:rPr>
      </w:pPr>
      <w:r>
        <w:rPr>
          <w:rFonts w:ascii="Helvetica;sans-serif" w:hAnsi="Helvetica;sans-serif"/>
          <w:b w:val="false"/>
          <w:color w:val="000000"/>
          <w:sz w:val="20"/>
        </w:rPr>
        <w:t>(a)Exhibit Index: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d9e795779b5247aeb0dd8ee89026a236_7">
        <w:r>
          <w:rPr>
            <w:rStyle w:val="InternetLink"/>
            <w:rFonts w:ascii="Helvetica;sans-serif" w:hAnsi="Helvetica;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336"/>
        <w:gridCol w:w="295"/>
        <w:gridCol w:w="297"/>
        <w:gridCol w:w="109"/>
        <w:gridCol w:w="109"/>
        <w:gridCol w:w="109"/>
        <w:gridCol w:w="1970"/>
        <w:gridCol w:w="1780"/>
        <w:gridCol w:w="1797"/>
        <w:gridCol w:w="109"/>
        <w:gridCol w:w="109"/>
        <w:gridCol w:w="109"/>
        <w:gridCol w:w="321"/>
        <w:gridCol w:w="321"/>
        <w:gridCol w:w="326"/>
        <w:gridCol w:w="120"/>
        <w:gridCol w:w="120"/>
        <w:gridCol w:w="120"/>
        <w:gridCol w:w="220"/>
        <w:gridCol w:w="220"/>
        <w:gridCol w:w="221"/>
        <w:gridCol w:w="120"/>
        <w:gridCol w:w="120"/>
        <w:gridCol w:w="120"/>
        <w:gridCol w:w="211"/>
        <w:gridCol w:w="211"/>
        <w:gridCol w:w="305"/>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Incorporated by Reference</w:t>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Form</w:t>
            </w:r>
          </w:p>
        </w:tc>
        <w:tc>
          <w:tcPr>
            <w:tcW w:w="3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Exhibit</w:t>
            </w:r>
          </w:p>
        </w:tc>
        <w:tc>
          <w:tcPr>
            <w:tcW w:w="3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Filing Date</w:t>
            </w:r>
          </w:p>
        </w:tc>
      </w:tr>
      <w:tr>
        <w:trPr/>
        <w:tc>
          <w:tcPr>
            <w:tcW w:w="92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Helvetica;sans-serif" w:hAnsi="Helvetica;sans-serif"/>
                  <w:b w:val="false"/>
                  <w:color w:val="0000FF"/>
                  <w:sz w:val="20"/>
                  <w:u w:val="single"/>
                </w:rPr>
                <w:t>Restated Certificate of Incorporation of the Registrant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10-Q</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8/5/2024</w:t>
            </w:r>
          </w:p>
        </w:tc>
      </w:tr>
      <w:tr>
        <w:trPr/>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Helvetica;sans-serif" w:hAnsi="Helvetica;sans-serif"/>
                  <w:b w:val="false"/>
                  <w:color w:val="0000FF"/>
                  <w:sz w:val="20"/>
                  <w:u w:val="single"/>
                </w:rPr>
                <w:t>Amended and Restated Bylaws of the Registrant, as adopted on February 16,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8-K</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2/21/2023</w:t>
            </w:r>
          </w:p>
        </w:tc>
      </w:tr>
      <w:tr>
        <w:trPr/>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Helvetica;sans-serif" w:hAnsi="Helvetica;sans-serif"/>
                  <w:b w:val="false"/>
                  <w:color w:val="0000FF"/>
                  <w:sz w:val="20"/>
                  <w:u w:val="single"/>
                </w:rPr>
                <w:t>Form of Class A common stock certificate of the Registrant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3/3/2021</w:t>
            </w:r>
          </w:p>
        </w:tc>
      </w:tr>
      <w:tr>
        <w:trPr/>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1-q22026.htm">
              <w:r>
                <w:rPr>
                  <w:rStyle w:val="InternetLink"/>
                  <w:rFonts w:ascii="Helvetica;sans-serif" w:hAnsi="Helvetica;sans-serif"/>
                  <w:b w:val="false"/>
                  <w:color w:val="0000FF"/>
                  <w:sz w:val="20"/>
                  <w:u w:val="single"/>
                </w:rPr>
                <w:t>Amended and Restated Non-Employee Director Compensation Policy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Filed herewith</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2-q22026.htm">
              <w:r>
                <w:rPr>
                  <w:rStyle w:val="InternetLink"/>
                  <w:rFonts w:ascii="Helvetica;sans-serif" w:hAnsi="Helvetica;sans-serif"/>
                  <w:b w:val="false"/>
                  <w:color w:val="0000FF"/>
                  <w:sz w:val="20"/>
                  <w:u w:val="single"/>
                </w:rPr>
                <w:t>Non-Employee Director Deferred Equity Compensation Program</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Filed herewith</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11q22026.htm">
              <w:r>
                <w:rPr>
                  <w:rStyle w:val="InternetLink"/>
                  <w:rFonts w:ascii="Helvetica;sans-serif" w:hAnsi="Helvetica;sans-serif"/>
                  <w:b w:val="false"/>
                  <w:color w:val="0000FF"/>
                  <w:sz w:val="20"/>
                  <w:u w:val="single"/>
                </w:rPr>
                <w:t>Certification of Principal Executive Officer pursuant to Exchange Act Rules 13a-14(a) and 15d-14(a),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2q22026.htm">
              <w:r>
                <w:rPr>
                  <w:rStyle w:val="InternetLink"/>
                  <w:rFonts w:ascii="Helvetica;sans-serif" w:hAnsi="Helvetica;sans-serif"/>
                  <w:b w:val="false"/>
                  <w:color w:val="0000FF"/>
                  <w:sz w:val="20"/>
                  <w:u w:val="single"/>
                </w:rPr>
                <w:t>Certification of Principal Financial Officer pursuant to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21q22026.htm">
              <w:r>
                <w:rPr>
                  <w:rStyle w:val="InternetLink"/>
                  <w:rFonts w:ascii="Helvetica;sans-serif" w:hAnsi="Helvetica;sans-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2q22026.htm">
              <w:r>
                <w:rPr>
                  <w:rStyle w:val="InternetLink"/>
                  <w:rFonts w:ascii="Helvetica;sans-serif" w:hAnsi="Helvetica;sans-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XBRL Instance Document – the instance document does not appear in the Interactive Data File because its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Inline 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Cover Page Interactive Data File (formatted as inline XBRL with applicable taxonomy extension information contained in Exhibits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    Filed herewith.</w:t>
      </w:r>
    </w:p>
    <w:p>
      <w:pPr>
        <w:pStyle w:val="TextBody"/>
        <w:bidi w:val="0"/>
        <w:spacing w:lineRule="auto" w:line="288" w:before="0" w:after="0"/>
        <w:ind w:left="0" w:right="0" w:hanging="360"/>
        <w:jc w:val="both"/>
        <w:rPr>
          <w:rFonts w:ascii="Helvetica;sans-serif" w:hAnsi="Helvetica;sans-serif"/>
          <w:b w:val="false"/>
          <w:color w:val="000000"/>
          <w:sz w:val="20"/>
        </w:rPr>
      </w:pPr>
      <w:r>
        <w:rPr>
          <w:rFonts w:ascii="Helvetica;sans-serif" w:hAnsi="Helvetica;sans-serif"/>
          <w:b w:val="false"/>
          <w:color w:val="000000"/>
          <w:sz w:val="20"/>
        </w:rPr>
        <w:t>**    Furnished herewith.</w:t>
      </w:r>
    </w:p>
    <w:p>
      <w:pPr>
        <w:pStyle w:val="TextBody"/>
        <w:bidi w:val="0"/>
        <w:spacing w:lineRule="auto" w:line="288" w:before="0" w:after="0"/>
        <w:ind w:left="0" w:right="0" w:hanging="360"/>
        <w:jc w:val="both"/>
        <w:rPr>
          <w:rFonts w:ascii="Helvetica;sans-serif" w:hAnsi="Helvetica;sans-serif"/>
          <w:b w:val="false"/>
          <w:color w:val="000000"/>
          <w:sz w:val="20"/>
        </w:rPr>
      </w:pPr>
      <w:r>
        <w:rPr>
          <w:rFonts w:ascii="Helvetica;sans-serif" w:hAnsi="Helvetica;sans-serif"/>
          <w:b w:val="false"/>
          <w:color w:val="000000"/>
          <w:sz w:val="20"/>
        </w:rPr>
        <w:t># Indicates a management contract or compensatory plan, contract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d9e795779b5247aeb0dd8ee89026a23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SIGNATURES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Pursuant to the requirements of the Securities Exchange Act of 1934, the registrant has duly caused this report to be signed on its behalf by the undersigned thereunto duly authorized.</w:t>
      </w:r>
    </w:p>
    <w:tbl>
      <w:tblPr>
        <w:tblW w:w="4968" w:type="dxa"/>
        <w:jc w:val="center"/>
        <w:tblInd w:w="0" w:type="dxa"/>
        <w:tblLayout w:type="fixed"/>
        <w:tblCellMar>
          <w:top w:w="28" w:type="dxa"/>
          <w:left w:w="28" w:type="dxa"/>
          <w:bottom w:w="28" w:type="dxa"/>
          <w:right w:w="28" w:type="dxa"/>
        </w:tblCellMar>
      </w:tblPr>
      <w:tblGrid>
        <w:gridCol w:w="124"/>
        <w:gridCol w:w="109"/>
        <w:gridCol w:w="109"/>
        <w:gridCol w:w="237"/>
        <w:gridCol w:w="237"/>
        <w:gridCol w:w="237"/>
        <w:gridCol w:w="1140"/>
        <w:gridCol w:w="1140"/>
        <w:gridCol w:w="16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THREDUP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SEAN SOBERS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Sean Sobers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(Principal Financial and Accounting Officer)</w:t>
            </w:r>
          </w:p>
        </w:tc>
      </w:tr>
    </w:tbl>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Date: August 5,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Helvetica;sans-serif" w:hAnsi="Helvetica;sans-serif"/>
          <w:b/>
          <w:color w:val="000000"/>
          <w:sz w:val="20"/>
        </w:rPr>
      </w:pPr>
      <w:r>
        <w:rPr>
          <w:rFonts w:ascii="Helvetica;sans-serif" w:hAnsi="Helvetica;sans-serif"/>
          <w:b/>
          <w:color w:val="000000"/>
          <w:sz w:val="20"/>
        </w:rPr>
        <w:t>Exhibit 10.1</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6.4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30</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THREDUP INC.</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AMENDED AND RESTATED NON-EMPLOYEE DIRECTOR COMPENSATION POLICY</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(amended and restated on April 23, 2026)</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purpose of this Amended and Restated Non-Employee Director Compensation Policy (the “Policy”) of ThredUp Inc., a Delaware corporation (the “Company”), is to provide a total compensation package that enables the Company to attract and retain, on a long-term basis, high-caliber directors who are not employees or officers of the Company or its subsidiaries (“Outside Directors”). This Policy will be effective on and after April 23, 2026 (the “Effective Date”). In furtherance of the purpose stated above, all Outside Directors shall be paid compensation for services provided to the Company as set forth below:</w:t>
      </w:r>
    </w:p>
    <w:p>
      <w:pPr>
        <w:pStyle w:val="TextBody"/>
        <w:bidi w:val="0"/>
        <w:spacing w:lineRule="auto" w:line="288" w:before="0" w:after="240"/>
        <w:ind w:left="0" w:right="0" w:firstLine="360"/>
        <w:jc w:val="both"/>
        <w:rPr/>
      </w:pPr>
      <w:r>
        <w:rPr>
          <w:rFonts w:ascii="Times New Roman;serif" w:hAnsi="Times New Roman;serif"/>
          <w:b/>
          <w:color w:val="000000"/>
          <w:sz w:val="22"/>
        </w:rPr>
        <w:t>I.</w:t>
      </w:r>
      <w:r>
        <w:rPr>
          <w:rFonts w:ascii="Times New Roman;serif" w:hAnsi="Times New Roman;serif"/>
          <w:b/>
          <w:color w:val="000000"/>
          <w:sz w:val="22"/>
          <w:u w:val="single"/>
        </w:rPr>
        <w:t>Cash Retainers</w:t>
      </w:r>
      <w:r>
        <w:rPr>
          <w:rFonts w:ascii="Times New Roman;serif" w:hAnsi="Times New Roman;serif"/>
          <w:b/>
          <w:color w:val="000000"/>
          <w:sz w:val="22"/>
        </w:rPr>
        <w:t xml:space="preserve">. </w:t>
      </w:r>
      <w:r>
        <w:rPr>
          <w:rFonts w:ascii="Times New Roman;serif" w:hAnsi="Times New Roman;serif"/>
          <w:b w:val="false"/>
          <w:color w:val="000000"/>
          <w:sz w:val="22"/>
        </w:rPr>
        <w:t>Annual cash retainers as set forth below will be paid in advance to Outside Directors in quarterly installments on the first day of each calendar quarter.</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2"/>
          <w:u w:val="single"/>
        </w:rPr>
        <w:t>Annual Retainer for Board Membership</w:t>
      </w:r>
      <w:r>
        <w:rPr>
          <w:rFonts w:ascii="Times New Roman;serif" w:hAnsi="Times New Roman;serif"/>
          <w:b w:val="false"/>
          <w:color w:val="000000"/>
          <w:sz w:val="22"/>
        </w:rPr>
        <w:t>: $40,000 for general availability and participation in meetings and conference calls of our Board of Directors. No additional compensation for attending individual Board meetings.</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2"/>
          <w:u w:val="single"/>
        </w:rPr>
        <w:t>Additional Annual Retainer for Chair of the Board of Directors</w:t>
      </w:r>
      <w:r>
        <w:rPr>
          <w:rFonts w:ascii="Times New Roman;serif" w:hAnsi="Times New Roman;serif"/>
          <w:b w:val="false"/>
          <w:color w:val="000000"/>
          <w:sz w:val="22"/>
        </w:rPr>
        <w:t>:          $20,000</w:t>
      </w:r>
    </w:p>
    <w:p>
      <w:pPr>
        <w:pStyle w:val="TextBody"/>
        <w:bidi w:val="0"/>
        <w:spacing w:lineRule="auto" w:line="240" w:before="0" w:after="240"/>
        <w:ind w:left="0" w:right="0" w:firstLine="720"/>
        <w:jc w:val="left"/>
        <w:rPr/>
      </w:pPr>
      <w:r>
        <w:rPr>
          <w:rFonts w:ascii="Times New Roman;serif" w:hAnsi="Times New Roman;serif"/>
          <w:b w:val="false"/>
          <w:color w:val="000000"/>
          <w:sz w:val="24"/>
        </w:rPr>
        <w:t>(c)</w:t>
      </w:r>
      <w:r>
        <w:rPr>
          <w:color w:val="000000"/>
          <w:u w:val="single"/>
        </w:rPr>
        <w:t xml:space="preserve"> </w:t>
      </w:r>
      <w:r>
        <w:rPr>
          <w:rFonts w:ascii="Times New Roman;serif" w:hAnsi="Times New Roman;serif"/>
          <w:b w:val="false"/>
          <w:color w:val="000000"/>
          <w:sz w:val="22"/>
          <w:u w:val="single"/>
        </w:rPr>
        <w:t>Additional Annual Retainers for Committee Membership</w:t>
      </w:r>
      <w:r>
        <w:rPr>
          <w:rFonts w:ascii="Times New Roman;serif" w:hAnsi="Times New Roman;serif"/>
          <w:b w:val="false"/>
          <w:color w:val="000000"/>
          <w:sz w:val="22"/>
        </w:rPr>
        <w:t>:</w:t>
      </w:r>
    </w:p>
    <w:tbl>
      <w:tblPr>
        <w:tblW w:w="7035" w:type="dxa"/>
        <w:jc w:val="left"/>
        <w:tblInd w:w="0" w:type="dxa"/>
        <w:tblLayout w:type="fixed"/>
        <w:tblCellMar>
          <w:top w:w="28" w:type="dxa"/>
          <w:left w:w="28" w:type="dxa"/>
          <w:bottom w:w="28" w:type="dxa"/>
          <w:right w:w="28" w:type="dxa"/>
        </w:tblCellMar>
      </w:tblPr>
      <w:tblGrid>
        <w:gridCol w:w="2212"/>
        <w:gridCol w:w="1940"/>
        <w:gridCol w:w="1952"/>
        <w:gridCol w:w="272"/>
        <w:gridCol w:w="272"/>
        <w:gridCol w:w="387"/>
      </w:tblGrid>
      <w:tr>
        <w:trPr/>
        <w:tc>
          <w:tcPr>
            <w:tcW w:w="2212"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Audit Committee Chairperson</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2"/>
              </w:rPr>
            </w:pPr>
            <w:r>
              <w:rPr>
                <w:rFonts w:ascii="Times New Roman;serif" w:hAnsi="Times New Roman;serif"/>
                <w:b w:val="false"/>
                <w:color w:val="000000"/>
                <w:sz w:val="22"/>
              </w:rPr>
              <w:t>$20,000</w:t>
            </w:r>
          </w:p>
        </w:tc>
      </w:tr>
      <w:tr>
        <w:trPr/>
        <w:tc>
          <w:tcPr>
            <w:tcW w:w="6104"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Audit Committee Member</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2"/>
              </w:rPr>
            </w:pPr>
            <w:r>
              <w:rPr>
                <w:rFonts w:ascii="Times New Roman;serif" w:hAnsi="Times New Roman;serif"/>
                <w:b w:val="false"/>
                <w:color w:val="000000"/>
                <w:sz w:val="22"/>
              </w:rPr>
              <w:t>$10,000</w:t>
            </w:r>
          </w:p>
        </w:tc>
      </w:tr>
      <w:tr>
        <w:trPr/>
        <w:tc>
          <w:tcPr>
            <w:tcW w:w="6104"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Compensation Committee Chairperson</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2"/>
              </w:rPr>
            </w:pPr>
            <w:r>
              <w:rPr>
                <w:rFonts w:ascii="Times New Roman;serif" w:hAnsi="Times New Roman;serif"/>
                <w:b w:val="false"/>
                <w:color w:val="000000"/>
                <w:sz w:val="22"/>
              </w:rPr>
              <w:t>$15,000</w:t>
            </w:r>
          </w:p>
        </w:tc>
      </w:tr>
      <w:tr>
        <w:trPr/>
        <w:tc>
          <w:tcPr>
            <w:tcW w:w="6104"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Compensation Committee Member</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2"/>
              </w:rPr>
            </w:pPr>
            <w:r>
              <w:rPr>
                <w:rFonts w:ascii="Times New Roman;serif" w:hAnsi="Times New Roman;serif"/>
                <w:b w:val="false"/>
                <w:color w:val="000000"/>
                <w:sz w:val="22"/>
              </w:rPr>
              <w:t>$10,000</w:t>
            </w:r>
          </w:p>
        </w:tc>
      </w:tr>
      <w:tr>
        <w:trPr/>
        <w:tc>
          <w:tcPr>
            <w:tcW w:w="6104"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Nomination and Corporate Governance Committee Chairperson</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2"/>
              </w:rPr>
            </w:pPr>
            <w:r>
              <w:rPr>
                <w:rFonts w:ascii="Times New Roman;serif" w:hAnsi="Times New Roman;serif"/>
                <w:b w:val="false"/>
                <w:color w:val="000000"/>
                <w:sz w:val="22"/>
              </w:rPr>
              <w:t>$15,000</w:t>
            </w:r>
          </w:p>
        </w:tc>
      </w:tr>
      <w:tr>
        <w:trPr/>
        <w:tc>
          <w:tcPr>
            <w:tcW w:w="6104"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Nomination and Corporate Governance Committee Member</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2"/>
              </w:rPr>
            </w:pPr>
            <w:r>
              <w:rPr>
                <w:rFonts w:ascii="Times New Roman;serif" w:hAnsi="Times New Roman;serif"/>
                <w:b w:val="false"/>
                <w:color w:val="000000"/>
                <w:sz w:val="22"/>
              </w:rPr>
              <w:t>$10,000</w:t>
            </w:r>
          </w:p>
        </w:tc>
      </w:tr>
    </w:tbl>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2"/>
          <w:u w:val="single"/>
        </w:rPr>
        <w:t>Cash Retainer Election</w:t>
      </w:r>
      <w:r>
        <w:rPr>
          <w:rFonts w:ascii="Times New Roman;serif" w:hAnsi="Times New Roman;serif"/>
          <w:b w:val="false"/>
          <w:color w:val="000000"/>
          <w:sz w:val="22"/>
        </w:rPr>
        <w:t>: Outside Directors may elect to receive all of their cash retainers in the form of an equity award of fully vested restricted stock units having a Value (as defined below) equal to the amount of such cash retainer. To make such an election, the Outside Director must provide notice to the Board of Directors and specify that he or she wishes to receive such cash retainer in the form of fully-vested shares of restricted stock units.</w:t>
      </w:r>
      <w:r>
        <w:rPr>
          <w:color w:val="000000"/>
          <w:u w:val="single"/>
        </w:rPr>
        <w:t xml:space="preserve"> </w:t>
      </w:r>
    </w:p>
    <w:p>
      <w:pPr>
        <w:pStyle w:val="TextBody"/>
        <w:bidi w:val="0"/>
        <w:spacing w:lineRule="auto" w:line="288" w:before="0" w:after="240"/>
        <w:ind w:left="0" w:right="0" w:hanging="720"/>
        <w:jc w:val="both"/>
        <w:rPr/>
      </w:pPr>
      <w:r>
        <w:rPr>
          <w:rFonts w:ascii="Times New Roman;serif" w:hAnsi="Times New Roman;serif"/>
          <w:b/>
          <w:color w:val="000000"/>
          <w:sz w:val="22"/>
        </w:rPr>
        <w:t>II.</w:t>
      </w:r>
      <w:r>
        <w:rPr>
          <w:rFonts w:ascii="Times New Roman;serif" w:hAnsi="Times New Roman;serif"/>
          <w:b/>
          <w:color w:val="000000"/>
          <w:sz w:val="22"/>
          <w:u w:val="single"/>
        </w:rPr>
        <w:t>Equity Retainers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All grants of equity retainer awards to Outside Directors pursuant to this Policy will be automatic and nondiscretionary and will be made in accordance with the following provisions: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2"/>
          <w:u w:val="single"/>
        </w:rPr>
        <w:t>Value</w:t>
      </w:r>
      <w:r>
        <w:rPr>
          <w:rFonts w:ascii="Times New Roman;serif" w:hAnsi="Times New Roman;serif"/>
          <w:b w:val="false"/>
          <w:color w:val="000000"/>
          <w:sz w:val="22"/>
        </w:rPr>
        <w:t xml:space="preserve">. For purposes of this Policy, “Value” means with respect to (i) any award of stock options the grant date fair value of the option (i.e., Black-Scholes Value) determined in accordance with the reasonable assumptions and methodologies employed by the Company for calculating the fair value of options under ASC 718; and (ii) any award of restricted stock and restricted stock units the product of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 the average closing market price on Nasdaq (or such other market on which the Company’s Class A common stock is then principally listed) of one share of the Company’s Class A common stock over the trailing 30-day period ending on the last day of the month immediately prior to the month of the grant date, and (B) the aggregate number of shares pursuant to such award.</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2"/>
          <w:u w:val="single"/>
        </w:rPr>
        <w:t>Revisions</w:t>
      </w:r>
      <w:r>
        <w:rPr>
          <w:rFonts w:ascii="Times New Roman;serif" w:hAnsi="Times New Roman;serif"/>
          <w:b w:val="false"/>
          <w:color w:val="000000"/>
          <w:sz w:val="22"/>
        </w:rPr>
        <w:t xml:space="preserve">. Subject to approval from the Board of Directors, the Compensation Committee may change and otherwise revise the terms of awards to be granted under this Policy, including, without limitation, the number of shares subject thereto, for awards of the same or different type granted on or after the date the Board determines to make any such change or revision. </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2"/>
          <w:u w:val="single"/>
        </w:rPr>
        <w:t>Sale Event Acceleration</w:t>
      </w:r>
      <w:r>
        <w:rPr>
          <w:rFonts w:ascii="Times New Roman;serif" w:hAnsi="Times New Roman;serif"/>
          <w:b w:val="false"/>
          <w:color w:val="000000"/>
          <w:sz w:val="22"/>
        </w:rPr>
        <w:t>. In the event of a Sale Event (as defined in the Company’s 2021 Stock Option and Incentive Plan (the “2021 Plan”)), the equity retainer awards granted to Outside Directors pursuant to this Policy shall become 100% vested and exercisable.</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2"/>
          <w:u w:val="single"/>
        </w:rPr>
        <w:t>Initial Grant</w:t>
      </w:r>
      <w:r>
        <w:rPr>
          <w:rFonts w:ascii="Times New Roman;serif" w:hAnsi="Times New Roman;serif"/>
          <w:b w:val="false"/>
          <w:color w:val="000000"/>
          <w:sz w:val="22"/>
        </w:rPr>
        <w:t>. Each new Outside Director will receive an initial, one-time restricted stock unit award (the “Initial Grant”) with a Value of $300,000, which shall vest in equal annual installments over three years from the date of grant; provided, however, that all vesting ceases if the director resigns from our Board of Directors or otherwise ceases to serve as a director, unless the Board of Directors determines that the circumstances warrant continuation of vesting.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2"/>
          <w:u w:val="single"/>
        </w:rPr>
        <w:t>Annual Grant</w:t>
      </w:r>
      <w:r>
        <w:rPr>
          <w:rFonts w:ascii="Times New Roman;serif" w:hAnsi="Times New Roman;serif"/>
          <w:b w:val="false"/>
          <w:color w:val="000000"/>
          <w:sz w:val="22"/>
        </w:rPr>
        <w:t xml:space="preserve">. On the date of each annual meeting of stockholders of the Company, each Outside Director who will continue as a member of the Board of Directors following such annual meeting of stockholders and has served in such role for at least six (6) months, will receive a restricted stock unit award on the date of such Annual Meeting (the “Annual Grant”) with a Value of $150,000, which shall vest in full on the earlier of (i) the one-year anniversary of the grant date or (ii) the next annual meeting of stockholders; provided, however, that all vesting ceases if the director resigns from our Board of Directors or otherwise ceases to serve as a director, unless the Board of Directors determines that the circumstances warrant continuation of vesting. </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2"/>
          <w:u w:val="single"/>
        </w:rPr>
        <w:t>Deferral</w:t>
      </w:r>
      <w:r>
        <w:rPr>
          <w:rFonts w:ascii="Times New Roman;serif" w:hAnsi="Times New Roman;serif"/>
          <w:b w:val="false"/>
          <w:color w:val="000000"/>
          <w:sz w:val="22"/>
        </w:rPr>
        <w:t>: Outside Directors may elect to defer equity retainer awards pursuant to the terms and conditions of the Company’s Non-Employee Directors’ Deferred Compensation Program, the Company’s 2021 Plan, and this Policy.</w:t>
      </w:r>
    </w:p>
    <w:p>
      <w:pPr>
        <w:pStyle w:val="TextBody"/>
        <w:bidi w:val="0"/>
        <w:spacing w:lineRule="auto" w:line="288" w:before="0" w:after="240"/>
        <w:ind w:left="0" w:right="0" w:hanging="720"/>
        <w:jc w:val="both"/>
        <w:rPr/>
      </w:pPr>
      <w:r>
        <w:rPr>
          <w:rFonts w:ascii="Times New Roman;serif" w:hAnsi="Times New Roman;serif"/>
          <w:b/>
          <w:color w:val="000000"/>
          <w:sz w:val="22"/>
        </w:rPr>
        <w:t>III.</w:t>
      </w:r>
      <w:r>
        <w:rPr>
          <w:rFonts w:ascii="Times New Roman;serif" w:hAnsi="Times New Roman;serif"/>
          <w:b/>
          <w:color w:val="000000"/>
          <w:sz w:val="22"/>
          <w:u w:val="single"/>
        </w:rPr>
        <w:t>Expenses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Company will reimburse all reasonable out-of-pocket expenses incurred by Outside Directors in attending meetings of the Board of Directors or any Committee thereof.</w:t>
      </w:r>
    </w:p>
    <w:p>
      <w:pPr>
        <w:pStyle w:val="TextBody"/>
        <w:bidi w:val="0"/>
        <w:spacing w:lineRule="auto" w:line="288" w:before="0" w:after="240"/>
        <w:ind w:left="0" w:right="0" w:hanging="720"/>
        <w:jc w:val="both"/>
        <w:rPr/>
      </w:pPr>
      <w:r>
        <w:rPr>
          <w:rFonts w:ascii="Times New Roman;serif" w:hAnsi="Times New Roman;serif"/>
          <w:b/>
          <w:color w:val="000000"/>
          <w:sz w:val="22"/>
        </w:rPr>
        <w:t>IV.</w:t>
      </w:r>
      <w:r>
        <w:rPr>
          <w:rFonts w:ascii="Times New Roman;serif" w:hAnsi="Times New Roman;serif"/>
          <w:b/>
          <w:color w:val="000000"/>
          <w:sz w:val="22"/>
          <w:u w:val="single"/>
        </w:rPr>
        <w:t>Maximum Annual Compensation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 aggregate amount of compensation, including both equity compensation and cash compensation, paid to any Outside Director in a calendar year period shall not exceed $500,000; provided, however that such amount shall not exceed $750,000 for the calendar year in which the applicable Outside Director is initially elected or appointed to the Board (or such other limit as may be set forth in Section 3(b) of the 2021 Plan or any similar provision of a successor plan). For this purpose, the “amount” of equity compensation paid in a calendar year shall be determined based on the grant date fair value thereof, as determined in accordance with ASC 718 or its successor provision, but excluding the impact of estimated forfeitures related to service-based vesting conditions.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Originally adopted: February 10, 2021; most recently amended and restated on April 23,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Helvetica;sans-serif" w:hAnsi="Helvetica;sans-serif"/>
          <w:b/>
          <w:color w:val="000000"/>
          <w:sz w:val="20"/>
        </w:rPr>
      </w:pPr>
      <w:r>
        <w:rPr>
          <w:rFonts w:ascii="Helvetica;sans-serif" w:hAnsi="Helvetica;sans-serif"/>
          <w:b/>
          <w:color w:val="000000"/>
          <w:sz w:val="20"/>
        </w:rPr>
        <w:t>Exhibit 10.2</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THREDUP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NON-EMPLOYEE DIRECTORS’ DEFERRED COMPENSATION PROGRAM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“PROGRAM”) RULES AND CONDITIONS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The following rules and conditions have been adopted by the Board of Directors of ThredUp Inc. (the “Company”) to govern the deferral of Restricted Stock Units by Non-Employee Directors pursuant to the ThredUp Inc. 2021 Stock Option and Incentive Plan (the “Stock Plan”) and the ThredUp Inc. Amended and Restated Non-Employee Director Compensation Policy (the “Policy”). Capitalized terms used but not defined herein shall have the meaning given such terms in the Stock Plan. The Program is an unfunded arrangement established and maintained primarily for the benefit of directors and is intended to be exempt from the participation, vesting, funding, and fiduciary requirements set forth in Title I of the Employee Retirement Income Security Act of 1974, as amended (“ERISA”). To the extent required by law, the terms of this Program applicable to Non-Employee Directors shall also constitute a separate written plan document with its terms set forth in the applicable portions of this Program.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1. </w:t>
      </w:r>
      <w:r>
        <w:rPr>
          <w:rFonts w:ascii="Times New Roman;serif" w:hAnsi="Times New Roman;serif"/>
          <w:b w:val="false"/>
          <w:color w:val="000000"/>
          <w:sz w:val="24"/>
          <w:u w:val="single"/>
        </w:rPr>
        <w:t>Election to Defer Restricted Stock Units</w:t>
      </w:r>
      <w:r>
        <w:rPr>
          <w:rFonts w:ascii="Times New Roman;serif" w:hAnsi="Times New Roman;serif"/>
          <w:b w:val="false"/>
          <w:color w:val="000000"/>
          <w:sz w:val="24"/>
        </w:rPr>
        <w:t>. A Non-Employee Director may elect in advance to defer the receipt of (i) any cash retainers under the Policy that the Non-Employee Director is paid in the form of fully vested Restricted Stock Units under the Stock Plan and/or (ii) the initial and/or annual grant of Restricted Stock Units made to such Non-Employee Director pursuant to the Policy under the Stock Plan (such grants, the “Equity Retainers”). To make such an election, except with respect to a newly elected or appointed Non-Employee Director, or in connection with the establishment of this Program, the Non-Employee Director must execute and deliver to the Company a deferral election form before the end of the calendar year preceding the calendar year in which the applicable Equity Retainer is scheduled to be earned and granted. Non-Employee Directors on the Effective Date shall be permitted, within 30 days of the Effective Date, to file a deferral election which shall apply only to Equity Retainers that are awarded subsequent to the election. A newly elected or appointed Non-Employee Director, may, upon (but no later than 30 days after) becoming a Non-Employee Director, file a deferral election with respect to the Equity Retainers that are awarded subsequent to the election. An election shall remain in effect from year to year until revoked in writing by the Non-Employee Director, but any revocation shall become effective only with respect to Equity Retainers that are granted in calendar years beginning after receipt and acceptance by the Company of a written revocation</w:t>
      </w:r>
      <w:r>
        <w:rPr>
          <w:rFonts w:ascii="Times New Roman;serif" w:hAnsi="Times New Roman;serif"/>
          <w:b w:val="false"/>
          <w:i/>
          <w:color w:val="000000"/>
          <w:sz w:val="24"/>
        </w:rPr>
        <w:t>.</w:t>
      </w:r>
      <w:r>
        <w:rPr>
          <w:color w:val="000000"/>
        </w:rPr>
        <w:t> </w:t>
      </w:r>
      <w:r>
        <w:rPr>
          <w:rFonts w:ascii="Times New Roman;serif" w:hAnsi="Times New Roman;serif"/>
          <w:b w:val="false"/>
          <w:color w:val="000000"/>
          <w:sz w:val="24"/>
        </w:rPr>
        <w:t>All elections (including revocation thereof) must be made during an open window period while the Non-Employee Director is not in possession of any material non-public information relating to the Company.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2. </w:t>
      </w:r>
      <w:r>
        <w:rPr>
          <w:rFonts w:ascii="Times New Roman;serif" w:hAnsi="Times New Roman;serif"/>
          <w:b w:val="false"/>
          <w:color w:val="000000"/>
          <w:sz w:val="24"/>
          <w:u w:val="single"/>
        </w:rPr>
        <w:t>Deferred Account</w:t>
      </w:r>
      <w:r>
        <w:rPr>
          <w:rFonts w:ascii="Times New Roman;serif" w:hAnsi="Times New Roman;serif"/>
          <w:b w:val="false"/>
          <w:color w:val="000000"/>
          <w:sz w:val="24"/>
        </w:rPr>
        <w:t>. Upon the vesting of any Equity Retainer awarded to any Non-Employee Director who has elected to defer his or her Equity Retainer(s) pursuant to this Program, any shares of Stock that would otherwise have been issued to the Non-Employee Director upon such vesting shall be converted to deferred stock units on a one-to-one basis and credited to the Non-Employee Director’s deferred account (“Account”).</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24"/>
        </w:rPr>
        <w:t>3. </w:t>
      </w:r>
      <w:r>
        <w:rPr>
          <w:rFonts w:ascii="Times New Roman;serif" w:hAnsi="Times New Roman;serif"/>
          <w:b w:val="false"/>
          <w:color w:val="000000"/>
          <w:sz w:val="24"/>
          <w:u w:val="single"/>
        </w:rPr>
        <w:t>Dividend Equivalent Amounts</w:t>
      </w:r>
      <w:r>
        <w:rPr>
          <w:rFonts w:ascii="Times New Roman;serif" w:hAnsi="Times New Roman;serif"/>
          <w:b w:val="false"/>
          <w:color w:val="000000"/>
          <w:sz w:val="24"/>
        </w:rPr>
        <w:t xml:space="preserve">. If dividends (other than dividends payable only in shares of Stock) are paid with respect to Stock, each Account shall be credited with a number of whole and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fractional stock units determined by multiplying the dividend value per share by the stock unit balance of the Account on the record date and dividing the result by the Fair Market Value of a share of Stock on the dividend payment date.</w:t>
      </w:r>
    </w:p>
    <w:p>
      <w:pPr>
        <w:pStyle w:val="TextBody"/>
        <w:bidi w:val="0"/>
        <w:spacing w:lineRule="auto" w:line="288" w:before="0" w:after="0"/>
        <w:jc w:val="left"/>
        <w:rPr/>
      </w:pPr>
      <w:r>
        <w:rPr>
          <w:rFonts w:ascii="Times New Roman;serif" w:hAnsi="Times New Roman;serif"/>
          <w:b w:val="false"/>
          <w:color w:val="000000"/>
          <w:sz w:val="24"/>
        </w:rPr>
        <w:t>4. </w:t>
      </w:r>
      <w:r>
        <w:rPr>
          <w:rFonts w:ascii="Times New Roman;serif" w:hAnsi="Times New Roman;serif"/>
          <w:b w:val="false"/>
          <w:color w:val="000000"/>
          <w:sz w:val="24"/>
          <w:u w:val="single"/>
        </w:rPr>
        <w:t>Period of Deferral</w:t>
      </w:r>
      <w:r>
        <w:rPr>
          <w:rFonts w:ascii="Times New Roman;serif" w:hAnsi="Times New Roman;serif"/>
          <w:b w:val="false"/>
          <w:color w:val="000000"/>
          <w:sz w:val="24"/>
        </w:rPr>
        <w:t>. The deferred stock units in each Account shall be deferred until, and the period of deferral shall cease upon, the earliest of (a) 30 days after a Non-Employee Director ceases to serve as a member of the Board of Directors of the Company and incurs a “separation from service” within the meaning of Section 409A of the Internal Revenue Code of 1986, as amended, and the regulations promulgated thereunder (“Section 409A”), (b) the consummation of a Sale Event (as defined in the Stock Plan) so long as such Sale Event constitutes a “change in the ownership or effective control of the Company, or in the ownership of a substantial portion of the assets of the Company” within the meaning of Section 409A (a “Change in Control”) or (c) 30 days after the date of a Non-Employee Director’s death.</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5. </w:t>
      </w:r>
      <w:r>
        <w:rPr>
          <w:rFonts w:ascii="Times New Roman;serif" w:hAnsi="Times New Roman;serif"/>
          <w:b w:val="false"/>
          <w:color w:val="000000"/>
          <w:sz w:val="24"/>
          <w:u w:val="single"/>
        </w:rPr>
        <w:t>Designation of Beneficiary</w:t>
      </w:r>
      <w:r>
        <w:rPr>
          <w:rFonts w:ascii="Times New Roman;serif" w:hAnsi="Times New Roman;serif"/>
          <w:b w:val="false"/>
          <w:color w:val="000000"/>
          <w:sz w:val="24"/>
        </w:rPr>
        <w:t>. A Non-Employee Director may designate one or more beneficiaries to receive payments from his or her Account in the event of his or her death. A designation of beneficiary may apply to a specified percentage of a Non- Employee Director’s entire interest in his or her Account. Such designation, or any change therein, must be in writing and shall be effective upon receipt by the Company. If there is no effective designation of beneficiary, or if no beneficiary survives the Non-Employee Director, the estate of the Non-Employee Director shall be deemed to be the beneficiary. All payments to a beneficiary or estate shall be made in a lump sum in shares of Stock, with any fractional share paid in cash.</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6. </w:t>
      </w:r>
      <w:r>
        <w:rPr>
          <w:rFonts w:ascii="Times New Roman;serif" w:hAnsi="Times New Roman;serif"/>
          <w:b w:val="false"/>
          <w:color w:val="000000"/>
          <w:sz w:val="24"/>
          <w:u w:val="single"/>
        </w:rPr>
        <w:t>Payment</w:t>
      </w:r>
      <w:r>
        <w:rPr>
          <w:rFonts w:ascii="Times New Roman;serif" w:hAnsi="Times New Roman;serif"/>
          <w:b w:val="false"/>
          <w:color w:val="000000"/>
          <w:sz w:val="24"/>
        </w:rPr>
        <w:t>. All amounts credited to a Non-Employee Director’s Account shall be paid in shares of Stock to the Non-Employee Director, or his or her designated beneficiary (or beneficiaries) or estate, in a single lump sum as soon as practicable (but in no event later than 30 days) after the end of the first applicable period of deferral specified in Section 4 (above) occurs; provided, however, that fractional shares shall be paid in cash.</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7. </w:t>
      </w:r>
      <w:r>
        <w:rPr>
          <w:rFonts w:ascii="Times New Roman;serif" w:hAnsi="Times New Roman;serif"/>
          <w:b w:val="false"/>
          <w:color w:val="000000"/>
          <w:sz w:val="24"/>
          <w:u w:val="single"/>
        </w:rPr>
        <w:t>Adjustments</w:t>
      </w:r>
      <w:r>
        <w:rPr>
          <w:rFonts w:ascii="Times New Roman;serif" w:hAnsi="Times New Roman;serif"/>
          <w:b w:val="false"/>
          <w:color w:val="000000"/>
          <w:sz w:val="24"/>
        </w:rPr>
        <w:t>. In the event of a stock dividend, stock split or similar change in capitalization affecting the Stock, the Company shall make appropriate adjustments in the number of stock units credited to the Non-Employee Directors’ Accounts.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8. </w:t>
      </w:r>
      <w:r>
        <w:rPr>
          <w:rFonts w:ascii="Times New Roman;serif" w:hAnsi="Times New Roman;serif"/>
          <w:b w:val="false"/>
          <w:color w:val="000000"/>
          <w:sz w:val="24"/>
          <w:u w:val="single"/>
        </w:rPr>
        <w:t>Non-transferability of Rights</w:t>
      </w:r>
      <w:r>
        <w:rPr>
          <w:rFonts w:ascii="Times New Roman;serif" w:hAnsi="Times New Roman;serif"/>
          <w:b w:val="false"/>
          <w:color w:val="000000"/>
          <w:sz w:val="24"/>
        </w:rPr>
        <w:t>. During a Non-Employee Director’s lifetime, any payment under this Program shall be made only to the Non-Employee Director. No sum or other interest under this deferred compensation arrangement shall be subject in any manner to anticipation, alienation, sale, transfer, assignment, pledge, encumbrance or charge, and any attempt by a Non-Employee Director or any beneficiary under this Program to do so shall be void. No interest under this deferred compensation arrangement shall in any manner be liable for or subject to the debts, contracts, liabilities, engagements or torts of a Non-Employee Director or beneficiary entitled thereto. Notwithstanding the foregoing, the Company may make payments to an individual other than a Non-Employee Director to the extent required by a domestic relations order.</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24"/>
        </w:rPr>
        <w:t>9. </w:t>
      </w:r>
      <w:r>
        <w:rPr>
          <w:rFonts w:ascii="Times New Roman;serif" w:hAnsi="Times New Roman;serif"/>
          <w:b w:val="false"/>
          <w:color w:val="000000"/>
          <w:sz w:val="24"/>
          <w:u w:val="single"/>
        </w:rPr>
        <w:t>Company’s Obligations to Be Unfunded and Unsecured</w:t>
      </w:r>
      <w:r>
        <w:rPr>
          <w:rFonts w:ascii="Times New Roman;serif" w:hAnsi="Times New Roman;serif"/>
          <w:b w:val="false"/>
          <w:color w:val="000000"/>
          <w:sz w:val="24"/>
        </w:rPr>
        <w:t xml:space="preserve">. The Accounts maintained under this Program shall at all times be entirely unfunded, and no provision shall at any time be made with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85445"/>
                <wp:effectExtent l="0" t="0" r="0" b="0"/>
                <wp:wrapNone/>
                <wp:docPr id="35" name="Frame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respect to segregating assets of the Company (including Stock) for payment of any amounts hereunder. No Non-Employee Director or other person shall have any interest in any particular assets of the Company (including Stock) by reason of the right to receive payment under this Program, and any Non-Employee Director or other person shall have only the rights of a general unsecured creditor of the Company with respect to any rights under this Program.</w:t>
      </w:r>
    </w:p>
    <w:p>
      <w:pPr>
        <w:pStyle w:val="TextBody"/>
        <w:bidi w:val="0"/>
        <w:spacing w:lineRule="auto" w:line="288" w:before="0" w:after="0"/>
        <w:jc w:val="left"/>
        <w:rPr/>
      </w:pPr>
      <w:r>
        <w:rPr>
          <w:rFonts w:ascii="Times New Roman;serif" w:hAnsi="Times New Roman;serif"/>
          <w:b w:val="false"/>
          <w:color w:val="000000"/>
          <w:sz w:val="24"/>
        </w:rPr>
        <w:t>10. </w:t>
      </w:r>
      <w:r>
        <w:rPr>
          <w:rFonts w:ascii="Times New Roman;serif" w:hAnsi="Times New Roman;serif"/>
          <w:b w:val="false"/>
          <w:color w:val="000000"/>
          <w:sz w:val="24"/>
          <w:u w:val="single"/>
        </w:rPr>
        <w:t>Section 409A</w:t>
      </w:r>
      <w:r>
        <w:rPr>
          <w:rFonts w:ascii="Times New Roman;serif" w:hAnsi="Times New Roman;serif"/>
          <w:b w:val="false"/>
          <w:color w:val="000000"/>
          <w:sz w:val="24"/>
        </w:rPr>
        <w:t>. This Program is intended to be a compliant deferred compensation plan under Section 409A and shall be administered in accordance with the requirements of Section 409A. To the extent that any provision of this Program is ambiguous as to its compliance with Section 409A of the Code, the provision shall be read in such a manner so that all payments hereunder comply with Section 409A of the Code. This Program may be amended, as reasonably determined by the Board, and as may be necessary to fully comply with Section 409A of the Code and all related rules and regulations in order to preserve the payments and benefits provided hereunder without additional cost to either party.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11. </w:t>
      </w:r>
      <w:r>
        <w:rPr>
          <w:rFonts w:ascii="Times New Roman;serif" w:hAnsi="Times New Roman;serif"/>
          <w:b w:val="false"/>
          <w:color w:val="000000"/>
          <w:sz w:val="24"/>
          <w:u w:val="single"/>
        </w:rPr>
        <w:t>Incorporation of Plan</w:t>
      </w:r>
      <w:r>
        <w:rPr>
          <w:rFonts w:ascii="Times New Roman;serif" w:hAnsi="Times New Roman;serif"/>
          <w:b w:val="false"/>
          <w:color w:val="000000"/>
          <w:sz w:val="24"/>
        </w:rPr>
        <w:t>. This Program shall be subject to the terms and conditions of the Stock Plan and the Policy. Capitalized terms in this document shall have the meaning specified in the Stock Plan, unless a different meaning is specified herein.</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Adopted as of April 23, 2026 (the “Effective Date”)</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85445"/>
                <wp:effectExtent l="0" t="0" r="0" b="0"/>
                <wp:wrapNone/>
                <wp:docPr id="36" name="Frame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center"/>
        <w:rPr>
          <w:rFonts w:ascii="Arial;sans-serif" w:hAnsi="Arial;sans-serif"/>
          <w:b/>
          <w:color w:val="000000"/>
          <w:sz w:val="28"/>
        </w:rPr>
      </w:pPr>
      <w:r>
        <w:rPr>
          <w:rFonts w:ascii="Arial;sans-serif" w:hAnsi="Arial;sans-serif"/>
          <w:b/>
          <w:color w:val="000000"/>
          <w:sz w:val="28"/>
        </w:rPr>
        <w:t>RESTRICTED STOCK UNIT AWARD AGREEMENT</w:t>
        <w:br/>
        <w:t xml:space="preserve">FOR NON-EMPLOYEE DIRECTORS </w:t>
        <w:br/>
        <w:t>UNDER THE THREDUP INC.</w:t>
        <w:br/>
        <w:t>2021 STOCK OPTION AND INCENTIVE PLAN</w:t>
      </w:r>
    </w:p>
    <w:p>
      <w:pPr>
        <w:pStyle w:val="TextBody"/>
        <w:bidi w:val="0"/>
        <w:spacing w:lineRule="auto" w:line="288" w:before="0" w:after="240"/>
        <w:jc w:val="left"/>
        <w:rPr/>
      </w:pPr>
      <w:r>
        <w:rPr>
          <w:rFonts w:ascii="Times New Roman;serif" w:hAnsi="Times New Roman;serif"/>
          <w:b w:val="false"/>
          <w:color w:val="000000"/>
          <w:sz w:val="24"/>
        </w:rPr>
        <w:t>Name of Grantee: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No. of Restricted Stock Units: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Grant Date:    </w:t>
      </w:r>
      <w:r>
        <w:rPr>
          <w:color w:val="000000"/>
          <w:u w:val="single"/>
        </w:rPr>
        <w:t>    </w:t>
      </w:r>
    </w:p>
    <w:p>
      <w:pPr>
        <w:pStyle w:val="TextBody"/>
        <w:bidi w:val="0"/>
        <w:spacing w:lineRule="auto" w:line="288" w:before="48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Pursuant to the ThredUp Inc. 2021 Stock Option and Incentive Plan as amended through the date hereof (the “Plan”), ThredUp Inc. (the “Company”) hereby grants an award of the number of Restricted Stock Units listed above (an “Award”) to the Grantee named above. Each Restricted Stock Unit shall relate to one share of Class A common stock of the Company, par value $0.0001 per share (the “Stock”) of the Company. Reference is also made to the Rules and Conditions for the ThredUp, Inc. Non-Employee Directors’ Deferred Compensation Program (the “Program”) and the Grantee’s deferral election thereunder.</w:t>
      </w:r>
    </w:p>
    <w:p>
      <w:pPr>
        <w:pStyle w:val="TextBody"/>
        <w:bidi w:val="0"/>
        <w:spacing w:lineRule="auto" w:line="240" w:before="0" w:after="240"/>
        <w:ind w:left="0" w:right="0" w:firstLine="72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Restrictions on Transfer of Award</w:t>
      </w:r>
      <w:r>
        <w:rPr>
          <w:rFonts w:ascii="Times New Roman;serif" w:hAnsi="Times New Roman;serif"/>
          <w:b w:val="false"/>
          <w:color w:val="000000"/>
          <w:sz w:val="24"/>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pStyle w:val="TextBody"/>
        <w:bidi w:val="0"/>
        <w:spacing w:lineRule="auto" w:line="240" w:before="0" w:after="240"/>
        <w:ind w:left="0" w:right="0" w:firstLine="72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Vesting of Restricted Stock Units</w:t>
      </w:r>
      <w:r>
        <w:rPr>
          <w:rFonts w:ascii="Times New Roman;serif" w:hAnsi="Times New Roman;serif"/>
          <w:b w:val="false"/>
          <w:color w:val="000000"/>
          <w:sz w:val="24"/>
        </w:rPr>
        <w:t>. The restrictions and conditions of Paragraph 1 of this Agreement shall lapse on the Vesting Date or Dates specified in the following schedule so long as the Grantee remains in service as a member of the Board on such Dates. If a series of Vesting Dates is specified, then the restrictions and conditions in Paragraph 1 shall lapse only with respect to the number of Restricted Stock Units specified as vested on such date.</w:t>
      </w:r>
    </w:p>
    <w:tbl>
      <w:tblPr>
        <w:tblW w:w="4903" w:type="dxa"/>
        <w:jc w:val="left"/>
        <w:tblInd w:w="0" w:type="dxa"/>
        <w:tblLayout w:type="fixed"/>
        <w:tblCellMar>
          <w:top w:w="28" w:type="dxa"/>
          <w:left w:w="28" w:type="dxa"/>
          <w:bottom w:w="28" w:type="dxa"/>
          <w:right w:w="28" w:type="dxa"/>
        </w:tblCellMar>
      </w:tblPr>
      <w:tblGrid>
        <w:gridCol w:w="1070"/>
        <w:gridCol w:w="941"/>
        <w:gridCol w:w="943"/>
        <w:gridCol w:w="570"/>
        <w:gridCol w:w="570"/>
        <w:gridCol w:w="809"/>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240"/>
              <w:jc w:val="center"/>
              <w:rPr/>
            </w:pPr>
            <w:r>
              <w:rPr>
                <w:rFonts w:ascii="Times New Roman;serif" w:hAnsi="Times New Roman;serif"/>
                <w:b w:val="false"/>
                <w:color w:val="000000"/>
                <w:sz w:val="24"/>
              </w:rPr>
              <w:t>Incremental Number of</w:t>
              <w:br/>
            </w:r>
            <w:r>
              <w:rPr>
                <w:rFonts w:ascii="Times New Roman;serif" w:hAnsi="Times New Roman;serif"/>
                <w:b w:val="false"/>
                <w:color w:val="000000"/>
                <w:sz w:val="24"/>
                <w:u w:val="single"/>
              </w:rPr>
              <w:t>Restricted Stock Units Vested</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Vesting Date</w:t>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 (___%)</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_______________</w:t>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 (___%)</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_______________</w:t>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 (___%)</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_______________</w:t>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_____________ (___%)</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_______________</w:t>
            </w:r>
          </w:p>
        </w:tc>
      </w:tr>
    </w:tbl>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the event of a Sale Event, 100% of the Restricted Stock Units shall become vested immediately prior to the consummation of such Sale Event, subject to the Grantee remaining in service as a member of the Board through such Sale Event. The Administrator may at any time accelerate the vesting schedule specified in this Paragraph 2.</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85445"/>
                <wp:effectExtent l="0" t="0" r="0" b="0"/>
                <wp:wrapNone/>
                <wp:docPr id="37" name="Frame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Termination of Service as a Non-Employee Director</w:t>
      </w:r>
      <w:r>
        <w:rPr>
          <w:rFonts w:ascii="Times New Roman;serif" w:hAnsi="Times New Roman;serif"/>
          <w:b w:val="false"/>
          <w:color w:val="000000"/>
          <w:sz w:val="24"/>
        </w:rPr>
        <w:t>. If the Grantee’s service with the Company and its Affiliates as a member of the Board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 For purposes hereof, “Disability” shall mean the Grantee’s physical or mental condition that renders the Grantee unable to substantially perform for a period of 90 aggregate days (regardless of whether or not continuous) during any 360 day period, Grantee’s regular responsibilities to the Company, with or without a reasonable accommodation.</w:t>
      </w:r>
    </w:p>
    <w:p>
      <w:pPr>
        <w:pStyle w:val="TextBody"/>
        <w:bidi w:val="0"/>
        <w:spacing w:lineRule="auto" w:line="240" w:before="0" w:after="240"/>
        <w:ind w:left="0" w:right="0" w:firstLine="72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Issuance of Shares of Stock</w:t>
      </w:r>
      <w:r>
        <w:rPr>
          <w:rFonts w:ascii="Times New Roman;serif" w:hAnsi="Times New Roman;serif"/>
          <w:b w:val="false"/>
          <w:color w:val="000000"/>
          <w:sz w:val="24"/>
        </w:rPr>
        <w:t>. The Company shall issue to the Grantee the number of shares of Stock equal to the aggregate number of Restricted Stock Units that have vested pursuant to Paragraph 2 of this Agreement on such date as specified in the Program in accordance with the terms and conditions of the Program and the Grantee shall thereafter have all the rights of a stockholder of the Company with respect to such shares.</w:t>
      </w:r>
    </w:p>
    <w:p>
      <w:pPr>
        <w:pStyle w:val="TextBody"/>
        <w:bidi w:val="0"/>
        <w:spacing w:lineRule="auto" w:line="240" w:before="0" w:after="240"/>
        <w:ind w:left="0" w:right="0" w:firstLine="720"/>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Incorporation of Plan and Program</w:t>
      </w:r>
      <w:r>
        <w:rPr>
          <w:rFonts w:ascii="Times New Roman;serif" w:hAnsi="Times New Roman;serif"/>
          <w:b w:val="false"/>
          <w:color w:val="000000"/>
          <w:sz w:val="24"/>
        </w:rPr>
        <w:t>. Notwithstanding anything herein to the contrary, this Agreement shall be subject to and governed by all the terms and conditions of the Plan and the Program, including the powers of the Administrator set forth in Section 2(b) of the Plan. Capitalized terms in this Agreement shall have the meaning specified in the Plan and the Program, unless a different meaning is specified herein.</w:t>
      </w:r>
    </w:p>
    <w:p>
      <w:pPr>
        <w:pStyle w:val="TextBody"/>
        <w:bidi w:val="0"/>
        <w:spacing w:lineRule="auto" w:line="240" w:before="0" w:after="240"/>
        <w:ind w:left="0" w:right="0" w:firstLine="72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Section 409A of the Code.</w:t>
      </w:r>
      <w:r>
        <w:rPr>
          <w:color w:val="000000"/>
        </w:rPr>
        <w:t xml:space="preserve"> </w:t>
      </w:r>
      <w:r>
        <w:rPr>
          <w:rFonts w:ascii="Times New Roman;serif" w:hAnsi="Times New Roman;serif"/>
          <w:b w:val="false"/>
          <w:color w:val="000000"/>
          <w:sz w:val="24"/>
        </w:rPr>
        <w:t>This Agreement is intended to be a compliant deferred compensation plan under Section 409A and shall be administered and interpreted in accordance with the requirements of Section 409A. If the Grantee is a specified employee (as defined in Section 409A of the Code) at the time of his or her separation from service and the Restricted Stock Units are settled on account of such separation from service, then the settlement shall be delayed for six months or until the Grantee’s death, if earlier, to the extent required to avoid adverse taxation under Section 409A of the Code.</w:t>
      </w:r>
    </w:p>
    <w:p>
      <w:pPr>
        <w:pStyle w:val="TextBody"/>
        <w:bidi w:val="0"/>
        <w:spacing w:lineRule="auto" w:line="240" w:before="0" w:after="240"/>
        <w:ind w:left="0" w:right="0" w:firstLine="720"/>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No Obligation to Continue as a Non-Employee Director</w:t>
      </w:r>
      <w:r>
        <w:rPr>
          <w:rFonts w:ascii="Times New Roman;serif" w:hAnsi="Times New Roman;serif"/>
          <w:b w:val="false"/>
          <w:color w:val="000000"/>
          <w:sz w:val="24"/>
        </w:rPr>
        <w:t>. Neither the Plan nor this Award confers upon the Grantee any rights with respect to continuance as a Non-Employee Director.</w:t>
      </w:r>
    </w:p>
    <w:p>
      <w:pPr>
        <w:pStyle w:val="TextBody"/>
        <w:bidi w:val="0"/>
        <w:spacing w:lineRule="auto" w:line="240" w:before="0" w:after="240"/>
        <w:ind w:left="0" w:right="0" w:firstLine="720"/>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Integration</w:t>
      </w:r>
      <w:r>
        <w:rPr>
          <w:rFonts w:ascii="Times New Roman;serif" w:hAnsi="Times New Roman;serif"/>
          <w:b w:val="false"/>
          <w:color w:val="000000"/>
          <w:sz w:val="24"/>
        </w:rPr>
        <w:t>. This Agreement and the Program (including any elections thereunder) constitutes the entire agreement between the parties with respect to this Award and supersedes all prior agreements and discussions between the parties concerning such subject matter.</w:t>
      </w:r>
    </w:p>
    <w:p>
      <w:pPr>
        <w:pStyle w:val="TextBody"/>
        <w:bidi w:val="0"/>
        <w:spacing w:lineRule="auto" w:line="240" w:before="0" w:after="240"/>
        <w:ind w:left="0" w:right="0" w:firstLine="720"/>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Tax Withholding</w:t>
      </w:r>
      <w:r>
        <w:rPr>
          <w:rFonts w:ascii="Times New Roman;serif" w:hAnsi="Times New Roman;serif"/>
          <w:b w:val="false"/>
          <w:color w:val="000000"/>
          <w:sz w:val="24"/>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Grantee a number of shares of Stock with an aggregate fair market value that would satisfy the withholding amount due; or (ii) causing its transfer agent to sell from the number of shares of Stock to be issued to the Grantee, the number of shares of Stock necessary to satisfy the Federal, state and local taxes required by law to be withheld from the Grantee on account of such transfer.</w:t>
      </w:r>
    </w:p>
    <w:p>
      <w:pPr>
        <w:pStyle w:val="TextBody"/>
        <w:bidi w:val="0"/>
        <w:spacing w:lineRule="auto" w:line="240" w:before="0" w:after="240"/>
        <w:ind w:left="0" w:right="0" w:firstLine="720"/>
        <w:jc w:val="left"/>
        <w:rPr/>
      </w:pPr>
      <w:r>
        <w:rPr>
          <w:rFonts w:ascii="Times New Roman;serif" w:hAnsi="Times New Roman;serif"/>
          <w:b w:val="false"/>
          <w:color w:val="000000"/>
          <w:sz w:val="24"/>
        </w:rPr>
        <w:t>10.</w:t>
      </w:r>
      <w:r>
        <w:rPr>
          <w:rFonts w:ascii="Times New Roman;serif" w:hAnsi="Times New Roman;serif"/>
          <w:b w:val="false"/>
          <w:color w:val="000000"/>
          <w:sz w:val="24"/>
          <w:u w:val="single"/>
        </w:rPr>
        <w:t>Data Privacy Consent</w:t>
      </w:r>
      <w:r>
        <w:rPr>
          <w:rFonts w:ascii="Times New Roman;serif" w:hAnsi="Times New Roman;serif"/>
          <w:b w:val="false"/>
          <w:color w:val="000000"/>
          <w:sz w:val="24"/>
        </w:rPr>
        <w:t xml:space="preserve">. In order to administer the Plan and this Agreement and to implement or structure future equity grants, the Company, its subsidiaries and affiliates and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85445"/>
                <wp:effectExtent l="0" t="0" r="0" b="0"/>
                <wp:wrapNone/>
                <wp:docPr id="38" name="Frame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pStyle w:val="TextBody"/>
        <w:bidi w:val="0"/>
        <w:spacing w:lineRule="auto" w:line="240" w:before="0" w:after="240"/>
        <w:ind w:left="0" w:right="0" w:firstLine="720"/>
        <w:jc w:val="left"/>
        <w:rPr/>
      </w:pPr>
      <w:r>
        <w:rPr>
          <w:rFonts w:ascii="Times New Roman;serif" w:hAnsi="Times New Roman;serif"/>
          <w:b w:val="false"/>
          <w:color w:val="000000"/>
          <w:sz w:val="24"/>
        </w:rPr>
        <w:t>11.</w:t>
      </w:r>
      <w:r>
        <w:rPr>
          <w:rFonts w:ascii="Times New Roman;serif" w:hAnsi="Times New Roman;serif"/>
          <w:b w:val="false"/>
          <w:color w:val="000000"/>
          <w:sz w:val="24"/>
          <w:u w:val="single"/>
        </w:rPr>
        <w:t>Notices</w:t>
      </w:r>
      <w:r>
        <w:rPr>
          <w:rFonts w:ascii="Times New Roman;serif" w:hAnsi="Times New Roman;serif"/>
          <w:b w:val="false"/>
          <w:color w:val="000000"/>
          <w:sz w:val="24"/>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pStyle w:val="TextBody"/>
        <w:bidi w:val="0"/>
        <w:spacing w:before="0" w:after="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85445"/>
                <wp:effectExtent l="0" t="0" r="0" b="0"/>
                <wp:wrapNone/>
                <wp:docPr id="39" name="Frame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720"/>
        <w:jc w:val="left"/>
        <w:rPr>
          <w:rFonts w:ascii="Times New Roman;serif" w:hAnsi="Times New Roman;serif"/>
          <w:b/>
          <w:color w:val="000000"/>
          <w:sz w:val="24"/>
        </w:rPr>
      </w:pPr>
      <w:r>
        <w:rPr>
          <w:rFonts w:ascii="Times New Roman;serif" w:hAnsi="Times New Roman;serif"/>
          <w:b/>
          <w:color w:val="000000"/>
          <w:sz w:val="24"/>
        </w:rPr>
        <w:t>THREDUP INC.</w:t>
      </w:r>
    </w:p>
    <w:p>
      <w:pPr>
        <w:pStyle w:val="TextBody"/>
        <w:bidi w:val="0"/>
        <w:spacing w:lineRule="auto" w:line="288" w:before="0" w:after="0"/>
        <w:jc w:val="left"/>
        <w:rPr/>
      </w:pPr>
      <w:r>
        <w:rPr>
          <w:rFonts w:ascii="Times New Roman;serif" w:hAnsi="Times New Roman;serif"/>
          <w:b w:val="false"/>
          <w:color w:val="000000"/>
          <w:sz w:val="24"/>
        </w:rPr>
        <w:t>By:    </w:t>
      </w:r>
      <w:r>
        <w:rPr>
          <w:color w:val="000000"/>
          <w:u w:val="single"/>
        </w:rPr>
        <w:t>    </w:t>
      </w:r>
    </w:p>
    <w:p>
      <w:pPr>
        <w:pStyle w:val="TextBody"/>
        <w:bidi w:val="0"/>
        <w:spacing w:lineRule="auto" w:line="288" w:before="0" w:after="480"/>
        <w:jc w:val="left"/>
        <w:rPr>
          <w:color w:val="000000"/>
        </w:rPr>
      </w:pPr>
      <w:r>
        <w:rPr>
          <w:color w:val="000000"/>
        </w:rPr>
        <w:t>    </w:t>
      </w:r>
      <w:r>
        <w:rPr>
          <w:rFonts w:ascii="Times New Roman;serif" w:hAnsi="Times New Roman;serif"/>
          <w:b w:val="false"/>
          <w:color w:val="000000"/>
          <w:sz w:val="24"/>
        </w:rPr>
        <w:t>Title: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pStyle w:val="TextBody"/>
        <w:bidi w:val="0"/>
        <w:spacing w:lineRule="auto" w:line="288" w:before="0" w:after="0"/>
        <w:jc w:val="left"/>
        <w:rPr/>
      </w:pPr>
      <w:r>
        <w:rPr>
          <w:rFonts w:ascii="Times New Roman;serif" w:hAnsi="Times New Roman;serif"/>
          <w:b w:val="false"/>
          <w:color w:val="000000"/>
          <w:sz w:val="24"/>
        </w:rPr>
        <w:t>Dated:    </w:t>
      </w:r>
      <w:r>
        <w:rPr>
          <w:color w:val="000000"/>
          <w:u w:val="single"/>
        </w:rPr>
        <w:t>    </w:t>
      </w:r>
      <w:r>
        <w:rPr>
          <w:color w:val="000000"/>
        </w:rPr>
        <w:t>    </w:t>
      </w:r>
      <w:r>
        <w:rPr>
          <w:color w:val="000000"/>
          <w:u w:val="single"/>
        </w:rPr>
        <w:t>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Grantee’s Signature</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Grantee’s name and address:</w:t>
      </w:r>
    </w:p>
    <w:p>
      <w:pPr>
        <w:pStyle w:val="TextBody"/>
        <w:bidi w:val="0"/>
        <w:spacing w:lineRule="auto" w:line="288" w:before="0" w:after="240"/>
        <w:jc w:val="left"/>
        <w:rPr>
          <w:color w:val="000000"/>
          <w:u w:val="single"/>
        </w:rPr>
      </w:pPr>
      <w:r>
        <w:rPr>
          <w:color w:val="000000"/>
          <w:u w:val="single"/>
        </w:rPr>
        <w:t>    </w:t>
      </w:r>
    </w:p>
    <w:p>
      <w:pPr>
        <w:pStyle w:val="TextBody"/>
        <w:bidi w:val="0"/>
        <w:spacing w:lineRule="auto" w:line="288" w:before="0" w:after="240"/>
        <w:jc w:val="left"/>
        <w:rPr>
          <w:color w:val="000000"/>
          <w:u w:val="single"/>
        </w:rPr>
      </w:pPr>
      <w:r>
        <w:rPr>
          <w:color w:val="000000"/>
          <w:u w:val="single"/>
        </w:rPr>
        <w:t>    </w:t>
      </w:r>
    </w:p>
    <w:p>
      <w:pPr>
        <w:pStyle w:val="TextBody"/>
        <w:bidi w:val="0"/>
        <w:spacing w:lineRule="auto" w:line="288" w:before="0" w:after="240"/>
        <w:jc w:val="left"/>
        <w:rPr>
          <w:color w:val="000000"/>
          <w:u w:val="single"/>
        </w:rPr>
      </w:pPr>
      <w:r>
        <w:rPr>
          <w:color w:val="000000"/>
          <w:u w:val="single"/>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85445"/>
                <wp:effectExtent l="0" t="0" r="0" b="0"/>
                <wp:wrapNone/>
                <wp:docPr id="40" name="Frame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Helvetica;sans-serif" w:hAnsi="Helvetica;sans-serif"/>
          <w:b/>
          <w:color w:val="000000"/>
          <w:sz w:val="20"/>
        </w:rPr>
      </w:pPr>
      <w:r>
        <w:rPr>
          <w:rFonts w:ascii="Helvetica;sans-serif" w:hAnsi="Helvetica;sans-serif"/>
          <w:b/>
          <w:color w:val="000000"/>
          <w:sz w:val="20"/>
        </w:rPr>
        <w:t>Exhibit 31.1</w:t>
      </w:r>
    </w:p>
    <w:p>
      <w:pPr>
        <w:pStyle w:val="TextBody"/>
        <w:bidi w:val="0"/>
        <w:spacing w:lineRule="auto" w:line="288" w:before="240" w:after="283"/>
        <w:jc w:val="center"/>
        <w:rPr>
          <w:rFonts w:ascii="Helvetica;sans-serif" w:hAnsi="Helvetica;sans-serif"/>
          <w:b/>
          <w:color w:val="000000"/>
          <w:sz w:val="20"/>
        </w:rPr>
      </w:pPr>
      <w:r>
        <w:rPr>
          <w:rFonts w:ascii="Helvetica;sans-serif" w:hAnsi="Helvetica;sans-serif"/>
          <w:b/>
          <w:color w:val="000000"/>
          <w:sz w:val="20"/>
        </w:rPr>
        <w:t>CERTIFICATION OF PERIODIC REPORT UNDER SECTION 302 OF</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THE SARBANES-OXLEY ACT OF 2002</w:t>
      </w:r>
    </w:p>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I, James Reinhart, certify that:</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1.I have reviewed this Quarterly Report on Form 10-Q of ThredUp Inc.;</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b.Any fraud, whether or not material, that involves management or other employees who have a significant role in the registrant’s internal control over financial reporting.</w:t>
      </w:r>
    </w:p>
    <w:tbl>
      <w:tblPr>
        <w:tblW w:w="3341" w:type="dxa"/>
        <w:jc w:val="center"/>
        <w:tblInd w:w="0" w:type="dxa"/>
        <w:tblLayout w:type="fixed"/>
        <w:tblCellMar>
          <w:top w:w="28" w:type="dxa"/>
          <w:left w:w="28" w:type="dxa"/>
          <w:bottom w:w="28" w:type="dxa"/>
          <w:right w:w="28" w:type="dxa"/>
        </w:tblCellMar>
      </w:tblPr>
      <w:tblGrid>
        <w:gridCol w:w="124"/>
        <w:gridCol w:w="109"/>
        <w:gridCol w:w="109"/>
        <w:gridCol w:w="134"/>
        <w:gridCol w:w="134"/>
        <w:gridCol w:w="136"/>
        <w:gridCol w:w="759"/>
        <w:gridCol w:w="759"/>
        <w:gridCol w:w="10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JAMES REINHART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James Reinhart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(Principal Executive Officer)</w:t>
            </w:r>
          </w:p>
        </w:tc>
      </w:tr>
    </w:tbl>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Date: August 5,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Helvetica;sans-serif" w:hAnsi="Helvetica;sans-serif"/>
          <w:b/>
          <w:color w:val="000000"/>
          <w:sz w:val="20"/>
        </w:rPr>
      </w:pPr>
      <w:r>
        <w:rPr>
          <w:rFonts w:ascii="Helvetica;sans-serif" w:hAnsi="Helvetica;sans-serif"/>
          <w:b/>
          <w:color w:val="000000"/>
          <w:sz w:val="20"/>
        </w:rPr>
        <w:t>Exhibit 31.2</w:t>
      </w:r>
    </w:p>
    <w:p>
      <w:pPr>
        <w:pStyle w:val="TextBody"/>
        <w:bidi w:val="0"/>
        <w:spacing w:lineRule="auto" w:line="288" w:before="240" w:after="283"/>
        <w:jc w:val="center"/>
        <w:rPr>
          <w:rFonts w:ascii="Helvetica;sans-serif" w:hAnsi="Helvetica;sans-serif"/>
          <w:b/>
          <w:color w:val="000000"/>
          <w:sz w:val="20"/>
        </w:rPr>
      </w:pPr>
      <w:r>
        <w:rPr>
          <w:rFonts w:ascii="Helvetica;sans-serif" w:hAnsi="Helvetica;sans-serif"/>
          <w:b/>
          <w:color w:val="000000"/>
          <w:sz w:val="20"/>
        </w:rPr>
        <w:t>CERTIFICATION OF PERIODIC REPORT UNDER SECTION 302 OF</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THE SARBANES-OXLEY ACT OF 2002</w:t>
      </w:r>
    </w:p>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I, Sean Sobers, certify that:</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1.I have reviewed this Quarterly Report on Form 10-Q of ThredUp Inc.;</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b.Any fraud, whether or not material, that involves management or other employees who have a significant role in the registrant’s internal control over financial reporting.</w:t>
      </w:r>
    </w:p>
    <w:tbl>
      <w:tblPr>
        <w:tblW w:w="4661" w:type="dxa"/>
        <w:jc w:val="center"/>
        <w:tblInd w:w="0" w:type="dxa"/>
        <w:tblLayout w:type="fixed"/>
        <w:tblCellMar>
          <w:top w:w="28" w:type="dxa"/>
          <w:left w:w="28" w:type="dxa"/>
          <w:bottom w:w="28" w:type="dxa"/>
          <w:right w:w="28" w:type="dxa"/>
        </w:tblCellMar>
      </w:tblPr>
      <w:tblGrid>
        <w:gridCol w:w="124"/>
        <w:gridCol w:w="109"/>
        <w:gridCol w:w="109"/>
        <w:gridCol w:w="134"/>
        <w:gridCol w:w="134"/>
        <w:gridCol w:w="136"/>
        <w:gridCol w:w="1142"/>
        <w:gridCol w:w="1142"/>
        <w:gridCol w:w="16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SEAN SOBERS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Sean Sobers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(Principal Financial and Accounting Officer)</w:t>
            </w:r>
          </w:p>
        </w:tc>
      </w:tr>
    </w:tbl>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Date: August 5,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Helvetica;sans-serif" w:hAnsi="Helvetica;sans-serif"/>
          <w:b/>
          <w:color w:val="000000"/>
          <w:sz w:val="20"/>
        </w:rPr>
      </w:pPr>
      <w:r>
        <w:rPr>
          <w:rFonts w:ascii="Helvetica;sans-serif" w:hAnsi="Helvetica;sans-serif"/>
          <w:b/>
          <w:color w:val="000000"/>
          <w:sz w:val="20"/>
        </w:rPr>
        <w:t>Exhibit 32.1</w:t>
      </w:r>
    </w:p>
    <w:p>
      <w:pPr>
        <w:pStyle w:val="TextBody"/>
        <w:bidi w:val="0"/>
        <w:spacing w:lineRule="auto" w:line="288" w:before="240" w:after="283"/>
        <w:jc w:val="center"/>
        <w:rPr>
          <w:rFonts w:ascii="Helvetica;sans-serif" w:hAnsi="Helvetica;sans-serif"/>
          <w:b/>
          <w:color w:val="000000"/>
          <w:sz w:val="20"/>
        </w:rPr>
      </w:pPr>
      <w:r>
        <w:rPr>
          <w:rFonts w:ascii="Helvetica;sans-serif" w:hAnsi="Helvetica;sans-serif"/>
          <w:b/>
          <w:color w:val="000000"/>
          <w:sz w:val="20"/>
        </w:rPr>
        <w:t>CERTIFICATION PURSUANT TO</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18 U.S.C. SECTION 1350</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AS ADOPTED PURSUANT TO SECTION 906</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OF THE SARBANES-OXLEY ACT OF 2002</w:t>
      </w:r>
    </w:p>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I, James Reinhart, Chief Executive Officer of ThredUp Inc. (the “Company”), do hereby certify, pursuant to 18 U.S.C. Section 1350, as adopted pursuant to Section 906 of the Sarbanes-Oxley Act of 2002, that to the best of my knowledge:</w:t>
      </w:r>
    </w:p>
    <w:p>
      <w:pPr>
        <w:pStyle w:val="TextBody"/>
        <w:bidi w:val="0"/>
        <w:spacing w:lineRule="auto" w:line="288" w:before="240" w:after="283"/>
        <w:ind w:left="0" w:right="0" w:hanging="360"/>
        <w:jc w:val="both"/>
        <w:rPr/>
      </w:pPr>
      <w:r>
        <w:rPr>
          <w:color w:val="000000"/>
        </w:rPr>
        <w:t>•</w:t>
      </w:r>
      <w:r>
        <w:rPr>
          <w:rFonts w:ascii="Helvetica;sans-serif" w:hAnsi="Helvetica;sans-serif"/>
          <w:b w:val="false"/>
          <w:color w:val="000000"/>
          <w:sz w:val="20"/>
        </w:rPr>
        <w:t>the Quarterly Report on Form 10-Q of the Company for the quarter ended June 30, 2026 (the “Report”) fully complies with the requirements of Section 13(a) or 15(d) of the Securities Exchange Act of 1934; and</w:t>
      </w:r>
    </w:p>
    <w:p>
      <w:pPr>
        <w:pStyle w:val="TextBody"/>
        <w:bidi w:val="0"/>
        <w:spacing w:lineRule="auto" w:line="288" w:before="240" w:after="283"/>
        <w:ind w:left="0" w:right="0" w:hanging="360"/>
        <w:jc w:val="both"/>
        <w:rPr/>
      </w:pPr>
      <w:r>
        <w:rPr>
          <w:color w:val="000000"/>
        </w:rPr>
        <w:t>•</w:t>
      </w:r>
      <w:r>
        <w:rPr>
          <w:rFonts w:ascii="Helvetica;sans-serif" w:hAnsi="Helvetica;sans-serif"/>
          <w:b w:val="false"/>
          <w:color w:val="000000"/>
          <w:sz w:val="20"/>
        </w:rPr>
        <w:t>the information contained in the Report fairly presents, in all material respects, the financial condition and results of operations of the Company for the periods presented therein.</w:t>
      </w:r>
    </w:p>
    <w:tbl>
      <w:tblPr>
        <w:tblW w:w="3341" w:type="dxa"/>
        <w:jc w:val="center"/>
        <w:tblInd w:w="0" w:type="dxa"/>
        <w:tblLayout w:type="fixed"/>
        <w:tblCellMar>
          <w:top w:w="28" w:type="dxa"/>
          <w:left w:w="28" w:type="dxa"/>
          <w:bottom w:w="28" w:type="dxa"/>
          <w:right w:w="28" w:type="dxa"/>
        </w:tblCellMar>
      </w:tblPr>
      <w:tblGrid>
        <w:gridCol w:w="124"/>
        <w:gridCol w:w="109"/>
        <w:gridCol w:w="109"/>
        <w:gridCol w:w="134"/>
        <w:gridCol w:w="134"/>
        <w:gridCol w:w="136"/>
        <w:gridCol w:w="759"/>
        <w:gridCol w:w="759"/>
        <w:gridCol w:w="10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JAMES REINHART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James Reinhart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(Principal Executive Officer)</w:t>
            </w:r>
          </w:p>
        </w:tc>
      </w:tr>
    </w:tbl>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Date: August 5,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Helvetica;sans-serif" w:hAnsi="Helvetica;sans-serif"/>
          <w:b/>
          <w:color w:val="000000"/>
          <w:sz w:val="20"/>
        </w:rPr>
      </w:pPr>
      <w:r>
        <w:rPr>
          <w:rFonts w:ascii="Helvetica;sans-serif" w:hAnsi="Helvetica;sans-serif"/>
          <w:b/>
          <w:color w:val="000000"/>
          <w:sz w:val="20"/>
        </w:rPr>
        <w:t>Exhibit 32.2</w:t>
      </w:r>
    </w:p>
    <w:p>
      <w:pPr>
        <w:pStyle w:val="TextBody"/>
        <w:bidi w:val="0"/>
        <w:spacing w:lineRule="auto" w:line="288" w:before="240" w:after="283"/>
        <w:jc w:val="center"/>
        <w:rPr>
          <w:rFonts w:ascii="Helvetica;sans-serif" w:hAnsi="Helvetica;sans-serif"/>
          <w:b/>
          <w:color w:val="000000"/>
          <w:sz w:val="20"/>
        </w:rPr>
      </w:pPr>
      <w:r>
        <w:rPr>
          <w:rFonts w:ascii="Helvetica;sans-serif" w:hAnsi="Helvetica;sans-serif"/>
          <w:b/>
          <w:color w:val="000000"/>
          <w:sz w:val="20"/>
        </w:rPr>
        <w:t>CERTIFICATION PURSUANT TO</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18 U.S.C. SECTION 1350</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AS ADOPTED PURSUANT TO SECTION 906</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OF THE SARBANES-OXLEY ACT OF 2002</w:t>
      </w:r>
    </w:p>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I, Sean Sobers, Chief Financial Officer of ThredUp Inc. (the “Company”), do hereby certify, pursuant to 18 U.S.C. Section 1350, as adopted pursuant to Section 906 of the Sarbanes-Oxley Act of 2002, that to the best of my knowledge:</w:t>
      </w:r>
    </w:p>
    <w:p>
      <w:pPr>
        <w:pStyle w:val="TextBody"/>
        <w:bidi w:val="0"/>
        <w:spacing w:lineRule="auto" w:line="288" w:before="240" w:after="283"/>
        <w:ind w:left="0" w:right="0" w:hanging="360"/>
        <w:jc w:val="both"/>
        <w:rPr/>
      </w:pPr>
      <w:r>
        <w:rPr>
          <w:color w:val="000000"/>
        </w:rPr>
        <w:t>•</w:t>
      </w:r>
      <w:r>
        <w:rPr>
          <w:rFonts w:ascii="Helvetica;sans-serif" w:hAnsi="Helvetica;sans-serif"/>
          <w:b w:val="false"/>
          <w:color w:val="000000"/>
          <w:sz w:val="20"/>
        </w:rPr>
        <w:t>the Quarterly Report on Form 10-Q of the Company for the quarter ended June 30, 2026 (the “Report”) fully complies with the requirements of Section 13(a) or 15(d) of the Securities Exchange Act of 1934; and</w:t>
      </w:r>
    </w:p>
    <w:p>
      <w:pPr>
        <w:pStyle w:val="TextBody"/>
        <w:bidi w:val="0"/>
        <w:spacing w:lineRule="auto" w:line="288" w:before="240" w:after="283"/>
        <w:ind w:left="0" w:right="0" w:hanging="360"/>
        <w:jc w:val="both"/>
        <w:rPr/>
      </w:pPr>
      <w:r>
        <w:rPr>
          <w:color w:val="000000"/>
        </w:rPr>
        <w:t>•</w:t>
      </w:r>
      <w:r>
        <w:rPr>
          <w:rFonts w:ascii="Helvetica;sans-serif" w:hAnsi="Helvetica;sans-serif"/>
          <w:b w:val="false"/>
          <w:color w:val="000000"/>
          <w:sz w:val="20"/>
        </w:rPr>
        <w:t>the information contained in the Report fairly presents, in all material respects, the financial condition and results of operations of the Company for the periods presented therein.</w:t>
      </w:r>
    </w:p>
    <w:tbl>
      <w:tblPr>
        <w:tblW w:w="4661" w:type="dxa"/>
        <w:jc w:val="center"/>
        <w:tblInd w:w="0" w:type="dxa"/>
        <w:tblLayout w:type="fixed"/>
        <w:tblCellMar>
          <w:top w:w="28" w:type="dxa"/>
          <w:left w:w="28" w:type="dxa"/>
          <w:bottom w:w="28" w:type="dxa"/>
          <w:right w:w="28" w:type="dxa"/>
        </w:tblCellMar>
      </w:tblPr>
      <w:tblGrid>
        <w:gridCol w:w="124"/>
        <w:gridCol w:w="109"/>
        <w:gridCol w:w="109"/>
        <w:gridCol w:w="134"/>
        <w:gridCol w:w="134"/>
        <w:gridCol w:w="136"/>
        <w:gridCol w:w="1142"/>
        <w:gridCol w:w="1142"/>
        <w:gridCol w:w="16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SEAN SOBERS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Sean Sobers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(Principal Financial and Accounting Officer)</w:t>
            </w:r>
          </w:p>
        </w:tc>
      </w:tr>
    </w:tbl>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Date: August 5, 2026</w:t>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Helvetica">
    <w:altName w:val="Arial"/>
    <w:charset w:val="01"/>
    <w:family w:val="auto"/>
    <w:pitch w:val="default"/>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84778/000148477824000117/ex31tdup-publiccompanyrest.htm" TargetMode="External"/><Relationship Id="rId4" Type="http://schemas.openxmlformats.org/officeDocument/2006/relationships/hyperlink" Target="https://www.sec.gov/Archives/edgar/data/1484778/000148477823000037/thredup-arpubliccompanybyl.htm" TargetMode="External"/><Relationship Id="rId5" Type="http://schemas.openxmlformats.org/officeDocument/2006/relationships/hyperlink" Target="https://www.sec.gov/Archives/edgar/data/1484778/000162828021003857/exhibit41-sx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16961</Words>
  <Characters>92417</Characters>
  <CharactersWithSpaces>108177</CharactersWithSpaces>
  <Paragraphs>1933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