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270510</wp:posOffset>
            </wp:positionH>
            <wp:positionV relativeFrom="page">
              <wp:posOffset>424815</wp:posOffset>
            </wp:positionV>
            <wp:extent cx="700722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7225" cy="16510"/>
                    </a:xfrm>
                    <a:prstGeom prst="rect">
                      <a:avLst/>
                    </a:prstGeom>
                    <a:noFill/>
                  </pic:spPr>
                </pic:pic>
              </a:graphicData>
            </a:graphic>
          </wp:anchor>
        </w:drawing>
        <w:t>UNITED STATES</w:t>
      </w:r>
    </w:p>
    <w:p>
      <w:pPr>
        <w:spacing w:after="0" w:line="42" w:lineRule="exact"/>
        <w:rPr>
          <w:sz w:val="24"/>
          <w:szCs w:val="24"/>
          <w:color w:val="auto"/>
        </w:rPr>
      </w:pPr>
    </w:p>
    <w:p>
      <w:pPr>
        <w:ind w:left="2500"/>
        <w:spacing w:after="0"/>
        <w:rPr>
          <w:sz w:val="20"/>
          <w:szCs w:val="20"/>
          <w:color w:val="auto"/>
        </w:rPr>
      </w:pPr>
      <w:r>
        <w:rPr>
          <w:rFonts w:ascii="Arial" w:cs="Arial" w:eastAsia="Arial" w:hAnsi="Arial"/>
          <w:sz w:val="31"/>
          <w:szCs w:val="31"/>
          <w:b w:val="1"/>
          <w:bCs w:val="1"/>
          <w:color w:val="auto"/>
        </w:rPr>
        <w:t>SECURITIES AND EXCHANGE COMMISSION</w:t>
      </w:r>
    </w:p>
    <w:p>
      <w:pPr>
        <w:spacing w:after="0" w:line="153" w:lineRule="exact"/>
        <w:rPr>
          <w:sz w:val="24"/>
          <w:szCs w:val="24"/>
          <w:color w:val="auto"/>
        </w:rPr>
      </w:pPr>
    </w:p>
    <w:p>
      <w:pPr>
        <w:jc w:val="center"/>
        <w:ind w:right="-359"/>
        <w:spacing w:after="0"/>
        <w:rPr>
          <w:sz w:val="20"/>
          <w:szCs w:val="20"/>
          <w:color w:val="auto"/>
        </w:rPr>
      </w:pPr>
      <w:r>
        <w:rPr>
          <w:rFonts w:ascii="Arial" w:cs="Arial" w:eastAsia="Arial" w:hAnsi="Arial"/>
          <w:sz w:val="24"/>
          <w:szCs w:val="24"/>
          <w:b w:val="1"/>
          <w:bCs w:val="1"/>
          <w:color w:val="auto"/>
        </w:rPr>
        <w:t>Washington, D.C. 20549</w:t>
      </w:r>
    </w:p>
    <w:p>
      <w:pPr>
        <w:spacing w:after="0" w:line="67"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______________________</w:t>
      </w:r>
    </w:p>
    <w:p>
      <w:pPr>
        <w:spacing w:after="0" w:line="113" w:lineRule="exact"/>
        <w:rPr>
          <w:sz w:val="24"/>
          <w:szCs w:val="24"/>
          <w:color w:val="auto"/>
        </w:rPr>
      </w:pPr>
    </w:p>
    <w:p>
      <w:pPr>
        <w:jc w:val="center"/>
        <w:ind w:right="-359"/>
        <w:spacing w:after="0"/>
        <w:rPr>
          <w:sz w:val="20"/>
          <w:szCs w:val="20"/>
          <w:color w:val="auto"/>
        </w:rPr>
      </w:pPr>
      <w:r>
        <w:rPr>
          <w:rFonts w:ascii="Arial" w:cs="Arial" w:eastAsia="Arial" w:hAnsi="Arial"/>
          <w:sz w:val="31"/>
          <w:szCs w:val="31"/>
          <w:b w:val="1"/>
          <w:bCs w:val="1"/>
          <w:color w:val="auto"/>
        </w:rPr>
        <w:t>FORM 10-Q</w:t>
      </w:r>
    </w:p>
    <w:p>
      <w:pPr>
        <w:spacing w:after="0" w:line="38"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______________________</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(Mark One)</w:t>
      </w:r>
    </w:p>
    <w:p>
      <w:pPr>
        <w:spacing w:after="0" w:line="62" w:lineRule="exact"/>
        <w:rPr>
          <w:sz w:val="24"/>
          <w:szCs w:val="24"/>
          <w:color w:val="auto"/>
        </w:rPr>
      </w:pPr>
    </w:p>
    <w:p>
      <w:pPr>
        <w:ind w:left="3740" w:right="1800" w:hanging="3550"/>
        <w:spacing w:after="0" w:line="448" w:lineRule="auto"/>
        <w:tabs>
          <w:tab w:leader="none" w:pos="585"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OR</w:t>
      </w:r>
    </w:p>
    <w:p>
      <w:pPr>
        <w:spacing w:after="0" w:line="204" w:lineRule="exact"/>
        <w:rPr>
          <w:sz w:val="24"/>
          <w:szCs w:val="24"/>
          <w:color w:val="auto"/>
        </w:rPr>
      </w:pPr>
    </w:p>
    <w:p>
      <w:pPr>
        <w:ind w:left="4280" w:right="1800" w:hanging="4066"/>
        <w:spacing w:after="0" w:line="590" w:lineRule="auto"/>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238" w:lineRule="exact"/>
        <w:rPr>
          <w:sz w:val="24"/>
          <w:szCs w:val="24"/>
          <w:color w:val="auto"/>
        </w:rPr>
      </w:pPr>
    </w:p>
    <w:p>
      <w:pPr>
        <w:jc w:val="center"/>
        <w:ind w:right="-359"/>
        <w:spacing w:after="0"/>
        <w:rPr>
          <w:sz w:val="20"/>
          <w:szCs w:val="20"/>
          <w:color w:val="auto"/>
        </w:rPr>
      </w:pPr>
      <w:r>
        <w:rPr>
          <w:rFonts w:ascii="Arial" w:cs="Arial" w:eastAsia="Arial" w:hAnsi="Arial"/>
          <w:sz w:val="17"/>
          <w:szCs w:val="17"/>
          <w:b w:val="1"/>
          <w:bCs w:val="1"/>
          <w:color w:val="auto"/>
        </w:rPr>
        <w:t>Commission file number 001-40249</w:t>
      </w:r>
    </w:p>
    <w:p>
      <w:pPr>
        <w:spacing w:after="0" w:line="204"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______________________</w:t>
      </w:r>
    </w:p>
    <w:p>
      <w:pPr>
        <w:spacing w:after="0" w:line="152" w:lineRule="exact"/>
        <w:rPr>
          <w:sz w:val="24"/>
          <w:szCs w:val="24"/>
          <w:color w:val="auto"/>
        </w:rPr>
      </w:pPr>
    </w:p>
    <w:p>
      <w:pPr>
        <w:jc w:val="center"/>
        <w:ind w:right="-359"/>
        <w:spacing w:after="0"/>
        <w:rPr>
          <w:sz w:val="20"/>
          <w:szCs w:val="20"/>
          <w:color w:val="auto"/>
        </w:rPr>
      </w:pPr>
      <w:r>
        <w:rPr>
          <w:rFonts w:ascii="Arial" w:cs="Arial" w:eastAsia="Arial" w:hAnsi="Arial"/>
          <w:sz w:val="31"/>
          <w:szCs w:val="31"/>
          <w:b w:val="1"/>
          <w:bCs w:val="1"/>
          <w:color w:val="auto"/>
        </w:rPr>
        <w:t>ThredUp Inc.</w:t>
      </w:r>
    </w:p>
    <w:p>
      <w:pPr>
        <w:spacing w:after="0" w:line="83"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______________________</w:t>
      </w:r>
    </w:p>
    <w:p>
      <w:pPr>
        <w:spacing w:after="0" w:line="206" w:lineRule="exact"/>
        <w:rPr>
          <w:sz w:val="24"/>
          <w:szCs w:val="24"/>
          <w:color w:val="auto"/>
        </w:rPr>
      </w:pPr>
    </w:p>
    <w:p>
      <w:pPr>
        <w:ind w:left="324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66" w:lineRule="exact"/>
        <w:rPr>
          <w:sz w:val="24"/>
          <w:szCs w:val="24"/>
          <w:color w:val="auto"/>
        </w:rPr>
      </w:pPr>
    </w:p>
    <w:tbl>
      <w:tblPr>
        <w:tblLayout w:type="fixed"/>
        <w:tblInd w:w="540" w:type="dxa"/>
        <w:tblCellMar>
          <w:top w:w="0" w:type="dxa"/>
          <w:left w:w="0" w:type="dxa"/>
          <w:bottom w:w="0" w:type="dxa"/>
          <w:right w:w="0" w:type="dxa"/>
        </w:tblCellMar>
      </w:tblPr>
      <w:tr>
        <w:trPr>
          <w:trHeight w:val="226"/>
        </w:trPr>
        <w:tc>
          <w:tcPr>
            <w:tcW w:w="3940" w:type="dxa"/>
            <w:vAlign w:val="bottom"/>
          </w:tcPr>
          <w:p>
            <w:pPr>
              <w:jc w:val="center"/>
              <w:ind w:right="494"/>
              <w:spacing w:after="0"/>
              <w:rPr>
                <w:sz w:val="20"/>
                <w:szCs w:val="20"/>
                <w:color w:val="auto"/>
              </w:rPr>
            </w:pPr>
            <w:r>
              <w:rPr>
                <w:rFonts w:ascii="Arial" w:cs="Arial" w:eastAsia="Arial" w:hAnsi="Arial"/>
                <w:sz w:val="17"/>
                <w:szCs w:val="17"/>
                <w:b w:val="1"/>
                <w:bCs w:val="1"/>
                <w:color w:val="auto"/>
              </w:rPr>
              <w:t>Delaware</w:t>
            </w:r>
          </w:p>
        </w:tc>
        <w:tc>
          <w:tcPr>
            <w:tcW w:w="5280" w:type="dxa"/>
            <w:vAlign w:val="bottom"/>
          </w:tcPr>
          <w:p>
            <w:pPr>
              <w:jc w:val="right"/>
              <w:ind w:right="794"/>
              <w:spacing w:after="0"/>
              <w:rPr>
                <w:sz w:val="20"/>
                <w:szCs w:val="20"/>
                <w:color w:val="auto"/>
              </w:rPr>
            </w:pPr>
            <w:r>
              <w:rPr>
                <w:rFonts w:ascii="Arial" w:cs="Arial" w:eastAsia="Arial" w:hAnsi="Arial"/>
                <w:sz w:val="17"/>
                <w:szCs w:val="17"/>
                <w:b w:val="1"/>
                <w:bCs w:val="1"/>
                <w:color w:val="auto"/>
              </w:rPr>
              <w:t>26-4009181</w:t>
            </w:r>
          </w:p>
        </w:tc>
      </w:tr>
      <w:tr>
        <w:trPr>
          <w:trHeight w:val="194"/>
        </w:trPr>
        <w:tc>
          <w:tcPr>
            <w:tcW w:w="3940" w:type="dxa"/>
            <w:vAlign w:val="bottom"/>
          </w:tcPr>
          <w:p>
            <w:pPr>
              <w:jc w:val="center"/>
              <w:ind w:right="474"/>
              <w:spacing w:after="0" w:line="194" w:lineRule="exact"/>
              <w:rPr>
                <w:sz w:val="20"/>
                <w:szCs w:val="20"/>
                <w:color w:val="auto"/>
              </w:rPr>
            </w:pPr>
            <w:r>
              <w:rPr>
                <w:rFonts w:ascii="Arial" w:cs="Arial" w:eastAsia="Arial" w:hAnsi="Arial"/>
                <w:sz w:val="17"/>
                <w:szCs w:val="17"/>
                <w:color w:val="auto"/>
              </w:rPr>
              <w:t>(State or other jurisdiction of incorporation or</w:t>
            </w:r>
          </w:p>
        </w:tc>
        <w:tc>
          <w:tcPr>
            <w:tcW w:w="5280" w:type="dxa"/>
            <w:vAlign w:val="bottom"/>
          </w:tcPr>
          <w:p>
            <w:pPr>
              <w:jc w:val="center"/>
              <w:ind w:left="2534"/>
              <w:spacing w:after="0" w:line="194" w:lineRule="exact"/>
              <w:rPr>
                <w:sz w:val="20"/>
                <w:szCs w:val="20"/>
                <w:color w:val="auto"/>
              </w:rPr>
            </w:pPr>
            <w:r>
              <w:rPr>
                <w:rFonts w:ascii="Arial" w:cs="Arial" w:eastAsia="Arial" w:hAnsi="Arial"/>
                <w:sz w:val="17"/>
                <w:szCs w:val="17"/>
                <w:color w:val="auto"/>
              </w:rPr>
              <w:t>(I.R.S. Employer Identification No.)</w:t>
            </w:r>
          </w:p>
        </w:tc>
      </w:tr>
      <w:tr>
        <w:trPr>
          <w:trHeight w:val="206"/>
        </w:trPr>
        <w:tc>
          <w:tcPr>
            <w:tcW w:w="3940" w:type="dxa"/>
            <w:vAlign w:val="bottom"/>
          </w:tcPr>
          <w:p>
            <w:pPr>
              <w:ind w:left="1040"/>
              <w:spacing w:after="0"/>
              <w:rPr>
                <w:sz w:val="20"/>
                <w:szCs w:val="20"/>
                <w:color w:val="auto"/>
              </w:rPr>
            </w:pPr>
            <w:r>
              <w:rPr>
                <w:rFonts w:ascii="Arial" w:cs="Arial" w:eastAsia="Arial" w:hAnsi="Arial"/>
                <w:sz w:val="17"/>
                <w:szCs w:val="17"/>
                <w:color w:val="auto"/>
              </w:rPr>
              <w:t>organization)</w:t>
            </w:r>
          </w:p>
        </w:tc>
        <w:tc>
          <w:tcPr>
            <w:tcW w:w="5280" w:type="dxa"/>
            <w:vAlign w:val="bottom"/>
          </w:tcPr>
          <w:p>
            <w:pPr>
              <w:spacing w:after="0"/>
              <w:rPr>
                <w:sz w:val="17"/>
                <w:szCs w:val="17"/>
                <w:color w:val="auto"/>
              </w:rPr>
            </w:pPr>
          </w:p>
        </w:tc>
      </w:tr>
      <w:tr>
        <w:trPr>
          <w:trHeight w:val="245"/>
        </w:trPr>
        <w:tc>
          <w:tcPr>
            <w:tcW w:w="3940" w:type="dxa"/>
            <w:vAlign w:val="bottom"/>
          </w:tcPr>
          <w:p>
            <w:pPr>
              <w:jc w:val="center"/>
              <w:ind w:right="474"/>
              <w:spacing w:after="0"/>
              <w:rPr>
                <w:sz w:val="20"/>
                <w:szCs w:val="20"/>
                <w:color w:val="auto"/>
              </w:rPr>
            </w:pPr>
            <w:r>
              <w:rPr>
                <w:rFonts w:ascii="Arial" w:cs="Arial" w:eastAsia="Arial" w:hAnsi="Arial"/>
                <w:sz w:val="17"/>
                <w:szCs w:val="17"/>
                <w:b w:val="1"/>
                <w:bCs w:val="1"/>
                <w:color w:val="auto"/>
                <w:w w:val="99"/>
              </w:rPr>
              <w:t>969 Broadway, Suite 200</w:t>
            </w:r>
          </w:p>
        </w:tc>
        <w:tc>
          <w:tcPr>
            <w:tcW w:w="5280" w:type="dxa"/>
            <w:vAlign w:val="bottom"/>
          </w:tcPr>
          <w:p>
            <w:pPr>
              <w:spacing w:after="0"/>
              <w:rPr>
                <w:sz w:val="21"/>
                <w:szCs w:val="21"/>
                <w:color w:val="auto"/>
              </w:rPr>
            </w:pPr>
          </w:p>
        </w:tc>
      </w:tr>
      <w:tr>
        <w:trPr>
          <w:trHeight w:val="413"/>
        </w:trPr>
        <w:tc>
          <w:tcPr>
            <w:tcW w:w="3940" w:type="dxa"/>
            <w:vAlign w:val="bottom"/>
          </w:tcPr>
          <w:p>
            <w:pPr>
              <w:jc w:val="center"/>
              <w:ind w:right="474"/>
              <w:spacing w:after="0"/>
              <w:rPr>
                <w:sz w:val="20"/>
                <w:szCs w:val="20"/>
                <w:color w:val="auto"/>
              </w:rPr>
            </w:pPr>
            <w:r>
              <w:rPr>
                <w:rFonts w:ascii="Arial" w:cs="Arial" w:eastAsia="Arial" w:hAnsi="Arial"/>
                <w:sz w:val="17"/>
                <w:szCs w:val="17"/>
                <w:b w:val="1"/>
                <w:bCs w:val="1"/>
                <w:color w:val="auto"/>
              </w:rPr>
              <w:t>Oakland, CA</w:t>
            </w:r>
          </w:p>
        </w:tc>
        <w:tc>
          <w:tcPr>
            <w:tcW w:w="5280" w:type="dxa"/>
            <w:vAlign w:val="bottom"/>
          </w:tcPr>
          <w:p>
            <w:pPr>
              <w:jc w:val="right"/>
              <w:ind w:right="1014"/>
              <w:spacing w:after="0"/>
              <w:rPr>
                <w:sz w:val="20"/>
                <w:szCs w:val="20"/>
                <w:color w:val="auto"/>
              </w:rPr>
            </w:pPr>
            <w:r>
              <w:rPr>
                <w:rFonts w:ascii="Arial" w:cs="Arial" w:eastAsia="Arial" w:hAnsi="Arial"/>
                <w:sz w:val="17"/>
                <w:szCs w:val="17"/>
                <w:b w:val="1"/>
                <w:bCs w:val="1"/>
                <w:color w:val="auto"/>
              </w:rPr>
              <w:t>94607</w:t>
            </w:r>
          </w:p>
        </w:tc>
      </w:tr>
      <w:tr>
        <w:trPr>
          <w:trHeight w:val="258"/>
        </w:trPr>
        <w:tc>
          <w:tcPr>
            <w:tcW w:w="3940" w:type="dxa"/>
            <w:vAlign w:val="bottom"/>
          </w:tcPr>
          <w:p>
            <w:pPr>
              <w:jc w:val="center"/>
              <w:ind w:right="474"/>
              <w:spacing w:after="0"/>
              <w:rPr>
                <w:sz w:val="20"/>
                <w:szCs w:val="20"/>
                <w:color w:val="auto"/>
              </w:rPr>
            </w:pPr>
            <w:r>
              <w:rPr>
                <w:rFonts w:ascii="Arial" w:cs="Arial" w:eastAsia="Arial" w:hAnsi="Arial"/>
                <w:sz w:val="17"/>
                <w:szCs w:val="17"/>
                <w:color w:val="auto"/>
              </w:rPr>
              <w:t>(Address of Principal Executive Offices)</w:t>
            </w:r>
          </w:p>
        </w:tc>
        <w:tc>
          <w:tcPr>
            <w:tcW w:w="5280" w:type="dxa"/>
            <w:vAlign w:val="bottom"/>
          </w:tcPr>
          <w:p>
            <w:pPr>
              <w:jc w:val="center"/>
              <w:ind w:left="2534"/>
              <w:spacing w:after="0"/>
              <w:rPr>
                <w:sz w:val="20"/>
                <w:szCs w:val="20"/>
                <w:color w:val="auto"/>
              </w:rPr>
            </w:pPr>
            <w:r>
              <w:rPr>
                <w:rFonts w:ascii="Arial" w:cs="Arial" w:eastAsia="Arial" w:hAnsi="Arial"/>
                <w:sz w:val="17"/>
                <w:szCs w:val="17"/>
                <w:color w:val="auto"/>
              </w:rPr>
              <w:t>(Zip Code)</w:t>
            </w:r>
          </w:p>
        </w:tc>
      </w:tr>
      <w:tr>
        <w:trPr>
          <w:trHeight w:val="322"/>
        </w:trPr>
        <w:tc>
          <w:tcPr>
            <w:tcW w:w="3940" w:type="dxa"/>
            <w:vAlign w:val="bottom"/>
          </w:tcPr>
          <w:p>
            <w:pPr>
              <w:spacing w:after="0"/>
              <w:rPr>
                <w:sz w:val="24"/>
                <w:szCs w:val="24"/>
                <w:color w:val="auto"/>
              </w:rPr>
            </w:pPr>
          </w:p>
        </w:tc>
        <w:tc>
          <w:tcPr>
            <w:tcW w:w="5280" w:type="dxa"/>
            <w:vAlign w:val="bottom"/>
          </w:tcPr>
          <w:p>
            <w:pPr>
              <w:jc w:val="right"/>
              <w:ind w:right="3454"/>
              <w:spacing w:after="0"/>
              <w:rPr>
                <w:sz w:val="20"/>
                <w:szCs w:val="20"/>
                <w:color w:val="auto"/>
              </w:rPr>
            </w:pPr>
            <w:r>
              <w:rPr>
                <w:rFonts w:ascii="Arial" w:cs="Arial" w:eastAsia="Arial" w:hAnsi="Arial"/>
                <w:sz w:val="17"/>
                <w:szCs w:val="17"/>
                <w:b w:val="1"/>
                <w:bCs w:val="1"/>
                <w:color w:val="auto"/>
              </w:rPr>
              <w:t>(415) 402-5202</w:t>
            </w:r>
          </w:p>
        </w:tc>
      </w:tr>
    </w:tbl>
    <w:p>
      <w:pPr>
        <w:spacing w:after="0" w:line="155" w:lineRule="exact"/>
        <w:rPr>
          <w:sz w:val="24"/>
          <w:szCs w:val="24"/>
          <w:color w:val="auto"/>
        </w:rPr>
      </w:pPr>
    </w:p>
    <w:p>
      <w:pPr>
        <w:jc w:val="center"/>
        <w:ind w:right="-359"/>
        <w:spacing w:after="0"/>
        <w:rPr>
          <w:sz w:val="20"/>
          <w:szCs w:val="20"/>
          <w:color w:val="auto"/>
        </w:rPr>
      </w:pPr>
      <w:r>
        <w:rPr>
          <w:rFonts w:ascii="Arial" w:cs="Arial" w:eastAsia="Arial" w:hAnsi="Arial"/>
          <w:sz w:val="17"/>
          <w:szCs w:val="17"/>
          <w:color w:val="auto"/>
        </w:rPr>
        <w:t>Registrant's telephone number, including area code</w:t>
      </w:r>
    </w:p>
    <w:p>
      <w:pPr>
        <w:spacing w:after="0" w:line="120"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______________________</w:t>
      </w:r>
    </w:p>
    <w:p>
      <w:pPr>
        <w:spacing w:after="0" w:line="173" w:lineRule="exact"/>
        <w:rPr>
          <w:sz w:val="24"/>
          <w:szCs w:val="24"/>
          <w:color w:val="auto"/>
        </w:rPr>
      </w:pPr>
    </w:p>
    <w:p>
      <w:pPr>
        <w:ind w:left="3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72" w:lineRule="exact"/>
        <w:rPr>
          <w:sz w:val="24"/>
          <w:szCs w:val="24"/>
          <w:color w:val="auto"/>
        </w:rPr>
      </w:pPr>
    </w:p>
    <w:tbl>
      <w:tblPr>
        <w:tblLayout w:type="fixed"/>
        <w:tblInd w:w="1310" w:type="dxa"/>
        <w:tblCellMar>
          <w:top w:w="0" w:type="dxa"/>
          <w:left w:w="0" w:type="dxa"/>
          <w:bottom w:w="0" w:type="dxa"/>
          <w:right w:w="0" w:type="dxa"/>
        </w:tblCellMar>
      </w:tblPr>
      <w:tr>
        <w:trPr>
          <w:trHeight w:val="205"/>
        </w:trPr>
        <w:tc>
          <w:tcPr>
            <w:tcW w:w="3000" w:type="dxa"/>
            <w:vAlign w:val="bottom"/>
            <w:tcBorders>
              <w:top w:val="single" w:sz="8" w:color="auto"/>
              <w:left w:val="single" w:sz="8" w:color="auto"/>
              <w:right w:val="single" w:sz="8" w:color="auto"/>
            </w:tcBorders>
          </w:tcPr>
          <w:p>
            <w:pPr>
              <w:spacing w:after="0"/>
              <w:rPr>
                <w:sz w:val="17"/>
                <w:szCs w:val="17"/>
                <w:color w:val="auto"/>
              </w:rPr>
            </w:pPr>
          </w:p>
        </w:tc>
        <w:tc>
          <w:tcPr>
            <w:tcW w:w="3000" w:type="dxa"/>
            <w:vAlign w:val="bottom"/>
            <w:tcBorders>
              <w:top w:val="single" w:sz="8" w:color="auto"/>
              <w:right w:val="single" w:sz="8" w:color="auto"/>
            </w:tcBorders>
          </w:tcPr>
          <w:p>
            <w:pPr>
              <w:spacing w:after="0"/>
              <w:rPr>
                <w:sz w:val="17"/>
                <w:szCs w:val="17"/>
                <w:color w:val="auto"/>
              </w:rPr>
            </w:pPr>
          </w:p>
        </w:tc>
        <w:tc>
          <w:tcPr>
            <w:tcW w:w="2980" w:type="dxa"/>
            <w:vAlign w:val="bottom"/>
            <w:tcBorders>
              <w:top w:val="single" w:sz="8" w:color="auto"/>
              <w:right w:val="single" w:sz="8" w:color="auto"/>
            </w:tcBorders>
          </w:tcPr>
          <w:p>
            <w:pPr>
              <w:jc w:val="center"/>
              <w:ind w:left="194"/>
              <w:spacing w:after="0"/>
              <w:rPr>
                <w:sz w:val="20"/>
                <w:szCs w:val="20"/>
                <w:color w:val="auto"/>
              </w:rPr>
            </w:pPr>
            <w:r>
              <w:rPr>
                <w:rFonts w:ascii="Arial" w:cs="Arial" w:eastAsia="Arial" w:hAnsi="Arial"/>
                <w:sz w:val="17"/>
                <w:szCs w:val="17"/>
                <w:color w:val="auto"/>
              </w:rPr>
              <w:t>Name of each exchange on which</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bottom w:val="single" w:sz="8" w:color="auto"/>
              <w:right w:val="single" w:sz="8" w:color="auto"/>
            </w:tcBorders>
          </w:tcPr>
          <w:p>
            <w:pPr>
              <w:jc w:val="center"/>
              <w:ind w:left="194"/>
              <w:spacing w:after="0"/>
              <w:rPr>
                <w:sz w:val="20"/>
                <w:szCs w:val="20"/>
                <w:color w:val="auto"/>
              </w:rPr>
            </w:pPr>
            <w:r>
              <w:rPr>
                <w:rFonts w:ascii="Arial" w:cs="Arial" w:eastAsia="Arial" w:hAnsi="Arial"/>
                <w:sz w:val="17"/>
                <w:szCs w:val="17"/>
                <w:color w:val="auto"/>
                <w:w w:val="99"/>
              </w:rPr>
              <w:t>Title of each class</w:t>
            </w:r>
          </w:p>
        </w:tc>
        <w:tc>
          <w:tcPr>
            <w:tcW w:w="3000" w:type="dxa"/>
            <w:vAlign w:val="bottom"/>
            <w:tcBorders>
              <w:bottom w:val="single" w:sz="8" w:color="auto"/>
              <w:right w:val="single" w:sz="8" w:color="auto"/>
            </w:tcBorders>
          </w:tcPr>
          <w:p>
            <w:pPr>
              <w:jc w:val="center"/>
              <w:ind w:left="194"/>
              <w:spacing w:after="0"/>
              <w:rPr>
                <w:sz w:val="20"/>
                <w:szCs w:val="20"/>
                <w:color w:val="auto"/>
              </w:rPr>
            </w:pPr>
            <w:r>
              <w:rPr>
                <w:rFonts w:ascii="Arial" w:cs="Arial" w:eastAsia="Arial" w:hAnsi="Arial"/>
                <w:sz w:val="17"/>
                <w:szCs w:val="17"/>
                <w:color w:val="auto"/>
              </w:rPr>
              <w:t>Trading Symbol(s)</w:t>
            </w:r>
          </w:p>
        </w:tc>
        <w:tc>
          <w:tcPr>
            <w:tcW w:w="29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right w:val="single" w:sz="8" w:color="auto"/>
            </w:tcBorders>
          </w:tcPr>
          <w:p>
            <w:pPr>
              <w:jc w:val="center"/>
              <w:ind w:left="214"/>
              <w:spacing w:after="0"/>
              <w:rPr>
                <w:sz w:val="20"/>
                <w:szCs w:val="20"/>
                <w:color w:val="auto"/>
              </w:rPr>
            </w:pPr>
            <w:r>
              <w:rPr>
                <w:rFonts w:ascii="Arial" w:cs="Arial" w:eastAsia="Arial" w:hAnsi="Arial"/>
                <w:sz w:val="17"/>
                <w:szCs w:val="17"/>
                <w:color w:val="auto"/>
              </w:rPr>
              <w:t>Class A common stock, $0.0001</w:t>
            </w:r>
          </w:p>
        </w:tc>
        <w:tc>
          <w:tcPr>
            <w:tcW w:w="3000" w:type="dxa"/>
            <w:vAlign w:val="bottom"/>
            <w:tcBorders>
              <w:right w:val="single" w:sz="8" w:color="auto"/>
            </w:tcBorders>
            <w:vMerge w:val="restart"/>
          </w:tcPr>
          <w:p>
            <w:pPr>
              <w:jc w:val="center"/>
              <w:ind w:left="174"/>
              <w:spacing w:after="0"/>
              <w:rPr>
                <w:sz w:val="20"/>
                <w:szCs w:val="20"/>
                <w:color w:val="auto"/>
              </w:rPr>
            </w:pPr>
            <w:r>
              <w:rPr>
                <w:rFonts w:ascii="Arial" w:cs="Arial" w:eastAsia="Arial" w:hAnsi="Arial"/>
                <w:sz w:val="17"/>
                <w:szCs w:val="17"/>
                <w:color w:val="auto"/>
                <w:w w:val="99"/>
              </w:rPr>
              <w:t>TDUP</w:t>
            </w:r>
          </w:p>
        </w:tc>
        <w:tc>
          <w:tcPr>
            <w:tcW w:w="2980" w:type="dxa"/>
            <w:vAlign w:val="bottom"/>
            <w:tcBorders>
              <w:right w:val="single" w:sz="8" w:color="auto"/>
            </w:tcBorders>
            <w:vMerge w:val="restart"/>
          </w:tcPr>
          <w:p>
            <w:pPr>
              <w:jc w:val="center"/>
              <w:ind w:left="194"/>
              <w:spacing w:after="0"/>
              <w:rPr>
                <w:sz w:val="20"/>
                <w:szCs w:val="20"/>
                <w:color w:val="auto"/>
              </w:rPr>
            </w:pPr>
            <w:r>
              <w:rPr>
                <w:rFonts w:ascii="Arial" w:cs="Arial" w:eastAsia="Arial" w:hAnsi="Arial"/>
                <w:sz w:val="17"/>
                <w:szCs w:val="17"/>
                <w:color w:val="auto"/>
              </w:rPr>
              <w:t>The Nasdaq Stock Market LLC</w:t>
            </w:r>
          </w:p>
        </w:tc>
        <w:tc>
          <w:tcPr>
            <w:tcW w:w="0" w:type="dxa"/>
            <w:vAlign w:val="bottom"/>
          </w:tcPr>
          <w:p>
            <w:pPr>
              <w:spacing w:after="0"/>
              <w:rPr>
                <w:sz w:val="1"/>
                <w:szCs w:val="1"/>
                <w:color w:val="auto"/>
              </w:rPr>
            </w:pPr>
          </w:p>
        </w:tc>
      </w:tr>
      <w:tr>
        <w:trPr>
          <w:trHeight w:val="115"/>
        </w:trPr>
        <w:tc>
          <w:tcPr>
            <w:tcW w:w="300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7"/>
                <w:szCs w:val="17"/>
                <w:color w:val="auto"/>
              </w:rPr>
              <w:t>par value per share</w:t>
            </w:r>
          </w:p>
        </w:tc>
        <w:tc>
          <w:tcPr>
            <w:tcW w:w="300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000" w:type="dxa"/>
            <w:vAlign w:val="bottom"/>
            <w:tcBorders>
              <w:left w:val="single" w:sz="8" w:color="auto"/>
              <w:right w:val="single" w:sz="8" w:color="auto"/>
            </w:tcBorders>
            <w:vMerge w:val="continue"/>
          </w:tcPr>
          <w:p>
            <w:pPr>
              <w:spacing w:after="0"/>
              <w:rPr>
                <w:sz w:val="7"/>
                <w:szCs w:val="7"/>
                <w:color w:val="auto"/>
              </w:rPr>
            </w:pPr>
          </w:p>
        </w:tc>
        <w:tc>
          <w:tcPr>
            <w:tcW w:w="3000" w:type="dxa"/>
            <w:vAlign w:val="bottom"/>
            <w:tcBorders>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4"/>
          <w:szCs w:val="24"/>
          <w:color w:val="auto"/>
        </w:rPr>
      </w:pPr>
    </w:p>
    <w:p>
      <w:pPr>
        <w:jc w:val="both"/>
        <w:ind w:right="40" w:firstLine="309"/>
        <w:spacing w:after="0" w:line="23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63"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w:t>
      </w:r>
    </w:p>
    <w:p>
      <w:pPr>
        <w:spacing w:after="0" w:line="49" w:lineRule="exact"/>
        <w:rPr>
          <w:sz w:val="24"/>
          <w:szCs w:val="24"/>
          <w:color w:val="auto"/>
        </w:rPr>
      </w:pPr>
    </w:p>
    <w:p>
      <w:pPr>
        <w:ind w:right="420"/>
        <w:spacing w:after="0" w:line="235" w:lineRule="exact"/>
        <w:rPr>
          <w:sz w:val="20"/>
          <w:szCs w:val="20"/>
          <w:color w:val="auto"/>
        </w:rPr>
      </w:pPr>
      <w:r>
        <w:rPr>
          <w:rFonts w:ascii="Arial" w:cs="Arial" w:eastAsia="Arial" w:hAnsi="Arial"/>
          <w:sz w:val="17"/>
          <w:szCs w:val="17"/>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62" w:lineRule="exact"/>
        <w:rPr>
          <w:sz w:val="24"/>
          <w:szCs w:val="24"/>
          <w:color w:val="auto"/>
        </w:rPr>
      </w:pPr>
    </w:p>
    <w:p>
      <w:pPr>
        <w:ind w:right="460" w:firstLine="309"/>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301"/>
        </w:trPr>
        <w:tc>
          <w:tcPr>
            <w:tcW w:w="3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64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00"/>
              <w:spacing w:after="0"/>
              <w:rPr>
                <w:sz w:val="20"/>
                <w:szCs w:val="20"/>
                <w:color w:val="auto"/>
              </w:rPr>
            </w:pPr>
            <w:r>
              <w:rPr>
                <w:rFonts w:ascii="Arial" w:cs="Arial" w:eastAsia="Arial" w:hAnsi="Arial"/>
                <w:sz w:val="17"/>
                <w:szCs w:val="17"/>
                <w:color w:val="auto"/>
              </w:rPr>
              <w:t>Accelerated filer</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3060" w:type="dxa"/>
            <w:vAlign w:val="bottom"/>
          </w:tcPr>
          <w:p>
            <w:pPr>
              <w:spacing w:after="0"/>
              <w:rPr>
                <w:sz w:val="20"/>
                <w:szCs w:val="20"/>
                <w:color w:val="auto"/>
              </w:rPr>
            </w:pPr>
            <w:r>
              <w:rPr>
                <w:rFonts w:ascii="Arial" w:cs="Arial" w:eastAsia="Arial" w:hAnsi="Arial"/>
                <w:sz w:val="17"/>
                <w:szCs w:val="17"/>
                <w:color w:val="auto"/>
              </w:rPr>
              <w:t>Non-accelerated filer</w:t>
            </w:r>
          </w:p>
        </w:tc>
        <w:tc>
          <w:tcPr>
            <w:tcW w:w="164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00"/>
              <w:spacing w:after="0"/>
              <w:rPr>
                <w:sz w:val="20"/>
                <w:szCs w:val="20"/>
                <w:color w:val="auto"/>
              </w:rPr>
            </w:pPr>
            <w:r>
              <w:rPr>
                <w:rFonts w:ascii="Arial" w:cs="Arial" w:eastAsia="Arial" w:hAnsi="Arial"/>
                <w:sz w:val="17"/>
                <w:szCs w:val="17"/>
                <w:color w:val="auto"/>
              </w:rPr>
              <w:t>Smaller reporting company</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3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Emerging growth company</w:t>
            </w:r>
          </w:p>
        </w:tc>
        <w:tc>
          <w:tcPr>
            <w:tcW w:w="1320" w:type="dxa"/>
            <w:vAlign w:val="bottom"/>
          </w:tcPr>
          <w:p>
            <w:pPr>
              <w:ind w:left="1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9" w:lineRule="exact"/>
        <w:rPr>
          <w:sz w:val="24"/>
          <w:szCs w:val="24"/>
          <w:color w:val="auto"/>
        </w:rPr>
      </w:pPr>
    </w:p>
    <w:p>
      <w:pPr>
        <w:ind w:firstLine="309"/>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00"/>
          </w:cols>
          <w:pgMar w:left="320" w:top="737" w:right="379" w:bottom="0" w:gutter="0" w:footer="0" w:header="0"/>
        </w:sectPr>
      </w:pPr>
    </w:p>
    <w:bookmarkStart w:id="1" w:name="page2"/>
    <w:bookmarkEnd w:id="1"/>
    <w:p>
      <w:pPr>
        <w:ind w:left="320"/>
        <w:spacing w:after="0" w:line="196" w:lineRule="exact"/>
        <w:tabs>
          <w:tab w:leader="none" w:pos="9120" w:val="left"/>
          <w:tab w:leader="none" w:pos="9540" w:val="left"/>
          <w:tab w:leader="none" w:pos="99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309"/>
        <w:spacing w:after="0" w:line="313" w:lineRule="auto"/>
        <w:rPr>
          <w:sz w:val="20"/>
          <w:szCs w:val="20"/>
          <w:color w:val="auto"/>
        </w:rPr>
      </w:pPr>
      <w:r>
        <w:rPr>
          <w:rFonts w:ascii="Arial" w:cs="Arial" w:eastAsia="Arial" w:hAnsi="Arial"/>
          <w:sz w:val="17"/>
          <w:szCs w:val="17"/>
          <w:color w:val="auto"/>
        </w:rPr>
        <w:t>The registrant had 58,666,102 shares of Class A common stock, $0.0001 par value per share, and 40,383,662 shares of Class B common stock, $0.0001 par value per share, outstanding as of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457835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800"/>
          </w:cols>
          <w:pgMar w:left="320" w:top="469" w:right="779" w:bottom="1440" w:gutter="0" w:footer="0" w:header="0"/>
        </w:sectPr>
      </w:pPr>
    </w:p>
    <w:bookmarkStart w:id="2" w:name="page3"/>
    <w:bookmarkEnd w:id="2"/>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60" w:type="dxa"/>
            <w:vAlign w:val="bottom"/>
            <w:gridSpan w:val="8"/>
          </w:tcPr>
          <w:p>
            <w:pPr>
              <w:ind w:left="80"/>
              <w:spacing w:after="0"/>
              <w:rPr>
                <w:sz w:val="20"/>
                <w:szCs w:val="20"/>
                <w:color w:val="auto"/>
              </w:rPr>
            </w:pPr>
            <w:r>
              <w:rPr>
                <w:rFonts w:ascii="Arial" w:cs="Arial" w:eastAsia="Arial" w:hAnsi="Arial"/>
                <w:sz w:val="17"/>
                <w:szCs w:val="17"/>
                <w:b w:val="1"/>
                <w:bCs w:val="1"/>
                <w:color w:val="auto"/>
              </w:rPr>
              <w:t>TABLE OF CONTENTS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8"/>
          </w:tcPr>
          <w:p>
            <w:pPr>
              <w:jc w:val="center"/>
              <w:spacing w:after="0" w:line="175" w:lineRule="exact"/>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 FINANCIAL INFORMATION</w:t>
              </w:r>
            </w:hyperlink>
          </w:p>
        </w:tc>
        <w:tc>
          <w:tcPr>
            <w:tcW w:w="3140" w:type="dxa"/>
            <w:vAlign w:val="bottom"/>
            <w:gridSpan w:val="3"/>
          </w:tcPr>
          <w:p>
            <w:pPr>
              <w:spacing w:after="0"/>
              <w:rPr>
                <w:sz w:val="15"/>
                <w:szCs w:val="15"/>
                <w:color w:val="auto"/>
              </w:rPr>
            </w:pPr>
          </w:p>
        </w:tc>
        <w:tc>
          <w:tcPr>
            <w:tcW w:w="520" w:type="dxa"/>
            <w:vAlign w:val="bottom"/>
            <w:gridSpan w:val="2"/>
          </w:tcPr>
          <w:p>
            <w:pPr>
              <w:jc w:val="center"/>
              <w:ind w:left="354"/>
              <w:spacing w:after="0" w:line="175"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1</w:t>
              </w:r>
            </w:hyperlink>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Item 1.</w:t>
              </w:r>
            </w:hyperlink>
          </w:p>
        </w:tc>
        <w:tc>
          <w:tcPr>
            <w:tcW w:w="3120" w:type="dxa"/>
            <w:vAlign w:val="bottom"/>
            <w:gridSpan w:val="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Financial Statements (Unaudited)</w:t>
              </w:r>
            </w:hyperlink>
          </w:p>
        </w:tc>
        <w:tc>
          <w:tcPr>
            <w:tcW w:w="2940" w:type="dxa"/>
            <w:vAlign w:val="bottom"/>
            <w:gridSpan w:val="8"/>
          </w:tcPr>
          <w:p>
            <w:pPr>
              <w:spacing w:after="0"/>
              <w:rPr>
                <w:sz w:val="17"/>
                <w:szCs w:val="17"/>
                <w:color w:val="auto"/>
              </w:rPr>
            </w:pPr>
          </w:p>
        </w:tc>
        <w:tc>
          <w:tcPr>
            <w:tcW w:w="3140" w:type="dxa"/>
            <w:vAlign w:val="bottom"/>
            <w:gridSpan w:val="3"/>
          </w:tcPr>
          <w:p>
            <w:pPr>
              <w:spacing w:after="0"/>
              <w:rPr>
                <w:sz w:val="17"/>
                <w:szCs w:val="17"/>
                <w:color w:val="auto"/>
              </w:rPr>
            </w:pPr>
          </w:p>
        </w:tc>
        <w:tc>
          <w:tcPr>
            <w:tcW w:w="520" w:type="dxa"/>
            <w:vAlign w:val="bottom"/>
            <w:gridSpan w:val="2"/>
          </w:tcPr>
          <w:p>
            <w:pPr>
              <w:jc w:val="center"/>
              <w:ind w:left="354"/>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1</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7"/>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Condensed Consolidated Balance Sheets</w:t>
              </w:r>
            </w:hyperlink>
          </w:p>
        </w:tc>
        <w:tc>
          <w:tcPr>
            <w:tcW w:w="6400" w:type="dxa"/>
            <w:vAlign w:val="bottom"/>
            <w:gridSpan w:val="12"/>
          </w:tcPr>
          <w:p>
            <w:pPr>
              <w:spacing w:after="0"/>
              <w:rPr>
                <w:sz w:val="17"/>
                <w:szCs w:val="17"/>
                <w:color w:val="auto"/>
              </w:rPr>
            </w:pPr>
          </w:p>
        </w:tc>
        <w:tc>
          <w:tcPr>
            <w:tcW w:w="520" w:type="dxa"/>
            <w:vAlign w:val="bottom"/>
            <w:gridSpan w:val="2"/>
          </w:tcPr>
          <w:p>
            <w:pPr>
              <w:jc w:val="center"/>
              <w:ind w:left="354"/>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1</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00" w:type="dxa"/>
            <w:vAlign w:val="bottom"/>
            <w:gridSpan w:val="10"/>
          </w:tcPr>
          <w:p>
            <w:pPr>
              <w:spacing w:after="0"/>
              <w:rPr>
                <w:rFonts w:ascii="Arial" w:cs="Arial" w:eastAsia="Arial" w:hAnsi="Arial"/>
                <w:sz w:val="17"/>
                <w:szCs w:val="17"/>
                <w:color w:val="0000FF"/>
                <w:w w:val="89"/>
              </w:rPr>
            </w:pPr>
            <w:hyperlink w:anchor="page6">
              <w:r>
                <w:rPr>
                  <w:rFonts w:ascii="Arial" w:cs="Arial" w:eastAsia="Arial" w:hAnsi="Arial"/>
                  <w:sz w:val="17"/>
                  <w:szCs w:val="17"/>
                  <w:color w:val="0000FF"/>
                  <w:w w:val="89"/>
                </w:rPr>
                <w:t>Condensed Consolidated Statements of Operations</w:t>
              </w:r>
            </w:hyperlink>
          </w:p>
        </w:tc>
        <w:tc>
          <w:tcPr>
            <w:tcW w:w="5700" w:type="dxa"/>
            <w:vAlign w:val="bottom"/>
            <w:gridSpan w:val="9"/>
          </w:tcPr>
          <w:p>
            <w:pPr>
              <w:spacing w:after="0"/>
              <w:rPr>
                <w:sz w:val="17"/>
                <w:szCs w:val="17"/>
                <w:color w:val="auto"/>
              </w:rPr>
            </w:pPr>
          </w:p>
        </w:tc>
        <w:tc>
          <w:tcPr>
            <w:tcW w:w="520" w:type="dxa"/>
            <w:vAlign w:val="bottom"/>
            <w:gridSpan w:val="2"/>
          </w:tcPr>
          <w:p>
            <w:pPr>
              <w:jc w:val="center"/>
              <w:ind w:left="354"/>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2</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gridSpan w:val="14"/>
          </w:tcPr>
          <w:p>
            <w:pPr>
              <w:spacing w:after="0"/>
              <w:rPr>
                <w:rFonts w:ascii="Arial" w:cs="Arial" w:eastAsia="Arial" w:hAnsi="Arial"/>
                <w:sz w:val="17"/>
                <w:szCs w:val="17"/>
                <w:color w:val="0000FF"/>
                <w:w w:val="97"/>
              </w:rPr>
            </w:pPr>
            <w:hyperlink w:anchor="page7">
              <w:r>
                <w:rPr>
                  <w:rFonts w:ascii="Arial" w:cs="Arial" w:eastAsia="Arial" w:hAnsi="Arial"/>
                  <w:sz w:val="17"/>
                  <w:szCs w:val="17"/>
                  <w:color w:val="0000FF"/>
                  <w:w w:val="97"/>
                </w:rPr>
                <w:t>Condensed Consolidated Statements of Comprehensive Loss</w:t>
              </w:r>
            </w:hyperlink>
          </w:p>
        </w:tc>
        <w:tc>
          <w:tcPr>
            <w:tcW w:w="4640" w:type="dxa"/>
            <w:vAlign w:val="bottom"/>
            <w:gridSpan w:val="5"/>
          </w:tcPr>
          <w:p>
            <w:pPr>
              <w:spacing w:after="0"/>
              <w:rPr>
                <w:sz w:val="17"/>
                <w:szCs w:val="17"/>
                <w:color w:val="auto"/>
              </w:rPr>
            </w:pPr>
          </w:p>
        </w:tc>
        <w:tc>
          <w:tcPr>
            <w:tcW w:w="520" w:type="dxa"/>
            <w:vAlign w:val="bottom"/>
            <w:gridSpan w:val="2"/>
          </w:tcPr>
          <w:p>
            <w:pPr>
              <w:jc w:val="center"/>
              <w:ind w:left="354"/>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3</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Convertible Preferred Stock and Stockholders’ Equity</w:t>
              </w:r>
            </w:hyperlink>
          </w:p>
        </w:tc>
        <w:tc>
          <w:tcPr>
            <w:tcW w:w="520" w:type="dxa"/>
            <w:vAlign w:val="bottom"/>
            <w:gridSpan w:val="2"/>
          </w:tcPr>
          <w:p>
            <w:pPr>
              <w:jc w:val="center"/>
              <w:ind w:left="354"/>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4</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Condensed Consolidated Statements of Cash Flows</w:t>
              </w:r>
            </w:hyperlink>
          </w:p>
        </w:tc>
        <w:tc>
          <w:tcPr>
            <w:tcW w:w="520" w:type="dxa"/>
            <w:vAlign w:val="bottom"/>
            <w:gridSpan w:val="2"/>
          </w:tcPr>
          <w:p>
            <w:pPr>
              <w:jc w:val="center"/>
              <w:ind w:left="354"/>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5</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Notes to Unaudited Condensed Consolidated Financial Statements</w:t>
              </w:r>
            </w:hyperlink>
          </w:p>
        </w:tc>
        <w:tc>
          <w:tcPr>
            <w:tcW w:w="520" w:type="dxa"/>
            <w:vAlign w:val="bottom"/>
            <w:gridSpan w:val="2"/>
          </w:tcPr>
          <w:p>
            <w:pPr>
              <w:jc w:val="center"/>
              <w:ind w:left="354"/>
              <w:spacing w:after="0"/>
              <w:rPr>
                <w:rFonts w:ascii="Arial" w:cs="Arial" w:eastAsia="Arial" w:hAnsi="Arial"/>
                <w:sz w:val="17"/>
                <w:szCs w:val="17"/>
                <w:color w:val="0000FF"/>
                <w:w w:val="84"/>
              </w:rPr>
            </w:pPr>
            <w:hyperlink w:anchor="page10">
              <w:r>
                <w:rPr>
                  <w:rFonts w:ascii="Arial" w:cs="Arial" w:eastAsia="Arial" w:hAnsi="Arial"/>
                  <w:sz w:val="17"/>
                  <w:szCs w:val="17"/>
                  <w:color w:val="0000FF"/>
                  <w:w w:val="84"/>
                </w:rPr>
                <w:t>6</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Item 2.</w:t>
              </w:r>
            </w:hyperlink>
          </w:p>
        </w:tc>
        <w:tc>
          <w:tcPr>
            <w:tcW w:w="9200" w:type="dxa"/>
            <w:vAlign w:val="bottom"/>
            <w:gridSpan w:val="19"/>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Management's Discussion and Analysis of Financial Condition and Results of Operations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20">
              <w:r>
                <w:rPr>
                  <w:rFonts w:ascii="Arial" w:cs="Arial" w:eastAsia="Arial" w:hAnsi="Arial"/>
                  <w:sz w:val="17"/>
                  <w:szCs w:val="17"/>
                  <w:color w:val="0000FF"/>
                  <w:w w:val="84"/>
                </w:rPr>
                <w:t>16</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Item 3.</w:t>
              </w:r>
            </w:hyperlink>
          </w:p>
        </w:tc>
        <w:tc>
          <w:tcPr>
            <w:tcW w:w="9200" w:type="dxa"/>
            <w:vAlign w:val="bottom"/>
            <w:gridSpan w:val="19"/>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Quantitative and Qualitative Disclosures About Market Risk</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34">
              <w:r>
                <w:rPr>
                  <w:rFonts w:ascii="Arial" w:cs="Arial" w:eastAsia="Arial" w:hAnsi="Arial"/>
                  <w:sz w:val="17"/>
                  <w:szCs w:val="17"/>
                  <w:color w:val="0000FF"/>
                  <w:w w:val="84"/>
                </w:rPr>
                <w:t>30</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Item 4.</w:t>
              </w:r>
            </w:hyperlink>
          </w:p>
        </w:tc>
        <w:tc>
          <w:tcPr>
            <w:tcW w:w="9200" w:type="dxa"/>
            <w:vAlign w:val="bottom"/>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Controls and Procedures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35">
              <w:r>
                <w:rPr>
                  <w:rFonts w:ascii="Arial" w:cs="Arial" w:eastAsia="Arial" w:hAnsi="Arial"/>
                  <w:sz w:val="17"/>
                  <w:szCs w:val="17"/>
                  <w:color w:val="0000FF"/>
                  <w:w w:val="84"/>
                </w:rPr>
                <w:t>31</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gridSpan w:val="10"/>
            <w:vMerge w:val="restart"/>
          </w:tcPr>
          <w:p>
            <w:pPr>
              <w:jc w:val="center"/>
              <w:ind w:right="3300"/>
              <w:spacing w:after="0"/>
              <w:rPr>
                <w:rFonts w:ascii="Arial" w:cs="Arial" w:eastAsia="Arial" w:hAnsi="Arial"/>
                <w:sz w:val="17"/>
                <w:szCs w:val="17"/>
                <w:b w:val="1"/>
                <w:bCs w:val="1"/>
                <w:color w:val="0000FF"/>
              </w:rPr>
            </w:pPr>
            <w:hyperlink w:anchor="page37">
              <w:r>
                <w:rPr>
                  <w:rFonts w:ascii="Arial" w:cs="Arial" w:eastAsia="Arial" w:hAnsi="Arial"/>
                  <w:sz w:val="17"/>
                  <w:szCs w:val="17"/>
                  <w:b w:val="1"/>
                  <w:bCs w:val="1"/>
                  <w:color w:val="0000FF"/>
                </w:rPr>
                <w:t>PART II. OTHER INFORMATION</w:t>
              </w:r>
            </w:hyperlink>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40" w:type="dxa"/>
            <w:vAlign w:val="bottom"/>
            <w:gridSpan w:val="10"/>
            <w:vMerge w:val="continue"/>
          </w:tcPr>
          <w:p>
            <w:pPr>
              <w:spacing w:after="0"/>
              <w:rPr>
                <w:sz w:val="17"/>
                <w:szCs w:val="17"/>
                <w:color w:val="auto"/>
              </w:rPr>
            </w:pPr>
          </w:p>
        </w:tc>
        <w:tc>
          <w:tcPr>
            <w:tcW w:w="520" w:type="dxa"/>
            <w:vAlign w:val="bottom"/>
            <w:gridSpan w:val="2"/>
          </w:tcPr>
          <w:p>
            <w:pPr>
              <w:jc w:val="center"/>
              <w:ind w:left="274"/>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33</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760" w:type="dxa"/>
            <w:vAlign w:val="bottom"/>
            <w:tcBorders>
              <w:left w:val="single" w:sz="8" w:color="0000FF"/>
            </w:tcBorders>
            <w:gridSpan w:val="3"/>
            <w:shd w:val="clear" w:color="auto" w:fill="0000FF"/>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1.</w:t>
              </w:r>
            </w:hyperlink>
          </w:p>
        </w:tc>
        <w:tc>
          <w:tcPr>
            <w:tcW w:w="3260" w:type="dxa"/>
            <w:vAlign w:val="bottom"/>
            <w:gridSpan w:val="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Legal Proceedings</w:t>
              </w:r>
            </w:hyperlink>
          </w:p>
        </w:tc>
        <w:tc>
          <w:tcPr>
            <w:tcW w:w="2640" w:type="dxa"/>
            <w:vAlign w:val="bottom"/>
            <w:gridSpan w:val="6"/>
          </w:tcPr>
          <w:p>
            <w:pPr>
              <w:spacing w:after="0"/>
              <w:rPr>
                <w:sz w:val="17"/>
                <w:szCs w:val="17"/>
                <w:color w:val="auto"/>
              </w:rPr>
            </w:pPr>
          </w:p>
        </w:tc>
        <w:tc>
          <w:tcPr>
            <w:tcW w:w="3300" w:type="dxa"/>
            <w:vAlign w:val="bottom"/>
            <w:gridSpan w:val="4"/>
          </w:tcPr>
          <w:p>
            <w:pPr>
              <w:spacing w:after="0"/>
              <w:rPr>
                <w:sz w:val="17"/>
                <w:szCs w:val="17"/>
                <w:color w:val="auto"/>
              </w:rPr>
            </w:pPr>
          </w:p>
        </w:tc>
        <w:tc>
          <w:tcPr>
            <w:tcW w:w="520" w:type="dxa"/>
            <w:vAlign w:val="bottom"/>
            <w:gridSpan w:val="2"/>
          </w:tcPr>
          <w:p>
            <w:pPr>
              <w:jc w:val="center"/>
              <w:ind w:left="274"/>
              <w:spacing w:after="0"/>
              <w:rPr>
                <w:rFonts w:ascii="Arial" w:cs="Arial" w:eastAsia="Arial" w:hAnsi="Arial"/>
                <w:sz w:val="17"/>
                <w:szCs w:val="17"/>
                <w:color w:val="0000FF"/>
                <w:w w:val="84"/>
              </w:rPr>
            </w:pPr>
            <w:hyperlink w:anchor="page38">
              <w:r>
                <w:rPr>
                  <w:rFonts w:ascii="Arial" w:cs="Arial" w:eastAsia="Arial" w:hAnsi="Arial"/>
                  <w:sz w:val="17"/>
                  <w:szCs w:val="17"/>
                  <w:color w:val="0000FF"/>
                  <w:w w:val="84"/>
                </w:rPr>
                <w:t>33</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 w:type="dxa"/>
            <w:vAlign w:val="bottom"/>
            <w:gridSpan w:val="2"/>
          </w:tcPr>
          <w:p>
            <w:pPr>
              <w:spacing w:after="0"/>
              <w:rPr>
                <w:rFonts w:ascii="Arial" w:cs="Arial" w:eastAsia="Arial" w:hAnsi="Arial"/>
                <w:sz w:val="17"/>
                <w:szCs w:val="17"/>
                <w:color w:val="0000FF"/>
                <w:w w:val="94"/>
              </w:rPr>
            </w:pPr>
            <w:hyperlink w:anchor="page38">
              <w:r>
                <w:rPr>
                  <w:rFonts w:ascii="Arial" w:cs="Arial" w:eastAsia="Arial" w:hAnsi="Arial"/>
                  <w:sz w:val="17"/>
                  <w:szCs w:val="17"/>
                  <w:color w:val="0000FF"/>
                  <w:w w:val="94"/>
                </w:rPr>
                <w:t>Item 1A.</w:t>
              </w:r>
            </w:hyperlink>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Risk Factors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38">
              <w:r>
                <w:rPr>
                  <w:rFonts w:ascii="Arial" w:cs="Arial" w:eastAsia="Arial" w:hAnsi="Arial"/>
                  <w:sz w:val="17"/>
                  <w:szCs w:val="17"/>
                  <w:color w:val="0000FF"/>
                  <w:w w:val="84"/>
                </w:rPr>
                <w:t>34</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 w:type="dxa"/>
            <w:vAlign w:val="bottom"/>
            <w:gridSpan w:val="2"/>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Item 2.</w:t>
              </w:r>
            </w:hyperlink>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Unregistered Sales of Equity Securities and Use of Proceeds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35</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60" w:type="dxa"/>
            <w:vAlign w:val="bottom"/>
            <w:gridSpan w:val="3"/>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Item 6.</w:t>
              </w:r>
            </w:hyperlink>
          </w:p>
        </w:tc>
        <w:tc>
          <w:tcPr>
            <w:tcW w:w="9200" w:type="dxa"/>
            <w:vAlign w:val="bottom"/>
            <w:gridSpan w:val="19"/>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Exhibits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40">
              <w:r>
                <w:rPr>
                  <w:rFonts w:ascii="Arial" w:cs="Arial" w:eastAsia="Arial" w:hAnsi="Arial"/>
                  <w:sz w:val="17"/>
                  <w:szCs w:val="17"/>
                  <w:color w:val="0000FF"/>
                  <w:w w:val="84"/>
                </w:rPr>
                <w:t>36</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80" w:type="dxa"/>
            <w:vAlign w:val="bottom"/>
            <w:gridSpan w:val="1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0" w:type="dxa"/>
            <w:vAlign w:val="bottom"/>
            <w:gridSpan w:val="19"/>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Signatures</w:t>
              </w:r>
            </w:hyperlink>
          </w:p>
        </w:tc>
        <w:tc>
          <w:tcPr>
            <w:tcW w:w="520" w:type="dxa"/>
            <w:vAlign w:val="bottom"/>
            <w:gridSpan w:val="2"/>
          </w:tcPr>
          <w:p>
            <w:pPr>
              <w:jc w:val="center"/>
              <w:ind w:left="274"/>
              <w:spacing w:after="0"/>
              <w:rPr>
                <w:rFonts w:ascii="Arial" w:cs="Arial" w:eastAsia="Arial" w:hAnsi="Arial"/>
                <w:sz w:val="17"/>
                <w:szCs w:val="17"/>
                <w:color w:val="0000FF"/>
                <w:w w:val="84"/>
              </w:rPr>
            </w:pPr>
            <w:hyperlink w:anchor="page42">
              <w:r>
                <w:rPr>
                  <w:rFonts w:ascii="Arial" w:cs="Arial" w:eastAsia="Arial" w:hAnsi="Arial"/>
                  <w:sz w:val="17"/>
                  <w:szCs w:val="17"/>
                  <w:color w:val="0000FF"/>
                  <w:w w:val="84"/>
                </w:rPr>
                <w:t>38</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158115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45" w:lineRule="exact"/>
        <w:rPr>
          <w:sz w:val="20"/>
          <w:szCs w:val="20"/>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revenue, cost of revenue and operating expenses and our ability to achieve and maintain future profitability;</w:t>
      </w:r>
    </w:p>
    <w:p>
      <w:pPr>
        <w:spacing w:after="0" w:line="13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cash equivalents and capital resources to meet our liquidity needs;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or sustain our growth and to effectively expand our operations;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strategies, plans, objectives and goals, including our expectations regarding future infrastructure investments;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buyers and sellers and the continued impact of network effects as we scale our platform;</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generate revenue from new Resale-as-a-Service (“RaaS”) offerings that are our future sources of revenue;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trends in our key financial and operating metrics;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estimated market opportunity;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laws and regulations;</w:t>
      </w:r>
    </w:p>
    <w:p>
      <w:pPr>
        <w:spacing w:after="0" w:line="165"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including as a result of the recent Omicron variant, the BA.2 subvariants and any new strains or variants of the virus and recovery therefrom on United States and global economies, our business, results of operations, financial condition, demand for secondhand and resale items, sales cycles and buyer and seller retention;</w:t>
      </w:r>
    </w:p>
    <w:p>
      <w:pPr>
        <w:spacing w:after="0" w:line="14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remediate our material weakness in our internal control over financial reporting;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integrate and realize the benefits of our past or future strategic acquisitions or investments;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w:t>
      </w:r>
    </w:p>
    <w:p>
      <w:pPr>
        <w:spacing w:after="0" w:line="16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You should not rely upon forward-looking statements as predictions of future events. The outcome of the events described in these forward-looking statements is subject to risks, uncertainties and other factors described in the section titled “Risk Factors” in our Annual Report on Form 10-K filed with the SEC on March 22, 2022 and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reflected in the forward-looking statements may not be achieved or occur, and actual results, events or circumstances could differ materially from those described in the forward-looking statements.</w:t>
      </w:r>
    </w:p>
    <w:p>
      <w:pPr>
        <w:spacing w:after="0" w:line="136"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6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Unless otherwise indicated or unless the context requires otherwise, all references in this document to “thredUP”, “the Company”, “we”, “us”, “our”, or similar references are to ThredUp Inc.</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based primarily on items processed, items sold and the capacity of our distribution centers.</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6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Financial Statements (Unaudited)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7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2"/>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68,597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84,550</w:t>
            </w:r>
          </w:p>
        </w:tc>
        <w:tc>
          <w:tcPr>
            <w:tcW w:w="0" w:type="dxa"/>
            <w:vAlign w:val="bottom"/>
          </w:tcPr>
          <w:p>
            <w:pPr>
              <w:spacing w:after="0"/>
              <w:rPr>
                <w:sz w:val="1"/>
                <w:szCs w:val="1"/>
                <w:color w:val="auto"/>
              </w:rPr>
            </w:pPr>
          </w:p>
        </w:tc>
      </w:tr>
      <w:tr>
        <w:trPr>
          <w:trHeight w:val="180"/>
        </w:trPr>
        <w:tc>
          <w:tcPr>
            <w:tcW w:w="774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115,189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121,277</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2,971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4,136</w:t>
            </w:r>
          </w:p>
        </w:tc>
        <w:tc>
          <w:tcPr>
            <w:tcW w:w="0" w:type="dxa"/>
            <w:vAlign w:val="bottom"/>
          </w:tcPr>
          <w:p>
            <w:pPr>
              <w:spacing w:after="0"/>
              <w:rPr>
                <w:sz w:val="1"/>
                <w:szCs w:val="1"/>
                <w:color w:val="auto"/>
              </w:rPr>
            </w:pPr>
          </w:p>
        </w:tc>
      </w:tr>
      <w:tr>
        <w:trPr>
          <w:trHeight w:val="180"/>
        </w:trPr>
        <w:tc>
          <w:tcPr>
            <w:tcW w:w="774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9,825</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9,634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8,625</w:t>
            </w:r>
          </w:p>
        </w:tc>
        <w:tc>
          <w:tcPr>
            <w:tcW w:w="0" w:type="dxa"/>
            <w:vAlign w:val="bottom"/>
          </w:tcPr>
          <w:p>
            <w:pPr>
              <w:spacing w:after="0"/>
              <w:rPr>
                <w:sz w:val="1"/>
                <w:szCs w:val="1"/>
                <w:color w:val="auto"/>
              </w:rPr>
            </w:pPr>
          </w:p>
        </w:tc>
      </w:tr>
      <w:tr>
        <w:trPr>
          <w:trHeight w:val="173"/>
        </w:trPr>
        <w:tc>
          <w:tcPr>
            <w:tcW w:w="77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208,416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228,413</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42,937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39,340</w:t>
            </w: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73,132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55,466</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12,043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12,238</w:t>
            </w: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12,942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13,854</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11,558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173"/>
        </w:trPr>
        <w:tc>
          <w:tcPr>
            <w:tcW w:w="77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361,028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360,826</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19,529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13,336</w:t>
            </w:r>
          </w:p>
        </w:tc>
        <w:tc>
          <w:tcPr>
            <w:tcW w:w="0" w:type="dxa"/>
            <w:vAlign w:val="bottom"/>
          </w:tcPr>
          <w:p>
            <w:pPr>
              <w:spacing w:after="0"/>
              <w:rPr>
                <w:sz w:val="1"/>
                <w:szCs w:val="1"/>
                <w:color w:val="auto"/>
              </w:rPr>
            </w:pPr>
          </w:p>
        </w:tc>
      </w:tr>
      <w:tr>
        <w:trPr>
          <w:trHeight w:val="180"/>
        </w:trPr>
        <w:tc>
          <w:tcPr>
            <w:tcW w:w="7740" w:type="dxa"/>
            <w:vAlign w:val="bottom"/>
          </w:tcPr>
          <w:p>
            <w:pPr>
              <w:ind w:left="220"/>
              <w:spacing w:after="0"/>
              <w:rPr>
                <w:sz w:val="20"/>
                <w:szCs w:val="20"/>
                <w:color w:val="auto"/>
              </w:rPr>
            </w:pPr>
            <w:r>
              <w:rPr>
                <w:rFonts w:ascii="Arial" w:cs="Arial" w:eastAsia="Arial" w:hAnsi="Arial"/>
                <w:sz w:val="14"/>
                <w:szCs w:val="14"/>
                <w:color w:val="auto"/>
              </w:rPr>
              <w:t>Accrued and other current liabilities</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50,970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45,253</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Seller payable</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20,640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19,125</w:t>
            </w:r>
          </w:p>
        </w:tc>
        <w:tc>
          <w:tcPr>
            <w:tcW w:w="0" w:type="dxa"/>
            <w:vAlign w:val="bottom"/>
          </w:tcPr>
          <w:p>
            <w:pPr>
              <w:spacing w:after="0"/>
              <w:rPr>
                <w:sz w:val="1"/>
                <w:szCs w:val="1"/>
                <w:color w:val="auto"/>
              </w:rPr>
            </w:pPr>
          </w:p>
        </w:tc>
      </w:tr>
      <w:tr>
        <w:trPr>
          <w:trHeight w:val="180"/>
        </w:trPr>
        <w:tc>
          <w:tcPr>
            <w:tcW w:w="7740" w:type="dxa"/>
            <w:vAlign w:val="bottom"/>
          </w:tcPr>
          <w:p>
            <w:pPr>
              <w:ind w:left="220"/>
              <w:spacing w:after="0"/>
              <w:rPr>
                <w:sz w:val="20"/>
                <w:szCs w:val="20"/>
                <w:color w:val="auto"/>
              </w:rPr>
            </w:pPr>
            <w:r>
              <w:rPr>
                <w:rFonts w:ascii="Arial" w:cs="Arial" w:eastAsia="Arial" w:hAnsi="Arial"/>
                <w:sz w:val="14"/>
                <w:szCs w:val="14"/>
                <w:color w:val="auto"/>
              </w:rPr>
              <w:t>Operating lease liabilities, current</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4,433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3,931</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7,780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7,768</w:t>
            </w:r>
          </w:p>
        </w:tc>
        <w:tc>
          <w:tcPr>
            <w:tcW w:w="0" w:type="dxa"/>
            <w:vAlign w:val="bottom"/>
          </w:tcPr>
          <w:p>
            <w:pPr>
              <w:spacing w:after="0"/>
              <w:rPr>
                <w:sz w:val="1"/>
                <w:szCs w:val="1"/>
                <w:color w:val="auto"/>
              </w:rPr>
            </w:pPr>
          </w:p>
        </w:tc>
      </w:tr>
      <w:tr>
        <w:trPr>
          <w:trHeight w:val="173"/>
        </w:trPr>
        <w:tc>
          <w:tcPr>
            <w:tcW w:w="77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103,352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89,413</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42,030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36,997</w:t>
            </w:r>
          </w:p>
        </w:tc>
        <w:tc>
          <w:tcPr>
            <w:tcW w:w="0" w:type="dxa"/>
            <w:vAlign w:val="bottom"/>
          </w:tcPr>
          <w:p>
            <w:pPr>
              <w:spacing w:after="0"/>
              <w:rPr>
                <w:sz w:val="1"/>
                <w:szCs w:val="1"/>
                <w:color w:val="auto"/>
              </w:rPr>
            </w:pPr>
          </w:p>
        </w:tc>
      </w:tr>
      <w:tr>
        <w:trPr>
          <w:trHeight w:val="180"/>
        </w:trPr>
        <w:tc>
          <w:tcPr>
            <w:tcW w:w="77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25,634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27,559</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2,324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73"/>
        </w:trPr>
        <w:tc>
          <w:tcPr>
            <w:tcW w:w="77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173,340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155,092</w:t>
            </w:r>
          </w:p>
        </w:tc>
        <w:tc>
          <w:tcPr>
            <w:tcW w:w="0" w:type="dxa"/>
            <w:vAlign w:val="bottom"/>
          </w:tcPr>
          <w:p>
            <w:pPr>
              <w:spacing w:after="0"/>
              <w:rPr>
                <w:sz w:val="1"/>
                <w:szCs w:val="1"/>
                <w:color w:val="auto"/>
              </w:rPr>
            </w:pPr>
          </w:p>
        </w:tc>
      </w:tr>
      <w:tr>
        <w:trPr>
          <w:trHeight w:val="16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11)</w:t>
            </w: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40" w:type="dxa"/>
            <w:vAlign w:val="bottom"/>
          </w:tcPr>
          <w:p>
            <w:pPr>
              <w:ind w:left="20"/>
              <w:spacing w:after="0" w:line="147" w:lineRule="exact"/>
              <w:rPr>
                <w:sz w:val="20"/>
                <w:szCs w:val="20"/>
                <w:color w:val="auto"/>
              </w:rPr>
            </w:pPr>
            <w:r>
              <w:rPr>
                <w:rFonts w:ascii="Arial" w:cs="Arial" w:eastAsia="Arial" w:hAnsi="Arial"/>
                <w:sz w:val="14"/>
                <w:szCs w:val="14"/>
                <w:color w:val="auto"/>
                <w:w w:val="99"/>
              </w:rPr>
              <w:t>Convertible preferred stock: $0.0001 par value; 100,000 shares authorized as of March 31, 2022 and December 31, 2021; no</w:t>
            </w:r>
          </w:p>
        </w:tc>
        <w:tc>
          <w:tcPr>
            <w:tcW w:w="320" w:type="dxa"/>
            <w:vAlign w:val="bottom"/>
          </w:tcPr>
          <w:p>
            <w:pPr>
              <w:spacing w:after="0"/>
              <w:rPr>
                <w:sz w:val="12"/>
                <w:szCs w:val="12"/>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740" w:type="dxa"/>
            <w:vAlign w:val="bottom"/>
          </w:tcPr>
          <w:p>
            <w:pPr>
              <w:ind w:left="100"/>
              <w:spacing w:after="0"/>
              <w:rPr>
                <w:sz w:val="20"/>
                <w:szCs w:val="20"/>
                <w:color w:val="auto"/>
              </w:rPr>
            </w:pPr>
            <w:r>
              <w:rPr>
                <w:rFonts w:ascii="Arial" w:cs="Arial" w:eastAsia="Arial" w:hAnsi="Arial"/>
                <w:sz w:val="14"/>
                <w:szCs w:val="14"/>
                <w:color w:val="auto"/>
              </w:rPr>
              <w:t>shares issued and outstanding as of March 31, 2022 and December 31, 2021</w:t>
            </w: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7740" w:type="dxa"/>
            <w:vAlign w:val="bottom"/>
          </w:tcPr>
          <w:p>
            <w:pPr>
              <w:ind w:left="120"/>
              <w:spacing w:after="0" w:line="147" w:lineRule="exact"/>
              <w:rPr>
                <w:sz w:val="20"/>
                <w:szCs w:val="20"/>
                <w:color w:val="auto"/>
              </w:rPr>
            </w:pPr>
            <w:r>
              <w:rPr>
                <w:rFonts w:ascii="Arial" w:cs="Arial" w:eastAsia="Arial" w:hAnsi="Arial"/>
                <w:sz w:val="14"/>
                <w:szCs w:val="14"/>
                <w:color w:val="auto"/>
              </w:rPr>
              <w:t>Class A and B common stock, $0.0001 par value; 1,120,000 shares authorized as of March 31, 2022 and December 31,</w:t>
            </w:r>
          </w:p>
        </w:tc>
        <w:tc>
          <w:tcPr>
            <w:tcW w:w="320" w:type="dxa"/>
            <w:vAlign w:val="bottom"/>
          </w:tcPr>
          <w:p>
            <w:pPr>
              <w:spacing w:after="0"/>
              <w:rPr>
                <w:sz w:val="12"/>
                <w:szCs w:val="12"/>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7740" w:type="dxa"/>
            <w:vAlign w:val="bottom"/>
          </w:tcPr>
          <w:p>
            <w:pPr>
              <w:ind w:left="280"/>
              <w:spacing w:after="0"/>
              <w:rPr>
                <w:sz w:val="20"/>
                <w:szCs w:val="20"/>
                <w:color w:val="auto"/>
              </w:rPr>
            </w:pPr>
            <w:r>
              <w:rPr>
                <w:rFonts w:ascii="Arial" w:cs="Arial" w:eastAsia="Arial" w:hAnsi="Arial"/>
                <w:sz w:val="14"/>
                <w:szCs w:val="14"/>
                <w:color w:val="auto"/>
              </w:rPr>
              <w:t>2021; 98,942 and 98,435 shares issued and outstanding as of March 31, 2022 and December 31, 2021, respectively</w:t>
            </w:r>
          </w:p>
        </w:tc>
        <w:tc>
          <w:tcPr>
            <w:tcW w:w="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526,533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522,161</w:t>
            </w:r>
          </w:p>
        </w:tc>
        <w:tc>
          <w:tcPr>
            <w:tcW w:w="0" w:type="dxa"/>
            <w:vAlign w:val="bottom"/>
          </w:tcPr>
          <w:p>
            <w:pPr>
              <w:spacing w:after="0"/>
              <w:rPr>
                <w:sz w:val="1"/>
                <w:szCs w:val="1"/>
                <w:color w:val="auto"/>
              </w:rPr>
            </w:pPr>
          </w:p>
        </w:tc>
      </w:tr>
      <w:tr>
        <w:trPr>
          <w:trHeight w:val="180"/>
        </w:trPr>
        <w:tc>
          <w:tcPr>
            <w:tcW w:w="774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(336,051)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0" w:type="dxa"/>
            <w:vAlign w:val="bottom"/>
          </w:tcPr>
          <w:p>
            <w:pPr>
              <w:spacing w:after="0"/>
              <w:rPr>
                <w:sz w:val="1"/>
                <w:szCs w:val="1"/>
                <w:color w:val="auto"/>
              </w:rPr>
            </w:pPr>
          </w:p>
        </w:tc>
      </w:tr>
      <w:tr>
        <w:trPr>
          <w:trHeight w:val="173"/>
        </w:trPr>
        <w:tc>
          <w:tcPr>
            <w:tcW w:w="77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187,688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205,734</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361,028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360,826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6" w:name="page7"/>
    <w:bookmarkEnd w:id="6"/>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Three Months Ended March 31,</w:t>
            </w:r>
          </w:p>
        </w:tc>
      </w:tr>
      <w:tr>
        <w:trPr>
          <w:trHeight w:val="96"/>
        </w:trPr>
        <w:tc>
          <w:tcPr>
            <w:tcW w:w="8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198"/>
        </w:trPr>
        <w:tc>
          <w:tcPr>
            <w:tcW w:w="8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2021</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47,435</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44,688</w:t>
            </w:r>
          </w:p>
        </w:tc>
      </w:tr>
      <w:tr>
        <w:trPr>
          <w:trHeight w:val="206"/>
        </w:trPr>
        <w:tc>
          <w:tcPr>
            <w:tcW w:w="8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10,992</w:t>
            </w:r>
          </w:p>
        </w:tc>
      </w:tr>
      <w:tr>
        <w:trPr>
          <w:trHeight w:val="199"/>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55,680</w:t>
            </w: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10,832</w:t>
            </w:r>
          </w:p>
        </w:tc>
      </w:tr>
      <w:tr>
        <w:trPr>
          <w:trHeight w:val="206"/>
        </w:trPr>
        <w:tc>
          <w:tcPr>
            <w:tcW w:w="8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12,418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5,130</w:t>
            </w:r>
          </w:p>
        </w:tc>
      </w:tr>
      <w:tr>
        <w:trPr>
          <w:trHeight w:val="199"/>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cost of revenue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15,962</w:t>
            </w:r>
          </w:p>
        </w:tc>
      </w:tr>
      <w:tr>
        <w:trPr>
          <w:trHeight w:val="202"/>
        </w:trPr>
        <w:tc>
          <w:tcPr>
            <w:tcW w:w="84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39,718</w:t>
            </w:r>
          </w:p>
        </w:tc>
      </w:tr>
      <w:tr>
        <w:trPr>
          <w:trHeight w:val="183"/>
        </w:trPr>
        <w:tc>
          <w:tcPr>
            <w:tcW w:w="84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8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Operations, product and technology</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28,312</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Marketing</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16,978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15,446</w:t>
            </w:r>
          </w:p>
        </w:tc>
      </w:tr>
      <w:tr>
        <w:trPr>
          <w:trHeight w:val="206"/>
        </w:trPr>
        <w:tc>
          <w:tcPr>
            <w:tcW w:w="84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Sales, 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10,638</w:t>
            </w:r>
          </w:p>
        </w:tc>
      </w:tr>
      <w:tr>
        <w:trPr>
          <w:trHeight w:val="199"/>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70,803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54,396</w:t>
            </w:r>
          </w:p>
        </w:tc>
      </w:tr>
      <w:tr>
        <w:trPr>
          <w:trHeight w:val="202"/>
        </w:trPr>
        <w:tc>
          <w:tcPr>
            <w:tcW w:w="84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Operating loss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(14,678)</w:t>
            </w: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(559)</w:t>
            </w:r>
          </w:p>
        </w:tc>
      </w:tr>
      <w:tr>
        <w:trPr>
          <w:trHeight w:val="206"/>
        </w:trPr>
        <w:tc>
          <w:tcPr>
            <w:tcW w:w="8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income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w:t>
            </w:r>
          </w:p>
        </w:tc>
      </w:tr>
      <w:tr>
        <w:trPr>
          <w:trHeight w:val="199"/>
        </w:trPr>
        <w:tc>
          <w:tcPr>
            <w:tcW w:w="8420" w:type="dxa"/>
            <w:vAlign w:val="bottom"/>
          </w:tcPr>
          <w:p>
            <w:pPr>
              <w:ind w:left="440"/>
              <w:spacing w:after="0"/>
              <w:rPr>
                <w:sz w:val="20"/>
                <w:szCs w:val="20"/>
                <w:color w:val="auto"/>
              </w:rPr>
            </w:pPr>
            <w:r>
              <w:rPr>
                <w:rFonts w:ascii="Arial" w:cs="Arial" w:eastAsia="Arial" w:hAnsi="Arial"/>
                <w:sz w:val="15"/>
                <w:szCs w:val="15"/>
                <w:color w:val="auto"/>
              </w:rPr>
              <w:t>Loss before provision for income taxes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(20,695)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(16,144)</w:t>
            </w:r>
          </w:p>
        </w:tc>
      </w:tr>
      <w:tr>
        <w:trPr>
          <w:trHeight w:val="206"/>
        </w:trPr>
        <w:tc>
          <w:tcPr>
            <w:tcW w:w="8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202"/>
        </w:trPr>
        <w:tc>
          <w:tcPr>
            <w:tcW w:w="8420" w:type="dxa"/>
            <w:vAlign w:val="bottom"/>
          </w:tcPr>
          <w:p>
            <w:pPr>
              <w:ind w:left="440"/>
              <w:spacing w:after="0"/>
              <w:rPr>
                <w:sz w:val="20"/>
                <w:szCs w:val="20"/>
                <w:color w:val="auto"/>
              </w:rPr>
            </w:pPr>
            <w:r>
              <w:rPr>
                <w:rFonts w:ascii="Arial" w:cs="Arial" w:eastAsia="Arial" w:hAnsi="Arial"/>
                <w:sz w:val="15"/>
                <w:szCs w:val="15"/>
                <w:color w:val="auto"/>
              </w:rPr>
              <w:t>Net loss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420" w:type="dxa"/>
            <w:vAlign w:val="bottom"/>
          </w:tcPr>
          <w:p>
            <w:pPr>
              <w:ind w:left="20"/>
              <w:spacing w:after="0"/>
              <w:rPr>
                <w:sz w:val="20"/>
                <w:szCs w:val="20"/>
                <w:color w:val="auto"/>
              </w:rPr>
            </w:pPr>
            <w:r>
              <w:rPr>
                <w:rFonts w:ascii="Arial" w:cs="Arial" w:eastAsia="Arial" w:hAnsi="Arial"/>
                <w:sz w:val="15"/>
                <w:szCs w:val="15"/>
                <w:color w:val="auto"/>
              </w:rPr>
              <w:t>Weighted-average shares used in computing net loss per share attributable to common stockholders, basic and diluted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18,701</w:t>
            </w:r>
          </w:p>
        </w:tc>
      </w:tr>
      <w:tr>
        <w:trPr>
          <w:trHeight w:val="20"/>
        </w:trPr>
        <w:tc>
          <w:tcPr>
            <w:tcW w:w="8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71"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ThredUp Inc.</w:t>
      </w:r>
    </w:p>
    <w:p>
      <w:pPr>
        <w:spacing w:after="0" w:line="165"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tcPr>
          <w:p>
            <w:pPr>
              <w:spacing w:after="0"/>
              <w:rPr>
                <w:sz w:val="17"/>
                <w:szCs w:val="17"/>
                <w:color w:val="auto"/>
              </w:rPr>
            </w:pPr>
          </w:p>
        </w:tc>
        <w:tc>
          <w:tcPr>
            <w:tcW w:w="304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6"/>
        </w:trPr>
        <w:tc>
          <w:tcPr>
            <w:tcW w:w="75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98"/>
        </w:trPr>
        <w:tc>
          <w:tcPr>
            <w:tcW w:w="75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0"/>
        </w:trPr>
        <w:tc>
          <w:tcPr>
            <w:tcW w:w="7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Net loss</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(20,708)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(16,171)</w:t>
            </w:r>
          </w:p>
        </w:tc>
        <w:tc>
          <w:tcPr>
            <w:tcW w:w="80" w:type="dxa"/>
            <w:vAlign w:val="bottom"/>
            <w:shd w:val="clear" w:color="auto" w:fill="CCEEFF"/>
          </w:tcPr>
          <w:p>
            <w:pPr>
              <w:spacing w:after="0"/>
              <w:rPr>
                <w:sz w:val="17"/>
                <w:szCs w:val="17"/>
                <w:color w:val="auto"/>
              </w:rPr>
            </w:pPr>
          </w:p>
        </w:tc>
      </w:tr>
      <w:tr>
        <w:trPr>
          <w:trHeight w:val="203"/>
        </w:trPr>
        <w:tc>
          <w:tcPr>
            <w:tcW w:w="7500" w:type="dxa"/>
            <w:vAlign w:val="bottom"/>
          </w:tcPr>
          <w:p>
            <w:pPr>
              <w:ind w:left="20"/>
              <w:spacing w:after="0"/>
              <w:rPr>
                <w:sz w:val="20"/>
                <w:szCs w:val="20"/>
                <w:color w:val="auto"/>
              </w:rPr>
            </w:pPr>
            <w:r>
              <w:rPr>
                <w:rFonts w:ascii="Arial" w:cs="Arial" w:eastAsia="Arial" w:hAnsi="Arial"/>
                <w:sz w:val="15"/>
                <w:szCs w:val="15"/>
                <w:color w:val="auto"/>
              </w:rPr>
              <w:t>Other comprehensive loss, net of tax:</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r>
      <w:tr>
        <w:trPr>
          <w:trHeight w:val="203"/>
        </w:trPr>
        <w:tc>
          <w:tcPr>
            <w:tcW w:w="7500" w:type="dxa"/>
            <w:vAlign w:val="bottom"/>
          </w:tcPr>
          <w:p>
            <w:pPr>
              <w:ind w:left="220"/>
              <w:spacing w:after="0"/>
              <w:rPr>
                <w:sz w:val="20"/>
                <w:szCs w:val="20"/>
                <w:color w:val="auto"/>
              </w:rPr>
            </w:pPr>
            <w:r>
              <w:rPr>
                <w:rFonts w:ascii="Arial" w:cs="Arial" w:eastAsia="Arial" w:hAnsi="Arial"/>
                <w:sz w:val="15"/>
                <w:szCs w:val="15"/>
                <w:color w:val="auto"/>
              </w:rPr>
              <w:t>Unrealized loss on available-for-sale debt securities</w:t>
            </w:r>
          </w:p>
        </w:tc>
        <w:tc>
          <w:tcPr>
            <w:tcW w:w="1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5"/>
                <w:szCs w:val="15"/>
                <w:color w:val="auto"/>
              </w:rPr>
              <w:t>—</w:t>
            </w:r>
          </w:p>
        </w:tc>
      </w:tr>
      <w:tr>
        <w:trPr>
          <w:trHeight w:val="227"/>
        </w:trPr>
        <w:tc>
          <w:tcPr>
            <w:tcW w:w="75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comprehensive loss</w:t>
            </w: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83"/>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76"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ThredUp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Condensed Consolidated Statements of Convertible Preferred Stock and Stockholders’ Equity</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(in thousands)</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left="203"/>
              <w:spacing w:after="0"/>
              <w:rPr>
                <w:sz w:val="20"/>
                <w:szCs w:val="20"/>
                <w:color w:val="auto"/>
              </w:rPr>
            </w:pPr>
            <w:r>
              <w:rPr>
                <w:rFonts w:ascii="Arial" w:cs="Arial" w:eastAsia="Arial" w:hAnsi="Arial"/>
                <w:sz w:val="15"/>
                <w:szCs w:val="15"/>
                <w:b w:val="1"/>
                <w:bCs w:val="1"/>
                <w:color w:val="auto"/>
              </w:rPr>
              <w:t>Convertible</w:t>
            </w:r>
          </w:p>
        </w:tc>
        <w:tc>
          <w:tcPr>
            <w:tcW w:w="3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center"/>
              <w:ind w:right="16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64"/>
        </w:trPr>
        <w:tc>
          <w:tcPr>
            <w:tcW w:w="2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5"/>
            <w:vMerge w:val="restart"/>
          </w:tcPr>
          <w:p>
            <w:pPr>
              <w:jc w:val="center"/>
              <w:spacing w:after="0"/>
              <w:rPr>
                <w:sz w:val="20"/>
                <w:szCs w:val="20"/>
                <w:color w:val="auto"/>
              </w:rPr>
            </w:pPr>
            <w:r>
              <w:rPr>
                <w:rFonts w:ascii="Arial" w:cs="Arial" w:eastAsia="Arial" w:hAnsi="Arial"/>
                <w:sz w:val="15"/>
                <w:szCs w:val="15"/>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2"/>
                <w:szCs w:val="12"/>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5"/>
                <w:szCs w:val="15"/>
                <w:b w:val="1"/>
                <w:bCs w:val="1"/>
                <w:color w:val="auto"/>
              </w:rPr>
              <w:t>Accumulated Other</w:t>
            </w:r>
          </w:p>
        </w:tc>
        <w:tc>
          <w:tcPr>
            <w:tcW w:w="1160" w:type="dxa"/>
            <w:vAlign w:val="bottom"/>
            <w:gridSpan w:val="4"/>
          </w:tcPr>
          <w:p>
            <w:pPr>
              <w:jc w:val="right"/>
              <w:ind w:right="120"/>
              <w:spacing w:after="0" w:line="135" w:lineRule="exact"/>
              <w:rPr>
                <w:sz w:val="20"/>
                <w:szCs w:val="20"/>
                <w:color w:val="auto"/>
              </w:rPr>
            </w:pPr>
            <w:r>
              <w:rPr>
                <w:rFonts w:ascii="Arial" w:cs="Arial" w:eastAsia="Arial" w:hAnsi="Arial"/>
                <w:sz w:val="15"/>
                <w:szCs w:val="15"/>
                <w:b w:val="1"/>
                <w:bCs w:val="1"/>
                <w:color w:val="auto"/>
              </w:rPr>
              <w:t>Accumulated</w:t>
            </w:r>
          </w:p>
        </w:tc>
        <w:tc>
          <w:tcPr>
            <w:tcW w:w="20" w:type="dxa"/>
            <w:vAlign w:val="bottom"/>
          </w:tcPr>
          <w:p>
            <w:pPr>
              <w:spacing w:after="0"/>
              <w:rPr>
                <w:sz w:val="12"/>
                <w:szCs w:val="12"/>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ind w:left="100"/>
              <w:spacing w:after="0"/>
              <w:rPr>
                <w:sz w:val="20"/>
                <w:szCs w:val="20"/>
                <w:color w:val="auto"/>
              </w:rPr>
            </w:pPr>
            <w:r>
              <w:rPr>
                <w:rFonts w:ascii="Arial" w:cs="Arial" w:eastAsia="Arial" w:hAnsi="Arial"/>
                <w:sz w:val="15"/>
                <w:szCs w:val="15"/>
                <w:b w:val="1"/>
                <w:bCs w:val="1"/>
                <w:color w:val="auto"/>
              </w:rPr>
              <w:t>Shares</w:t>
            </w:r>
          </w:p>
        </w:tc>
        <w:tc>
          <w:tcPr>
            <w:tcW w:w="86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82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Capital</w:t>
            </w:r>
          </w:p>
        </w:tc>
        <w:tc>
          <w:tcPr>
            <w:tcW w:w="17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Comprehensive Loss</w:t>
            </w:r>
          </w:p>
        </w:tc>
        <w:tc>
          <w:tcPr>
            <w:tcW w:w="200" w:type="dxa"/>
            <w:vAlign w:val="bottom"/>
          </w:tcPr>
          <w:p>
            <w:pPr>
              <w:spacing w:after="0"/>
              <w:rPr>
                <w:sz w:val="17"/>
                <w:szCs w:val="17"/>
                <w:color w:val="auto"/>
              </w:rPr>
            </w:pPr>
          </w:p>
        </w:tc>
        <w:tc>
          <w:tcPr>
            <w:tcW w:w="960" w:type="dxa"/>
            <w:vAlign w:val="bottom"/>
            <w:gridSpan w:val="3"/>
          </w:tcPr>
          <w:p>
            <w:pPr>
              <w:ind w:left="100"/>
              <w:spacing w:after="0"/>
              <w:rPr>
                <w:sz w:val="20"/>
                <w:szCs w:val="20"/>
                <w:color w:val="auto"/>
              </w:rPr>
            </w:pPr>
            <w:r>
              <w:rPr>
                <w:rFonts w:ascii="Arial" w:cs="Arial" w:eastAsia="Arial" w:hAnsi="Arial"/>
                <w:sz w:val="15"/>
                <w:szCs w:val="15"/>
                <w:b w:val="1"/>
                <w:bCs w:val="1"/>
                <w:color w:val="auto"/>
              </w:rPr>
              <w:t>Deficit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6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51"/>
        </w:trPr>
        <w:tc>
          <w:tcPr>
            <w:tcW w:w="2240" w:type="dxa"/>
            <w:vAlign w:val="bottom"/>
            <w:tcBorders>
              <w:top w:val="single" w:sz="8" w:color="CCEEFF"/>
            </w:tcBorders>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Balance as of December 31,</w:t>
            </w: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98,435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522,161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(315,343)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205,734</w:t>
            </w:r>
          </w:p>
        </w:tc>
        <w:tc>
          <w:tcPr>
            <w:tcW w:w="0" w:type="dxa"/>
            <w:vAlign w:val="bottom"/>
          </w:tcPr>
          <w:p>
            <w:pPr>
              <w:spacing w:after="0"/>
              <w:rPr>
                <w:sz w:val="1"/>
                <w:szCs w:val="1"/>
                <w:color w:val="auto"/>
              </w:rPr>
            </w:pPr>
          </w:p>
        </w:tc>
      </w:tr>
      <w:tr>
        <w:trPr>
          <w:trHeight w:val="203"/>
        </w:trPr>
        <w:tc>
          <w:tcPr>
            <w:tcW w:w="2240" w:type="dxa"/>
            <w:vAlign w:val="bottom"/>
            <w:gridSpan w:val="2"/>
          </w:tcPr>
          <w:p>
            <w:pPr>
              <w:ind w:left="220"/>
              <w:spacing w:after="0"/>
              <w:rPr>
                <w:sz w:val="20"/>
                <w:szCs w:val="20"/>
                <w:color w:val="auto"/>
              </w:rPr>
            </w:pPr>
            <w:r>
              <w:rPr>
                <w:rFonts w:ascii="Arial" w:cs="Arial" w:eastAsia="Arial" w:hAnsi="Arial"/>
                <w:sz w:val="15"/>
                <w:szCs w:val="15"/>
                <w:color w:val="auto"/>
              </w:rPr>
              <w:t>Exercise of stock options</w:t>
            </w:r>
          </w:p>
        </w:tc>
        <w:tc>
          <w:tcPr>
            <w:tcW w:w="80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334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754</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3,618</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Issuance of common 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to settle restricted stock</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220"/>
              <w:spacing w:after="0"/>
              <w:rPr>
                <w:sz w:val="20"/>
                <w:szCs w:val="20"/>
                <w:color w:val="auto"/>
              </w:rPr>
            </w:pPr>
            <w:r>
              <w:rPr>
                <w:rFonts w:ascii="Arial" w:cs="Arial" w:eastAsia="Arial" w:hAnsi="Arial"/>
                <w:sz w:val="15"/>
                <w:szCs w:val="15"/>
                <w:color w:val="auto"/>
              </w:rPr>
              <w:t>units</w:t>
            </w:r>
          </w:p>
        </w:tc>
        <w:tc>
          <w:tcPr>
            <w:tcW w:w="80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Other comprehensive loss</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Net loss</w:t>
            </w:r>
          </w:p>
        </w:tc>
        <w:tc>
          <w:tcPr>
            <w:tcW w:w="740" w:type="dxa"/>
            <w:vAlign w:val="bottom"/>
            <w:tcBorders>
              <w:bottom w:val="single" w:sz="8" w:color="auto"/>
            </w:tcBorders>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(20,708)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(20,708)</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March 31, 2022</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98,942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526,533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(336,051)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187,688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restart"/>
          </w:tcPr>
          <w:p>
            <w:pPr>
              <w:jc w:val="center"/>
              <w:ind w:left="183"/>
              <w:spacing w:after="0"/>
              <w:rPr>
                <w:sz w:val="20"/>
                <w:szCs w:val="20"/>
                <w:color w:val="auto"/>
              </w:rPr>
            </w:pPr>
            <w:r>
              <w:rPr>
                <w:rFonts w:ascii="Arial" w:cs="Arial" w:eastAsia="Arial" w:hAnsi="Arial"/>
                <w:sz w:val="15"/>
                <w:szCs w:val="15"/>
                <w:b w:val="1"/>
                <w:bCs w:val="1"/>
                <w:color w:val="auto"/>
              </w:rPr>
              <w:t>Convertible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center"/>
              <w:ind w:right="1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5"/>
            <w:vMerge w:val="restart"/>
          </w:tcPr>
          <w:p>
            <w:pPr>
              <w:jc w:val="center"/>
              <w:spacing w:after="0"/>
              <w:rPr>
                <w:sz w:val="20"/>
                <w:szCs w:val="20"/>
                <w:color w:val="auto"/>
              </w:rPr>
            </w:pPr>
            <w:r>
              <w:rPr>
                <w:rFonts w:ascii="Arial" w:cs="Arial" w:eastAsia="Arial" w:hAnsi="Arial"/>
                <w:sz w:val="15"/>
                <w:szCs w:val="15"/>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2"/>
                <w:szCs w:val="12"/>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5"/>
                <w:szCs w:val="15"/>
                <w:b w:val="1"/>
                <w:bCs w:val="1"/>
                <w:color w:val="auto"/>
              </w:rPr>
              <w:t>Accumulated Other</w:t>
            </w:r>
          </w:p>
        </w:tc>
        <w:tc>
          <w:tcPr>
            <w:tcW w:w="1160" w:type="dxa"/>
            <w:vAlign w:val="bottom"/>
            <w:gridSpan w:val="4"/>
          </w:tcPr>
          <w:p>
            <w:pPr>
              <w:jc w:val="right"/>
              <w:ind w:right="120"/>
              <w:spacing w:after="0" w:line="135" w:lineRule="exact"/>
              <w:rPr>
                <w:sz w:val="20"/>
                <w:szCs w:val="20"/>
                <w:color w:val="auto"/>
              </w:rPr>
            </w:pPr>
            <w:r>
              <w:rPr>
                <w:rFonts w:ascii="Arial" w:cs="Arial" w:eastAsia="Arial" w:hAnsi="Arial"/>
                <w:sz w:val="15"/>
                <w:szCs w:val="15"/>
                <w:b w:val="1"/>
                <w:bCs w:val="1"/>
                <w:color w:val="auto"/>
              </w:rPr>
              <w:t>Accumulated</w:t>
            </w:r>
          </w:p>
        </w:tc>
        <w:tc>
          <w:tcPr>
            <w:tcW w:w="20" w:type="dxa"/>
            <w:vAlign w:val="bottom"/>
          </w:tcPr>
          <w:p>
            <w:pPr>
              <w:spacing w:after="0"/>
              <w:rPr>
                <w:sz w:val="12"/>
                <w:szCs w:val="12"/>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Comprehensive Loss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Deficit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Equity (Deficit)</w:t>
            </w:r>
          </w:p>
        </w:tc>
        <w:tc>
          <w:tcPr>
            <w:tcW w:w="0" w:type="dxa"/>
            <w:vAlign w:val="bottom"/>
          </w:tcPr>
          <w:p>
            <w:pPr>
              <w:spacing w:after="0"/>
              <w:rPr>
                <w:sz w:val="1"/>
                <w:szCs w:val="1"/>
                <w:color w:val="auto"/>
              </w:rPr>
            </w:pPr>
          </w:p>
        </w:tc>
      </w:tr>
      <w:tr>
        <w:trPr>
          <w:trHeight w:val="151"/>
        </w:trPr>
        <w:tc>
          <w:tcPr>
            <w:tcW w:w="22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Balance as of December 31,</w:t>
            </w: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65,971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98"/>
              </w:rPr>
              <w:t>$ 247,041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12,890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29,989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(252,167)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(222,177)</w:t>
            </w:r>
          </w:p>
        </w:tc>
        <w:tc>
          <w:tcPr>
            <w:tcW w:w="0" w:type="dxa"/>
            <w:vAlign w:val="bottom"/>
          </w:tcPr>
          <w:p>
            <w:pPr>
              <w:spacing w:after="0"/>
              <w:rPr>
                <w:sz w:val="1"/>
                <w:szCs w:val="1"/>
                <w:color w:val="auto"/>
              </w:rPr>
            </w:pPr>
          </w:p>
        </w:tc>
      </w:tr>
      <w:tr>
        <w:trPr>
          <w:trHeight w:val="203"/>
        </w:trPr>
        <w:tc>
          <w:tcPr>
            <w:tcW w:w="2240" w:type="dxa"/>
            <w:vAlign w:val="bottom"/>
            <w:gridSpan w:val="2"/>
          </w:tcPr>
          <w:p>
            <w:pPr>
              <w:ind w:left="220"/>
              <w:spacing w:after="0"/>
              <w:rPr>
                <w:sz w:val="20"/>
                <w:szCs w:val="20"/>
                <w:color w:val="auto"/>
              </w:rPr>
            </w:pPr>
            <w:r>
              <w:rPr>
                <w:rFonts w:ascii="Arial" w:cs="Arial" w:eastAsia="Arial" w:hAnsi="Arial"/>
                <w:sz w:val="15"/>
                <w:szCs w:val="15"/>
                <w:color w:val="auto"/>
              </w:rPr>
              <w:t>Exercise of stock options</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1,458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1,875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1,875</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Conversion of preferred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stock warrants to Class B</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220"/>
              <w:spacing w:after="0"/>
              <w:rPr>
                <w:sz w:val="20"/>
                <w:szCs w:val="20"/>
                <w:color w:val="auto"/>
              </w:rPr>
            </w:pPr>
            <w:r>
              <w:rPr>
                <w:rFonts w:ascii="Arial" w:cs="Arial" w:eastAsia="Arial" w:hAnsi="Arial"/>
                <w:sz w:val="15"/>
                <w:szCs w:val="15"/>
                <w:color w:val="auto"/>
              </w:rPr>
              <w:t>common stock warrants</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Preferred stock conversion</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 Class B common stock</w:t>
            </w:r>
          </w:p>
        </w:tc>
        <w:tc>
          <w:tcPr>
            <w:tcW w:w="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(65,971)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(247,041)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65,971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247,034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Sale of Class A common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stock upon initial public</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offering, net of issuance</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220"/>
              <w:spacing w:after="0"/>
              <w:rPr>
                <w:sz w:val="20"/>
                <w:szCs w:val="20"/>
                <w:color w:val="auto"/>
              </w:rPr>
            </w:pPr>
            <w:r>
              <w:rPr>
                <w:rFonts w:ascii="Arial" w:cs="Arial" w:eastAsia="Arial" w:hAnsi="Arial"/>
                <w:sz w:val="15"/>
                <w:szCs w:val="15"/>
                <w:color w:val="auto"/>
              </w:rPr>
              <w:t>costs</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13,800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175,533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175,534</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Cashless exercise of</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common stock warrant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loss</w:t>
            </w: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March 31, 2021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94,144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459,756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191,427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158115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400" w:top="1440" w:right="639" w:bottom="1440" w:gutter="0" w:footer="0" w:header="0"/>
        </w:sectPr>
      </w:pPr>
    </w:p>
    <w:bookmarkStart w:id="9" w:name="page10"/>
    <w:bookmarkEnd w:id="9"/>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 w:lineRule="exact"/>
        <w:rPr>
          <w:sz w:val="20"/>
          <w:szCs w:val="20"/>
          <w:color w:val="auto"/>
        </w:rPr>
      </w:pPr>
    </w:p>
    <w:p>
      <w:pPr>
        <w:jc w:val="center"/>
        <w:ind w:left="8120"/>
        <w:spacing w:after="0"/>
        <w:rPr>
          <w:sz w:val="20"/>
          <w:szCs w:val="20"/>
          <w:color w:val="auto"/>
        </w:rPr>
      </w:pPr>
      <w:r>
        <w:rPr>
          <w:rFonts w:ascii="Arial" w:cs="Arial" w:eastAsia="Arial" w:hAnsi="Arial"/>
          <w:sz w:val="17"/>
          <w:szCs w:val="17"/>
          <w:b w:val="1"/>
          <w:bCs w:val="1"/>
          <w:color w:val="auto"/>
        </w:rPr>
        <w:t>Three Months Ended</w:t>
      </w:r>
    </w:p>
    <w:p>
      <w:pPr>
        <w:jc w:val="center"/>
        <w:ind w:left="8180"/>
        <w:spacing w:after="0"/>
        <w:rPr>
          <w:sz w:val="20"/>
          <w:szCs w:val="20"/>
          <w:color w:val="auto"/>
        </w:rPr>
      </w:pPr>
      <w:r>
        <w:rPr>
          <w:rFonts w:ascii="Arial" w:cs="Arial" w:eastAsia="Arial" w:hAnsi="Arial"/>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(20,708)</w:t>
            </w:r>
          </w:p>
        </w:tc>
        <w:tc>
          <w:tcPr>
            <w:tcW w:w="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(16,171)</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2,038</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Reduction in the carrying amount of right-of-use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1,318</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fair value of convertible preferred stock warrants and others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8180" w:type="dxa"/>
            <w:vAlign w:val="bottom"/>
          </w:tcPr>
          <w:p>
            <w:pPr>
              <w:ind w:left="440"/>
              <w:spacing w:after="0"/>
              <w:rPr>
                <w:sz w:val="20"/>
                <w:szCs w:val="20"/>
                <w:color w:val="auto"/>
              </w:rPr>
            </w:pPr>
            <w:r>
              <w:rPr>
                <w:rFonts w:ascii="Arial" w:cs="Arial" w:eastAsia="Arial" w:hAnsi="Arial"/>
                <w:sz w:val="17"/>
                <w:szCs w:val="17"/>
                <w:color w:val="auto"/>
              </w:rPr>
              <w:t>Inventory,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and non-current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r>
      <w:tr>
        <w:trPr>
          <w:trHeight w:val="218"/>
        </w:trPr>
        <w:tc>
          <w:tcPr>
            <w:tcW w:w="818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4,722</w:t>
            </w:r>
          </w:p>
        </w:tc>
      </w:tr>
      <w:tr>
        <w:trPr>
          <w:trHeight w:val="220"/>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current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r>
      <w:tr>
        <w:trPr>
          <w:trHeight w:val="218"/>
        </w:trPr>
        <w:tc>
          <w:tcPr>
            <w:tcW w:w="8180" w:type="dxa"/>
            <w:vAlign w:val="bottom"/>
          </w:tcPr>
          <w:p>
            <w:pPr>
              <w:ind w:left="440"/>
              <w:spacing w:after="0"/>
              <w:rPr>
                <w:sz w:val="20"/>
                <w:szCs w:val="20"/>
                <w:color w:val="auto"/>
              </w:rPr>
            </w:pPr>
            <w:r>
              <w:rPr>
                <w:rFonts w:ascii="Arial" w:cs="Arial" w:eastAsia="Arial" w:hAnsi="Arial"/>
                <w:sz w:val="17"/>
                <w:szCs w:val="17"/>
                <w:color w:val="auto"/>
              </w:rPr>
              <w:t>Seller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1,470</w:t>
            </w:r>
          </w:p>
        </w:tc>
      </w:tr>
      <w:tr>
        <w:trPr>
          <w:trHeight w:val="220"/>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w:t>
            </w:r>
          </w:p>
        </w:tc>
      </w:tr>
      <w:tr>
        <w:trPr>
          <w:trHeight w:val="218"/>
        </w:trPr>
        <w:tc>
          <w:tcPr>
            <w:tcW w:w="81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r>
      <w:tr>
        <w:trPr>
          <w:trHeight w:val="19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Maturities of marketable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Purchase of property and equipment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(4,099)</w:t>
            </w:r>
          </w:p>
        </w:tc>
      </w:tr>
      <w:tr>
        <w:trPr>
          <w:trHeight w:val="213"/>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(4,099)</w:t>
            </w:r>
          </w:p>
        </w:tc>
      </w:tr>
      <w:tr>
        <w:trPr>
          <w:trHeight w:val="19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debt issuance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4,625</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Repayment of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Class A common stock, net of underwriting discounts and commissions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180,284</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Proceeds from exercise of common stock options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1,875</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 of costs for the initial public offering</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w:t>
            </w:r>
          </w:p>
        </w:tc>
      </w:tr>
      <w:tr>
        <w:trPr>
          <w:trHeight w:val="212"/>
        </w:trPr>
        <w:tc>
          <w:tcPr>
            <w:tcW w:w="8180" w:type="dxa"/>
            <w:vAlign w:val="bottom"/>
          </w:tcPr>
          <w:p>
            <w:pPr>
              <w:ind w:left="44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185,051</w:t>
            </w:r>
          </w:p>
        </w:tc>
      </w:tr>
      <w:tr>
        <w:trPr>
          <w:trHeight w:val="219"/>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180" w:type="dxa"/>
            <w:vAlign w:val="bottom"/>
          </w:tcPr>
          <w:p>
            <w:pPr>
              <w:ind w:left="44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182,029</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91,840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67,539</w:t>
            </w: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period</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75,886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249,568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Business</w:t>
      </w:r>
    </w:p>
    <w:p>
      <w:pPr>
        <w:spacing w:after="0" w:line="18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ThredUp Inc. (“ThredUp” or the “Company”) was formed as a corporation in the State of Delaware in January 2009. ThredUp is a large resale platform that enables consumers to buy and sell primarily secondhand women’s and kid’s apparel, shoes and accessories. The Company has corporate offices in Oakland, California, Scottsdale, Arizona and Bulgaria, distribution centers in Pennsylvania, Georgia, Arizona and Bulgaria and processing centers in Texas and Tennessee. We have additional distribution centers in Texas and Bulgaria under construction.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185" w:lineRule="exact"/>
        <w:rPr>
          <w:sz w:val="20"/>
          <w:szCs w:val="20"/>
          <w:color w:val="auto"/>
        </w:rPr>
      </w:pPr>
    </w:p>
    <w:p>
      <w:pPr>
        <w:jc w:val="both"/>
        <w:ind w:firstLine="309"/>
        <w:spacing w:after="0" w:line="196" w:lineRule="exact"/>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generally accepted accounting principles (“GAAP”) in the United States (“U.S.”) for interim financial information and with the instructions to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S-X. As permitted under those rules, certain footnotes or other financial information can be condensed or omitted.</w:t>
      </w:r>
    </w:p>
    <w:p>
      <w:pPr>
        <w:spacing w:after="0" w:line="222" w:lineRule="exact"/>
        <w:rPr>
          <w:sz w:val="20"/>
          <w:szCs w:val="20"/>
          <w:color w:val="auto"/>
        </w:rPr>
      </w:pPr>
    </w:p>
    <w:p>
      <w:pPr>
        <w:jc w:val="both"/>
        <w:ind w:firstLine="309"/>
        <w:spacing w:after="0"/>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allowance for bad debts, breakage on loyalty points and rewards and valuation of inventory, stock-based compensation, right-of-use assets, goodwill and acquired intangibles and income taxes.</w:t>
      </w:r>
    </w:p>
    <w:p>
      <w:pPr>
        <w:spacing w:after="0" w:line="222"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and recurring adjustments necessary to present fairly the financial position of the Company as of March 31, 2022, and the results of operations and cash flows for the interim periods presented.</w:t>
      </w:r>
    </w:p>
    <w:p>
      <w:pPr>
        <w:spacing w:after="0" w:line="218" w:lineRule="exact"/>
        <w:rPr>
          <w:sz w:val="20"/>
          <w:szCs w:val="20"/>
          <w:color w:val="auto"/>
        </w:rPr>
      </w:pPr>
    </w:p>
    <w:p>
      <w:pPr>
        <w:jc w:val="both"/>
        <w:ind w:firstLine="309"/>
        <w:spacing w:after="0" w:line="243" w:lineRule="auto"/>
        <w:rPr>
          <w:sz w:val="20"/>
          <w:szCs w:val="20"/>
          <w:color w:val="auto"/>
        </w:rPr>
      </w:pPr>
      <w:r>
        <w:rPr>
          <w:rFonts w:ascii="Arial" w:cs="Arial" w:eastAsia="Arial" w:hAnsi="Arial"/>
          <w:sz w:val="17"/>
          <w:szCs w:val="17"/>
          <w:color w:val="auto"/>
        </w:rPr>
        <w:t>The accompanying unaudited condensed consolidated financial statements and related financial information should be read in conjunction with the Company’s audited consolidated financial statements and related notes for the year ended December 31, 2021, included in the Company’s Annual Report on Form 10-K filed with the Securities and Exchange Commission (“SEC”) on March 22, 2022.</w:t>
      </w:r>
    </w:p>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85" w:lineRule="exact"/>
        <w:rPr>
          <w:sz w:val="20"/>
          <w:szCs w:val="20"/>
          <w:color w:val="auto"/>
        </w:rPr>
      </w:pPr>
    </w:p>
    <w:p>
      <w:pPr>
        <w:jc w:val="both"/>
        <w:ind w:firstLine="309"/>
        <w:spacing w:after="0" w:line="23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never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from Loyalty Reward Redemption or Expiration</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As of March 31, 2022 and December 31, 2021, the Company had a liability of $3.4 million and $4.0 million, respectively, related to the loyalty program which is included in accrued and other current liabilities in the consolidated balance sheets. The Company recognized $2.7 million and $3.3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revenue from loyalty reward redemption or expiration for the three months ended March 31, 2022 and 2021, respectively.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85" w:lineRule="exact"/>
        <w:rPr>
          <w:sz w:val="20"/>
          <w:szCs w:val="20"/>
          <w:color w:val="auto"/>
        </w:rPr>
      </w:pPr>
    </w:p>
    <w:p>
      <w:pPr>
        <w:jc w:val="both"/>
        <w:ind w:right="100" w:firstLine="309"/>
        <w:spacing w:after="0" w:line="256" w:lineRule="auto"/>
        <w:rPr>
          <w:sz w:val="20"/>
          <w:szCs w:val="20"/>
          <w:color w:val="auto"/>
        </w:rPr>
      </w:pPr>
      <w:r>
        <w:rPr>
          <w:rFonts w:ascii="Arial" w:cs="Arial" w:eastAsia="Arial" w:hAnsi="Arial"/>
          <w:sz w:val="17"/>
          <w:szCs w:val="17"/>
          <w:color w:val="auto"/>
        </w:rPr>
        <w:t>The Company follows the two-class method when computing net loss per common share when shares issued meet the definition of participating securities. 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4" w:lineRule="exact"/>
        <w:rPr>
          <w:sz w:val="20"/>
          <w:szCs w:val="20"/>
          <w:color w:val="auto"/>
        </w:rPr>
      </w:pPr>
    </w:p>
    <w:p>
      <w:pPr>
        <w:jc w:val="both"/>
        <w:ind w:right="100" w:firstLine="309"/>
        <w:spacing w:after="0" w:line="259" w:lineRule="auto"/>
        <w:rPr>
          <w:sz w:val="20"/>
          <w:szCs w:val="20"/>
          <w:color w:val="auto"/>
        </w:rPr>
      </w:pPr>
      <w:r>
        <w:rPr>
          <w:rFonts w:ascii="Arial" w:cs="Arial" w:eastAsia="Arial" w:hAnsi="Arial"/>
          <w:sz w:val="17"/>
          <w:szCs w:val="17"/>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85" w:lineRule="exact"/>
        <w:rPr>
          <w:sz w:val="20"/>
          <w:szCs w:val="20"/>
          <w:color w:val="auto"/>
        </w:rPr>
      </w:pPr>
    </w:p>
    <w:p>
      <w:pPr>
        <w:jc w:val="both"/>
        <w:ind w:right="100" w:firstLine="309"/>
        <w:spacing w:after="0" w:line="265"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to the amounts shown in the condensed consolidated statements of cash flows (in thousands):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7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7"/>
                <w:szCs w:val="17"/>
                <w:b w:val="1"/>
                <w:bCs w:val="1"/>
                <w:color w:val="auto"/>
              </w:rPr>
              <w:t>March 31,</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r>
      <w:tr>
        <w:trPr>
          <w:trHeight w:val="226"/>
        </w:trPr>
        <w:tc>
          <w:tcPr>
            <w:tcW w:w="7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r>
      <w:tr>
        <w:trPr>
          <w:trHeight w:val="213"/>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68,597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84,55</w:t>
            </w:r>
          </w:p>
        </w:tc>
      </w:tr>
      <w:tr>
        <w:trPr>
          <w:trHeight w:val="218"/>
        </w:trPr>
        <w:tc>
          <w:tcPr>
            <w:tcW w:w="714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60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9"/>
        </w:trPr>
        <w:tc>
          <w:tcPr>
            <w:tcW w:w="7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Restricted cash, non-current</w:t>
            </w:r>
          </w:p>
        </w:tc>
        <w:tc>
          <w:tcPr>
            <w:tcW w:w="6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6,729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w:t>
            </w:r>
          </w:p>
        </w:tc>
      </w:tr>
      <w:tr>
        <w:trPr>
          <w:trHeight w:val="213"/>
        </w:trPr>
        <w:tc>
          <w:tcPr>
            <w:tcW w:w="7140" w:type="dxa"/>
            <w:vAlign w:val="bottom"/>
          </w:tcPr>
          <w:p>
            <w:pPr>
              <w:spacing w:after="0"/>
              <w:rPr>
                <w:sz w:val="20"/>
                <w:szCs w:val="20"/>
                <w:color w:val="auto"/>
              </w:rPr>
            </w:pPr>
            <w:r>
              <w:rPr>
                <w:rFonts w:ascii="Arial" w:cs="Arial" w:eastAsia="Arial" w:hAnsi="Arial"/>
                <w:sz w:val="17"/>
                <w:szCs w:val="17"/>
                <w:color w:val="auto"/>
              </w:rPr>
              <w:t>Total cash, cash equivalents and restricted cash</w:t>
            </w: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75,886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91,84</w:t>
            </w:r>
          </w:p>
        </w:tc>
      </w:tr>
      <w:tr>
        <w:trPr>
          <w:trHeight w:val="20"/>
        </w:trPr>
        <w:tc>
          <w:tcPr>
            <w:tcW w:w="7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right="100" w:firstLine="309"/>
        <w:spacing w:after="0" w:line="265" w:lineRule="auto"/>
        <w:rPr>
          <w:sz w:val="20"/>
          <w:szCs w:val="20"/>
          <w:color w:val="auto"/>
        </w:rPr>
      </w:pPr>
      <w:r>
        <w:rPr>
          <w:rFonts w:ascii="Arial" w:cs="Arial" w:eastAsia="Arial" w:hAnsi="Arial"/>
          <w:sz w:val="17"/>
          <w:szCs w:val="17"/>
          <w:color w:val="auto"/>
        </w:rPr>
        <w:t>Restricted cash, non-current of $6.7 million and $6.7 million is included in the other assets in the condensed consolidated balance sheets as of March 31, 2022 and December 31, 2021, respectively.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85" w:lineRule="exact"/>
        <w:rPr>
          <w:sz w:val="20"/>
          <w:szCs w:val="20"/>
          <w:color w:val="auto"/>
        </w:rPr>
      </w:pPr>
    </w:p>
    <w:p>
      <w:pPr>
        <w:jc w:val="both"/>
        <w:ind w:right="100" w:firstLine="387"/>
        <w:spacing w:after="0" w:line="256" w:lineRule="auto"/>
        <w:rPr>
          <w:sz w:val="20"/>
          <w:szCs w:val="20"/>
          <w:color w:val="auto"/>
        </w:rPr>
      </w:pPr>
      <w:r>
        <w:rPr>
          <w:rFonts w:ascii="Arial" w:cs="Arial" w:eastAsia="Arial" w:hAnsi="Arial"/>
          <w:sz w:val="17"/>
          <w:szCs w:val="17"/>
          <w:color w:val="auto"/>
        </w:rPr>
        <w:t>Fair value accounting is applied for all financial assets and liabilities that are recognized or disclosed at fair value in the consolidated financial statements on a recurring basis (at least annually). As of March 31, 2022 and December 31, 2021,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44" w:lineRule="exact"/>
        <w:rPr>
          <w:sz w:val="20"/>
          <w:szCs w:val="20"/>
          <w:color w:val="auto"/>
        </w:rPr>
      </w:pPr>
    </w:p>
    <w:p>
      <w:pPr>
        <w:jc w:val="both"/>
        <w:ind w:right="100" w:firstLine="309"/>
        <w:spacing w:after="0" w:line="255" w:lineRule="auto"/>
        <w:rPr>
          <w:sz w:val="20"/>
          <w:szCs w:val="20"/>
          <w:color w:val="auto"/>
        </w:rPr>
      </w:pPr>
      <w:r>
        <w:rPr>
          <w:rFonts w:ascii="Arial" w:cs="Arial" w:eastAsia="Arial" w:hAnsi="Arial"/>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6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Level 2—Inputs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41" w:lineRule="exact"/>
        <w:rPr>
          <w:sz w:val="20"/>
          <w:szCs w:val="20"/>
          <w:color w:val="auto"/>
        </w:rPr>
      </w:pPr>
    </w:p>
    <w:p>
      <w:pPr>
        <w:ind w:left="320" w:right="60"/>
        <w:spacing w:after="0" w:line="432" w:lineRule="auto"/>
        <w:rPr>
          <w:sz w:val="20"/>
          <w:szCs w:val="20"/>
          <w:color w:val="auto"/>
        </w:rPr>
      </w:pPr>
      <w:r>
        <w:rPr>
          <w:rFonts w:ascii="Arial" w:cs="Arial" w:eastAsia="Arial" w:hAnsi="Arial"/>
          <w:sz w:val="17"/>
          <w:szCs w:val="17"/>
          <w:color w:val="auto"/>
        </w:rPr>
        <w:t xml:space="preserve">Level 3—Unobservable inputs that are supported by little or no market activity and that are significant to the fair value of the assets or liabilities. </w:t>
      </w:r>
      <w:r>
        <w:rPr>
          <w:rFonts w:ascii="Arial" w:cs="Arial" w:eastAsia="Arial" w:hAnsi="Arial"/>
          <w:sz w:val="17"/>
          <w:szCs w:val="17"/>
          <w:b w:val="1"/>
          <w:bCs w:val="1"/>
          <w:i w:val="1"/>
          <w:iCs w:val="1"/>
          <w:color w:val="auto"/>
        </w:rPr>
        <w:t>New Accounting Pronouncements Recently Issued But Not Yet Adopted</w:t>
      </w:r>
    </w:p>
    <w:p>
      <w:pPr>
        <w:jc w:val="both"/>
        <w:ind w:firstLine="309"/>
        <w:spacing w:after="0" w:line="26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ASU 2019-10, ASU 2019-11,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2020-02, ASU 2020-03 and ASU 2022-02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has not early adopted this standard and is currently evaluating the impact of this standard on its consolidated financial statements.</w:t>
      </w:r>
    </w:p>
    <w:p>
      <w:pPr>
        <w:spacing w:after="0" w:line="120"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the financial instruments measured at fair value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Fair Value as of March 31, 2022</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1"/>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2</w:t>
            </w:r>
          </w:p>
        </w:tc>
        <w:tc>
          <w:tcPr>
            <w:tcW w:w="1260" w:type="dxa"/>
            <w:vAlign w:val="bottom"/>
          </w:tcPr>
          <w:p>
            <w:pPr>
              <w:jc w:val="right"/>
              <w:ind w:right="103"/>
              <w:spacing w:after="0"/>
              <w:rPr>
                <w:sz w:val="20"/>
                <w:szCs w:val="20"/>
                <w:color w:val="auto"/>
              </w:rPr>
            </w:pPr>
            <w:r>
              <w:rPr>
                <w:rFonts w:ascii="Arial" w:cs="Arial" w:eastAsia="Arial" w:hAnsi="Arial"/>
                <w:sz w:val="15"/>
                <w:szCs w:val="15"/>
                <w:b w:val="1"/>
                <w:bCs w:val="1"/>
                <w:color w:val="auto"/>
              </w:rPr>
              <w:t>Level 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63"/>
              <w:spacing w:after="0"/>
              <w:rPr>
                <w:sz w:val="20"/>
                <w:szCs w:val="20"/>
                <w:color w:val="auto"/>
              </w:rPr>
            </w:pPr>
            <w:r>
              <w:rPr>
                <w:rFonts w:ascii="Arial" w:cs="Arial" w:eastAsia="Arial" w:hAnsi="Arial"/>
                <w:sz w:val="15"/>
                <w:szCs w:val="15"/>
                <w:b w:val="1"/>
                <w:bCs w:val="1"/>
                <w:color w:val="auto"/>
              </w:rPr>
              <w:t>Total</w:t>
            </w:r>
          </w:p>
        </w:tc>
      </w:tr>
      <w:tr>
        <w:trPr>
          <w:trHeight w:val="187"/>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Cash equivalents: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1"/>
        </w:trPr>
        <w:tc>
          <w:tcPr>
            <w:tcW w:w="4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Money market fund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8,858</w:t>
            </w:r>
          </w:p>
        </w:tc>
      </w:tr>
      <w:tr>
        <w:trPr>
          <w:trHeight w:val="229"/>
        </w:trPr>
        <w:tc>
          <w:tcPr>
            <w:tcW w:w="4420" w:type="dxa"/>
            <w:vAlign w:val="bottom"/>
          </w:tcPr>
          <w:p>
            <w:pPr>
              <w:ind w:left="220"/>
              <w:spacing w:after="0"/>
              <w:rPr>
                <w:sz w:val="20"/>
                <w:szCs w:val="20"/>
                <w:color w:val="auto"/>
              </w:rPr>
            </w:pPr>
            <w:r>
              <w:rPr>
                <w:rFonts w:ascii="Arial" w:cs="Arial" w:eastAsia="Arial" w:hAnsi="Arial"/>
                <w:sz w:val="15"/>
                <w:szCs w:val="15"/>
                <w:color w:val="auto"/>
              </w:rPr>
              <w:t>U.S. treasury securities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4,798</w:t>
            </w:r>
          </w:p>
        </w:tc>
      </w:tr>
      <w:tr>
        <w:trPr>
          <w:trHeight w:val="235"/>
        </w:trPr>
        <w:tc>
          <w:tcPr>
            <w:tcW w:w="4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Commercial paper</w:t>
            </w:r>
          </w:p>
        </w:tc>
        <w:tc>
          <w:tcPr>
            <w:tcW w:w="3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18,532</w:t>
            </w: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bonds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2,450</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cash equivalents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34,638</w:t>
            </w:r>
          </w:p>
        </w:tc>
      </w:tr>
      <w:tr>
        <w:trPr>
          <w:trHeight w:val="20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Marketable securities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5"/>
                <w:szCs w:val="15"/>
                <w:color w:val="auto"/>
              </w:rPr>
              <w:t>Corporate debt securities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50,573</w:t>
            </w:r>
          </w:p>
        </w:tc>
        <w:tc>
          <w:tcPr>
            <w:tcW w:w="10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83"/>
              <w:spacing w:after="0"/>
              <w:rPr>
                <w:sz w:val="20"/>
                <w:szCs w:val="20"/>
                <w:color w:val="auto"/>
              </w:rPr>
            </w:pPr>
            <w:r>
              <w:rPr>
                <w:rFonts w:ascii="Arial" w:cs="Arial" w:eastAsia="Arial" w:hAnsi="Arial"/>
                <w:sz w:val="15"/>
                <w:szCs w:val="15"/>
                <w:color w:val="auto"/>
                <w:w w:val="95"/>
              </w:rPr>
              <w:t>$</w:t>
            </w:r>
          </w:p>
        </w:tc>
        <w:tc>
          <w:tcPr>
            <w:tcW w:w="46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50,573</w:t>
            </w:r>
          </w:p>
        </w:tc>
      </w:tr>
      <w:tr>
        <w:trPr>
          <w:trHeight w:val="235"/>
        </w:trPr>
        <w:tc>
          <w:tcPr>
            <w:tcW w:w="4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treasury securities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36,873</w:t>
            </w: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bonds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27,743</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marketable securities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115,189</w:t>
            </w:r>
          </w:p>
        </w:tc>
      </w:tr>
      <w:tr>
        <w:trPr>
          <w:trHeight w:val="258"/>
        </w:trPr>
        <w:tc>
          <w:tcPr>
            <w:tcW w:w="4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149,827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Assets</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Cash equivalents: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Money market fund</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Commercial paper</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cash equivalents</w:t>
      </w:r>
    </w:p>
    <w:p>
      <w:pPr>
        <w:spacing w:after="0" w:line="248"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auto"/>
        </w:rPr>
        <w:t>Marketable securities</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ind w:right="29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Fair Value as of December 31, 2021</w:t>
      </w:r>
    </w:p>
    <w:p>
      <w:pPr>
        <w:spacing w:after="0" w:line="32"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6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Level 3</w:t>
            </w: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r>
      <w:tr>
        <w:trPr>
          <w:trHeight w:val="645"/>
        </w:trPr>
        <w:tc>
          <w:tcPr>
            <w:tcW w:w="6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41,376</w:t>
            </w:r>
          </w:p>
        </w:tc>
        <w:tc>
          <w:tcPr>
            <w:tcW w:w="100" w:type="dxa"/>
            <w:vAlign w:val="bottom"/>
          </w:tcPr>
          <w:p>
            <w:pPr>
              <w:spacing w:after="0"/>
              <w:rPr>
                <w:sz w:val="24"/>
                <w:szCs w:val="24"/>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923"/>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41,3</w:t>
            </w:r>
          </w:p>
        </w:tc>
      </w:tr>
      <w:tr>
        <w:trPr>
          <w:trHeight w:val="235"/>
        </w:trPr>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12,098</w:t>
            </w: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r>
      <w:tr>
        <w:trPr>
          <w:trHeight w:val="209"/>
        </w:trPr>
        <w:tc>
          <w:tcPr>
            <w:tcW w:w="6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41,376</w:t>
            </w:r>
          </w:p>
        </w:tc>
        <w:tc>
          <w:tcPr>
            <w:tcW w:w="100" w:type="dxa"/>
            <w:vAlign w:val="bottom"/>
          </w:tcPr>
          <w:p>
            <w:pPr>
              <w:spacing w:after="0"/>
              <w:rPr>
                <w:sz w:val="18"/>
                <w:szCs w:val="18"/>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12,098</w:t>
            </w:r>
          </w:p>
        </w:tc>
        <w:tc>
          <w:tcPr>
            <w:tcW w:w="100" w:type="dxa"/>
            <w:vAlign w:val="bottom"/>
          </w:tcPr>
          <w:p>
            <w:pPr>
              <w:spacing w:after="0"/>
              <w:rPr>
                <w:sz w:val="18"/>
                <w:szCs w:val="18"/>
                <w:color w:val="auto"/>
              </w:rPr>
            </w:pPr>
          </w:p>
        </w:tc>
        <w:tc>
          <w:tcPr>
            <w:tcW w:w="1400" w:type="dxa"/>
            <w:vAlign w:val="bottom"/>
          </w:tcPr>
          <w:p>
            <w:pPr>
              <w:jc w:val="right"/>
              <w:ind w:right="923"/>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-716280</wp:posOffset>
            </wp:positionV>
            <wp:extent cx="7002145"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13081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-438150</wp:posOffset>
            </wp:positionV>
            <wp:extent cx="7002145"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14732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-142875</wp:posOffset>
            </wp:positionV>
            <wp:extent cx="7002145"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147320"/>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134620</wp:posOffset>
            </wp:positionV>
            <wp:extent cx="7002145"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147320"/>
                    </a:xfrm>
                    <a:prstGeom prst="rect">
                      <a:avLst/>
                    </a:prstGeom>
                    <a:noFill/>
                  </pic:spPr>
                </pic:pic>
              </a:graphicData>
            </a:graphic>
          </wp:anchor>
        </w:drawing>
      </w:r>
    </w:p>
    <w:p>
      <w:pPr>
        <w:spacing w:after="0" w:line="471" w:lineRule="exact"/>
        <w:rPr>
          <w:sz w:val="20"/>
          <w:szCs w:val="20"/>
          <w:color w:val="auto"/>
        </w:rPr>
      </w:pPr>
    </w:p>
    <w:p>
      <w:pPr>
        <w:sectPr>
          <w:pgSz w:w="11900" w:h="16838" w:orient="portrait"/>
          <w:cols w:equalWidth="0" w:num="2">
            <w:col w:w="2220" w:space="620"/>
            <w:col w:w="8500"/>
          </w:cols>
          <w:pgMar w:left="320" w:top="660" w:right="239" w:bottom="1440" w:gutter="0" w:footer="0" w:header="0"/>
        </w:sectPr>
      </w:pPr>
    </w:p>
    <w:tbl>
      <w:tblPr>
        <w:tblLayout w:type="fixed"/>
        <w:tblInd w:w="320" w:type="dxa"/>
        <w:tblCellMar>
          <w:top w:w="0" w:type="dxa"/>
          <w:left w:w="0" w:type="dxa"/>
          <w:bottom w:w="0" w:type="dxa"/>
          <w:right w:w="0" w:type="dxa"/>
        </w:tblCellMar>
      </w:tblPr>
      <w:tr>
        <w:trPr>
          <w:trHeight w:val="202"/>
        </w:trPr>
        <w:tc>
          <w:tcPr>
            <w:tcW w:w="3760" w:type="dxa"/>
            <w:vAlign w:val="bottom"/>
          </w:tcPr>
          <w:p>
            <w:pPr>
              <w:ind w:left="520"/>
              <w:spacing w:after="0"/>
              <w:rPr>
                <w:sz w:val="20"/>
                <w:szCs w:val="20"/>
                <w:color w:val="auto"/>
              </w:rPr>
            </w:pPr>
            <w:r>
              <w:rPr>
                <w:rFonts w:ascii="Arial" w:cs="Arial" w:eastAsia="Arial" w:hAnsi="Arial"/>
                <w:sz w:val="15"/>
                <w:szCs w:val="15"/>
                <w:color w:val="auto"/>
              </w:rPr>
              <w:t>Corporate debt securities</w:t>
            </w:r>
          </w:p>
        </w:tc>
        <w:tc>
          <w:tcPr>
            <w:tcW w:w="80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55,921</w:t>
            </w:r>
          </w:p>
        </w:tc>
        <w:tc>
          <w:tcPr>
            <w:tcW w:w="100" w:type="dxa"/>
            <w:vAlign w:val="bottom"/>
          </w:tcPr>
          <w:p>
            <w:pPr>
              <w:spacing w:after="0"/>
              <w:rPr>
                <w:sz w:val="17"/>
                <w:szCs w:val="17"/>
                <w:color w:val="auto"/>
              </w:rPr>
            </w:pPr>
          </w:p>
        </w:tc>
        <w:tc>
          <w:tcPr>
            <w:tcW w:w="8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55,9</w:t>
            </w:r>
          </w:p>
        </w:tc>
      </w:tr>
      <w:tr>
        <w:trPr>
          <w:trHeight w:val="235"/>
        </w:trPr>
        <w:tc>
          <w:tcPr>
            <w:tcW w:w="3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U.S. treasury securities</w:t>
            </w: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37,190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29"/>
        </w:trPr>
        <w:tc>
          <w:tcPr>
            <w:tcW w:w="376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U.S. government agency bonds</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28,166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w:t>
            </w:r>
          </w:p>
        </w:tc>
      </w:tr>
      <w:tr>
        <w:trPr>
          <w:trHeight w:val="215"/>
        </w:trPr>
        <w:tc>
          <w:tcPr>
            <w:tcW w:w="37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marketable securities</w:t>
            </w:r>
          </w:p>
        </w:tc>
        <w:tc>
          <w:tcPr>
            <w:tcW w:w="8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r>
      <w:tr>
        <w:trPr>
          <w:trHeight w:val="258"/>
        </w:trPr>
        <w:tc>
          <w:tcPr>
            <w:tcW w:w="37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19"/>
        </w:trPr>
        <w:tc>
          <w:tcPr>
            <w:tcW w:w="37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8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100" w:firstLine="309"/>
        <w:spacing w:after="0" w:line="265" w:lineRule="auto"/>
        <w:rPr>
          <w:sz w:val="20"/>
          <w:szCs w:val="20"/>
          <w:color w:val="auto"/>
        </w:rPr>
      </w:pPr>
      <w:r>
        <w:rPr>
          <w:rFonts w:ascii="Arial" w:cs="Arial" w:eastAsia="Arial" w:hAnsi="Arial"/>
          <w:sz w:val="17"/>
          <w:szCs w:val="17"/>
          <w:color w:val="auto"/>
        </w:rPr>
        <w:t>The following tables summarize the cost or amortized cost, gross unrealized gains, gross unrealized losses and fair value of the marketable securities as of March 31, 2022 and December 31, 2021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March 31, 2022</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4"/>
          </w:tcPr>
          <w:p>
            <w:pPr>
              <w:ind w:left="640"/>
              <w:spacing w:after="0"/>
              <w:rPr>
                <w:sz w:val="20"/>
                <w:szCs w:val="20"/>
                <w:color w:val="auto"/>
              </w:rPr>
            </w:pPr>
            <w:r>
              <w:rPr>
                <w:rFonts w:ascii="Arial" w:cs="Arial" w:eastAsia="Arial" w:hAnsi="Arial"/>
                <w:sz w:val="15"/>
                <w:szCs w:val="15"/>
                <w:b w:val="1"/>
                <w:bCs w:val="1"/>
                <w:color w:val="auto"/>
              </w:rPr>
              <w:t>Cost or Amortized</w:t>
            </w: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4"/>
          </w:tcPr>
          <w:p>
            <w:pPr>
              <w:jc w:val="right"/>
              <w:ind w:right="283"/>
              <w:spacing w:after="0"/>
              <w:rPr>
                <w:sz w:val="20"/>
                <w:szCs w:val="20"/>
                <w:color w:val="auto"/>
              </w:rPr>
            </w:pPr>
            <w:r>
              <w:rPr>
                <w:rFonts w:ascii="Arial" w:cs="Arial" w:eastAsia="Arial" w:hAnsi="Arial"/>
                <w:sz w:val="15"/>
                <w:szCs w:val="15"/>
                <w:b w:val="1"/>
                <w:bCs w:val="1"/>
                <w:color w:val="auto"/>
              </w:rPr>
              <w:t>Unrealized</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Fair Val</w:t>
            </w: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Cost</w:t>
            </w:r>
          </w:p>
        </w:tc>
        <w:tc>
          <w:tcPr>
            <w:tcW w:w="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Gains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2"/>
            <w:vMerge w:val="restart"/>
          </w:tcPr>
          <w:p>
            <w:pPr>
              <w:jc w:val="right"/>
              <w:ind w:right="363"/>
              <w:spacing w:after="0"/>
              <w:rPr>
                <w:sz w:val="20"/>
                <w:szCs w:val="20"/>
                <w:color w:val="auto"/>
              </w:rPr>
            </w:pPr>
            <w:r>
              <w:rPr>
                <w:rFonts w:ascii="Arial" w:cs="Arial" w:eastAsia="Arial" w:hAnsi="Arial"/>
                <w:sz w:val="15"/>
                <w:szCs w:val="15"/>
                <w:b w:val="1"/>
                <w:bCs w:val="1"/>
                <w:color w:val="auto"/>
              </w:rPr>
              <w:t>Losses</w:t>
            </w:r>
          </w:p>
        </w:tc>
        <w:tc>
          <w:tcPr>
            <w:tcW w:w="80" w:type="dxa"/>
            <w:vAlign w:val="bottom"/>
            <w:vMerge w:val="restart"/>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82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Corporate debt securities</w:t>
            </w: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180" w:type="dxa"/>
            <w:vAlign w:val="bottom"/>
            <w:gridSpan w:val="4"/>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840"/>
              <w:spacing w:after="0"/>
              <w:rPr>
                <w:sz w:val="20"/>
                <w:szCs w:val="20"/>
                <w:color w:val="auto"/>
              </w:rPr>
            </w:pPr>
            <w:r>
              <w:rPr>
                <w:rFonts w:ascii="Arial" w:cs="Arial" w:eastAsia="Arial" w:hAnsi="Arial"/>
                <w:sz w:val="15"/>
                <w:szCs w:val="15"/>
                <w:color w:val="auto"/>
              </w:rPr>
              <w:t>U.S. treasury securities</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37,267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U.S. government agency</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bonds</w:t>
            </w:r>
          </w:p>
        </w:tc>
        <w:tc>
          <w:tcPr>
            <w:tcW w:w="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28,183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Pr>
          <w:p>
            <w:pPr>
              <w:ind w:left="640"/>
              <w:spacing w:after="0"/>
              <w:rPr>
                <w:sz w:val="20"/>
                <w:szCs w:val="20"/>
                <w:color w:val="auto"/>
              </w:rPr>
            </w:pPr>
            <w:r>
              <w:rPr>
                <w:rFonts w:ascii="Arial" w:cs="Arial" w:eastAsia="Arial" w:hAnsi="Arial"/>
                <w:sz w:val="15"/>
                <w:szCs w:val="15"/>
                <w:color w:val="auto"/>
              </w:rPr>
              <w:t>Total</w:t>
            </w:r>
          </w:p>
        </w:tc>
        <w:tc>
          <w:tcPr>
            <w:tcW w:w="8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116,556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78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17"/>
                <w:szCs w:val="17"/>
                <w:color w:val="auto"/>
              </w:rPr>
            </w:pPr>
          </w:p>
        </w:tc>
        <w:tc>
          <w:tcPr>
            <w:tcW w:w="110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(1,367)</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December 31, 2021</w:t>
            </w: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4"/>
          </w:tcPr>
          <w:p>
            <w:pPr>
              <w:ind w:left="700"/>
              <w:spacing w:after="0"/>
              <w:rPr>
                <w:sz w:val="20"/>
                <w:szCs w:val="20"/>
                <w:color w:val="auto"/>
              </w:rPr>
            </w:pPr>
            <w:r>
              <w:rPr>
                <w:rFonts w:ascii="Arial" w:cs="Arial" w:eastAsia="Arial" w:hAnsi="Arial"/>
                <w:sz w:val="15"/>
                <w:szCs w:val="15"/>
                <w:b w:val="1"/>
                <w:bCs w:val="1"/>
                <w:color w:val="auto"/>
              </w:rPr>
              <w:t>Cost or Amortized</w:t>
            </w: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243"/>
              <w:spacing w:after="0"/>
              <w:rPr>
                <w:sz w:val="20"/>
                <w:szCs w:val="20"/>
                <w:color w:val="auto"/>
              </w:rPr>
            </w:pPr>
            <w:r>
              <w:rPr>
                <w:rFonts w:ascii="Arial" w:cs="Arial" w:eastAsia="Arial" w:hAnsi="Arial"/>
                <w:sz w:val="15"/>
                <w:szCs w:val="15"/>
                <w:b w:val="1"/>
                <w:bCs w:val="1"/>
                <w:color w:val="auto"/>
              </w:rPr>
              <w:t>Unrealized</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Fair Val</w:t>
            </w: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Cost</w:t>
            </w:r>
          </w:p>
        </w:tc>
        <w:tc>
          <w:tcPr>
            <w:tcW w:w="4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Gains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Losses</w:t>
            </w:r>
          </w:p>
        </w:tc>
        <w:tc>
          <w:tcPr>
            <w:tcW w:w="80" w:type="dxa"/>
            <w:vAlign w:val="bottom"/>
            <w:vMerge w:val="restart"/>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8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Corporate debt securities</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w:t>
            </w:r>
          </w:p>
        </w:tc>
        <w:tc>
          <w:tcPr>
            <w:tcW w:w="1180" w:type="dxa"/>
            <w:vAlign w:val="bottom"/>
            <w:gridSpan w:val="4"/>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840"/>
              <w:spacing w:after="0"/>
              <w:rPr>
                <w:sz w:val="20"/>
                <w:szCs w:val="20"/>
                <w:color w:val="auto"/>
              </w:rPr>
            </w:pPr>
            <w:r>
              <w:rPr>
                <w:rFonts w:ascii="Arial" w:cs="Arial" w:eastAsia="Arial" w:hAnsi="Arial"/>
                <w:sz w:val="15"/>
                <w:szCs w:val="15"/>
                <w:color w:val="auto"/>
              </w:rPr>
              <w:t>U.S. treasury securities</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37,286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U.S. government agency</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bonds</w:t>
            </w: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28,258</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w w:val="93"/>
              </w:rPr>
              <w:t>—</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Pr>
          <w:p>
            <w:pPr>
              <w:ind w:left="640"/>
              <w:spacing w:after="0"/>
              <w:rPr>
                <w:sz w:val="20"/>
                <w:szCs w:val="20"/>
                <w:color w:val="auto"/>
              </w:rPr>
            </w:pPr>
            <w:r>
              <w:rPr>
                <w:rFonts w:ascii="Arial" w:cs="Arial" w:eastAsia="Arial" w:hAnsi="Arial"/>
                <w:sz w:val="15"/>
                <w:szCs w:val="15"/>
                <w:color w:val="auto"/>
              </w:rPr>
              <w:t>Total</w:t>
            </w:r>
          </w:p>
        </w:tc>
        <w:tc>
          <w:tcPr>
            <w:tcW w:w="82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121,642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2"/>
          </w:tcPr>
          <w:p>
            <w:pPr>
              <w:jc w:val="right"/>
              <w:ind w:right="723"/>
              <w:spacing w:after="0"/>
              <w:rPr>
                <w:sz w:val="20"/>
                <w:szCs w:val="20"/>
                <w:color w:val="auto"/>
              </w:rPr>
            </w:pPr>
            <w:r>
              <w:rPr>
                <w:rFonts w:ascii="Arial" w:cs="Arial" w:eastAsia="Arial" w:hAnsi="Arial"/>
                <w:sz w:val="15"/>
                <w:szCs w:val="15"/>
                <w:color w:val="auto"/>
              </w:rPr>
              <w:t>$</w:t>
            </w: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1180" w:type="dxa"/>
            <w:vAlign w:val="bottom"/>
            <w:gridSpan w:val="4"/>
          </w:tcPr>
          <w:p>
            <w:pPr>
              <w:jc w:val="right"/>
              <w:ind w:right="22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(365)</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2022 and December 31, 2021, the amortized cost of the Company’s cash equivalents approximate their estimated fair value.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 such, there are no unrealized gains or losses related to the Company’s cash equivalents.</w:t>
      </w:r>
    </w:p>
    <w:p>
      <w:pPr>
        <w:spacing w:after="0" w:line="165" w:lineRule="exact"/>
        <w:rPr>
          <w:sz w:val="20"/>
          <w:szCs w:val="20"/>
          <w:color w:val="auto"/>
        </w:rPr>
      </w:pPr>
    </w:p>
    <w:p>
      <w:pPr>
        <w:ind w:right="100" w:firstLine="309"/>
        <w:spacing w:after="0" w:line="265" w:lineRule="auto"/>
        <w:rPr>
          <w:sz w:val="20"/>
          <w:szCs w:val="20"/>
          <w:color w:val="auto"/>
        </w:rPr>
      </w:pPr>
      <w:r>
        <w:rPr>
          <w:rFonts w:ascii="Arial" w:cs="Arial" w:eastAsia="Arial" w:hAnsi="Arial"/>
          <w:sz w:val="17"/>
          <w:szCs w:val="17"/>
          <w:color w:val="auto"/>
        </w:rPr>
        <w:t>For all of the marketable securities, the Company utilizes third-party pricing services to obtain fair value. Third-party pricing methodologies incorporate bond terms and conditions, current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66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data, proprietary pricing models, real-time quotes from contributing dealers, trade prices and other market data.</w:t>
      </w:r>
    </w:p>
    <w:p>
      <w:pPr>
        <w:spacing w:after="0" w:line="16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Company’s money market funds, U.S. treasury securities, corporate debt securities and U.S. government agency bonds were valued using Level 1 inputs because they are valued using quoted market prices.</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Company’s commercial papers were valued using Level 2 inputs because they are valued using quoted prices for similar assets or liabilities in active markets and quoted prices for identical or similar assets or liabilities in markets that are not active.</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There were no transfers between levels during the three months ended March 31, 2022. As of March 31, 2022, of the $115.2 million carrying amount of marketable securities, $71.6 million had a contractual maturity date of less than one year and $43.6 million had a contractual maturity date between one to two years.</w:t>
      </w:r>
    </w:p>
    <w:p>
      <w:pPr>
        <w:spacing w:after="0" w:line="121"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rPr>
              <w:t>March 31,</w:t>
            </w:r>
          </w:p>
        </w:tc>
        <w:tc>
          <w:tcPr>
            <w:tcW w:w="240" w:type="dxa"/>
            <w:vAlign w:val="bottom"/>
          </w:tcPr>
          <w:p>
            <w:pPr>
              <w:spacing w:after="0"/>
              <w:rPr>
                <w:sz w:val="19"/>
                <w:szCs w:val="19"/>
                <w:color w:val="auto"/>
              </w:rPr>
            </w:pPr>
          </w:p>
        </w:tc>
        <w:tc>
          <w:tcPr>
            <w:tcW w:w="1600" w:type="dxa"/>
            <w:vAlign w:val="bottom"/>
          </w:tcPr>
          <w:p>
            <w:pPr>
              <w:jc w:val="center"/>
              <w:ind w:right="154"/>
              <w:spacing w:after="0"/>
              <w:rPr>
                <w:sz w:val="20"/>
                <w:szCs w:val="20"/>
                <w:color w:val="auto"/>
              </w:rPr>
            </w:pPr>
            <w:r>
              <w:rPr>
                <w:rFonts w:ascii="Arial" w:cs="Arial" w:eastAsia="Arial" w:hAnsi="Arial"/>
                <w:sz w:val="17"/>
                <w:szCs w:val="17"/>
                <w:b w:val="1"/>
                <w:bCs w:val="1"/>
                <w:color w:val="auto"/>
              </w:rPr>
              <w:t>December 31,</w:t>
            </w:r>
          </w:p>
        </w:tc>
      </w:tr>
      <w:tr>
        <w:trPr>
          <w:trHeight w:val="259"/>
        </w:trPr>
        <w:tc>
          <w:tcPr>
            <w:tcW w:w="74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center"/>
              <w:ind w:left="754"/>
              <w:spacing w:after="0"/>
              <w:rPr>
                <w:sz w:val="20"/>
                <w:szCs w:val="20"/>
                <w:color w:val="auto"/>
              </w:rPr>
            </w:pPr>
            <w:r>
              <w:rPr>
                <w:rFonts w:ascii="Arial" w:cs="Arial" w:eastAsia="Arial" w:hAnsi="Arial"/>
                <w:sz w:val="17"/>
                <w:szCs w:val="17"/>
                <w:color w:val="auto"/>
                <w:w w:val="99"/>
              </w:rPr>
              <w:t>96,316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center"/>
              <w:ind w:left="854"/>
              <w:spacing w:after="0"/>
              <w:rPr>
                <w:sz w:val="20"/>
                <w:szCs w:val="20"/>
                <w:color w:val="auto"/>
              </w:rPr>
            </w:pPr>
            <w:r>
              <w:rPr>
                <w:rFonts w:ascii="Arial" w:cs="Arial" w:eastAsia="Arial" w:hAnsi="Arial"/>
                <w:sz w:val="17"/>
                <w:szCs w:val="17"/>
                <w:color w:val="auto"/>
              </w:rPr>
              <w:t>76,028</w:t>
            </w:r>
          </w:p>
        </w:tc>
      </w:tr>
      <w:tr>
        <w:trPr>
          <w:trHeight w:val="25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left="714"/>
              <w:spacing w:after="0"/>
              <w:rPr>
                <w:sz w:val="20"/>
                <w:szCs w:val="20"/>
                <w:color w:val="auto"/>
              </w:rPr>
            </w:pPr>
            <w:r>
              <w:rPr>
                <w:rFonts w:ascii="Arial" w:cs="Arial" w:eastAsia="Arial" w:hAnsi="Arial"/>
                <w:sz w:val="17"/>
                <w:szCs w:val="17"/>
                <w:color w:val="auto"/>
              </w:rPr>
              <w:t>(23,184)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834"/>
              <w:spacing w:after="0"/>
              <w:rPr>
                <w:sz w:val="20"/>
                <w:szCs w:val="20"/>
                <w:color w:val="auto"/>
              </w:rPr>
            </w:pPr>
            <w:r>
              <w:rPr>
                <w:rFonts w:ascii="Arial" w:cs="Arial" w:eastAsia="Arial" w:hAnsi="Arial"/>
                <w:sz w:val="17"/>
                <w:szCs w:val="17"/>
                <w:color w:val="auto"/>
              </w:rPr>
              <w:t>(20,562)</w:t>
            </w: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center"/>
              <w:ind w:left="754"/>
              <w:spacing w:after="0"/>
              <w:rPr>
                <w:sz w:val="20"/>
                <w:szCs w:val="20"/>
                <w:color w:val="auto"/>
              </w:rPr>
            </w:pPr>
            <w:r>
              <w:rPr>
                <w:rFonts w:ascii="Arial" w:cs="Arial" w:eastAsia="Arial" w:hAnsi="Arial"/>
                <w:sz w:val="17"/>
                <w:szCs w:val="17"/>
                <w:color w:val="auto"/>
                <w:w w:val="99"/>
              </w:rPr>
              <w:t>73,132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center"/>
              <w:ind w:left="854"/>
              <w:spacing w:after="0"/>
              <w:rPr>
                <w:sz w:val="20"/>
                <w:szCs w:val="20"/>
                <w:color w:val="auto"/>
              </w:rPr>
            </w:pPr>
            <w:r>
              <w:rPr>
                <w:rFonts w:ascii="Arial" w:cs="Arial" w:eastAsia="Arial" w:hAnsi="Arial"/>
                <w:sz w:val="17"/>
                <w:szCs w:val="17"/>
                <w:color w:val="auto"/>
              </w:rPr>
              <w:t>55,466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Depreciation and amortization expense of property and equipment was $2.6 million and $2.0 million for the three months ended March 31, 2022 and 2021, respectively.</w:t>
      </w:r>
    </w:p>
    <w:p>
      <w:pPr>
        <w:spacing w:after="0" w:line="116"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goodwill is primarily attributable to the planned growth in the combined business after the acquisition of Remix Global EAD (“Remix”). Goodwill is not amortized to earnings, but instead is reviewed for impairment at least annually, absent any interim indicators of impairment. The carrying amount of goodwill was $12.0 million as of March 31, 2022 and $12.2 million as of December 31, 2021. The change is due to the foreign currency translation adjustments.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gross carrying amounts and accumulated amortization of the intangible assets with determinable lives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rPr>
              <w:t>As of March 31, 2022</w:t>
            </w: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 with determinable lives</w:t>
            </w:r>
          </w:p>
        </w:tc>
        <w:tc>
          <w:tcPr>
            <w:tcW w:w="2040" w:type="dxa"/>
            <w:vAlign w:val="bottom"/>
          </w:tcPr>
          <w:p>
            <w:pPr>
              <w:jc w:val="center"/>
              <w:ind w:left="383"/>
              <w:spacing w:after="0" w:line="154" w:lineRule="exact"/>
              <w:rPr>
                <w:sz w:val="20"/>
                <w:szCs w:val="20"/>
                <w:color w:val="auto"/>
              </w:rPr>
            </w:pPr>
            <w:r>
              <w:rPr>
                <w:rFonts w:ascii="Arial" w:cs="Arial" w:eastAsia="Arial" w:hAnsi="Arial"/>
                <w:sz w:val="15"/>
                <w:szCs w:val="15"/>
                <w:b w:val="1"/>
                <w:bCs w:val="1"/>
                <w:color w:val="auto"/>
              </w:rPr>
              <w:t>Amortization Period</w:t>
            </w:r>
          </w:p>
        </w:tc>
        <w:tc>
          <w:tcPr>
            <w:tcW w:w="190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Gross carrying amount</w:t>
            </w:r>
          </w:p>
        </w:tc>
        <w:tc>
          <w:tcPr>
            <w:tcW w:w="140" w:type="dxa"/>
            <w:vAlign w:val="bottom"/>
          </w:tcPr>
          <w:p>
            <w:pPr>
              <w:spacing w:after="0"/>
              <w:rPr>
                <w:sz w:val="13"/>
                <w:szCs w:val="13"/>
                <w:color w:val="auto"/>
              </w:rPr>
            </w:pPr>
          </w:p>
        </w:tc>
        <w:tc>
          <w:tcPr>
            <w:tcW w:w="1800" w:type="dxa"/>
            <w:vAlign w:val="bottom"/>
            <w:gridSpan w:val="2"/>
          </w:tcPr>
          <w:p>
            <w:pPr>
              <w:jc w:val="center"/>
              <w:ind w:right="220"/>
              <w:spacing w:after="0" w:line="154"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7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Carrying amount, net</w:t>
            </w:r>
          </w:p>
        </w:tc>
        <w:tc>
          <w:tcPr>
            <w:tcW w:w="0" w:type="dxa"/>
            <w:vAlign w:val="bottom"/>
          </w:tcPr>
          <w:p>
            <w:pPr>
              <w:spacing w:after="0"/>
              <w:rPr>
                <w:sz w:val="1"/>
                <w:szCs w:val="1"/>
                <w:color w:val="auto"/>
              </w:rPr>
            </w:pPr>
          </w:p>
        </w:tc>
      </w:tr>
      <w:tr>
        <w:trPr>
          <w:trHeight w:val="205"/>
        </w:trPr>
        <w:tc>
          <w:tcPr>
            <w:tcW w:w="3520" w:type="dxa"/>
            <w:vAlign w:val="bottom"/>
            <w:vMerge w:val="continue"/>
          </w:tcPr>
          <w:p>
            <w:pPr>
              <w:spacing w:after="0"/>
              <w:rPr>
                <w:sz w:val="17"/>
                <w:szCs w:val="17"/>
                <w:color w:val="auto"/>
              </w:rPr>
            </w:pPr>
          </w:p>
        </w:tc>
        <w:tc>
          <w:tcPr>
            <w:tcW w:w="2040" w:type="dxa"/>
            <w:vAlign w:val="bottom"/>
          </w:tcPr>
          <w:p>
            <w:pPr>
              <w:jc w:val="center"/>
              <w:ind w:left="383"/>
              <w:spacing w:after="0"/>
              <w:rPr>
                <w:sz w:val="20"/>
                <w:szCs w:val="20"/>
                <w:color w:val="auto"/>
              </w:rPr>
            </w:pPr>
            <w:r>
              <w:rPr>
                <w:rFonts w:ascii="Arial" w:cs="Arial" w:eastAsia="Arial" w:hAnsi="Arial"/>
                <w:sz w:val="15"/>
                <w:szCs w:val="15"/>
                <w:b w:val="1"/>
                <w:bCs w:val="1"/>
                <w:color w:val="auto"/>
              </w:rPr>
              <w:t>(years)</w:t>
            </w:r>
          </w:p>
        </w:tc>
        <w:tc>
          <w:tcPr>
            <w:tcW w:w="19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Customer relationships</w:t>
            </w:r>
          </w:p>
        </w:tc>
        <w:tc>
          <w:tcPr>
            <w:tcW w:w="2040" w:type="dxa"/>
            <w:vAlign w:val="bottom"/>
            <w:shd w:val="clear" w:color="auto" w:fill="CCEEFF"/>
          </w:tcPr>
          <w:p>
            <w:pPr>
              <w:jc w:val="center"/>
              <w:ind w:left="363"/>
              <w:spacing w:after="0"/>
              <w:rPr>
                <w:sz w:val="20"/>
                <w:szCs w:val="20"/>
                <w:color w:val="auto"/>
              </w:rPr>
            </w:pPr>
            <w:r>
              <w:rPr>
                <w:rFonts w:ascii="Arial" w:cs="Arial" w:eastAsia="Arial" w:hAnsi="Arial"/>
                <w:sz w:val="15"/>
                <w:szCs w:val="15"/>
                <w:color w:val="auto"/>
                <w:w w:val="95"/>
              </w:rPr>
              <w:t>8</w:t>
            </w: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203"/>
        </w:trPr>
        <w:tc>
          <w:tcPr>
            <w:tcW w:w="3520" w:type="dxa"/>
            <w:vAlign w:val="bottom"/>
          </w:tcPr>
          <w:p>
            <w:pPr>
              <w:ind w:left="440"/>
              <w:spacing w:after="0"/>
              <w:rPr>
                <w:sz w:val="20"/>
                <w:szCs w:val="20"/>
                <w:color w:val="auto"/>
              </w:rPr>
            </w:pPr>
            <w:r>
              <w:rPr>
                <w:rFonts w:ascii="Arial" w:cs="Arial" w:eastAsia="Arial" w:hAnsi="Arial"/>
                <w:sz w:val="15"/>
                <w:szCs w:val="15"/>
                <w:color w:val="auto"/>
              </w:rPr>
              <w:t>Developed technology</w:t>
            </w:r>
          </w:p>
        </w:tc>
        <w:tc>
          <w:tcPr>
            <w:tcW w:w="2040" w:type="dxa"/>
            <w:vAlign w:val="bottom"/>
          </w:tcPr>
          <w:p>
            <w:pPr>
              <w:jc w:val="center"/>
              <w:ind w:left="363"/>
              <w:spacing w:after="0"/>
              <w:rPr>
                <w:sz w:val="20"/>
                <w:szCs w:val="20"/>
                <w:color w:val="auto"/>
              </w:rPr>
            </w:pPr>
            <w:r>
              <w:rPr>
                <w:rFonts w:ascii="Arial" w:cs="Arial" w:eastAsia="Arial" w:hAnsi="Arial"/>
                <w:sz w:val="15"/>
                <w:szCs w:val="15"/>
                <w:color w:val="auto"/>
                <w:w w:val="95"/>
              </w:rPr>
              <w:t>3</w:t>
            </w:r>
          </w:p>
        </w:tc>
        <w:tc>
          <w:tcPr>
            <w:tcW w:w="68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4,712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3,959</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Trademarks</w:t>
            </w:r>
          </w:p>
        </w:tc>
        <w:tc>
          <w:tcPr>
            <w:tcW w:w="2040" w:type="dxa"/>
            <w:vAlign w:val="bottom"/>
            <w:shd w:val="clear" w:color="auto" w:fill="CCEEFF"/>
          </w:tcPr>
          <w:p>
            <w:pPr>
              <w:jc w:val="center"/>
              <w:ind w:left="363"/>
              <w:spacing w:after="0"/>
              <w:rPr>
                <w:sz w:val="20"/>
                <w:szCs w:val="20"/>
                <w:color w:val="auto"/>
              </w:rPr>
            </w:pPr>
            <w:r>
              <w:rPr>
                <w:rFonts w:ascii="Arial" w:cs="Arial" w:eastAsia="Arial" w:hAnsi="Arial"/>
                <w:sz w:val="15"/>
                <w:szCs w:val="15"/>
                <w:color w:val="auto"/>
                <w:w w:val="95"/>
              </w:rPr>
              <w:t>9</w:t>
            </w:r>
          </w:p>
        </w:tc>
        <w:tc>
          <w:tcPr>
            <w:tcW w:w="6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4,520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2"/>
        </w:trPr>
        <w:tc>
          <w:tcPr>
            <w:tcW w:w="3520" w:type="dxa"/>
            <w:vAlign w:val="bottom"/>
          </w:tcPr>
          <w:p>
            <w:pPr>
              <w:ind w:left="440"/>
              <w:spacing w:after="0"/>
              <w:rPr>
                <w:sz w:val="20"/>
                <w:szCs w:val="20"/>
                <w:color w:val="auto"/>
              </w:rPr>
            </w:pPr>
            <w:r>
              <w:rPr>
                <w:rFonts w:ascii="Arial" w:cs="Arial" w:eastAsia="Arial" w:hAnsi="Arial"/>
                <w:sz w:val="15"/>
                <w:szCs w:val="15"/>
                <w:color w:val="auto"/>
              </w:rPr>
              <w:t>Total</w:t>
            </w:r>
          </w:p>
        </w:tc>
        <w:tc>
          <w:tcPr>
            <w:tcW w:w="204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14,233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12,942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As of December 31, 2021</w:t>
            </w: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 with determinable lives</w:t>
            </w:r>
          </w:p>
        </w:tc>
        <w:tc>
          <w:tcPr>
            <w:tcW w:w="2040" w:type="dxa"/>
            <w:vAlign w:val="bottom"/>
          </w:tcPr>
          <w:p>
            <w:pPr>
              <w:jc w:val="center"/>
              <w:ind w:left="383"/>
              <w:spacing w:after="0" w:line="154" w:lineRule="exact"/>
              <w:rPr>
                <w:sz w:val="20"/>
                <w:szCs w:val="20"/>
                <w:color w:val="auto"/>
              </w:rPr>
            </w:pPr>
            <w:r>
              <w:rPr>
                <w:rFonts w:ascii="Arial" w:cs="Arial" w:eastAsia="Arial" w:hAnsi="Arial"/>
                <w:sz w:val="15"/>
                <w:szCs w:val="15"/>
                <w:b w:val="1"/>
                <w:bCs w:val="1"/>
                <w:color w:val="auto"/>
              </w:rPr>
              <w:t>Amortization Period</w:t>
            </w:r>
          </w:p>
        </w:tc>
        <w:tc>
          <w:tcPr>
            <w:tcW w:w="190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Gross carrying amount</w:t>
            </w:r>
          </w:p>
        </w:tc>
        <w:tc>
          <w:tcPr>
            <w:tcW w:w="280" w:type="dxa"/>
            <w:vAlign w:val="bottom"/>
          </w:tcPr>
          <w:p>
            <w:pPr>
              <w:spacing w:after="0"/>
              <w:rPr>
                <w:sz w:val="13"/>
                <w:szCs w:val="13"/>
                <w:color w:val="auto"/>
              </w:rPr>
            </w:pPr>
          </w:p>
        </w:tc>
        <w:tc>
          <w:tcPr>
            <w:tcW w:w="1660" w:type="dxa"/>
            <w:vAlign w:val="bottom"/>
            <w:gridSpan w:val="2"/>
          </w:tcPr>
          <w:p>
            <w:pPr>
              <w:jc w:val="center"/>
              <w:ind w:right="360"/>
              <w:spacing w:after="0" w:line="154"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7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Carrying amount, net</w:t>
            </w:r>
          </w:p>
        </w:tc>
        <w:tc>
          <w:tcPr>
            <w:tcW w:w="0" w:type="dxa"/>
            <w:vAlign w:val="bottom"/>
          </w:tcPr>
          <w:p>
            <w:pPr>
              <w:spacing w:after="0"/>
              <w:rPr>
                <w:sz w:val="1"/>
                <w:szCs w:val="1"/>
                <w:color w:val="auto"/>
              </w:rPr>
            </w:pPr>
          </w:p>
        </w:tc>
      </w:tr>
      <w:tr>
        <w:trPr>
          <w:trHeight w:val="205"/>
        </w:trPr>
        <w:tc>
          <w:tcPr>
            <w:tcW w:w="3520" w:type="dxa"/>
            <w:vAlign w:val="bottom"/>
            <w:vMerge w:val="continue"/>
          </w:tcPr>
          <w:p>
            <w:pPr>
              <w:spacing w:after="0"/>
              <w:rPr>
                <w:sz w:val="17"/>
                <w:szCs w:val="17"/>
                <w:color w:val="auto"/>
              </w:rPr>
            </w:pPr>
          </w:p>
        </w:tc>
        <w:tc>
          <w:tcPr>
            <w:tcW w:w="2040" w:type="dxa"/>
            <w:vAlign w:val="bottom"/>
          </w:tcPr>
          <w:p>
            <w:pPr>
              <w:jc w:val="center"/>
              <w:ind w:left="383"/>
              <w:spacing w:after="0"/>
              <w:rPr>
                <w:sz w:val="20"/>
                <w:szCs w:val="20"/>
                <w:color w:val="auto"/>
              </w:rPr>
            </w:pPr>
            <w:r>
              <w:rPr>
                <w:rFonts w:ascii="Arial" w:cs="Arial" w:eastAsia="Arial" w:hAnsi="Arial"/>
                <w:sz w:val="15"/>
                <w:szCs w:val="15"/>
                <w:b w:val="1"/>
                <w:bCs w:val="1"/>
                <w:color w:val="auto"/>
              </w:rPr>
              <w:t>(years)</w:t>
            </w:r>
          </w:p>
        </w:tc>
        <w:tc>
          <w:tcPr>
            <w:tcW w:w="19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Customer relationships</w:t>
            </w:r>
          </w:p>
        </w:tc>
        <w:tc>
          <w:tcPr>
            <w:tcW w:w="2040" w:type="dxa"/>
            <w:vAlign w:val="bottom"/>
            <w:shd w:val="clear" w:color="auto" w:fill="CCEEFF"/>
          </w:tcPr>
          <w:p>
            <w:pPr>
              <w:jc w:val="center"/>
              <w:ind w:left="363"/>
              <w:spacing w:after="0"/>
              <w:rPr>
                <w:sz w:val="20"/>
                <w:szCs w:val="20"/>
                <w:color w:val="auto"/>
              </w:rPr>
            </w:pPr>
            <w:r>
              <w:rPr>
                <w:rFonts w:ascii="Arial" w:cs="Arial" w:eastAsia="Arial" w:hAnsi="Arial"/>
                <w:sz w:val="15"/>
                <w:szCs w:val="15"/>
                <w:color w:val="auto"/>
                <w:w w:val="95"/>
              </w:rPr>
              <w:t>8</w:t>
            </w: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5,092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4,942</w:t>
            </w:r>
          </w:p>
        </w:tc>
        <w:tc>
          <w:tcPr>
            <w:tcW w:w="0" w:type="dxa"/>
            <w:vAlign w:val="bottom"/>
          </w:tcPr>
          <w:p>
            <w:pPr>
              <w:spacing w:after="0"/>
              <w:rPr>
                <w:sz w:val="1"/>
                <w:szCs w:val="1"/>
                <w:color w:val="auto"/>
              </w:rPr>
            </w:pPr>
          </w:p>
        </w:tc>
      </w:tr>
      <w:tr>
        <w:trPr>
          <w:trHeight w:val="203"/>
        </w:trPr>
        <w:tc>
          <w:tcPr>
            <w:tcW w:w="3520" w:type="dxa"/>
            <w:vAlign w:val="bottom"/>
          </w:tcPr>
          <w:p>
            <w:pPr>
              <w:ind w:left="440"/>
              <w:spacing w:after="0"/>
              <w:rPr>
                <w:sz w:val="20"/>
                <w:szCs w:val="20"/>
                <w:color w:val="auto"/>
              </w:rPr>
            </w:pPr>
            <w:r>
              <w:rPr>
                <w:rFonts w:ascii="Arial" w:cs="Arial" w:eastAsia="Arial" w:hAnsi="Arial"/>
                <w:sz w:val="15"/>
                <w:szCs w:val="15"/>
                <w:color w:val="auto"/>
              </w:rPr>
              <w:t>Developed technology</w:t>
            </w:r>
          </w:p>
        </w:tc>
        <w:tc>
          <w:tcPr>
            <w:tcW w:w="2040" w:type="dxa"/>
            <w:vAlign w:val="bottom"/>
          </w:tcPr>
          <w:p>
            <w:pPr>
              <w:jc w:val="center"/>
              <w:ind w:left="363"/>
              <w:spacing w:after="0"/>
              <w:rPr>
                <w:sz w:val="20"/>
                <w:szCs w:val="20"/>
                <w:color w:val="auto"/>
              </w:rPr>
            </w:pPr>
            <w:r>
              <w:rPr>
                <w:rFonts w:ascii="Arial" w:cs="Arial" w:eastAsia="Arial" w:hAnsi="Arial"/>
                <w:sz w:val="15"/>
                <w:szCs w:val="15"/>
                <w:color w:val="auto"/>
                <w:w w:val="95"/>
              </w:rPr>
              <w:t>3</w:t>
            </w:r>
          </w:p>
        </w:tc>
        <w:tc>
          <w:tcPr>
            <w:tcW w:w="68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4,798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4,425</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Trademarks</w:t>
            </w:r>
          </w:p>
        </w:tc>
        <w:tc>
          <w:tcPr>
            <w:tcW w:w="2040" w:type="dxa"/>
            <w:vAlign w:val="bottom"/>
            <w:shd w:val="clear" w:color="auto" w:fill="CCEEFF"/>
          </w:tcPr>
          <w:p>
            <w:pPr>
              <w:jc w:val="center"/>
              <w:ind w:left="363"/>
              <w:spacing w:after="0"/>
              <w:rPr>
                <w:sz w:val="20"/>
                <w:szCs w:val="20"/>
                <w:color w:val="auto"/>
              </w:rPr>
            </w:pPr>
            <w:r>
              <w:rPr>
                <w:rFonts w:ascii="Arial" w:cs="Arial" w:eastAsia="Arial" w:hAnsi="Arial"/>
                <w:sz w:val="15"/>
                <w:szCs w:val="15"/>
                <w:color w:val="auto"/>
                <w:w w:val="95"/>
              </w:rPr>
              <w:t>9</w:t>
            </w:r>
          </w:p>
        </w:tc>
        <w:tc>
          <w:tcPr>
            <w:tcW w:w="6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4,602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4,487</w:t>
            </w:r>
          </w:p>
        </w:tc>
        <w:tc>
          <w:tcPr>
            <w:tcW w:w="0" w:type="dxa"/>
            <w:vAlign w:val="bottom"/>
          </w:tcPr>
          <w:p>
            <w:pPr>
              <w:spacing w:after="0"/>
              <w:rPr>
                <w:sz w:val="1"/>
                <w:szCs w:val="1"/>
                <w:color w:val="auto"/>
              </w:rPr>
            </w:pPr>
          </w:p>
        </w:tc>
      </w:tr>
      <w:tr>
        <w:trPr>
          <w:trHeight w:val="202"/>
        </w:trPr>
        <w:tc>
          <w:tcPr>
            <w:tcW w:w="3520" w:type="dxa"/>
            <w:vAlign w:val="bottom"/>
          </w:tcPr>
          <w:p>
            <w:pPr>
              <w:ind w:left="440"/>
              <w:spacing w:after="0"/>
              <w:rPr>
                <w:sz w:val="20"/>
                <w:szCs w:val="20"/>
                <w:color w:val="auto"/>
              </w:rPr>
            </w:pPr>
            <w:r>
              <w:rPr>
                <w:rFonts w:ascii="Arial" w:cs="Arial" w:eastAsia="Arial" w:hAnsi="Arial"/>
                <w:sz w:val="15"/>
                <w:szCs w:val="15"/>
                <w:color w:val="auto"/>
              </w:rPr>
              <w:t>Total</w:t>
            </w:r>
          </w:p>
        </w:tc>
        <w:tc>
          <w:tcPr>
            <w:tcW w:w="204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14,492</w:t>
            </w:r>
          </w:p>
        </w:tc>
        <w:tc>
          <w:tcPr>
            <w:tcW w:w="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13,854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the gross carrying amounts are due to foreign currency translation.</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Developed technology, customer relationships, and trademarks intangibles amortization is recorded within operations, product and technology, sales general and administrative, and marketing expense lines, respectively, within the consolidated statements of operations. The amortization expense of intangible assets with determinable lives was $0.7 million and zero for the three months ended as of March 31, 2022 and 2021, respectively.</w:t>
      </w:r>
    </w:p>
    <w:p>
      <w:pPr>
        <w:sectPr>
          <w:pgSz w:w="11900" w:h="16838" w:orient="portrait"/>
          <w:cols w:equalWidth="0" w:num="1">
            <w:col w:w="11240"/>
          </w:cols>
          <w:pgMar w:left="320" w:top="660" w:right="339" w:bottom="1440" w:gutter="0" w:footer="0" w:header="0"/>
        </w:sectPr>
      </w:pPr>
    </w:p>
    <w:p>
      <w:pPr>
        <w:spacing w:after="0" w:line="123"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Inventories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433070</wp:posOffset>
            </wp:positionV>
            <wp:extent cx="7122160" cy="16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Finished goods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19"/>
                <w:szCs w:val="19"/>
                <w:color w:val="auto"/>
              </w:rPr>
            </w:pPr>
          </w:p>
        </w:tc>
        <w:tc>
          <w:tcPr>
            <w:tcW w:w="1520" w:type="dxa"/>
            <w:vAlign w:val="bottom"/>
          </w:tcPr>
          <w:p>
            <w:pPr>
              <w:jc w:val="right"/>
              <w:ind w:right="234"/>
              <w:spacing w:after="0"/>
              <w:rPr>
                <w:sz w:val="20"/>
                <w:szCs w:val="20"/>
                <w:color w:val="auto"/>
              </w:rPr>
            </w:pPr>
            <w:r>
              <w:rPr>
                <w:rFonts w:ascii="Arial" w:cs="Arial" w:eastAsia="Arial" w:hAnsi="Arial"/>
                <w:sz w:val="17"/>
                <w:szCs w:val="17"/>
                <w:b w:val="1"/>
                <w:bCs w:val="1"/>
                <w:color w:val="auto"/>
              </w:rPr>
              <w:t>December 31,</w:t>
            </w:r>
          </w:p>
        </w:tc>
      </w:tr>
      <w:tr>
        <w:trPr>
          <w:trHeight w:val="246"/>
        </w:trPr>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r>
      <w:tr>
        <w:trPr>
          <w:trHeight w:val="237"/>
        </w:trPr>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9,907</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8,247</w:t>
            </w:r>
          </w:p>
        </w:tc>
      </w:tr>
      <w:tr>
        <w:trPr>
          <w:trHeight w:val="258"/>
        </w:trPr>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908</w:t>
            </w:r>
          </w:p>
        </w:tc>
      </w:tr>
      <w:tr>
        <w:trPr>
          <w:trHeight w:val="259"/>
        </w:trPr>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r>
      <w:tr>
        <w:trPr>
          <w:trHeight w:val="212"/>
        </w:trPr>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600"/>
          </w:cols>
          <w:pgMar w:left="320" w:top="660" w:right="3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7"/>
                <w:szCs w:val="17"/>
                <w:color w:val="auto"/>
              </w:rPr>
              <w:t>Accrued and other current liabilities consist of the following (in thousands):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25"/>
        </w:trPr>
        <w:tc>
          <w:tcPr>
            <w:tcW w:w="7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24"/>
                <w:szCs w:val="24"/>
                <w:color w:val="auto"/>
              </w:rPr>
            </w:pPr>
          </w:p>
        </w:tc>
        <w:tc>
          <w:tcPr>
            <w:tcW w:w="1520" w:type="dxa"/>
            <w:vAlign w:val="bottom"/>
          </w:tcPr>
          <w:p>
            <w:pPr>
              <w:jc w:val="right"/>
              <w:ind w:right="214"/>
              <w:spacing w:after="0"/>
              <w:rPr>
                <w:sz w:val="20"/>
                <w:szCs w:val="20"/>
                <w:color w:val="auto"/>
              </w:rPr>
            </w:pPr>
            <w:r>
              <w:rPr>
                <w:rFonts w:ascii="Arial" w:cs="Arial" w:eastAsia="Arial" w:hAnsi="Arial"/>
                <w:sz w:val="17"/>
                <w:szCs w:val="17"/>
                <w:b w:val="1"/>
                <w:bCs w:val="1"/>
                <w:color w:val="auto"/>
              </w:rPr>
              <w:t>December 31,</w:t>
            </w:r>
          </w:p>
        </w:tc>
      </w:tr>
      <w:tr>
        <w:trPr>
          <w:trHeight w:val="246"/>
        </w:trPr>
        <w:tc>
          <w:tcPr>
            <w:tcW w:w="76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r>
      <w:tr>
        <w:trPr>
          <w:trHeight w:val="21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Gift card and site credit liabilities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13,223</w:t>
            </w: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Accrued vendor liabilities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9,398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6,031</w:t>
            </w: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returns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6,209</w:t>
            </w: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Accrued compensation</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6,795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6,438</w:t>
            </w: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5,878</w:t>
            </w: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5,419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5,728</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1,746</w:t>
            </w:r>
          </w:p>
        </w:tc>
      </w:tr>
      <w:tr>
        <w:trPr>
          <w:trHeight w:val="212"/>
        </w:trPr>
        <w:tc>
          <w:tcPr>
            <w:tcW w:w="762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50,970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45,253</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ind w:left="340" w:hanging="337"/>
        <w:spacing w:after="0"/>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Lease Agreements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operating lease expense was $2.4 million and $2.1 million for the three months ended March 31, 2022 and 2021,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80" w:type="dxa"/>
            <w:vAlign w:val="bottom"/>
          </w:tcPr>
          <w:p>
            <w:pPr>
              <w:ind w:left="320"/>
              <w:spacing w:after="0"/>
              <w:rPr>
                <w:sz w:val="20"/>
                <w:szCs w:val="20"/>
                <w:color w:val="auto"/>
              </w:rPr>
            </w:pPr>
            <w:r>
              <w:rPr>
                <w:rFonts w:ascii="Arial" w:cs="Arial" w:eastAsia="Arial" w:hAnsi="Arial"/>
                <w:sz w:val="17"/>
                <w:szCs w:val="17"/>
                <w:color w:val="auto"/>
              </w:rPr>
              <w:t>Maturities of operating lease liabilities were as follows as of March 31, 2022 (in thousands):</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0"/>
        </w:trPr>
        <w:tc>
          <w:tcPr>
            <w:tcW w:w="9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jc w:val="right"/>
              <w:ind w:right="574"/>
              <w:spacing w:after="0"/>
              <w:rPr>
                <w:sz w:val="20"/>
                <w:szCs w:val="20"/>
                <w:color w:val="auto"/>
              </w:rPr>
            </w:pPr>
            <w:r>
              <w:rPr>
                <w:rFonts w:ascii="Arial" w:cs="Arial" w:eastAsia="Arial" w:hAnsi="Arial"/>
                <w:sz w:val="17"/>
                <w:szCs w:val="17"/>
                <w:b w:val="1"/>
                <w:bCs w:val="1"/>
                <w:color w:val="auto"/>
              </w:rPr>
              <w:t>Amount</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6,804</w:t>
            </w:r>
          </w:p>
        </w:tc>
      </w:tr>
      <w:tr>
        <w:trPr>
          <w:trHeight w:val="218"/>
        </w:trPr>
        <w:tc>
          <w:tcPr>
            <w:tcW w:w="9280" w:type="dxa"/>
            <w:vAlign w:val="bottom"/>
          </w:tcPr>
          <w:p>
            <w:pPr>
              <w:ind w:left="180"/>
              <w:spacing w:after="0"/>
              <w:rPr>
                <w:sz w:val="20"/>
                <w:szCs w:val="20"/>
                <w:color w:val="auto"/>
              </w:rPr>
            </w:pPr>
            <w:r>
              <w:rPr>
                <w:rFonts w:ascii="Arial" w:cs="Arial" w:eastAsia="Arial" w:hAnsi="Arial"/>
                <w:sz w:val="17"/>
                <w:szCs w:val="17"/>
                <w:color w:val="auto"/>
              </w:rPr>
              <w:t>2023</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8,487</w:t>
            </w:r>
          </w:p>
        </w:tc>
      </w:tr>
      <w:tr>
        <w:trPr>
          <w:trHeight w:val="220"/>
        </w:trPr>
        <w:tc>
          <w:tcPr>
            <w:tcW w:w="9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7,543</w:t>
            </w:r>
          </w:p>
        </w:tc>
      </w:tr>
      <w:tr>
        <w:trPr>
          <w:trHeight w:val="218"/>
        </w:trPr>
        <w:tc>
          <w:tcPr>
            <w:tcW w:w="9280" w:type="dxa"/>
            <w:vAlign w:val="bottom"/>
          </w:tcPr>
          <w:p>
            <w:pPr>
              <w:ind w:left="180"/>
              <w:spacing w:after="0"/>
              <w:rPr>
                <w:sz w:val="20"/>
                <w:szCs w:val="20"/>
                <w:color w:val="auto"/>
              </w:rPr>
            </w:pPr>
            <w:r>
              <w:rPr>
                <w:rFonts w:ascii="Arial" w:cs="Arial" w:eastAsia="Arial" w:hAnsi="Arial"/>
                <w:sz w:val="17"/>
                <w:szCs w:val="17"/>
                <w:color w:val="auto"/>
              </w:rPr>
              <w:t>2025</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6,740</w:t>
            </w:r>
          </w:p>
        </w:tc>
      </w:tr>
      <w:tr>
        <w:trPr>
          <w:trHeight w:val="220"/>
        </w:trPr>
        <w:tc>
          <w:tcPr>
            <w:tcW w:w="9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2026</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6,386</w:t>
            </w:r>
          </w:p>
        </w:tc>
      </w:tr>
      <w:tr>
        <w:trPr>
          <w:trHeight w:val="218"/>
        </w:trPr>
        <w:tc>
          <w:tcPr>
            <w:tcW w:w="92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29,947</w:t>
            </w:r>
          </w:p>
        </w:tc>
      </w:tr>
      <w:tr>
        <w:trPr>
          <w:trHeight w:val="213"/>
        </w:trPr>
        <w:tc>
          <w:tcPr>
            <w:tcW w:w="9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65,907</w:t>
            </w:r>
          </w:p>
        </w:tc>
      </w:tr>
      <w:tr>
        <w:trPr>
          <w:trHeight w:val="230"/>
        </w:trPr>
        <w:tc>
          <w:tcPr>
            <w:tcW w:w="92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(14,934)</w:t>
            </w:r>
          </w:p>
        </w:tc>
      </w:tr>
      <w:tr>
        <w:trPr>
          <w:trHeight w:val="27"/>
        </w:trPr>
        <w:tc>
          <w:tcPr>
            <w:tcW w:w="9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tenant improvement allowance yet to be received</w:t>
            </w: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(4,510)</w:t>
            </w:r>
          </w:p>
        </w:tc>
      </w:tr>
      <w:tr>
        <w:trPr>
          <w:trHeight w:val="211"/>
        </w:trPr>
        <w:tc>
          <w:tcPr>
            <w:tcW w:w="9280" w:type="dxa"/>
            <w:vAlign w:val="bottom"/>
          </w:tcPr>
          <w:p>
            <w:pPr>
              <w:ind w:left="320"/>
              <w:spacing w:after="0"/>
              <w:rPr>
                <w:sz w:val="20"/>
                <w:szCs w:val="20"/>
                <w:color w:val="auto"/>
              </w:rPr>
            </w:pPr>
            <w:r>
              <w:rPr>
                <w:rFonts w:ascii="Arial" w:cs="Arial" w:eastAsia="Arial" w:hAnsi="Arial"/>
                <w:sz w:val="17"/>
                <w:szCs w:val="17"/>
                <w:color w:val="auto"/>
              </w:rPr>
              <w:t>Total lease liabilities</w:t>
            </w:r>
          </w:p>
        </w:tc>
        <w:tc>
          <w:tcPr>
            <w:tcW w:w="3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46,463</w:t>
            </w:r>
          </w:p>
        </w:tc>
      </w:tr>
      <w:tr>
        <w:trPr>
          <w:trHeight w:val="259"/>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current lease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(4,433)</w:t>
            </w:r>
          </w:p>
        </w:tc>
      </w:tr>
      <w:tr>
        <w:trPr>
          <w:trHeight w:val="211"/>
        </w:trPr>
        <w:tc>
          <w:tcPr>
            <w:tcW w:w="9280" w:type="dxa"/>
            <w:vAlign w:val="bottom"/>
          </w:tcPr>
          <w:p>
            <w:pPr>
              <w:ind w:left="320"/>
              <w:spacing w:after="0"/>
              <w:rPr>
                <w:sz w:val="20"/>
                <w:szCs w:val="20"/>
                <w:color w:val="auto"/>
              </w:rPr>
            </w:pPr>
            <w:r>
              <w:rPr>
                <w:rFonts w:ascii="Arial" w:cs="Arial" w:eastAsia="Arial" w:hAnsi="Arial"/>
                <w:sz w:val="17"/>
                <w:szCs w:val="17"/>
                <w:color w:val="auto"/>
              </w:rPr>
              <w:t>Total non-current lease liabilities</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42,030</w:t>
            </w:r>
          </w:p>
        </w:tc>
      </w:tr>
      <w:tr>
        <w:trPr>
          <w:trHeight w:val="20"/>
        </w:trPr>
        <w:tc>
          <w:tcPr>
            <w:tcW w:w="9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09"/>
        <w:spacing w:after="0" w:line="229" w:lineRule="auto"/>
        <w:rPr>
          <w:sz w:val="20"/>
          <w:szCs w:val="20"/>
          <w:color w:val="auto"/>
        </w:rPr>
      </w:pPr>
      <w:r>
        <w:rPr>
          <w:rFonts w:ascii="Arial" w:cs="Arial" w:eastAsia="Arial" w:hAnsi="Arial"/>
          <w:sz w:val="17"/>
          <w:szCs w:val="17"/>
          <w:color w:val="auto"/>
        </w:rPr>
        <w:t>In December 2021, the Company entered into an agreement to lease a distribution center in Sofia, Bulgaria. The leased property, which contains both logistics and office areas, is divided into three spaces with separate commencement dates of March 1, 2022 and targeted dates in May 2022 and June 2023. The base rent for the first stage space is approximately €6.1 million or $6.8 million, estimated at March 31, 2022 Euro to USD spot rate, in aggregate over the original term of 10 years from the commencement date.</w:t>
      </w:r>
    </w:p>
    <w:p>
      <w:pPr>
        <w:spacing w:after="0" w:line="208" w:lineRule="exact"/>
        <w:rPr>
          <w:sz w:val="20"/>
          <w:szCs w:val="20"/>
          <w:color w:val="auto"/>
        </w:rPr>
      </w:pPr>
    </w:p>
    <w:p>
      <w:pPr>
        <w:jc w:val="both"/>
        <w:ind w:firstLine="309"/>
        <w:spacing w:after="0" w:line="229" w:lineRule="auto"/>
        <w:rPr>
          <w:sz w:val="20"/>
          <w:szCs w:val="20"/>
          <w:color w:val="auto"/>
        </w:rPr>
      </w:pPr>
      <w:r>
        <w:rPr>
          <w:rFonts w:ascii="Arial" w:cs="Arial" w:eastAsia="Arial" w:hAnsi="Arial"/>
          <w:sz w:val="17"/>
          <w:szCs w:val="17"/>
          <w:color w:val="auto"/>
        </w:rPr>
        <w:t>In January 2022, the Company entered into an agreement to lease office space in Sofia, Bulgaria. The Company anticipates delivery of the leased property, accounting commencement and recording of the related right of use asset and liability to occur during the second quarter of 2022. The base rent is approximately €4.3 million or $4.7 million, estimated at March 31, 2022 Euro to USD spot rate, in aggregate over the original term of 10 years from the commencement date.</w:t>
      </w:r>
    </w:p>
    <w:p>
      <w:pPr>
        <w:spacing w:after="0" w:line="304" w:lineRule="exact"/>
        <w:rPr>
          <w:sz w:val="20"/>
          <w:szCs w:val="20"/>
          <w:color w:val="auto"/>
        </w:rPr>
      </w:pPr>
    </w:p>
    <w:p>
      <w:pPr>
        <w:ind w:left="340" w:hanging="337"/>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185" w:lineRule="exact"/>
        <w:rPr>
          <w:sz w:val="20"/>
          <w:szCs w:val="20"/>
          <w:color w:val="auto"/>
        </w:rPr>
      </w:pPr>
    </w:p>
    <w:p>
      <w:pPr>
        <w:jc w:val="both"/>
        <w:ind w:firstLine="309"/>
        <w:spacing w:after="0" w:line="241" w:lineRule="auto"/>
        <w:rPr>
          <w:sz w:val="20"/>
          <w:szCs w:val="20"/>
          <w:color w:val="auto"/>
        </w:rPr>
      </w:pPr>
      <w:r>
        <w:rPr>
          <w:rFonts w:ascii="Arial" w:cs="Arial" w:eastAsia="Arial" w:hAnsi="Arial"/>
          <w:sz w:val="17"/>
          <w:szCs w:val="17"/>
          <w:color w:val="auto"/>
        </w:rPr>
        <w:t>The Company entered into a loan and security agreement (“Term Loan”) with Western Alliance Bank for an aggregate amount up to $40.0 million to refinance its Loan and Security Agreement with Silicon Valley Bank in February 2019. The Term Loan was amended five times before December 31, 2021. The amended interest rate on the Term Loan is the prime rate published in The Wall Street Journal plus 1.5% with a floor of 5.50% per annum.</w:t>
      </w:r>
    </w:p>
    <w:p>
      <w:pPr>
        <w:spacing w:after="0" w:line="143" w:lineRule="exact"/>
        <w:rPr>
          <w:sz w:val="20"/>
          <w:szCs w:val="20"/>
          <w:color w:val="auto"/>
        </w:rPr>
      </w:pPr>
    </w:p>
    <w:p>
      <w:pPr>
        <w:jc w:val="both"/>
        <w:ind w:firstLine="309"/>
        <w:spacing w:after="0" w:line="249" w:lineRule="auto"/>
        <w:rPr>
          <w:sz w:val="20"/>
          <w:szCs w:val="20"/>
          <w:color w:val="auto"/>
        </w:rPr>
      </w:pPr>
      <w:r>
        <w:rPr>
          <w:rFonts w:ascii="Arial" w:cs="Arial" w:eastAsia="Arial" w:hAnsi="Arial"/>
          <w:sz w:val="17"/>
          <w:szCs w:val="17"/>
          <w:color w:val="auto"/>
        </w:rPr>
        <w:t>As of March 31, 2022, the nominal interest rate was 5.50% and the effective interest rate was 6.65%. The Company is in compliance with the covenants as of March 31, 2022.</w:t>
      </w:r>
    </w:p>
    <w:p>
      <w:pPr>
        <w:spacing w:after="0" w:line="213"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The Company has repaid $6.0 million of the Term Loan as of March 31, 2022. The remaining maturities of the loan agreement as of March 31, 2022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6"/>
        </w:trPr>
        <w:tc>
          <w:tcPr>
            <w:tcW w:w="9100" w:type="dxa"/>
            <w:vAlign w:val="bottom"/>
          </w:tcPr>
          <w:p>
            <w:pPr>
              <w:ind w:left="5100"/>
              <w:spacing w:after="0"/>
              <w:rPr>
                <w:sz w:val="20"/>
                <w:szCs w:val="20"/>
                <w:color w:val="auto"/>
              </w:rPr>
            </w:pPr>
            <w:r>
              <w:rPr>
                <w:rFonts w:ascii="Arial" w:cs="Arial" w:eastAsia="Arial" w:hAnsi="Arial"/>
                <w:sz w:val="17"/>
                <w:szCs w:val="17"/>
                <w:b w:val="1"/>
                <w:bCs w:val="1"/>
                <w:color w:val="auto"/>
              </w:rPr>
              <w:t>ThredUp Inc.</w:t>
            </w: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9100" w:type="dxa"/>
            <w:vAlign w:val="bottom"/>
          </w:tcPr>
          <w:p>
            <w:pPr>
              <w:ind w:left="2840"/>
              <w:spacing w:after="0"/>
              <w:rPr>
                <w:sz w:val="20"/>
                <w:szCs w:val="20"/>
                <w:color w:val="auto"/>
              </w:rPr>
            </w:pPr>
            <w:r>
              <w:rPr>
                <w:rFonts w:ascii="Arial" w:cs="Arial" w:eastAsia="Arial" w:hAnsi="Arial"/>
                <w:sz w:val="17"/>
                <w:szCs w:val="17"/>
                <w:b w:val="1"/>
                <w:bCs w:val="1"/>
                <w:color w:val="auto"/>
              </w:rPr>
              <w:t>Notes to Condensed Consolidated Financial Statements (Unaudited)</w:t>
            </w: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684"/>
        </w:trPr>
        <w:tc>
          <w:tcPr>
            <w:tcW w:w="9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r>
      <w:tr>
        <w:trPr>
          <w:trHeight w:val="218"/>
        </w:trPr>
        <w:tc>
          <w:tcPr>
            <w:tcW w:w="9100" w:type="dxa"/>
            <w:vAlign w:val="bottom"/>
          </w:tcPr>
          <w:p>
            <w:pPr>
              <w:ind w:left="220"/>
              <w:spacing w:after="0"/>
              <w:rPr>
                <w:sz w:val="20"/>
                <w:szCs w:val="20"/>
                <w:color w:val="auto"/>
              </w:rPr>
            </w:pPr>
            <w:r>
              <w:rPr>
                <w:rFonts w:ascii="Arial" w:cs="Arial" w:eastAsia="Arial" w:hAnsi="Arial"/>
                <w:sz w:val="17"/>
                <w:szCs w:val="17"/>
                <w:color w:val="auto"/>
              </w:rPr>
              <w:t>2023</w:t>
            </w:r>
          </w:p>
        </w:tc>
        <w:tc>
          <w:tcPr>
            <w:tcW w:w="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8,000</w:t>
            </w:r>
          </w:p>
        </w:tc>
      </w:tr>
      <w:tr>
        <w:trPr>
          <w:trHeight w:val="220"/>
        </w:trPr>
        <w:tc>
          <w:tcPr>
            <w:tcW w:w="9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18"/>
        </w:trPr>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future principal</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34,000</w:t>
            </w:r>
          </w:p>
        </w:tc>
      </w:tr>
      <w:tr>
        <w:trPr>
          <w:trHeight w:val="218"/>
        </w:trPr>
        <w:tc>
          <w:tcPr>
            <w:tcW w:w="9100" w:type="dxa"/>
            <w:vAlign w:val="bottom"/>
          </w:tcPr>
          <w:p>
            <w:pPr>
              <w:ind w:left="20"/>
              <w:spacing w:after="0"/>
              <w:rPr>
                <w:sz w:val="20"/>
                <w:szCs w:val="20"/>
                <w:color w:val="auto"/>
              </w:rPr>
            </w:pPr>
            <w:r>
              <w:rPr>
                <w:rFonts w:ascii="Arial" w:cs="Arial" w:eastAsia="Arial" w:hAnsi="Arial"/>
                <w:sz w:val="17"/>
                <w:szCs w:val="17"/>
                <w:color w:val="auto"/>
              </w:rPr>
              <w:t>Less: unamortized debt discount</w:t>
            </w:r>
          </w:p>
        </w:tc>
        <w:tc>
          <w:tcPr>
            <w:tcW w:w="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(586)</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w:t>
            </w:r>
          </w:p>
        </w:tc>
        <w:tc>
          <w:tcPr>
            <w:tcW w:w="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(7,780)</w:t>
            </w:r>
          </w:p>
        </w:tc>
      </w:tr>
      <w:tr>
        <w:trPr>
          <w:trHeight w:val="213"/>
        </w:trPr>
        <w:tc>
          <w:tcPr>
            <w:tcW w:w="9100" w:type="dxa"/>
            <w:vAlign w:val="bottom"/>
          </w:tcPr>
          <w:p>
            <w:pPr>
              <w:ind w:left="320"/>
              <w:spacing w:after="0"/>
              <w:rPr>
                <w:sz w:val="20"/>
                <w:szCs w:val="20"/>
                <w:color w:val="auto"/>
              </w:rPr>
            </w:pPr>
            <w:r>
              <w:rPr>
                <w:rFonts w:ascii="Arial" w:cs="Arial" w:eastAsia="Arial" w:hAnsi="Arial"/>
                <w:sz w:val="17"/>
                <w:szCs w:val="17"/>
                <w:color w:val="auto"/>
              </w:rPr>
              <w:t>Non-current portion of long-term debt</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25,634</w:t>
            </w:r>
          </w:p>
        </w:tc>
      </w:tr>
      <w:tr>
        <w:trPr>
          <w:trHeight w:val="20"/>
        </w:trPr>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hanging="337"/>
        <w:spacing w:after="0"/>
        <w:tabs>
          <w:tab w:leader="none" w:pos="3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185"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Each share of Class A common stock is entitled to one vote per share. Each share of Class B common stock is entitled to ten votes per share and is convertible at any time into one share of Class A common stock.</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the Class A common stock and Class B common stock issued and outstanding as of March 31, 2022.</w:t>
      </w:r>
    </w:p>
    <w:p>
      <w:pPr>
        <w:sectPr>
          <w:pgSz w:w="11900" w:h="16838" w:orient="portrait"/>
          <w:cols w:equalWidth="0" w:num="1">
            <w:col w:w="11240"/>
          </w:cols>
          <w:pgMar w:left="320" w:top="6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stock Class A</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stock Class B</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common stock</w:t>
      </w:r>
    </w:p>
    <w:p>
      <w:pPr>
        <w:spacing w:after="0" w:line="249" w:lineRule="exact"/>
        <w:rPr>
          <w:sz w:val="20"/>
          <w:szCs w:val="20"/>
          <w:color w:val="auto"/>
        </w:rPr>
      </w:pPr>
    </w:p>
    <w:p>
      <w:pPr>
        <w:ind w:left="440" w:hanging="437"/>
        <w:spacing w:after="0"/>
        <w:tabs>
          <w:tab w:leader="none" w:pos="4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Plans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As of March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80" w:type="dxa"/>
            <w:vAlign w:val="bottom"/>
            <w:tcBorders>
              <w:top w:val="single" w:sz="8" w:color="auto"/>
            </w:tcBorders>
            <w:gridSpan w:val="2"/>
          </w:tcPr>
          <w:p>
            <w:pPr>
              <w:ind w:left="1040"/>
              <w:spacing w:after="0"/>
              <w:rPr>
                <w:sz w:val="20"/>
                <w:szCs w:val="20"/>
                <w:color w:val="auto"/>
              </w:rPr>
            </w:pPr>
            <w:r>
              <w:rPr>
                <w:rFonts w:ascii="Arial" w:cs="Arial" w:eastAsia="Arial" w:hAnsi="Arial"/>
                <w:sz w:val="17"/>
                <w:szCs w:val="17"/>
                <w:b w:val="1"/>
                <w:bCs w:val="1"/>
                <w:color w:val="auto"/>
              </w:rPr>
              <w:t>Authorized</w:t>
            </w:r>
          </w:p>
        </w:tc>
        <w:tc>
          <w:tcPr>
            <w:tcW w:w="294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Issued and Outstanding</w:t>
            </w:r>
          </w:p>
        </w:tc>
      </w:tr>
      <w:tr>
        <w:trPr>
          <w:trHeight w:val="226"/>
        </w:trPr>
        <w:tc>
          <w:tcPr>
            <w:tcW w:w="6020" w:type="dxa"/>
            <w:vAlign w:val="bottom"/>
            <w:gridSpan w:val="3"/>
          </w:tcPr>
          <w:p>
            <w:pPr>
              <w:jc w:val="right"/>
              <w:ind w:right="2334"/>
              <w:spacing w:after="0"/>
              <w:rPr>
                <w:sz w:val="20"/>
                <w:szCs w:val="20"/>
                <w:color w:val="auto"/>
              </w:rPr>
            </w:pPr>
            <w:r>
              <w:rPr>
                <w:rFonts w:ascii="Arial" w:cs="Arial" w:eastAsia="Arial" w:hAnsi="Arial"/>
                <w:sz w:val="17"/>
                <w:szCs w:val="17"/>
                <w:b w:val="1"/>
                <w:bCs w:val="1"/>
                <w:color w:val="auto"/>
              </w:rPr>
              <w:t>(in thousands)</w:t>
            </w:r>
          </w:p>
        </w:tc>
      </w:tr>
      <w:tr>
        <w:trPr>
          <w:trHeight w:val="219"/>
        </w:trPr>
        <w:tc>
          <w:tcPr>
            <w:tcW w:w="2960" w:type="dxa"/>
            <w:vAlign w:val="bottom"/>
          </w:tcPr>
          <w:p>
            <w:pPr>
              <w:jc w:val="right"/>
              <w:spacing w:after="0"/>
              <w:rPr>
                <w:sz w:val="20"/>
                <w:szCs w:val="20"/>
                <w:color w:val="auto"/>
              </w:rPr>
            </w:pPr>
            <w:r>
              <w:rPr>
                <w:rFonts w:ascii="Arial" w:cs="Arial" w:eastAsia="Arial" w:hAnsi="Arial"/>
                <w:sz w:val="17"/>
                <w:szCs w:val="17"/>
                <w:color w:val="auto"/>
              </w:rPr>
              <w:t>1,000,000</w:t>
            </w:r>
          </w:p>
        </w:tc>
        <w:tc>
          <w:tcPr>
            <w:tcW w:w="1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58,558</w:t>
            </w:r>
          </w:p>
        </w:tc>
      </w:tr>
      <w:tr>
        <w:trPr>
          <w:trHeight w:val="220"/>
        </w:trPr>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w:t>
            </w:r>
          </w:p>
        </w:tc>
        <w:tc>
          <w:tcPr>
            <w:tcW w:w="120" w:type="dxa"/>
            <w:vAlign w:val="bottom"/>
          </w:tcPr>
          <w:p>
            <w:pPr>
              <w:spacing w:after="0"/>
              <w:rPr>
                <w:sz w:val="19"/>
                <w:szCs w:val="19"/>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40,384</w:t>
            </w:r>
          </w:p>
        </w:tc>
      </w:tr>
      <w:tr>
        <w:trPr>
          <w:trHeight w:val="212"/>
        </w:trPr>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1,120,000</w:t>
            </w:r>
          </w:p>
        </w:tc>
        <w:tc>
          <w:tcPr>
            <w:tcW w:w="120" w:type="dxa"/>
            <w:vAlign w:val="bottom"/>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98,942</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-457835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-179705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4500" w:space="720"/>
            <w:col w:w="6020"/>
          </w:cols>
          <w:pgMar w:left="320" w:top="660" w:right="339" w:bottom="1440" w:gutter="0" w:footer="0" w:header="0"/>
          <w:type w:val="continuous"/>
        </w:sectPr>
      </w:pPr>
    </w:p>
    <w:p>
      <w:pPr>
        <w:jc w:val="both"/>
        <w:ind w:firstLine="309"/>
        <w:spacing w:after="0" w:line="265" w:lineRule="auto"/>
        <w:rPr>
          <w:sz w:val="20"/>
          <w:szCs w:val="20"/>
          <w:color w:val="auto"/>
        </w:rPr>
      </w:pPr>
      <w:r>
        <w:rPr>
          <w:rFonts w:ascii="Arial" w:cs="Arial" w:eastAsia="Arial" w:hAnsi="Arial"/>
          <w:sz w:val="17"/>
          <w:szCs w:val="17"/>
          <w:color w:val="auto"/>
        </w:rPr>
        <w:t>The Company's stock-based compensation plans are described in more detail in Note 11, Stock-Based Compensation Plans, to the consolidated financial statements in the 2021 Form 10-K.</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2021 Stock Option and Incentive Plan</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February 2021, in connection with the Initial Public Offering (“IPO”), the Company’s board of directors adopted the 2021 Stock Option and Incentive Plan (“2021 Plan”) to replace the Second Amended and Restated 2010 Stock Plan, which was subsequently approved by the Company’s stockholders in March 2021. The 2021 Plan became effective on March 24, 2021.</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February 2021, the Company’s board of directors adopted the Employee Stock Purchase Plan (“ESPP”), which was subsequently approved by the stockholders in March 2021. The ESPP became effective on March 24, 2021. There was $0.2 million and zero in stock-based compensation related to the ESPP for the three months ended March 31, 2022 and 2021, respectively.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Company issues service-based and performance-based restricted stock units (“RSU”) to employees. The RSUs automatically convert to shares of the Company’s common stock on a one-for-one basis as the awards vest. RSUs granted to newly hired employees typically vest 25% annually over 4 years commencing on the date of grant. The RSUs are measured at grant date fair value, at the market price of the Company’s Class A common stock on the grant date. The Company records stock-based compensation expense related to the RSUs ratably over the employee’s respective requisite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period. During the three months ended March 31, 2022, the Company granted 749,842 shares of RSUs with a weighted average grant date fair value at $8.81 under the 2021 Plan.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stock-based compensation expense by department is as follows (in thousands):</w:t>
      </w:r>
    </w:p>
    <w:p>
      <w:pPr>
        <w:spacing w:after="0" w:line="176"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Three Months Ended</w:t>
      </w:r>
    </w:p>
    <w:p>
      <w:pPr>
        <w:jc w:val="center"/>
        <w:ind w:left="7800"/>
        <w:spacing w:after="0"/>
        <w:rPr>
          <w:sz w:val="20"/>
          <w:szCs w:val="20"/>
          <w:color w:val="auto"/>
        </w:rPr>
      </w:pPr>
      <w:r>
        <w:rPr>
          <w:rFonts w:ascii="Arial" w:cs="Arial" w:eastAsia="Arial" w:hAnsi="Arial"/>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80" w:type="dxa"/>
            <w:vAlign w:val="bottom"/>
            <w:shd w:val="clear" w:color="auto" w:fill="CCEEFF"/>
          </w:tcPr>
          <w:p>
            <w:pPr>
              <w:spacing w:after="0"/>
              <w:rPr>
                <w:sz w:val="18"/>
                <w:szCs w:val="18"/>
                <w:color w:val="auto"/>
              </w:rPr>
            </w:pP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Marketing</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437</w:t>
            </w:r>
          </w:p>
        </w:tc>
        <w:tc>
          <w:tcPr>
            <w:tcW w:w="80" w:type="dxa"/>
            <w:vAlign w:val="bottom"/>
          </w:tcPr>
          <w:p>
            <w:pPr>
              <w:spacing w:after="0"/>
              <w:rPr>
                <w:sz w:val="18"/>
                <w:szCs w:val="18"/>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80" w:type="dxa"/>
            <w:vAlign w:val="bottom"/>
            <w:shd w:val="clear" w:color="auto" w:fill="CCEEFF"/>
          </w:tcPr>
          <w:p>
            <w:pPr>
              <w:spacing w:after="0"/>
              <w:rPr>
                <w:sz w:val="19"/>
                <w:szCs w:val="19"/>
                <w:color w:val="auto"/>
              </w:rPr>
            </w:pPr>
          </w:p>
        </w:tc>
      </w:tr>
      <w:tr>
        <w:trPr>
          <w:trHeight w:val="213"/>
        </w:trPr>
        <w:tc>
          <w:tcPr>
            <w:tcW w:w="792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3,498</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tab/>
        <w:t>Commitments and Contingencies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121" w:lineRule="exact"/>
        <w:rPr>
          <w:sz w:val="20"/>
          <w:szCs w:val="20"/>
          <w:color w:val="auto"/>
        </w:rPr>
      </w:pPr>
    </w:p>
    <w:p>
      <w:pPr>
        <w:ind w:left="440" w:hanging="437"/>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quarterly income tax provision reflects an estimate of the corresponding quarter’s state taxes in the United States. The provision for income tax expense for the three months ended March 31, 2022 and 2021 was determined based upon estimates of the Company’s annual effective tax rate for the years ending December 31, 2022 and 2021, respectively. Since the Company is in a full valuation allowance position, due to losses incurred since inception, the provision for taxes consist solely of certain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ThredUp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ind w:left="440" w:hanging="437"/>
        <w:spacing w:after="0"/>
        <w:tabs>
          <w:tab w:leader="none" w:pos="4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85"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The following participating securities were excluded from the computation of diluted net loss per share attributable to common stockholders for the periods presented, because including them would have been anti-dilutive: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40" w:type="dxa"/>
            <w:vAlign w:val="bottom"/>
          </w:tcPr>
          <w:p>
            <w:pPr>
              <w:spacing w:after="0"/>
              <w:rPr>
                <w:sz w:val="19"/>
                <w:szCs w:val="19"/>
                <w:color w:val="auto"/>
              </w:rPr>
            </w:pPr>
          </w:p>
        </w:tc>
        <w:tc>
          <w:tcPr>
            <w:tcW w:w="224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7"/>
                <w:szCs w:val="17"/>
                <w:b w:val="1"/>
                <w:bCs w:val="1"/>
                <w:color w:val="auto"/>
              </w:rPr>
              <w:t>As of March 31,</w:t>
            </w:r>
          </w:p>
        </w:tc>
        <w:tc>
          <w:tcPr>
            <w:tcW w:w="960" w:type="dxa"/>
            <w:vAlign w:val="bottom"/>
            <w:tcBorders>
              <w:bottom w:val="single" w:sz="8" w:color="auto"/>
            </w:tcBorders>
          </w:tcPr>
          <w:p>
            <w:pPr>
              <w:spacing w:after="0"/>
              <w:rPr>
                <w:sz w:val="19"/>
                <w:szCs w:val="19"/>
                <w:color w:val="auto"/>
              </w:rPr>
            </w:pPr>
          </w:p>
        </w:tc>
      </w:tr>
      <w:tr>
        <w:trPr>
          <w:trHeight w:val="213"/>
        </w:trPr>
        <w:tc>
          <w:tcPr>
            <w:tcW w:w="8040" w:type="dxa"/>
            <w:vAlign w:val="bottom"/>
          </w:tcPr>
          <w:p>
            <w:pPr>
              <w:spacing w:after="0"/>
              <w:rPr>
                <w:sz w:val="18"/>
                <w:szCs w:val="18"/>
                <w:color w:val="auto"/>
              </w:rPr>
            </w:pPr>
          </w:p>
        </w:tc>
        <w:tc>
          <w:tcPr>
            <w:tcW w:w="15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w w:val="95"/>
              </w:rPr>
              <w:t>2021</w:t>
            </w:r>
          </w:p>
        </w:tc>
      </w:tr>
      <w:tr>
        <w:trPr>
          <w:trHeight w:val="212"/>
        </w:trPr>
        <w:tc>
          <w:tcPr>
            <w:tcW w:w="8040" w:type="dxa"/>
            <w:vAlign w:val="bottom"/>
          </w:tcPr>
          <w:p>
            <w:pPr>
              <w:spacing w:after="0"/>
              <w:rPr>
                <w:sz w:val="18"/>
                <w:szCs w:val="18"/>
                <w:color w:val="auto"/>
              </w:rPr>
            </w:pPr>
          </w:p>
        </w:tc>
        <w:tc>
          <w:tcPr>
            <w:tcW w:w="2240" w:type="dxa"/>
            <w:vAlign w:val="bottom"/>
            <w:gridSpan w:val="3"/>
          </w:tcPr>
          <w:p>
            <w:pPr>
              <w:jc w:val="center"/>
              <w:ind w:left="874"/>
              <w:spacing w:after="0"/>
              <w:rPr>
                <w:sz w:val="20"/>
                <w:szCs w:val="20"/>
                <w:color w:val="auto"/>
              </w:rPr>
            </w:pPr>
            <w:r>
              <w:rPr>
                <w:rFonts w:ascii="Arial" w:cs="Arial" w:eastAsia="Arial" w:hAnsi="Arial"/>
                <w:sz w:val="17"/>
                <w:szCs w:val="17"/>
                <w:b w:val="1"/>
                <w:bCs w:val="1"/>
                <w:color w:val="auto"/>
              </w:rPr>
              <w:t>(in thousands)</w:t>
            </w:r>
          </w:p>
        </w:tc>
        <w:tc>
          <w:tcPr>
            <w:tcW w:w="960" w:type="dxa"/>
            <w:vAlign w:val="bottom"/>
          </w:tcPr>
          <w:p>
            <w:pPr>
              <w:spacing w:after="0"/>
              <w:rPr>
                <w:sz w:val="18"/>
                <w:szCs w:val="18"/>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22,068</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7"/>
                <w:szCs w:val="17"/>
                <w:color w:val="auto"/>
              </w:rPr>
              <w:t>1,830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Delayed share issuance related to acquisition</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B common stock warrants</w:t>
            </w: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20,890</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22,302</w:t>
            </w: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0" w:name="page21"/>
    <w:bookmarkEnd w:id="20"/>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7"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financial statements and related notes thereto included elsewhere in this Quarterly Report on Form 10-Q and our audited financial statements and related notes and our Annual Report on Form 10-K filed with the SEC on March 22, 2022.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April 2021.</w:t>
      </w:r>
    </w:p>
    <w:p>
      <w:pPr>
        <w:spacing w:after="0" w:line="144"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146"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2018, based on our success with consumers directly, we extended our platform to enable brands and retailers to participate in the resale economy.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1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October 2021, we closed the acquisition of Remix Global EAD (“Remix”), a fashion resale company headquartered in Sofia, Bulgaria, which further expands our reach to European customers. With this acquisition, we added a complementary operational infrastructure and an experienced management team to enable our expansion into Europe. In addition, Remix’s product assortment extends our resale offering to include men’s items and items sourced from a variety of supply channels, such as wholesale supply.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Business Developments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Acquisition of Remix Global EAD</w:t>
      </w:r>
    </w:p>
    <w:p>
      <w:pPr>
        <w:spacing w:after="0" w:line="18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On July 24, 2021, we entered into Share Purchase Agreements with the shareholders of Remix to purchase 100% of the outstanding equity interests of Remix and its subsidiary. On October 7, 2021, we completed our acquisition of Remix.</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COVID-19 Update</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COVID-19 pandemic has been and continues to be a complex and evolving situation. We continue to monitor the development of the pandemic, including the impact of the Omicron variant, the BA.2 subvariants and other SARS-CoV-2 viruses, federal, state and local government response, vaccination rates, the impact on our supply chain and the impact on our employees. We have prioritized the safety of our employees during the pandemic. In 2020, we shifted all of our corporate employees and contract engineers to a remote work model and implemented additional measures to better enable remote work. As of March 31, 2022, our remote work model remains largely in place.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Financial Impact</w:t>
      </w:r>
    </w:p>
    <w:p>
      <w:pPr>
        <w:spacing w:after="0" w:line="183"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In the three months ended March 31, 2022, we experienced an increase in demand partially due to COVID-19 recovery and re-opening efforts. Gross margin and operating expenses were impacted due to rising labor, processing and other costs to support the demand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Impact on Processing at our Distribution and Processing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9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COVID-19 and ongoing recovery also contributed to a tightened labor supply. We continue to face challenges in hiring and retaining employees. We have implemented compensation and benefits programs to attract potential employees and to improve employee retention. These programs caused, along with an inflationary labor market, higher Cost of Revenue and higher Operations, Product and Technology expenses and negatively impacted our results of operations.</w:t>
      </w:r>
    </w:p>
    <w:p>
      <w:pPr>
        <w:spacing w:after="0" w:line="1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expect that the COVID-19 pandemic will continue to have an adverse impact on our business, results of operations and financial condition, including our revenue and cash flows in the short term. Due to the unpredictable nature of the pandemic, it is difficult to predict the long-term impact on our business. See the section titled “Risk Factors” in our Annual Report on Form 10-K filed with the SEC on March 22, 2022 for further discussion of the possible impact of the COVID-19 pandemic on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First Quarter Results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was a record at $72.7 million, an increase of 31% year-over-year.</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7"/>
          <w:szCs w:val="17"/>
          <w:b w:val="1"/>
          <w:bCs w:val="1"/>
          <w:color w:val="auto"/>
        </w:rPr>
        <w:t xml:space="preserve">Gross Profit and Margin: </w:t>
      </w:r>
      <w:r>
        <w:rPr>
          <w:rFonts w:ascii="Arial" w:cs="Arial" w:eastAsia="Arial" w:hAnsi="Arial"/>
          <w:sz w:val="17"/>
          <w:szCs w:val="17"/>
          <w:color w:val="auto"/>
        </w:rPr>
        <w:t>Gross profit totaled $50.2 million representing growth of 26% year-over-year. Gross margin decreased by 224 basis</w:t>
      </w:r>
      <w:r>
        <w:rPr>
          <w:rFonts w:ascii="Arial" w:cs="Arial" w:eastAsia="Arial" w:hAnsi="Arial"/>
          <w:sz w:val="17"/>
          <w:szCs w:val="17"/>
          <w:b w:val="1"/>
          <w:bCs w:val="1"/>
          <w:color w:val="auto"/>
        </w:rPr>
        <w:t xml:space="preserve"> </w:t>
      </w:r>
      <w:r>
        <w:rPr>
          <w:rFonts w:ascii="Arial" w:cs="Arial" w:eastAsia="Arial" w:hAnsi="Arial"/>
          <w:sz w:val="17"/>
          <w:szCs w:val="17"/>
          <w:color w:val="auto"/>
        </w:rPr>
        <w:t>points to 69% from 71% in the comparable quarter last year.</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GAAP net loss was $20.7 million for the first quarter 2022, compared to a GAAP net loss of $16.2 million for the first quarter 2021.</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loss was $13.0 million, a negative 18% of revenue, compared to Adjusted EBITDA loss of $9.1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2021, a negative 16% of the first quarter 2021 revenue.</w:t>
      </w:r>
    </w:p>
    <w:p>
      <w:pPr>
        <w:spacing w:after="0" w:line="9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7"/>
          <w:szCs w:val="17"/>
          <w:b w:val="1"/>
          <w:bCs w:val="1"/>
          <w:color w:val="auto"/>
        </w:rPr>
        <w:t xml:space="preserve">Active Buyers and Orders: </w:t>
      </w:r>
      <w:r>
        <w:rPr>
          <w:rFonts w:ascii="Arial" w:cs="Arial" w:eastAsia="Arial" w:hAnsi="Arial"/>
          <w:sz w:val="17"/>
          <w:szCs w:val="17"/>
          <w:color w:val="auto"/>
        </w:rPr>
        <w:t>Total first quarter of 2022 Active Buyers of 1.72 million and Orders of 1.64 million grew 33% and 45%,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first quarter of 2021.</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Metrics</w:t>
      </w:r>
    </w:p>
    <w:p>
      <w:pPr>
        <w:spacing w:after="0" w:line="18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Our unaudited condensed consolidated financial statements were prepared in accordance with generally accepted accounting principles (“GAAP”) in the United States (“U.S.”). 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3"/>
          </w:tcPr>
          <w:p>
            <w:pPr>
              <w:jc w:val="center"/>
              <w:ind w:left="514"/>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40" w:type="dxa"/>
            <w:vAlign w:val="bottom"/>
            <w:gridSpan w:val="3"/>
          </w:tcPr>
          <w:p>
            <w:pPr>
              <w:jc w:val="center"/>
              <w:ind w:left="514"/>
              <w:spacing w:after="0"/>
              <w:rPr>
                <w:sz w:val="20"/>
                <w:szCs w:val="20"/>
                <w:color w:val="auto"/>
              </w:rPr>
            </w:pPr>
            <w:r>
              <w:rPr>
                <w:rFonts w:ascii="Arial" w:cs="Arial" w:eastAsia="Arial" w:hAnsi="Arial"/>
                <w:sz w:val="17"/>
                <w:szCs w:val="17"/>
                <w:b w:val="1"/>
                <w:bCs w:val="1"/>
                <w:color w:val="auto"/>
              </w:rPr>
              <w:t>(in thousands)</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Buyers (as of period end)</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1,290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Arial" w:cs="Arial" w:eastAsia="Arial" w:hAnsi="Arial"/>
                <w:sz w:val="17"/>
                <w:szCs w:val="17"/>
                <w:color w:val="auto"/>
              </w:rPr>
              <w:t>Orders</w:t>
            </w:r>
          </w:p>
        </w:tc>
        <w:tc>
          <w:tcPr>
            <w:tcW w:w="48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Arial" w:cs="Arial" w:eastAsia="Arial" w:hAnsi="Arial"/>
                <w:sz w:val="17"/>
                <w:szCs w:val="17"/>
                <w:color w:val="auto"/>
              </w:rPr>
              <w:t>1,640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ind w:right="154"/>
              <w:spacing w:after="0"/>
              <w:rPr>
                <w:sz w:val="20"/>
                <w:szCs w:val="20"/>
                <w:color w:val="auto"/>
              </w:rPr>
            </w:pPr>
            <w:r>
              <w:rPr>
                <w:rFonts w:ascii="Arial" w:cs="Arial" w:eastAsia="Arial" w:hAnsi="Arial"/>
                <w:sz w:val="17"/>
                <w:szCs w:val="17"/>
                <w:color w:val="auto"/>
              </w:rPr>
              <w:t>1,128</w:t>
            </w: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(20,708)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(16,171)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Arial" w:cs="Arial" w:eastAsia="Arial" w:hAnsi="Arial"/>
                <w:sz w:val="17"/>
                <w:szCs w:val="17"/>
                <w:color w:val="auto"/>
              </w:rPr>
              <w:t>Net loss margin</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Adjusted EBITDA loss</w:t>
            </w:r>
            <w:r>
              <w:rPr>
                <w:rFonts w:ascii="Arial" w:cs="Arial" w:eastAsia="Arial" w:hAnsi="Arial"/>
                <w:sz w:val="22"/>
                <w:szCs w:val="22"/>
                <w:color w:val="auto"/>
                <w:vertAlign w:val="superscript"/>
              </w:rPr>
              <w:t>(1)</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(12,963)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(9,119)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Arial" w:cs="Arial" w:eastAsia="Arial" w:hAnsi="Arial"/>
                <w:sz w:val="17"/>
                <w:szCs w:val="17"/>
                <w:color w:val="auto"/>
              </w:rPr>
              <w:t>Adjusted EBITDA margin</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See below for a reconciliation of Adjusted EBITDA to net loss.</w:t>
      </w:r>
    </w:p>
    <w:p>
      <w:pPr>
        <w:spacing w:after="0" w:line="140"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Active Buyers</w:t>
      </w:r>
    </w:p>
    <w:p>
      <w:pPr>
        <w:spacing w:after="0" w:line="18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Orders</w:t>
      </w:r>
    </w:p>
    <w:p>
      <w:pPr>
        <w:spacing w:after="0" w:line="18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Orders means the total number of orders placed by buyers across our marketplace, including through our RaaS clients, in a given period, net of cancellations. We expect Orders to increase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Adjusted EBITDA means net loss adjusted to exclude, where applicable in a given period, depreciation and amortization, stock-based compensation expense, acquisition and offering related expenses, interest expense, change in fair value of convertible preferred stock warrant liability, provision for income taxes and organizational alignment expenses. We use Adjusted EBITDA, a Non-GAAP metric,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a reconciliation of net loss to Adjusted EBITDA (in thousands):</w:t>
      </w:r>
    </w:p>
    <w:p>
      <w:pPr>
        <w:spacing w:after="0" w:line="176" w:lineRule="exact"/>
        <w:rPr>
          <w:sz w:val="20"/>
          <w:szCs w:val="20"/>
          <w:color w:val="auto"/>
        </w:rPr>
      </w:pPr>
    </w:p>
    <w:p>
      <w:pPr>
        <w:jc w:val="center"/>
        <w:ind w:left="8240"/>
        <w:spacing w:after="0"/>
        <w:rPr>
          <w:sz w:val="20"/>
          <w:szCs w:val="20"/>
          <w:color w:val="auto"/>
        </w:rPr>
      </w:pPr>
      <w:r>
        <w:rPr>
          <w:rFonts w:ascii="Arial" w:cs="Arial" w:eastAsia="Arial" w:hAnsi="Arial"/>
          <w:sz w:val="17"/>
          <w:szCs w:val="17"/>
          <w:b w:val="1"/>
          <w:bCs w:val="1"/>
          <w:color w:val="auto"/>
        </w:rPr>
        <w:t>Three Months Ended</w:t>
      </w:r>
    </w:p>
    <w:p>
      <w:pPr>
        <w:jc w:val="center"/>
        <w:ind w:left="8240"/>
        <w:spacing w:after="0"/>
        <w:rPr>
          <w:sz w:val="20"/>
          <w:szCs w:val="20"/>
          <w:color w:val="auto"/>
        </w:rPr>
      </w:pPr>
      <w:r>
        <w:rPr>
          <w:rFonts w:ascii="Arial" w:cs="Arial" w:eastAsia="Arial" w:hAnsi="Arial"/>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Adjusted EBITDA Reconciliation:</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8"/>
        </w:trPr>
        <w:tc>
          <w:tcPr>
            <w:tcW w:w="8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loss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18"/>
        </w:trPr>
        <w:tc>
          <w:tcPr>
            <w:tcW w:w="826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3,271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2,038</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w:t>
            </w:r>
          </w:p>
        </w:tc>
        <w:tc>
          <w:tcPr>
            <w:tcW w:w="0" w:type="dxa"/>
            <w:vAlign w:val="bottom"/>
          </w:tcPr>
          <w:p>
            <w:pPr>
              <w:spacing w:after="0"/>
              <w:rPr>
                <w:sz w:val="1"/>
                <w:szCs w:val="1"/>
                <w:color w:val="auto"/>
              </w:rPr>
            </w:pPr>
          </w:p>
        </w:tc>
      </w:tr>
      <w:tr>
        <w:trPr>
          <w:trHeight w:val="218"/>
        </w:trPr>
        <w:tc>
          <w:tcPr>
            <w:tcW w:w="826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related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260" w:type="dxa"/>
            <w:vAlign w:val="bottom"/>
          </w:tcPr>
          <w:p>
            <w:pPr>
              <w:ind w:left="220"/>
              <w:spacing w:after="0"/>
              <w:rPr>
                <w:sz w:val="20"/>
                <w:szCs w:val="20"/>
                <w:color w:val="auto"/>
              </w:rPr>
            </w:pPr>
            <w:r>
              <w:rPr>
                <w:rFonts w:ascii="Arial" w:cs="Arial" w:eastAsia="Arial" w:hAnsi="Arial"/>
                <w:sz w:val="17"/>
                <w:szCs w:val="17"/>
                <w:color w:val="auto"/>
              </w:rPr>
              <w:t>Organizational alignment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18"/>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Adjusted EBITDA</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(12,963)</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1"/>
        </w:trPr>
        <w:tc>
          <w:tcPr>
            <w:tcW w:w="8000" w:type="dxa"/>
            <w:vAlign w:val="bottom"/>
          </w:tcPr>
          <w:p>
            <w:pPr>
              <w:ind w:left="320"/>
              <w:spacing w:after="0"/>
              <w:rPr>
                <w:sz w:val="20"/>
                <w:szCs w:val="20"/>
                <w:color w:val="auto"/>
              </w:rPr>
            </w:pPr>
            <w:r>
              <w:rPr>
                <w:rFonts w:ascii="Arial" w:cs="Arial" w:eastAsia="Arial" w:hAnsi="Arial"/>
                <w:sz w:val="17"/>
                <w:szCs w:val="17"/>
                <w:color w:val="auto"/>
              </w:rPr>
              <w:t>The following table sets forth our results of operations for the periods presented: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8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4"/>
          </w:tcPr>
          <w:p>
            <w:pPr>
              <w:jc w:val="center"/>
              <w:ind w:right="254"/>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8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7"/>
                <w:szCs w:val="17"/>
                <w:b w:val="1"/>
                <w:bCs w:val="1"/>
                <w:color w:val="auto"/>
                <w:w w:val="99"/>
              </w:rPr>
              <w:t>March 31,</w:t>
            </w:r>
          </w:p>
        </w:tc>
        <w:tc>
          <w:tcPr>
            <w:tcW w:w="1000" w:type="dxa"/>
            <w:vAlign w:val="bottom"/>
            <w:tcBorders>
              <w:bottom w:val="single" w:sz="8" w:color="auto"/>
            </w:tcBorders>
          </w:tcPr>
          <w:p>
            <w:pPr>
              <w:spacing w:after="0"/>
              <w:rPr>
                <w:sz w:val="19"/>
                <w:szCs w:val="19"/>
                <w:color w:val="auto"/>
              </w:rPr>
            </w:pPr>
          </w:p>
        </w:tc>
      </w:tr>
      <w:tr>
        <w:trPr>
          <w:trHeight w:val="212"/>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50"/>
        </w:trPr>
        <w:tc>
          <w:tcPr>
            <w:tcW w:w="8000" w:type="dxa"/>
            <w:vAlign w:val="bottom"/>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Pr>
          <w:p>
            <w:pPr>
              <w:spacing w:after="0"/>
              <w:rPr>
                <w:sz w:val="21"/>
                <w:szCs w:val="21"/>
                <w:color w:val="auto"/>
              </w:rPr>
            </w:pPr>
          </w:p>
        </w:tc>
        <w:tc>
          <w:tcPr>
            <w:tcW w:w="1880" w:type="dxa"/>
            <w:vAlign w:val="bottom"/>
            <w:gridSpan w:val="3"/>
          </w:tcPr>
          <w:p>
            <w:pPr>
              <w:jc w:val="center"/>
              <w:ind w:left="574"/>
              <w:spacing w:after="0"/>
              <w:rPr>
                <w:sz w:val="20"/>
                <w:szCs w:val="20"/>
                <w:color w:val="auto"/>
              </w:rPr>
            </w:pPr>
            <w:r>
              <w:rPr>
                <w:rFonts w:ascii="Arial" w:cs="Arial" w:eastAsia="Arial" w:hAnsi="Arial"/>
                <w:sz w:val="17"/>
                <w:szCs w:val="17"/>
                <w:b w:val="1"/>
                <w:bCs w:val="1"/>
                <w:color w:val="auto"/>
              </w:rPr>
              <w:t>(in thousands)</w:t>
            </w:r>
          </w:p>
        </w:tc>
        <w:tc>
          <w:tcPr>
            <w:tcW w:w="1000" w:type="dxa"/>
            <w:vAlign w:val="bottom"/>
          </w:tcPr>
          <w:p>
            <w:pPr>
              <w:spacing w:after="0"/>
              <w:rPr>
                <w:sz w:val="21"/>
                <w:szCs w:val="21"/>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44,688</w:t>
            </w:r>
          </w:p>
        </w:tc>
      </w:tr>
      <w:tr>
        <w:trPr>
          <w:trHeight w:val="218"/>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10,992</w:t>
            </w:r>
          </w:p>
        </w:tc>
      </w:tr>
      <w:tr>
        <w:trPr>
          <w:trHeight w:val="213"/>
        </w:trPr>
        <w:tc>
          <w:tcPr>
            <w:tcW w:w="8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72,695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55,680</w:t>
            </w:r>
          </w:p>
        </w:tc>
      </w:tr>
      <w:tr>
        <w:trPr>
          <w:trHeight w:val="198"/>
        </w:trPr>
        <w:tc>
          <w:tcPr>
            <w:tcW w:w="80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10,832</w:t>
            </w:r>
          </w:p>
        </w:tc>
      </w:tr>
      <w:tr>
        <w:trPr>
          <w:trHeight w:val="218"/>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5,130</w:t>
            </w:r>
          </w:p>
        </w:tc>
      </w:tr>
      <w:tr>
        <w:trPr>
          <w:trHeight w:val="212"/>
        </w:trPr>
        <w:tc>
          <w:tcPr>
            <w:tcW w:w="8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22,467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15,962</w:t>
            </w:r>
          </w:p>
        </w:tc>
      </w:tr>
      <w:tr>
        <w:trPr>
          <w:trHeight w:val="212"/>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39,718</w:t>
            </w:r>
          </w:p>
        </w:tc>
      </w:tr>
      <w:tr>
        <w:trPr>
          <w:trHeight w:val="20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Operations, product and technology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39,161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28,312</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Marketing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15,446</w:t>
            </w:r>
          </w:p>
        </w:tc>
      </w:tr>
      <w:tr>
        <w:trPr>
          <w:trHeight w:val="218"/>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Sales, general and administrative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10,638</w:t>
            </w:r>
          </w:p>
        </w:tc>
      </w:tr>
      <w:tr>
        <w:trPr>
          <w:trHeight w:val="212"/>
        </w:trPr>
        <w:tc>
          <w:tcPr>
            <w:tcW w:w="8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70,803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54,396</w:t>
            </w:r>
          </w:p>
        </w:tc>
      </w:tr>
      <w:tr>
        <w:trPr>
          <w:trHeight w:val="212"/>
        </w:trPr>
        <w:tc>
          <w:tcPr>
            <w:tcW w:w="8000" w:type="dxa"/>
            <w:vAlign w:val="bottom"/>
          </w:tcPr>
          <w:p>
            <w:pPr>
              <w:ind w:left="440"/>
              <w:spacing w:after="0"/>
              <w:rPr>
                <w:sz w:val="20"/>
                <w:szCs w:val="20"/>
                <w:color w:val="auto"/>
              </w:rPr>
            </w:pPr>
            <w:r>
              <w:rPr>
                <w:rFonts w:ascii="Arial" w:cs="Arial" w:eastAsia="Arial" w:hAnsi="Arial"/>
                <w:sz w:val="17"/>
                <w:szCs w:val="17"/>
                <w:color w:val="auto"/>
              </w:rPr>
              <w:t>Operating loss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(20,575)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(14,678)</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r>
      <w:tr>
        <w:trPr>
          <w:trHeight w:val="218"/>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(expense),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r>
      <w:tr>
        <w:trPr>
          <w:trHeight w:val="213"/>
        </w:trPr>
        <w:tc>
          <w:tcPr>
            <w:tcW w:w="8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Loss before provision for income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(16,144)</w:t>
            </w:r>
          </w:p>
        </w:tc>
      </w:tr>
      <w:tr>
        <w:trPr>
          <w:trHeight w:val="218"/>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38"/>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(20,708)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(16,171)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00" w:type="dxa"/>
            <w:vAlign w:val="bottom"/>
          </w:tcPr>
          <w:p>
            <w:pPr>
              <w:ind w:left="20"/>
              <w:spacing w:after="0" w:line="191" w:lineRule="exact"/>
              <w:rPr>
                <w:sz w:val="20"/>
                <w:szCs w:val="20"/>
                <w:color w:val="auto"/>
              </w:rPr>
            </w:pPr>
            <w:r>
              <w:rPr>
                <w:rFonts w:ascii="Arial" w:cs="Arial" w:eastAsia="Arial" w:hAnsi="Arial"/>
                <w:sz w:val="17"/>
                <w:szCs w:val="17"/>
                <w:color w:val="auto"/>
              </w:rPr>
              <w:t>Net loss per share attributable to common stockholders, basic and diluted</w:t>
            </w:r>
          </w:p>
        </w:tc>
        <w:tc>
          <w:tcPr>
            <w:tcW w:w="36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(0.21)</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74"/>
              <w:spacing w:after="0" w:line="191"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(0.86)</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Comparison of the Three Months Ended March 31, 2022 and 2021</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5"/>
                <w:szCs w:val="15"/>
                <w:color w:val="auto"/>
              </w:rPr>
            </w:pPr>
          </w:p>
        </w:tc>
        <w:tc>
          <w:tcPr>
            <w:tcW w:w="1540" w:type="dxa"/>
            <w:vAlign w:val="bottom"/>
            <w:gridSpan w:val="3"/>
            <w:vMerge w:val="restart"/>
          </w:tcPr>
          <w:p>
            <w:pPr>
              <w:ind w:left="82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563"/>
              <w:spacing w:after="0"/>
              <w:rPr>
                <w:sz w:val="20"/>
                <w:szCs w:val="20"/>
                <w:color w:val="auto"/>
              </w:rPr>
            </w:pPr>
            <w:r>
              <w:rPr>
                <w:rFonts w:ascii="Arial" w:cs="Arial" w:eastAsia="Arial" w:hAnsi="Arial"/>
                <w:sz w:val="15"/>
                <w:szCs w:val="15"/>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7"/>
          </w:tcPr>
          <w:p>
            <w:pPr>
              <w:ind w:left="20"/>
              <w:spacing w:after="0"/>
              <w:rPr>
                <w:sz w:val="20"/>
                <w:szCs w:val="20"/>
                <w:color w:val="auto"/>
              </w:rPr>
            </w:pPr>
            <w:r>
              <w:rPr>
                <w:rFonts w:ascii="Arial" w:cs="Arial" w:eastAsia="Arial" w:hAnsi="Arial"/>
                <w:sz w:val="15"/>
                <w:szCs w:val="15"/>
                <w:b w:val="1"/>
                <w:bCs w:val="1"/>
                <w:color w:val="auto"/>
              </w:rPr>
              <w:t>(in thousands, except percentages)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Consignment revenue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47,435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44,688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Product revenue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25,260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10,992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14,268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130 %</w:t>
            </w: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72,695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55,680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17,015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5"/>
                <w:szCs w:val="15"/>
                <w:color w:val="auto"/>
              </w:rPr>
              <w:t>Consignment revenue as a % of total revenue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revenue as a % of total 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$17.0 million increase in total revenue represents a 31% increase in total revenue for the three months ended March 31, 2022, as compared to the three months ended March 31, 2021. This increase was primarily attributable to a 45% increase in Orders and growth in Active Buyers of 33% largely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by the addition of our European operations, offset by a 10% decrease in revenue per Order over the same period. The 10% decrease in revenue per Order was primarily due to lower revenue per Order for our European operations compared with our domestic operations.</w:t>
      </w:r>
    </w:p>
    <w:p>
      <w:pPr>
        <w:spacing w:after="0" w:line="71" w:lineRule="exact"/>
        <w:rPr>
          <w:sz w:val="20"/>
          <w:szCs w:val="20"/>
          <w:color w:val="auto"/>
        </w:rPr>
      </w:pPr>
    </w:p>
    <w:p>
      <w:pPr>
        <w:jc w:val="both"/>
        <w:ind w:firstLine="309"/>
        <w:spacing w:after="0" w:line="231" w:lineRule="auto"/>
        <w:rPr>
          <w:sz w:val="20"/>
          <w:szCs w:val="20"/>
          <w:color w:val="auto"/>
        </w:rPr>
      </w:pPr>
      <w:r>
        <w:rPr>
          <w:rFonts w:ascii="Arial" w:cs="Arial" w:eastAsia="Arial" w:hAnsi="Arial"/>
          <w:sz w:val="17"/>
          <w:szCs w:val="17"/>
          <w:color w:val="auto"/>
        </w:rPr>
        <w:t>Product revenue increased by 130% for the three months ended March 31, 2022, as compared to the three months ended March 31, 2021 and represented 35% of total revenue. This revenue increased primarily due to the introduction of our European operations, which is primarily product revenue, and a smaller increase in our domestic product revenue.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1640" w:type="dxa"/>
            <w:vAlign w:val="bottom"/>
            <w:gridSpan w:val="3"/>
            <w:vMerge w:val="restart"/>
          </w:tcPr>
          <w:p>
            <w:pPr>
              <w:ind w:left="900"/>
              <w:spacing w:after="0"/>
              <w:rPr>
                <w:sz w:val="20"/>
                <w:szCs w:val="20"/>
                <w:color w:val="auto"/>
              </w:rPr>
            </w:pPr>
            <w:r>
              <w:rPr>
                <w:rFonts w:ascii="Arial" w:cs="Arial" w:eastAsia="Arial" w:hAnsi="Arial"/>
                <w:sz w:val="15"/>
                <w:szCs w:val="15"/>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5"/>
                <w:szCs w:val="15"/>
                <w:b w:val="1"/>
                <w:bCs w:val="1"/>
                <w:color w:val="auto"/>
              </w:rPr>
              <w:t>March 31,</w:t>
            </w:r>
          </w:p>
        </w:tc>
        <w:tc>
          <w:tcPr>
            <w:tcW w:w="24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6"/>
          </w:tcPr>
          <w:p>
            <w:pPr>
              <w:ind w:left="20"/>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10,832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revenue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12,418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5,130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142 %</w:t>
            </w:r>
          </w:p>
        </w:tc>
        <w:tc>
          <w:tcPr>
            <w:tcW w:w="0" w:type="dxa"/>
            <w:vAlign w:val="bottom"/>
          </w:tcPr>
          <w:p>
            <w:pPr>
              <w:spacing w:after="0"/>
              <w:rPr>
                <w:sz w:val="1"/>
                <w:szCs w:val="1"/>
                <w:color w:val="auto"/>
              </w:rPr>
            </w:pPr>
          </w:p>
        </w:tc>
      </w:tr>
      <w:tr>
        <w:trPr>
          <w:trHeight w:val="22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revenue</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22,467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15,962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50,228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39,718</w:t>
            </w:r>
          </w:p>
        </w:tc>
        <w:tc>
          <w:tcPr>
            <w:tcW w:w="100" w:type="dxa"/>
            <w:vAlign w:val="bottom"/>
          </w:tcPr>
          <w:p>
            <w:pPr>
              <w:spacing w:after="0"/>
              <w:rPr>
                <w:sz w:val="14"/>
                <w:szCs w:val="1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10,510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 margin</w:t>
            </w:r>
          </w:p>
        </w:tc>
        <w:tc>
          <w:tcPr>
            <w:tcW w:w="206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69 %</w:t>
            </w:r>
          </w:p>
        </w:tc>
        <w:tc>
          <w:tcPr>
            <w:tcW w:w="3900" w:type="dxa"/>
            <w:vAlign w:val="bottom"/>
            <w:shd w:val="clear" w:color="auto" w:fill="CCEEFF"/>
          </w:tcPr>
          <w:p>
            <w:pPr>
              <w:jc w:val="right"/>
              <w:ind w:right="2883"/>
              <w:spacing w:after="0"/>
              <w:rPr>
                <w:sz w:val="20"/>
                <w:szCs w:val="20"/>
                <w:color w:val="auto"/>
              </w:rPr>
            </w:pPr>
            <w:r>
              <w:rPr>
                <w:rFonts w:ascii="Arial" w:cs="Arial" w:eastAsia="Arial" w:hAnsi="Arial"/>
                <w:sz w:val="15"/>
                <w:szCs w:val="15"/>
                <w:color w:val="auto"/>
              </w:rPr>
              <w:t>71 %</w:t>
            </w: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Cost of revenue as a % of total revenue</w:t>
            </w:r>
          </w:p>
        </w:tc>
        <w:tc>
          <w:tcPr>
            <w:tcW w:w="2060" w:type="dxa"/>
            <w:vAlign w:val="bottom"/>
          </w:tcPr>
          <w:p>
            <w:pPr>
              <w:jc w:val="right"/>
              <w:ind w:right="523"/>
              <w:spacing w:after="0"/>
              <w:rPr>
                <w:sz w:val="20"/>
                <w:szCs w:val="20"/>
                <w:color w:val="auto"/>
              </w:rPr>
            </w:pPr>
            <w:r>
              <w:rPr>
                <w:rFonts w:ascii="Arial" w:cs="Arial" w:eastAsia="Arial" w:hAnsi="Arial"/>
                <w:sz w:val="15"/>
                <w:szCs w:val="15"/>
                <w:color w:val="auto"/>
              </w:rPr>
              <w:t>31 %</w:t>
            </w:r>
          </w:p>
        </w:tc>
        <w:tc>
          <w:tcPr>
            <w:tcW w:w="3900" w:type="dxa"/>
            <w:vAlign w:val="bottom"/>
          </w:tcPr>
          <w:p>
            <w:pPr>
              <w:jc w:val="right"/>
              <w:ind w:right="2883"/>
              <w:spacing w:after="0"/>
              <w:rPr>
                <w:sz w:val="20"/>
                <w:szCs w:val="20"/>
                <w:color w:val="auto"/>
              </w:rPr>
            </w:pPr>
            <w:r>
              <w:rPr>
                <w:rFonts w:ascii="Arial" w:cs="Arial" w:eastAsia="Arial" w:hAnsi="Arial"/>
                <w:sz w:val="15"/>
                <w:szCs w:val="15"/>
                <w:color w:val="auto"/>
              </w:rPr>
              <w:t>29 %</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 as a % of total cost of revenue</w:t>
            </w:r>
          </w:p>
        </w:tc>
        <w:tc>
          <w:tcPr>
            <w:tcW w:w="206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45 %</w:t>
            </w:r>
          </w:p>
        </w:tc>
        <w:tc>
          <w:tcPr>
            <w:tcW w:w="3900" w:type="dxa"/>
            <w:vAlign w:val="bottom"/>
            <w:shd w:val="clear" w:color="auto" w:fill="CCEEFF"/>
          </w:tcPr>
          <w:p>
            <w:pPr>
              <w:jc w:val="right"/>
              <w:ind w:right="2883"/>
              <w:spacing w:after="0"/>
              <w:rPr>
                <w:sz w:val="20"/>
                <w:szCs w:val="20"/>
                <w:color w:val="auto"/>
              </w:rPr>
            </w:pPr>
            <w:r>
              <w:rPr>
                <w:rFonts w:ascii="Arial" w:cs="Arial" w:eastAsia="Arial" w:hAnsi="Arial"/>
                <w:sz w:val="15"/>
                <w:szCs w:val="15"/>
                <w:color w:val="auto"/>
              </w:rPr>
              <w:t>68 %</w:t>
            </w:r>
          </w:p>
        </w:tc>
      </w:tr>
      <w:tr>
        <w:trPr>
          <w:trHeight w:val="201"/>
        </w:trPr>
        <w:tc>
          <w:tcPr>
            <w:tcW w:w="5280" w:type="dxa"/>
            <w:vAlign w:val="bottom"/>
          </w:tcPr>
          <w:p>
            <w:pPr>
              <w:ind w:left="20"/>
              <w:spacing w:after="0"/>
              <w:rPr>
                <w:sz w:val="20"/>
                <w:szCs w:val="20"/>
                <w:color w:val="auto"/>
              </w:rPr>
            </w:pPr>
            <w:r>
              <w:rPr>
                <w:rFonts w:ascii="Arial" w:cs="Arial" w:eastAsia="Arial" w:hAnsi="Arial"/>
                <w:sz w:val="15"/>
                <w:szCs w:val="15"/>
                <w:color w:val="auto"/>
              </w:rPr>
              <w:t>Cost of product revenue as a % of total cost of revenue</w:t>
            </w:r>
          </w:p>
        </w:tc>
        <w:tc>
          <w:tcPr>
            <w:tcW w:w="2060" w:type="dxa"/>
            <w:vAlign w:val="bottom"/>
          </w:tcPr>
          <w:p>
            <w:pPr>
              <w:jc w:val="right"/>
              <w:ind w:right="523"/>
              <w:spacing w:after="0"/>
              <w:rPr>
                <w:sz w:val="20"/>
                <w:szCs w:val="20"/>
                <w:color w:val="auto"/>
              </w:rPr>
            </w:pPr>
            <w:r>
              <w:rPr>
                <w:rFonts w:ascii="Arial" w:cs="Arial" w:eastAsia="Arial" w:hAnsi="Arial"/>
                <w:sz w:val="15"/>
                <w:szCs w:val="15"/>
                <w:color w:val="auto"/>
              </w:rPr>
              <w:t>55 %</w:t>
            </w:r>
          </w:p>
        </w:tc>
        <w:tc>
          <w:tcPr>
            <w:tcW w:w="3900" w:type="dxa"/>
            <w:vAlign w:val="bottom"/>
          </w:tcPr>
          <w:p>
            <w:pPr>
              <w:jc w:val="right"/>
              <w:ind w:right="2883"/>
              <w:spacing w:after="0"/>
              <w:rPr>
                <w:sz w:val="20"/>
                <w:szCs w:val="20"/>
                <w:color w:val="auto"/>
              </w:rPr>
            </w:pPr>
            <w:r>
              <w:rPr>
                <w:rFonts w:ascii="Arial" w:cs="Arial" w:eastAsia="Arial" w:hAnsi="Arial"/>
                <w:sz w:val="15"/>
                <w:szCs w:val="15"/>
                <w:color w:val="auto"/>
              </w:rPr>
              <w:t>32 %</w:t>
            </w:r>
          </w:p>
        </w:tc>
      </w:tr>
    </w:tbl>
    <w:p>
      <w:pPr>
        <w:spacing w:after="0" w:line="25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Total cost of revenue as a percentage of total revenue was 31% for the three months ended March 31, 2022, an increase of 200 basis points from 29% for the three months ended March 31, 2021. This decrease in gross profit margin was primarily attributable to the addition of our European operations beginning in October 2021, which is primarily product sales with lower profit gross margin compared to our consignment sales.</w:t>
      </w:r>
    </w:p>
    <w:p>
      <w:pPr>
        <w:spacing w:after="0" w:line="14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Consignment sales result in higher gross profit margin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Consignment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1640" w:type="dxa"/>
            <w:vAlign w:val="bottom"/>
            <w:gridSpan w:val="3"/>
            <w:vMerge w:val="restart"/>
          </w:tcPr>
          <w:p>
            <w:pPr>
              <w:ind w:left="900"/>
              <w:spacing w:after="0"/>
              <w:rPr>
                <w:sz w:val="20"/>
                <w:szCs w:val="20"/>
                <w:color w:val="auto"/>
              </w:rPr>
            </w:pPr>
            <w:r>
              <w:rPr>
                <w:rFonts w:ascii="Arial" w:cs="Arial" w:eastAsia="Arial" w:hAnsi="Arial"/>
                <w:sz w:val="15"/>
                <w:szCs w:val="15"/>
                <w:b w:val="1"/>
                <w:bCs w:val="1"/>
                <w:color w:val="auto"/>
              </w:rPr>
              <w:t>Change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623"/>
              <w:spacing w:after="0"/>
              <w:rPr>
                <w:sz w:val="20"/>
                <w:szCs w:val="20"/>
                <w:color w:val="auto"/>
              </w:rPr>
            </w:pPr>
            <w:r>
              <w:rPr>
                <w:rFonts w:ascii="Arial" w:cs="Arial" w:eastAsia="Arial" w:hAnsi="Arial"/>
                <w:sz w:val="15"/>
                <w:szCs w:val="15"/>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7"/>
          </w:tcPr>
          <w:p>
            <w:pPr>
              <w:ind w:left="120"/>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Cost of consignment revenue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10,049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10,832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Arial" w:cs="Arial" w:eastAsia="Arial" w:hAnsi="Arial"/>
                <w:sz w:val="15"/>
                <w:szCs w:val="15"/>
                <w:color w:val="auto"/>
              </w:rPr>
              <w:t>As a percent of consignment revenue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Consignment gross margin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$0.8 million decrease in cost of consignment revenue represents a 7% decrease in the cost of consignment revenue for the three months ended March 31, 2022 compared to the three months ended March 31, 2021.</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decrease in cost of consignment revenue for the three months ended March 31, 2022 was driven by the related costs outlined in the below table. Consignment gross margin increased 300 basis points to 79% for the three months ended March 31, 2022. Outbound shipping and packaging costs decreased mainly due to consolidation of our outbound shipping process across distribution centers.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1680" w:type="dxa"/>
            <w:vAlign w:val="bottom"/>
            <w:gridSpan w:val="3"/>
            <w:vMerge w:val="restart"/>
          </w:tcPr>
          <w:p>
            <w:pPr>
              <w:ind w:left="940"/>
              <w:spacing w:after="0"/>
              <w:rPr>
                <w:sz w:val="20"/>
                <w:szCs w:val="20"/>
                <w:color w:val="auto"/>
              </w:rPr>
            </w:pPr>
            <w:r>
              <w:rPr>
                <w:rFonts w:ascii="Arial" w:cs="Arial" w:eastAsia="Arial" w:hAnsi="Arial"/>
                <w:sz w:val="15"/>
                <w:szCs w:val="15"/>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5"/>
                <w:szCs w:val="15"/>
                <w:b w:val="1"/>
                <w:bCs w:val="1"/>
                <w:color w:val="auto"/>
              </w:rPr>
              <w:t>March 31,</w:t>
            </w:r>
          </w:p>
        </w:tc>
        <w:tc>
          <w:tcPr>
            <w:tcW w:w="24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5"/>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40" w:type="dxa"/>
            <w:vAlign w:val="bottom"/>
            <w:gridSpan w:val="6"/>
          </w:tcPr>
          <w:p>
            <w:pPr>
              <w:ind w:left="40"/>
              <w:spacing w:after="0"/>
              <w:rPr>
                <w:sz w:val="20"/>
                <w:szCs w:val="20"/>
                <w:color w:val="auto"/>
              </w:rPr>
            </w:pPr>
            <w:r>
              <w:rPr>
                <w:rFonts w:ascii="Arial" w:cs="Arial" w:eastAsia="Arial" w:hAnsi="Arial"/>
                <w:sz w:val="15"/>
                <w:szCs w:val="15"/>
                <w:b w:val="1"/>
                <w:bCs w:val="1"/>
                <w:color w:val="auto"/>
              </w:rPr>
              <w:t>(in thousands, except percentages)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Outbound shipping</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5"/>
                <w:szCs w:val="15"/>
                <w:color w:val="auto"/>
              </w:rPr>
              <w:t>Direct labor</w:t>
            </w:r>
          </w:p>
        </w:tc>
        <w:tc>
          <w:tcPr>
            <w:tcW w:w="30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2,459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1,865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594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Packaging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consignment revenue</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10,049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10,832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 Not meaningful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Product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5"/>
                <w:szCs w:val="15"/>
                <w:color w:val="auto"/>
              </w:rPr>
            </w:pPr>
          </w:p>
        </w:tc>
        <w:tc>
          <w:tcPr>
            <w:tcW w:w="1660" w:type="dxa"/>
            <w:vAlign w:val="bottom"/>
            <w:gridSpan w:val="3"/>
            <w:vMerge w:val="restart"/>
          </w:tcPr>
          <w:p>
            <w:pPr>
              <w:ind w:left="900"/>
              <w:spacing w:after="0"/>
              <w:rPr>
                <w:sz w:val="20"/>
                <w:szCs w:val="20"/>
                <w:color w:val="auto"/>
              </w:rPr>
            </w:pPr>
            <w:r>
              <w:rPr>
                <w:rFonts w:ascii="Arial" w:cs="Arial" w:eastAsia="Arial" w:hAnsi="Arial"/>
                <w:sz w:val="15"/>
                <w:szCs w:val="15"/>
                <w:b w:val="1"/>
                <w:bCs w:val="1"/>
                <w:color w:val="auto"/>
              </w:rPr>
              <w:t>Change</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623"/>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7"/>
          </w:tcPr>
          <w:p>
            <w:pPr>
              <w:ind w:left="180"/>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product revenue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12,418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As a percent of product revenue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gross margin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$7.3 million increase in cost of product revenue represents a 142% increase in the cost of product revenue for the three months ended March 31, 2022 compared to the three months ended March 31, 2021.</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increase in cost of product revenue for the three months ended March 31, 2022 was primarily driven by higher product revenue and related costs outlined in the below table. Product gross margin decreased 200 basis points to 51% for the three months ended March 31, 2022.</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cost of product revenue increased by 142%, which was higher than the increase in product revenue, as our European operations currently have higher inventory costs, resulting in a relatively lower gross margin profile. The increase in outbound shipping from the addition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9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was offset by a decrease in outbound shipping for our domestic operations relative to the growth in revenues. We expect the gross margin profiles for product revenue to converge in the long-term as we integrate our European operations.</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80" w:type="dxa"/>
            <w:vAlign w:val="bottom"/>
            <w:gridSpan w:val="6"/>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vMerge w:val="restart"/>
          </w:tcPr>
          <w:p>
            <w:pPr>
              <w:jc w:val="right"/>
              <w:ind w:right="783"/>
              <w:spacing w:after="0"/>
              <w:rPr>
                <w:sz w:val="20"/>
                <w:szCs w:val="20"/>
                <w:color w:val="auto"/>
              </w:rPr>
            </w:pPr>
            <w:r>
              <w:rPr>
                <w:rFonts w:ascii="Arial" w:cs="Arial" w:eastAsia="Arial" w:hAnsi="Arial"/>
                <w:sz w:val="15"/>
                <w:szCs w:val="15"/>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5"/>
                <w:szCs w:val="15"/>
                <w:b w:val="1"/>
                <w:bCs w:val="1"/>
                <w:color w:val="auto"/>
              </w:rPr>
              <w:t>March 31,</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Inventory costs</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6,006</w:t>
            </w:r>
          </w:p>
        </w:tc>
        <w:tc>
          <w:tcPr>
            <w:tcW w:w="144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213</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rPr>
                <w:sz w:val="20"/>
                <w:szCs w:val="20"/>
                <w:color w:val="auto"/>
              </w:rPr>
            </w:pPr>
            <w:r>
              <w:rPr>
                <w:rFonts w:ascii="Arial" w:cs="Arial" w:eastAsia="Arial" w:hAnsi="Arial"/>
                <w:sz w:val="15"/>
                <w:szCs w:val="15"/>
                <w:color w:val="auto"/>
              </w:rPr>
              <w:t>Outbound shipping</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2,420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1,708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712</w:t>
            </w:r>
          </w:p>
        </w:tc>
        <w:tc>
          <w:tcPr>
            <w:tcW w:w="1440" w:type="dxa"/>
            <w:vAlign w:val="bottom"/>
            <w:gridSpan w:val="3"/>
          </w:tcPr>
          <w:p>
            <w:pPr>
              <w:jc w:val="right"/>
              <w:ind w:right="103"/>
              <w:spacing w:after="0"/>
              <w:rPr>
                <w:sz w:val="20"/>
                <w:szCs w:val="20"/>
                <w:color w:val="auto"/>
              </w:rPr>
            </w:pPr>
            <w:r>
              <w:rPr>
                <w:rFonts w:ascii="Arial" w:cs="Arial" w:eastAsia="Arial" w:hAnsi="Arial"/>
                <w:sz w:val="15"/>
                <w:szCs w:val="15"/>
                <w:color w:val="auto"/>
              </w:rPr>
              <w:t>42</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Direct labor</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4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126</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Packaging</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Total cost of product revenue</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7,288</w:t>
            </w:r>
          </w:p>
        </w:tc>
        <w:tc>
          <w:tcPr>
            <w:tcW w:w="1440" w:type="dxa"/>
            <w:vAlign w:val="bottom"/>
            <w:gridSpan w:val="3"/>
            <w:shd w:val="clear" w:color="auto" w:fill="CCEEFF"/>
          </w:tcPr>
          <w:p>
            <w:pPr>
              <w:jc w:val="right"/>
              <w:ind w:right="103"/>
              <w:spacing w:after="0"/>
              <w:rPr>
                <w:sz w:val="20"/>
                <w:szCs w:val="20"/>
                <w:color w:val="auto"/>
              </w:rPr>
            </w:pPr>
            <w:r>
              <w:rPr>
                <w:rFonts w:ascii="Arial" w:cs="Arial" w:eastAsia="Arial" w:hAnsi="Arial"/>
                <w:sz w:val="15"/>
                <w:szCs w:val="15"/>
                <w:color w:val="auto"/>
              </w:rPr>
              <w:t>142</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1640" w:type="dxa"/>
            <w:vAlign w:val="bottom"/>
            <w:gridSpan w:val="3"/>
            <w:vMerge w:val="restart"/>
          </w:tcPr>
          <w:p>
            <w:pPr>
              <w:ind w:left="900"/>
              <w:spacing w:after="0"/>
              <w:rPr>
                <w:sz w:val="20"/>
                <w:szCs w:val="20"/>
                <w:color w:val="auto"/>
              </w:rPr>
            </w:pPr>
            <w:r>
              <w:rPr>
                <w:rFonts w:ascii="Arial" w:cs="Arial" w:eastAsia="Arial" w:hAnsi="Arial"/>
                <w:sz w:val="15"/>
                <w:szCs w:val="15"/>
                <w:b w:val="1"/>
                <w:bCs w:val="1"/>
                <w:color w:val="auto"/>
              </w:rPr>
              <w:t>Change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5"/>
                <w:szCs w:val="15"/>
                <w:b w:val="1"/>
                <w:bCs w:val="1"/>
                <w:color w:val="auto"/>
              </w:rPr>
              <w:t>March 31,</w:t>
            </w:r>
          </w:p>
        </w:tc>
        <w:tc>
          <w:tcPr>
            <w:tcW w:w="24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6"/>
          </w:tcPr>
          <w:p>
            <w:pPr>
              <w:ind w:left="40"/>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product and technology</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39,161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Marketing</w:t>
            </w: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16,978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15,446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general and administrative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14,664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10,638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70,803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54,396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47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5"/>
                <w:szCs w:val="15"/>
                <w:color w:val="auto"/>
              </w:rPr>
              <w:t>Operations, product and technology as a % of total revenue</w:t>
            </w:r>
          </w:p>
        </w:tc>
        <w:tc>
          <w:tcPr>
            <w:tcW w:w="2060" w:type="dxa"/>
            <w:vAlign w:val="bottom"/>
          </w:tcPr>
          <w:p>
            <w:pPr>
              <w:jc w:val="right"/>
              <w:ind w:right="523"/>
              <w:spacing w:after="0"/>
              <w:rPr>
                <w:sz w:val="20"/>
                <w:szCs w:val="20"/>
                <w:color w:val="auto"/>
              </w:rPr>
            </w:pPr>
            <w:r>
              <w:rPr>
                <w:rFonts w:ascii="Arial" w:cs="Arial" w:eastAsia="Arial" w:hAnsi="Arial"/>
                <w:sz w:val="15"/>
                <w:szCs w:val="15"/>
                <w:color w:val="auto"/>
              </w:rPr>
              <w:t>54 %</w:t>
            </w:r>
          </w:p>
        </w:tc>
        <w:tc>
          <w:tcPr>
            <w:tcW w:w="3980" w:type="dxa"/>
            <w:vAlign w:val="bottom"/>
          </w:tcPr>
          <w:p>
            <w:pPr>
              <w:jc w:val="right"/>
              <w:ind w:right="2943"/>
              <w:spacing w:after="0"/>
              <w:rPr>
                <w:sz w:val="20"/>
                <w:szCs w:val="20"/>
                <w:color w:val="auto"/>
              </w:rPr>
            </w:pPr>
            <w:r>
              <w:rPr>
                <w:rFonts w:ascii="Arial" w:cs="Arial" w:eastAsia="Arial" w:hAnsi="Arial"/>
                <w:sz w:val="15"/>
                <w:szCs w:val="15"/>
                <w:color w:val="auto"/>
              </w:rPr>
              <w:t>51 %</w:t>
            </w:r>
          </w:p>
        </w:tc>
      </w:tr>
      <w:tr>
        <w:trPr>
          <w:trHeight w:val="209"/>
        </w:trPr>
        <w:tc>
          <w:tcPr>
            <w:tcW w:w="5200" w:type="dxa"/>
            <w:vAlign w:val="bottom"/>
          </w:tcPr>
          <w:p>
            <w:pPr>
              <w:ind w:left="20"/>
              <w:spacing w:after="0"/>
              <w:rPr>
                <w:sz w:val="20"/>
                <w:szCs w:val="20"/>
                <w:color w:val="auto"/>
              </w:rPr>
            </w:pPr>
            <w:r>
              <w:rPr>
                <w:rFonts w:ascii="Arial" w:cs="Arial" w:eastAsia="Arial" w:hAnsi="Arial"/>
                <w:sz w:val="15"/>
                <w:szCs w:val="15"/>
                <w:color w:val="auto"/>
              </w:rPr>
              <w:t>Marketing as a % of total revenue</w:t>
            </w:r>
          </w:p>
        </w:tc>
        <w:tc>
          <w:tcPr>
            <w:tcW w:w="2060" w:type="dxa"/>
            <w:vAlign w:val="bottom"/>
          </w:tcPr>
          <w:p>
            <w:pPr>
              <w:jc w:val="right"/>
              <w:ind w:right="523"/>
              <w:spacing w:after="0"/>
              <w:rPr>
                <w:sz w:val="20"/>
                <w:szCs w:val="20"/>
                <w:color w:val="auto"/>
              </w:rPr>
            </w:pPr>
            <w:r>
              <w:rPr>
                <w:rFonts w:ascii="Arial" w:cs="Arial" w:eastAsia="Arial" w:hAnsi="Arial"/>
                <w:sz w:val="15"/>
                <w:szCs w:val="15"/>
                <w:color w:val="auto"/>
              </w:rPr>
              <w:t>23 %</w:t>
            </w:r>
          </w:p>
        </w:tc>
        <w:tc>
          <w:tcPr>
            <w:tcW w:w="3980" w:type="dxa"/>
            <w:vAlign w:val="bottom"/>
          </w:tcPr>
          <w:p>
            <w:pPr>
              <w:jc w:val="right"/>
              <w:ind w:right="2943"/>
              <w:spacing w:after="0"/>
              <w:rPr>
                <w:sz w:val="20"/>
                <w:szCs w:val="20"/>
                <w:color w:val="auto"/>
              </w:rPr>
            </w:pPr>
            <w:r>
              <w:rPr>
                <w:rFonts w:ascii="Arial" w:cs="Arial" w:eastAsia="Arial" w:hAnsi="Arial"/>
                <w:sz w:val="15"/>
                <w:szCs w:val="15"/>
                <w:color w:val="auto"/>
              </w:rPr>
              <w:t>28 %</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general and administrative as a % of total revenue</w:t>
            </w:r>
          </w:p>
        </w:tc>
        <w:tc>
          <w:tcPr>
            <w:tcW w:w="206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rPr>
              <w:t>20 %</w:t>
            </w:r>
          </w:p>
        </w:tc>
        <w:tc>
          <w:tcPr>
            <w:tcW w:w="3980" w:type="dxa"/>
            <w:vAlign w:val="bottom"/>
            <w:shd w:val="clear" w:color="auto" w:fill="CCEEFF"/>
          </w:tcPr>
          <w:p>
            <w:pPr>
              <w:jc w:val="right"/>
              <w:ind w:right="2943"/>
              <w:spacing w:after="0"/>
              <w:rPr>
                <w:sz w:val="20"/>
                <w:szCs w:val="20"/>
                <w:color w:val="auto"/>
              </w:rPr>
            </w:pPr>
            <w:r>
              <w:rPr>
                <w:rFonts w:ascii="Arial" w:cs="Arial" w:eastAsia="Arial" w:hAnsi="Arial"/>
                <w:sz w:val="15"/>
                <w:szCs w:val="15"/>
                <w:color w:val="auto"/>
              </w:rPr>
              <w:t>19 %</w:t>
            </w:r>
          </w:p>
        </w:tc>
      </w:tr>
    </w:tbl>
    <w:p>
      <w:pPr>
        <w:spacing w:after="0" w:line="231"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Operating expenses increased $16.4 million, or 30%, for the three months ended March 31, 2022 compared to the three months ended March 31, 2021. Gross profit increased $10.5 million, or 26%, in the same period.</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Operating expenses increased as we continue to invest in the expansion of distribution center processing capacity, marketing efforts, infrastructure to support being a public company and expansion into Europe.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Operations, Product and Technology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36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4"/>
                <w:szCs w:val="14"/>
                <w:color w:val="auto"/>
              </w:rPr>
            </w:pPr>
          </w:p>
        </w:tc>
        <w:tc>
          <w:tcPr>
            <w:tcW w:w="1560" w:type="dxa"/>
            <w:vAlign w:val="bottom"/>
            <w:gridSpan w:val="3"/>
            <w:vMerge w:val="restart"/>
          </w:tcPr>
          <w:p>
            <w:pPr>
              <w:ind w:left="84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4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7"/>
          </w:tcPr>
          <w:p>
            <w:pPr>
              <w:ind w:left="100"/>
              <w:spacing w:after="0"/>
              <w:rPr>
                <w:sz w:val="20"/>
                <w:szCs w:val="20"/>
                <w:color w:val="auto"/>
              </w:rPr>
            </w:pPr>
            <w:r>
              <w:rPr>
                <w:rFonts w:ascii="Arial" w:cs="Arial" w:eastAsia="Arial" w:hAnsi="Arial"/>
                <w:sz w:val="15"/>
                <w:szCs w:val="15"/>
                <w:b w:val="1"/>
                <w:bCs w:val="1"/>
                <w:color w:val="auto"/>
              </w:rPr>
              <w:t>(in thousands, except percentages)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25,494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18,679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Facilities and other allocated costs</w:t>
            </w:r>
          </w:p>
        </w:tc>
        <w:tc>
          <w:tcPr>
            <w:tcW w:w="300" w:type="dxa"/>
            <w:vAlign w:val="bottom"/>
          </w:tcPr>
          <w:p>
            <w:pPr>
              <w:spacing w:after="0"/>
              <w:rPr>
                <w:sz w:val="17"/>
                <w:szCs w:val="17"/>
                <w:color w:val="auto"/>
              </w:rPr>
            </w:pP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8,330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6,020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Inbound shipping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461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695 %</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operations, product and technology expenses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39,161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28,312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10,849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Operations, product and technology as % of total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54 %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Personnel-related costs were $25.5 million for the three months ended March 31, 2022, which increased by 36% from $18.7 million for the three months ended March 31, 2021, driven by a 45% increase in the average U.S. headcount mostly from distribution and processing centers and the inclusion of employees from the Remix acquisition.</w:t>
      </w:r>
    </w:p>
    <w:p>
      <w:pPr>
        <w:spacing w:after="0" w:line="14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Facilities and other allocated costs were $8.3 million for the three months ended March 31, 2022, which increased by 38% from $6.0 million for the three months ended March 31, 2021, driven by increases of $0.5 million in Software-as-a-service subscriptions and hosting, $0.7 million in supplies and third party logistics related to new distribution and processing centers and clean out bag storage, $0.6 million in warehouse rent related primarily to new processing and distribution centers and $0.4 million in depreciation.</w:t>
      </w:r>
    </w:p>
    <w:p>
      <w:pPr>
        <w:spacing w:after="0" w:line="14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Inbound shipping costs were $4.9 million for the three months ended March 31, 2022, which increased by 37% from $3.6 million for the three months ended March 31, 2021, driven by increases of $0.8 million in returns and intra-company shipments and $0.5 million in the Clean Out Kits from sellers.</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Marketing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5"/>
                <w:szCs w:val="15"/>
                <w:color w:val="auto"/>
              </w:rPr>
            </w:pPr>
          </w:p>
        </w:tc>
        <w:tc>
          <w:tcPr>
            <w:tcW w:w="1520" w:type="dxa"/>
            <w:vAlign w:val="bottom"/>
            <w:gridSpan w:val="3"/>
            <w:vMerge w:val="restart"/>
          </w:tcPr>
          <w:p>
            <w:pPr>
              <w:ind w:left="80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40" w:type="dxa"/>
            <w:vAlign w:val="bottom"/>
            <w:gridSpan w:val="7"/>
          </w:tcPr>
          <w:p>
            <w:pPr>
              <w:ind w:left="20"/>
              <w:spacing w:after="0"/>
              <w:rPr>
                <w:sz w:val="20"/>
                <w:szCs w:val="20"/>
                <w:color w:val="auto"/>
              </w:rPr>
            </w:pPr>
            <w:r>
              <w:rPr>
                <w:rFonts w:ascii="Arial" w:cs="Arial" w:eastAsia="Arial" w:hAnsi="Arial"/>
                <w:sz w:val="15"/>
                <w:szCs w:val="15"/>
                <w:b w:val="1"/>
                <w:bCs w:val="1"/>
                <w:color w:val="auto"/>
              </w:rPr>
              <w:t>(in thousands, except percentages)</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 and advertising costs</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13,927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5"/>
                <w:szCs w:val="15"/>
                <w:color w:val="auto"/>
              </w:rPr>
              <w:t>Personnel-related costs</w:t>
            </w:r>
          </w:p>
        </w:tc>
        <w:tc>
          <w:tcPr>
            <w:tcW w:w="300" w:type="dxa"/>
            <w:vAlign w:val="bottom"/>
          </w:tcPr>
          <w:p>
            <w:pPr>
              <w:spacing w:after="0"/>
              <w:rPr>
                <w:sz w:val="17"/>
                <w:szCs w:val="17"/>
                <w:color w:val="auto"/>
              </w:rPr>
            </w:pPr>
          </w:p>
        </w:tc>
        <w:tc>
          <w:tcPr>
            <w:tcW w:w="1040" w:type="dxa"/>
            <w:vAlign w:val="bottom"/>
          </w:tcPr>
          <w:p>
            <w:pPr>
              <w:jc w:val="right"/>
              <w:ind w:right="123"/>
              <w:spacing w:after="0"/>
              <w:rPr>
                <w:sz w:val="20"/>
                <w:szCs w:val="20"/>
                <w:color w:val="auto"/>
              </w:rPr>
            </w:pPr>
            <w:r>
              <w:rPr>
                <w:rFonts w:ascii="Arial" w:cs="Arial" w:eastAsia="Arial" w:hAnsi="Arial"/>
                <w:sz w:val="15"/>
                <w:szCs w:val="15"/>
                <w:color w:val="auto"/>
              </w:rPr>
              <w:t>2,075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1,684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Facilities and technology allocated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5"/>
                <w:szCs w:val="15"/>
                <w:color w:val="auto"/>
              </w:rPr>
              <w:t>Professional Services</w:t>
            </w:r>
          </w:p>
        </w:tc>
        <w:tc>
          <w:tcPr>
            <w:tcW w:w="300" w:type="dxa"/>
            <w:vAlign w:val="bottom"/>
          </w:tcPr>
          <w:p>
            <w:pPr>
              <w:spacing w:after="0"/>
              <w:rPr>
                <w:sz w:val="17"/>
                <w:szCs w:val="17"/>
                <w:color w:val="auto"/>
              </w:rPr>
            </w:pPr>
          </w:p>
        </w:tc>
        <w:tc>
          <w:tcPr>
            <w:tcW w:w="1040" w:type="dxa"/>
            <w:vAlign w:val="bottom"/>
          </w:tcPr>
          <w:p>
            <w:pPr>
              <w:jc w:val="right"/>
              <w:ind w:right="123"/>
              <w:spacing w:after="0"/>
              <w:rPr>
                <w:sz w:val="20"/>
                <w:szCs w:val="20"/>
                <w:color w:val="auto"/>
              </w:rPr>
            </w:pPr>
            <w:r>
              <w:rPr>
                <w:rFonts w:ascii="Arial" w:cs="Arial" w:eastAsia="Arial" w:hAnsi="Arial"/>
                <w:sz w:val="15"/>
                <w:szCs w:val="15"/>
                <w:color w:val="auto"/>
              </w:rPr>
              <w:t>267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184 %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341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5"/>
                <w:szCs w:val="15"/>
                <w:color w:val="auto"/>
              </w:rPr>
              <w:t>Total marketing expense</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16,978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15,446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Marketing as % of total revenue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Marketing costs increased 10% for the three months ended March 31, 2022 compared to 26% gross profit growth. Marketing and advertising costs were $13.9 million for the three months ended March 31, 2022, which increased by 5% from $13.2 million for the three months ended March 31, 2021. Increase in marketing and advertising costs was driven by increases of $1.4 million in organic and acquisition marketing and advertising, offset by a decrease of $0.7 million from the discontinuance of our Goody Box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Personnel-related costs were $2.1 million for the three months ended March 31, 2022, which increased by 23% from $1.7 million for the three months ended March 31, 2021. This increase was primarily due to 23% growth in the average U.S. based headcount and additional marketing employees from the acquisition of Remix.</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Sales, 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4"/>
                <w:szCs w:val="14"/>
                <w:color w:val="auto"/>
              </w:rPr>
            </w:pPr>
          </w:p>
        </w:tc>
        <w:tc>
          <w:tcPr>
            <w:tcW w:w="1600" w:type="dxa"/>
            <w:vAlign w:val="bottom"/>
            <w:gridSpan w:val="3"/>
            <w:vMerge w:val="restart"/>
          </w:tcPr>
          <w:p>
            <w:pPr>
              <w:ind w:left="86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7"/>
          </w:tcPr>
          <w:p>
            <w:pPr>
              <w:ind w:left="120"/>
              <w:spacing w:after="0"/>
              <w:rPr>
                <w:sz w:val="20"/>
                <w:szCs w:val="20"/>
                <w:color w:val="auto"/>
              </w:rPr>
            </w:pPr>
            <w:r>
              <w:rPr>
                <w:rFonts w:ascii="Arial" w:cs="Arial" w:eastAsia="Arial" w:hAnsi="Arial"/>
                <w:sz w:val="15"/>
                <w:szCs w:val="15"/>
                <w:b w:val="1"/>
                <w:bCs w:val="1"/>
                <w:color w:val="auto"/>
              </w:rPr>
              <w:t>(in thousands, except percentages)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7,372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Arial" w:cs="Arial" w:eastAsia="Arial" w:hAnsi="Arial"/>
                <w:sz w:val="15"/>
                <w:szCs w:val="15"/>
                <w:color w:val="auto"/>
              </w:rPr>
              <w:t>Professional services</w:t>
            </w:r>
          </w:p>
        </w:tc>
        <w:tc>
          <w:tcPr>
            <w:tcW w:w="300" w:type="dxa"/>
            <w:vAlign w:val="bottom"/>
          </w:tcPr>
          <w:p>
            <w:pPr>
              <w:spacing w:after="0"/>
              <w:rPr>
                <w:sz w:val="17"/>
                <w:szCs w:val="17"/>
                <w:color w:val="auto"/>
              </w:rPr>
            </w:pP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2,506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1,835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671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processing fees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2,217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2,569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1,470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1,099</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75 %</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sales, general and administrative costs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14,664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10,638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4,026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Sales, general and administrative as % of total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Sales, general and administrative expense increased 38% for the three months ended March 31, 2022, compared to 26% gross profit growth. This increase was mainly the result of investments, primarily in personnel and professional services costs, made towards scaling our business and improving our processes as we became a public company.</w:t>
      </w:r>
    </w:p>
    <w:p>
      <w:pPr>
        <w:spacing w:after="0" w:line="141"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Personnel-related costs were $7.4 million for the three months ended March 31, 2022, which increased from $5.5 million for the three months ended March 31, 2021, driven by a headcount increase of 25% in U.S. operations and the inclusion of employees from the Remix acquisition.</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Professional services costs were $2.5 million for the three months ended March 31, 2022, which increased 37% from $1.8 million compared to the three months ended March 31, 2021 due to an increase of $0.7 million in legal and accounting services.</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Payment processing fees were $2.2 million for the three months ended March 31, 2022, which increased 23% from $1.8 million for the three months ended March 31, 2021. The increase was mainly due to the 31% increase in overall sales partially offset by lower payment processing rate in our European operations.</w:t>
      </w:r>
    </w:p>
    <w:p>
      <w:pPr>
        <w:spacing w:after="0" w:line="141"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Other expenses were $2.6 million for the three months ended March 31, 2022, an increase of 75% from $1.5 million for the three months ended March 31, 2021, driven by primarily higher insurance premiums associated with our public company status.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As of March 31, 2022, we had cash, cash equivalents and short-term marketable securities of $183.8 million and an accumulated deficit of $336.1 million. As of December 31, 2021, we had cash, cash equivalents and short-term marketable securities of $205.8 million and an accumulated deficit of $315.3 million. We have generated negative cash flows from operations and have primarily financed our operations through private and public sales of equity securities and debt. Additionally, we currently have a term loan facility with Western Alliance Bank for which we have drawn $40.0 million and repaid $6.0 million. In March 2021, we completed our IPO for aggregate net proceeds of $175.5 million, after deducting offering costs, underwriter discounts and commissions of $17.7 million. In August 2021, we completed our follow-on public offering and sold an aggregate of two million shares. The aggregate net proceeds were $45.5 million after deducting $3.3 million of underwriter discounts and commissions and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processing center and distribution center spend, product and technology expenses, marketing expenses, personnel expenses and other expenditures necessary to support our operations and our growth. Additionally, our primary capital expenditures are related to the set-up, expansion and/or automation of our processing centers and distribution centers. Based upon our current operating plans, we believe that our existing cash, cash equivalents and short-term marketable securities will be sufficient to meet our short-term and long-term capital requirements. Our forecast of the period of time through which our financial resources will be adequate to support our operations is a forward-looking statement that involves risks and uncertainties, and actual results could vary materially.</w:t>
      </w:r>
    </w:p>
    <w:p>
      <w:pPr>
        <w:spacing w:after="0" w:line="14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8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Cash Flows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1"/>
        </w:trPr>
        <w:tc>
          <w:tcPr>
            <w:tcW w:w="8080" w:type="dxa"/>
            <w:vAlign w:val="bottom"/>
          </w:tcPr>
          <w:p>
            <w:pPr>
              <w:ind w:left="320"/>
              <w:spacing w:after="0"/>
              <w:rPr>
                <w:sz w:val="20"/>
                <w:szCs w:val="20"/>
                <w:color w:val="auto"/>
              </w:rPr>
            </w:pPr>
            <w:r>
              <w:rPr>
                <w:rFonts w:ascii="Arial" w:cs="Arial" w:eastAsia="Arial" w:hAnsi="Arial"/>
                <w:sz w:val="17"/>
                <w:szCs w:val="17"/>
                <w:color w:val="auto"/>
              </w:rPr>
              <w:t>The following table summarizes our cash flows for the periods indicated.</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0"/>
        </w:trPr>
        <w:tc>
          <w:tcPr>
            <w:tcW w:w="8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center"/>
              <w:ind w:right="294"/>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8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r>
      <w:tr>
        <w:trPr>
          <w:trHeight w:val="289"/>
        </w:trPr>
        <w:tc>
          <w:tcPr>
            <w:tcW w:w="8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center"/>
              <w:ind w:left="494"/>
              <w:spacing w:after="0"/>
              <w:rPr>
                <w:sz w:val="20"/>
                <w:szCs w:val="20"/>
                <w:color w:val="auto"/>
              </w:rPr>
            </w:pPr>
            <w:r>
              <w:rPr>
                <w:rFonts w:ascii="Arial" w:cs="Arial" w:eastAsia="Arial" w:hAnsi="Arial"/>
                <w:sz w:val="17"/>
                <w:szCs w:val="17"/>
                <w:b w:val="1"/>
                <w:bCs w:val="1"/>
                <w:color w:val="auto"/>
              </w:rPr>
              <w:t>(in thousands)</w:t>
            </w:r>
          </w:p>
        </w:tc>
        <w:tc>
          <w:tcPr>
            <w:tcW w:w="940" w:type="dxa"/>
            <w:vAlign w:val="bottom"/>
          </w:tcPr>
          <w:p>
            <w:pPr>
              <w:spacing w:after="0"/>
              <w:rPr>
                <w:sz w:val="24"/>
                <w:szCs w:val="24"/>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808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(6,679)</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20"/>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w:t>
            </w:r>
          </w:p>
        </w:tc>
      </w:tr>
      <w:tr>
        <w:trPr>
          <w:trHeight w:val="218"/>
        </w:trPr>
        <w:tc>
          <w:tcPr>
            <w:tcW w:w="808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185,051</w:t>
            </w:r>
          </w:p>
        </w:tc>
      </w:tr>
      <w:tr>
        <w:trPr>
          <w:trHeight w:val="219"/>
        </w:trPr>
        <w:tc>
          <w:tcPr>
            <w:tcW w:w="8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182,029</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Changes in Cash Flow from Operating Activities</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For the three months ended March 31, 2022, net cash used in operating activities was $6.7 million, which consisted of a net loss of $20.7 million, partially offset by non-cash charges of $8.7 million and $5.4 million of net cash generated from changes in our operating assets and liabilities. The increase in operating assets and liabilities was primarily due to a $4.9 million increase in accrued and other current liabilities, primarily resulting from an increase in allowance for returns and accrued vendor liabilities due to higher operating expenses as we grow our business, and a $4.3 million cash inflow from changes in accounts receivable, accounts payable and seller payable due to the timing of payments. These changes were partially offset by increased inventory of $2.3 million to support business growth and a $2.2 million increase in other current and non-current assets resulting from an increase in contract assets and security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9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For the three months ended March 31, 2021, net cash provided by operating activities was $1.1 million, which consisted of non-cash charges of $7.9 million and net cash of $9.3 million generated from changes in operating assets and liabilities, partially offset by a net loss of $16.2 million. The increase in operating assets and liabilities was primarily due to a $4.8 million increase in accrued and other current liabilities, a $4.7 million increase in accounts payable due to the timing of payments and increased operating expenses as we grow our business, and a $1.5 million increase in seller payable due to the timing of payments, partially offset by a reduction in operating lease liabilities of $1.3 million.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Changes in Cash Flow from Investing Activities</w:t>
      </w:r>
    </w:p>
    <w:p>
      <w:pPr>
        <w:spacing w:after="0" w:line="18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For the three months ended March 31, 2022, net cash used in investing activities was $7.9 million, which was driven by $12.6 million of capital expenditures primarily for our new distribution centers, partially offset by $4.7 million maturities of marketable securities.</w:t>
      </w:r>
    </w:p>
    <w:p>
      <w:pPr>
        <w:spacing w:after="0" w:line="136"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For the three months ended March 31, 2021, net cash used in investing activities was $4.1 million, which is attributable to purchases of property and equipment, primarily for automation assets for the distribution center in Georgia.</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Changes in Cash Flow from Financing Activities</w:t>
      </w:r>
    </w:p>
    <w:p>
      <w:pPr>
        <w:spacing w:after="0" w:line="185"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For the three months ended March 31, 2022, net cash used in financing activities was $1.2 million, which consisted mainly of $2.0 million in debt repayment, partially offset by $0.8 million in proceeds from the exercise of common stock options.</w:t>
      </w:r>
    </w:p>
    <w:p>
      <w:pPr>
        <w:spacing w:after="0" w:line="13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the three months ended March 31, 2021, net cash provided by financing activities was $185.1 million, which consisted mainly of $180.3 million in proceeds from the sale of Class A common stock in the IPO, net of underwriting discounts and commissions, $4.6 million in debt financing proceeds and $1.9 million in proceeds from the exercise of common stock options, partially offset by $1.7 million in public offering costs for the IPO.</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condensed consolidated financial statements requires us to make judgments and estimates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There have been no significant changes to our critical accounting policies since December 31, 2021. For a description of critical accounting policies that affect our significant judgments and estimates used in the preparation of our unaudited condensed consolidated financial statements, refer to the section titled “Management’s Discussion and Analysis of Financial Condition and Results of Operations” included in our Annual Report on Form 10-K filed with the SEC on March 22, 2022.</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information on recently issued accounting pronouncements, refer to Note 2 titled “Significant Accounting Policies” to our unaudited condensed consolidated financial statements included in Part 1,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73" w:lineRule="exact"/>
        <w:rPr>
          <w:sz w:val="20"/>
          <w:szCs w:val="20"/>
          <w:color w:val="auto"/>
        </w:rPr>
      </w:pPr>
    </w:p>
    <w:p>
      <w:pPr>
        <w:jc w:val="both"/>
        <w:ind w:firstLine="309"/>
        <w:spacing w:after="0" w:line="227"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8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As of March 31, 2022, we had unrestricted cash and cash equivalents of $68.6 million and marketable securities of $115.2 million, consisting primarily of money market funds, corporate debt securities, commercial paper, U.S. treasury securities and U.S. government agency bonds,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to intermediate term nature of our investments, we have not been exposed to, nor do we anticipate being exposed to, material risks due to changes in interest rates. Fluctuations in interest rates have not been significant to date.</w:t>
      </w:r>
    </w:p>
    <w:p>
      <w:pPr>
        <w:spacing w:after="0" w:line="14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Interest rates under our loan and security agreement with Western Alliance Bank are tied to the prime rate with a floor of 5.50% and therefore carry interest rate risk. As of March 31, 2022, we had borrowed $40.0 million under our loan and security agreement, with $34.0 million principal outstanding as of such date, at an interest rate of 5.50%. Fluctuations in interest rates have not been significant to date.</w:t>
      </w:r>
    </w:p>
    <w:p>
      <w:pPr>
        <w:spacing w:after="0" w:line="141"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A hypothetical 100 basis point change in interest rates would not have a material impact on our financial condition or results of operations for the periods presented.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Inflation Risk</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recent months, inflation has increased significantly in the United States and overseas where we conduct our business, resulting in rising interest rates, fuel, wages, freight and other costs. We do not believe that inflation has had a material effect on our business, financial condition, or results of operations to date. However, these increases could negatively impact our business by driving up our operating and borrowing costs. In addition, the effect of inflation on consumers’ budgets could result in a decrease in our customers’ spending. If we are unable to increase our prices to sufficiently offset the rising costs of doing business, our profitability and financial position could be adversely impacted.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transact business in Europe through Remix in multiple currencies. As a result, our operating results, cash flows, and net investment in Remix, are subject to fluctuations due to changes in foreign currency exchange rates. As of March 31, 2022, our most significant currency exposure was Bulgarian lev (BGN). We manage our foreign currency exchange rate risks through natural hedge including foreign currency revenue and costs matching, as well as foreign currency assets offsetting liabilities. We have not entered into any hedging arrangements with respect to foreign currency risk, but we may do so in the future if our exposure to foreign currency become more significant.</w:t>
      </w:r>
    </w:p>
    <w:p>
      <w:pPr>
        <w:spacing w:after="0" w:line="22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are reflected as a foreign currency translation adjustment of $0.7 million for the three months ended March 31, 2022 in accumulated other comprehensive loss.</w:t>
      </w:r>
    </w:p>
    <w:p>
      <w:pPr>
        <w:spacing w:after="0" w:line="218"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A hypothetical 10% change in foreign currency exchange rates would not have had a material impact on our financial condition or results of operations during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5" w:lineRule="exact"/>
        <w:rPr>
          <w:sz w:val="20"/>
          <w:szCs w:val="20"/>
          <w:color w:val="auto"/>
        </w:rPr>
      </w:pPr>
    </w:p>
    <w:p>
      <w:pPr>
        <w:jc w:val="both"/>
        <w:ind w:firstLine="309"/>
        <w:spacing w:after="0" w:line="254"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49"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March 31, 2022,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Previously Reported Material Weaknesses in Internal Control Over Financial Reporting</w:t>
      </w:r>
    </w:p>
    <w:p>
      <w:pPr>
        <w:spacing w:after="0" w:line="18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As previously disclosed in our Annual Report on Form 10-K filed with the SEC on March 22, 2022, in connection with the audit of our financial statements for the fiscal years ended December 31, 2021,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material weakness related to the following control deficiencies: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3"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92" w:lineRule="exact"/>
        <w:rPr>
          <w:sz w:val="20"/>
          <w:szCs w:val="20"/>
          <w:color w:val="auto"/>
        </w:rPr>
      </w:pPr>
    </w:p>
    <w:p>
      <w:pPr>
        <w:ind w:right="2020"/>
        <w:spacing w:after="0" w:line="443" w:lineRule="auto"/>
        <w:rPr>
          <w:sz w:val="20"/>
          <w:szCs w:val="20"/>
          <w:color w:val="auto"/>
        </w:rPr>
      </w:pPr>
      <w:r>
        <w:rPr>
          <w:rFonts w:ascii="Arial" w:cs="Arial" w:eastAsia="Arial" w:hAnsi="Arial"/>
          <w:sz w:val="17"/>
          <w:szCs w:val="17"/>
          <w:color w:val="auto"/>
        </w:rPr>
        <w:t xml:space="preserve">be prevented or detected, and, accordingly, we determined that these control deficiencies constitute a material weakness. </w:t>
      </w:r>
      <w:r>
        <w:rPr>
          <w:rFonts w:ascii="Arial" w:cs="Arial" w:eastAsia="Arial" w:hAnsi="Arial"/>
          <w:sz w:val="17"/>
          <w:szCs w:val="17"/>
          <w:b w:val="1"/>
          <w:bCs w:val="1"/>
          <w:color w:val="auto"/>
        </w:rPr>
        <w:t>Remediation Plans</w:t>
      </w:r>
    </w:p>
    <w:p>
      <w:pPr>
        <w:jc w:val="both"/>
        <w:ind w:firstLine="309"/>
        <w:spacing w:after="0" w:line="256" w:lineRule="auto"/>
        <w:rPr>
          <w:sz w:val="20"/>
          <w:szCs w:val="20"/>
          <w:color w:val="auto"/>
        </w:rPr>
      </w:pPr>
      <w:r>
        <w:rPr>
          <w:rFonts w:ascii="Arial" w:cs="Arial" w:eastAsia="Arial" w:hAnsi="Arial"/>
          <w:sz w:val="17"/>
          <w:szCs w:val="17"/>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5" w:lineRule="exact"/>
        <w:rPr>
          <w:sz w:val="20"/>
          <w:szCs w:val="20"/>
          <w:color w:val="auto"/>
        </w:rPr>
      </w:pPr>
    </w:p>
    <w:p>
      <w:pPr>
        <w:jc w:val="both"/>
        <w:ind w:firstLine="309"/>
        <w:spacing w:after="0" w:line="239" w:lineRule="auto"/>
        <w:rPr>
          <w:sz w:val="20"/>
          <w:szCs w:val="20"/>
          <w:color w:val="auto"/>
        </w:rPr>
      </w:pPr>
      <w:r>
        <w:rPr>
          <w:rFonts w:ascii="Arial" w:cs="Arial" w:eastAsia="Arial" w:hAnsi="Arial"/>
          <w:sz w:val="17"/>
          <w:szCs w:val="17"/>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 13a-15(f) under the Exchange Act) during our most recent fiscal quarter that has materially affected, or is reasonably likely to materially affect, our internal control over financial reporting. We have not experienced any material impact to our internal controls over financial reporting despite our employees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5"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We are not a party to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18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Risks affecting our business are discussed in the section titled “Risk Factors” in Part I, Item 1A of our Annual Report on Form 10-K for the fiscal year ended December 31, 2021 filed with the SEC on March 22, 2022 (our “Fiscal 2021 10-K”). There have been no material changes to our risk factors as previously disclosed in our Fiscal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7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our Public Offerings.</w:t>
      </w:r>
    </w:p>
    <w:p>
      <w:pPr>
        <w:spacing w:after="0" w:line="263"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spacing w:after="0" w:line="14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August 2, 2021, the Company issued and sold 2,000,000 shares of Class A common stock at a price of $24.25 per share in a registered public offering. The aggregate net proceeds were $45.5 million, after deducting $3.3 million of underwriting discounts and commissions and offering costs. There has been no material change in the planned use of proceeds from the registered public offering completed in August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EXHIBITS.</w:t>
      </w:r>
    </w:p>
    <w:p>
      <w:pPr>
        <w:sectPr>
          <w:pgSz w:w="11900" w:h="16838" w:orient="portrait"/>
          <w:cols w:equalWidth="0" w:num="1">
            <w:col w:w="10840"/>
          </w:cols>
          <w:pgMar w:left="320" w:top="1440" w:right="73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gridSpan w:val="13"/>
            <w:vMerge w:val="restart"/>
          </w:tcPr>
          <w:p>
            <w:pPr>
              <w:ind w:left="11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8"/>
        </w:trPr>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gridSpan w:val="14"/>
          </w:tcPr>
          <w:p>
            <w:pPr>
              <w:spacing w:after="0"/>
              <w:rPr>
                <w:rFonts w:ascii="Arial" w:cs="Arial" w:eastAsia="Arial" w:hAnsi="Arial"/>
                <w:sz w:val="17"/>
                <w:szCs w:val="17"/>
                <w:color w:val="0000FF"/>
              </w:rPr>
            </w:pPr>
            <w:hyperlink r:id="rId58">
              <w:r>
                <w:rPr>
                  <w:rFonts w:ascii="Arial" w:cs="Arial" w:eastAsia="Arial" w:hAnsi="Arial"/>
                  <w:sz w:val="17"/>
                  <w:szCs w:val="17"/>
                  <w:color w:val="0000FF"/>
                </w:rPr>
                <w:t>Amended and Restated Certificate of Incorporation of the</w:t>
              </w:r>
            </w:hyperlink>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r:id="rId58">
              <w:r>
                <w:rPr>
                  <w:rFonts w:ascii="Arial" w:cs="Arial" w:eastAsia="Arial" w:hAnsi="Arial"/>
                  <w:sz w:val="17"/>
                  <w:szCs w:val="17"/>
                  <w:color w:val="0000FF"/>
                </w:rPr>
                <w:t>Registrant</w:t>
              </w:r>
              <w:r>
                <w:rPr>
                  <w:rFonts w:ascii="Arial" w:cs="Arial" w:eastAsia="Arial" w:hAnsi="Arial"/>
                  <w:sz w:val="17"/>
                  <w:szCs w:val="17"/>
                  <w:color w:val="000000"/>
                </w:rPr>
                <w:t>.</w:t>
              </w:r>
            </w:hyperlink>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4"/>
          </w:tcPr>
          <w:p>
            <w:pPr>
              <w:spacing w:after="0"/>
              <w:rPr>
                <w:rFonts w:ascii="Arial" w:cs="Arial" w:eastAsia="Arial" w:hAnsi="Arial"/>
                <w:sz w:val="17"/>
                <w:szCs w:val="17"/>
                <w:color w:val="0000FF"/>
              </w:rPr>
            </w:pPr>
            <w:hyperlink r:id="rId59">
              <w:r>
                <w:rPr>
                  <w:rFonts w:ascii="Arial" w:cs="Arial" w:eastAsia="Arial" w:hAnsi="Arial"/>
                  <w:sz w:val="17"/>
                  <w:szCs w:val="17"/>
                  <w:color w:val="0000FF"/>
                </w:rPr>
                <w:t>Amended and Restated Bylaws of the Registrant.</w:t>
              </w:r>
            </w:hyperlink>
          </w:p>
        </w:tc>
        <w:tc>
          <w:tcPr>
            <w:tcW w:w="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gridSpan w:val="12"/>
          </w:tcPr>
          <w:p>
            <w:pPr>
              <w:spacing w:after="0"/>
              <w:rPr>
                <w:rFonts w:ascii="Arial" w:cs="Arial" w:eastAsia="Arial" w:hAnsi="Arial"/>
                <w:sz w:val="17"/>
                <w:szCs w:val="17"/>
                <w:color w:val="0000FF"/>
              </w:rPr>
            </w:pPr>
            <w:hyperlink r:id="rId60">
              <w:r>
                <w:rPr>
                  <w:rFonts w:ascii="Arial" w:cs="Arial" w:eastAsia="Arial" w:hAnsi="Arial"/>
                  <w:sz w:val="17"/>
                  <w:szCs w:val="17"/>
                  <w:color w:val="0000FF"/>
                </w:rPr>
                <w:t>Form of Class A common stock certificate of the Registrant.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rFonts w:ascii="Arial" w:cs="Arial" w:eastAsia="Arial" w:hAnsi="Arial"/>
                <w:sz w:val="17"/>
                <w:szCs w:val="17"/>
                <w:color w:val="0000FF"/>
              </w:rPr>
            </w:pPr>
            <w:hyperlink r:id="rId61">
              <w:r>
                <w:rPr>
                  <w:rFonts w:ascii="Arial" w:cs="Arial" w:eastAsia="Arial" w:hAnsi="Arial"/>
                  <w:sz w:val="17"/>
                  <w:szCs w:val="17"/>
                  <w:color w:val="0000FF"/>
                </w:rPr>
                <w:t>Tenth Amended and Restated Investors’ Rights Agreement,</w:t>
              </w:r>
            </w:hyperlink>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r:id="rId61">
              <w:r>
                <w:rPr>
                  <w:rFonts w:ascii="Arial" w:cs="Arial" w:eastAsia="Arial" w:hAnsi="Arial"/>
                  <w:sz w:val="17"/>
                  <w:szCs w:val="17"/>
                  <w:color w:val="0000FF"/>
                </w:rPr>
                <w:t>dated February 16, 2021, by and among the Registrant and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61">
              <w:r>
                <w:rPr>
                  <w:rFonts w:ascii="Arial" w:cs="Arial" w:eastAsia="Arial" w:hAnsi="Arial"/>
                  <w:sz w:val="17"/>
                  <w:szCs w:val="17"/>
                  <w:color w:val="0000FF"/>
                </w:rPr>
                <w:t>certain of its stockholders.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6"/>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Certification of Principal Executive Officer pursuant to</w:t>
              </w:r>
            </w:hyperlink>
          </w:p>
        </w:tc>
        <w:tc>
          <w:tcPr>
            <w:tcW w:w="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14"/>
          </w:tcPr>
          <w:p>
            <w:pPr>
              <w:spacing w:after="0" w:line="148" w:lineRule="exact"/>
              <w:rPr>
                <w:rFonts w:ascii="Arial" w:cs="Arial" w:eastAsia="Arial" w:hAnsi="Arial"/>
                <w:sz w:val="17"/>
                <w:szCs w:val="17"/>
                <w:color w:val="0000FF"/>
              </w:rPr>
            </w:pPr>
            <w:hyperlink w:anchor="page44">
              <w:r>
                <w:rPr>
                  <w:rFonts w:ascii="Arial" w:cs="Arial" w:eastAsia="Arial" w:hAnsi="Arial"/>
                  <w:sz w:val="17"/>
                  <w:szCs w:val="17"/>
                  <w:color w:val="0000FF"/>
                </w:rPr>
                <w:t>Exchange Act Rules 13a-14(a) and 15d-14(a), as adopted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bottom w:val="single" w:sz="8" w:color="0000FF"/>
            </w:tcBorders>
            <w:gridSpan w:val="13"/>
          </w:tcPr>
          <w:p>
            <w:pPr>
              <w:spacing w:after="0" w:line="148" w:lineRule="exact"/>
              <w:rPr>
                <w:rFonts w:ascii="Arial" w:cs="Arial" w:eastAsia="Arial" w:hAnsi="Arial"/>
                <w:sz w:val="17"/>
                <w:szCs w:val="17"/>
                <w:color w:val="0000FF"/>
              </w:rPr>
            </w:pPr>
            <w:hyperlink w:anchor="page44">
              <w:r>
                <w:rPr>
                  <w:rFonts w:ascii="Arial" w:cs="Arial" w:eastAsia="Arial" w:hAnsi="Arial"/>
                  <w:sz w:val="17"/>
                  <w:szCs w:val="17"/>
                  <w:color w:val="0000FF"/>
                </w:rPr>
                <w:t>pursuant to Section 302 of the Sarbanes-Oxley Act of 2002.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5"/>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Certification of Principal Financial Officer pursuant to</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14"/>
          </w:tcPr>
          <w:p>
            <w:pPr>
              <w:spacing w:after="0" w:line="148" w:lineRule="exact"/>
              <w:rPr>
                <w:rFonts w:ascii="Arial" w:cs="Arial" w:eastAsia="Arial" w:hAnsi="Arial"/>
                <w:sz w:val="17"/>
                <w:szCs w:val="17"/>
                <w:color w:val="0000FF"/>
              </w:rPr>
            </w:pPr>
            <w:hyperlink w:anchor="page45">
              <w:r>
                <w:rPr>
                  <w:rFonts w:ascii="Arial" w:cs="Arial" w:eastAsia="Arial" w:hAnsi="Arial"/>
                  <w:sz w:val="17"/>
                  <w:szCs w:val="17"/>
                  <w:color w:val="0000FF"/>
                </w:rPr>
                <w:t>Exchange Act Rules 13a-14(a) and 15d-14(a), as adopted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bottom w:val="single" w:sz="8" w:color="0000FF"/>
            </w:tcBorders>
            <w:gridSpan w:val="13"/>
          </w:tcPr>
          <w:p>
            <w:pPr>
              <w:spacing w:after="0" w:line="148" w:lineRule="exact"/>
              <w:rPr>
                <w:rFonts w:ascii="Arial" w:cs="Arial" w:eastAsia="Arial" w:hAnsi="Arial"/>
                <w:sz w:val="17"/>
                <w:szCs w:val="17"/>
                <w:color w:val="0000FF"/>
              </w:rPr>
            </w:pPr>
            <w:hyperlink w:anchor="page45">
              <w:r>
                <w:rPr>
                  <w:rFonts w:ascii="Arial" w:cs="Arial" w:eastAsia="Arial" w:hAnsi="Arial"/>
                  <w:sz w:val="17"/>
                  <w:szCs w:val="17"/>
                  <w:color w:val="0000FF"/>
                </w:rPr>
                <w:t>pursuant to Section 302 of the Sarbanes-Oxley Act of 2002.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0" w:type="dxa"/>
            <w:vAlign w:val="bottom"/>
          </w:tcPr>
          <w:p>
            <w:pPr>
              <w:ind w:left="2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Certification of Principal Executive Officer pursuant to 18</w:t>
              </w:r>
            </w:hyperlink>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8"/>
          </w:tcPr>
          <w:p>
            <w:pPr>
              <w:spacing w:after="0" w:line="149" w:lineRule="exact"/>
              <w:rPr>
                <w:rFonts w:ascii="Arial" w:cs="Arial" w:eastAsia="Arial" w:hAnsi="Arial"/>
                <w:sz w:val="17"/>
                <w:szCs w:val="17"/>
                <w:color w:val="0000FF"/>
                <w:w w:val="99"/>
              </w:rPr>
            </w:pPr>
            <w:hyperlink w:anchor="page46">
              <w:r>
                <w:rPr>
                  <w:rFonts w:ascii="Arial" w:cs="Arial" w:eastAsia="Arial" w:hAnsi="Arial"/>
                  <w:sz w:val="17"/>
                  <w:szCs w:val="17"/>
                  <w:color w:val="0000FF"/>
                  <w:w w:val="99"/>
                </w:rPr>
                <w:t>U.S.C. Section 1350, as adopted pursuant to Section 906</w:t>
              </w:r>
            </w:hyperlink>
          </w:p>
        </w:tc>
        <w:tc>
          <w:tcPr>
            <w:tcW w:w="300" w:type="dxa"/>
            <w:vAlign w:val="bottom"/>
            <w:gridSpan w:val="6"/>
          </w:tcPr>
          <w:p>
            <w:pPr>
              <w:ind w:left="120"/>
              <w:spacing w:after="0" w:line="149" w:lineRule="exact"/>
              <w:rPr>
                <w:rFonts w:ascii="Arial" w:cs="Arial" w:eastAsia="Arial" w:hAnsi="Arial"/>
                <w:sz w:val="17"/>
                <w:szCs w:val="17"/>
                <w:color w:val="0000FF"/>
              </w:rPr>
            </w:pPr>
            <w:hyperlink w:anchor="page46">
              <w:r>
                <w:rPr>
                  <w:rFonts w:ascii="Arial" w:cs="Arial" w:eastAsia="Arial" w:hAnsi="Arial"/>
                  <w:sz w:val="17"/>
                  <w:szCs w:val="17"/>
                  <w:color w:val="0000FF"/>
                </w:rPr>
                <w:t>of</w:t>
              </w:r>
            </w:hyperlink>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w:anchor="page46">
              <w:r>
                <w:rPr>
                  <w:rFonts w:ascii="Arial" w:cs="Arial" w:eastAsia="Arial" w:hAnsi="Arial"/>
                  <w:sz w:val="17"/>
                  <w:szCs w:val="17"/>
                  <w:color w:val="0000FF"/>
                </w:rPr>
                <w:t>the Sarbanes-Oxley Act of 2002.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0" w:type="dxa"/>
            <w:vAlign w:val="bottom"/>
          </w:tcPr>
          <w:p>
            <w:pPr>
              <w:ind w:left="20"/>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7"/>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Certification of Principal Financial Officer pursuant to 18</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gridSpan w:val="14"/>
          </w:tcPr>
          <w:p>
            <w:pPr>
              <w:spacing w:after="0" w:line="148" w:lineRule="exact"/>
              <w:rPr>
                <w:rFonts w:ascii="Arial" w:cs="Arial" w:eastAsia="Arial" w:hAnsi="Arial"/>
                <w:sz w:val="17"/>
                <w:szCs w:val="17"/>
                <w:color w:val="0000FF"/>
              </w:rPr>
            </w:pPr>
            <w:hyperlink w:anchor="page47">
              <w:r>
                <w:rPr>
                  <w:rFonts w:ascii="Arial" w:cs="Arial" w:eastAsia="Arial" w:hAnsi="Arial"/>
                  <w:sz w:val="17"/>
                  <w:szCs w:val="17"/>
                  <w:color w:val="0000FF"/>
                </w:rPr>
                <w:t>U.S.C. Section 1350, as adopted pursuant to Section 906 of</w:t>
              </w:r>
            </w:hyperlink>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w:anchor="page47">
              <w:r>
                <w:rPr>
                  <w:rFonts w:ascii="Arial" w:cs="Arial" w:eastAsia="Arial" w:hAnsi="Arial"/>
                  <w:sz w:val="17"/>
                  <w:szCs w:val="17"/>
                  <w:color w:val="0000FF"/>
                </w:rPr>
                <w:t>the Sarbanes-Oxley Act of 2002.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7"/>
                <w:szCs w:val="17"/>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XBRL Instance Document – the instance document does</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4"/>
          </w:tcPr>
          <w:p>
            <w:pPr>
              <w:spacing w:after="0" w:line="167" w:lineRule="exact"/>
              <w:rPr>
                <w:sz w:val="20"/>
                <w:szCs w:val="20"/>
                <w:color w:val="auto"/>
              </w:rPr>
            </w:pPr>
            <w:r>
              <w:rPr>
                <w:rFonts w:ascii="Arial" w:cs="Arial" w:eastAsia="Arial" w:hAnsi="Arial"/>
                <w:sz w:val="17"/>
                <w:szCs w:val="17"/>
                <w:color w:val="auto"/>
              </w:rPr>
              <w:t>not appear in the Interactive Data File because its XBRL</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tags are embedded within the Inline XBRL document.</w:t>
            </w:r>
          </w:p>
        </w:tc>
        <w:tc>
          <w:tcPr>
            <w:tcW w:w="0" w:type="dxa"/>
            <w:vAlign w:val="bottom"/>
          </w:tcPr>
          <w:p>
            <w:pPr>
              <w:spacing w:after="0"/>
              <w:rPr>
                <w:sz w:val="1"/>
                <w:szCs w:val="1"/>
                <w:color w:val="auto"/>
              </w:rPr>
            </w:pPr>
          </w:p>
        </w:tc>
      </w:tr>
      <w:tr>
        <w:trPr>
          <w:trHeight w:val="219"/>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9"/>
                <w:szCs w:val="19"/>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181"/>
        </w:trPr>
        <w:tc>
          <w:tcPr>
            <w:tcW w:w="88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101.CAL</w:t>
            </w:r>
          </w:p>
        </w:tc>
        <w:tc>
          <w:tcPr>
            <w:tcW w:w="20" w:type="dxa"/>
            <w:vAlign w:val="bottom"/>
          </w:tcPr>
          <w:p>
            <w:pPr>
              <w:spacing w:after="0"/>
              <w:rPr>
                <w:sz w:val="15"/>
                <w:szCs w:val="15"/>
                <w:color w:val="auto"/>
              </w:rPr>
            </w:pPr>
          </w:p>
        </w:tc>
        <w:tc>
          <w:tcPr>
            <w:tcW w:w="4600" w:type="dxa"/>
            <w:vAlign w:val="bottom"/>
            <w:gridSpan w:val="14"/>
          </w:tcPr>
          <w:p>
            <w:pPr>
              <w:spacing w:after="0" w:line="181" w:lineRule="exact"/>
              <w:rPr>
                <w:sz w:val="20"/>
                <w:szCs w:val="20"/>
                <w:color w:val="auto"/>
              </w:rPr>
            </w:pPr>
            <w:r>
              <w:rPr>
                <w:rFonts w:ascii="Arial" w:cs="Arial" w:eastAsia="Arial" w:hAnsi="Arial"/>
                <w:sz w:val="17"/>
                <w:szCs w:val="17"/>
                <w:color w:val="auto"/>
              </w:rPr>
              <w:t>Inline XBRL Taxonomy Extension Calculation Linkbase</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181"/>
        </w:trPr>
        <w:tc>
          <w:tcPr>
            <w:tcW w:w="88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101.DEF</w:t>
            </w:r>
          </w:p>
        </w:tc>
        <w:tc>
          <w:tcPr>
            <w:tcW w:w="20" w:type="dxa"/>
            <w:vAlign w:val="bottom"/>
          </w:tcPr>
          <w:p>
            <w:pPr>
              <w:spacing w:after="0"/>
              <w:rPr>
                <w:sz w:val="15"/>
                <w:szCs w:val="15"/>
                <w:color w:val="auto"/>
              </w:rPr>
            </w:pPr>
          </w:p>
        </w:tc>
        <w:tc>
          <w:tcPr>
            <w:tcW w:w="4600" w:type="dxa"/>
            <w:vAlign w:val="bottom"/>
            <w:gridSpan w:val="14"/>
          </w:tcPr>
          <w:p>
            <w:pPr>
              <w:spacing w:after="0" w:line="181" w:lineRule="exact"/>
              <w:rPr>
                <w:sz w:val="20"/>
                <w:szCs w:val="20"/>
                <w:color w:val="auto"/>
              </w:rPr>
            </w:pPr>
            <w:r>
              <w:rPr>
                <w:rFonts w:ascii="Arial" w:cs="Arial" w:eastAsia="Arial" w:hAnsi="Arial"/>
                <w:sz w:val="17"/>
                <w:szCs w:val="17"/>
                <w:color w:val="auto"/>
              </w:rPr>
              <w:t>Inline XBRL Taxonomy Extension Definition Linkbase</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181"/>
        </w:trPr>
        <w:tc>
          <w:tcPr>
            <w:tcW w:w="88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101.LAB</w:t>
            </w:r>
          </w:p>
        </w:tc>
        <w:tc>
          <w:tcPr>
            <w:tcW w:w="20" w:type="dxa"/>
            <w:vAlign w:val="bottom"/>
          </w:tcPr>
          <w:p>
            <w:pPr>
              <w:spacing w:after="0"/>
              <w:rPr>
                <w:sz w:val="15"/>
                <w:szCs w:val="15"/>
                <w:color w:val="auto"/>
              </w:rPr>
            </w:pPr>
          </w:p>
        </w:tc>
        <w:tc>
          <w:tcPr>
            <w:tcW w:w="4600" w:type="dxa"/>
            <w:vAlign w:val="bottom"/>
            <w:gridSpan w:val="14"/>
          </w:tcPr>
          <w:p>
            <w:pPr>
              <w:spacing w:after="0" w:line="181" w:lineRule="exact"/>
              <w:rPr>
                <w:sz w:val="20"/>
                <w:szCs w:val="20"/>
                <w:color w:val="auto"/>
              </w:rPr>
            </w:pPr>
            <w:r>
              <w:rPr>
                <w:rFonts w:ascii="Arial" w:cs="Arial" w:eastAsia="Arial" w:hAnsi="Arial"/>
                <w:sz w:val="17"/>
                <w:szCs w:val="17"/>
                <w:color w:val="auto"/>
              </w:rPr>
              <w:t>Inline XBRL Taxonomy Extension Label Linkbase</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180"/>
        </w:trPr>
        <w:tc>
          <w:tcPr>
            <w:tcW w:w="740" w:type="dxa"/>
            <w:vAlign w:val="bottom"/>
          </w:tcPr>
          <w:p>
            <w:pPr>
              <w:spacing w:after="0"/>
              <w:rPr>
                <w:sz w:val="15"/>
                <w:szCs w:val="15"/>
                <w:color w:val="auto"/>
              </w:rPr>
            </w:pPr>
          </w:p>
        </w:tc>
        <w:tc>
          <w:tcPr>
            <w:tcW w:w="2900" w:type="dxa"/>
            <w:vAlign w:val="bottom"/>
            <w:gridSpan w:val="2"/>
          </w:tcPr>
          <w:p>
            <w:pPr>
              <w:ind w:left="620"/>
              <w:spacing w:after="0"/>
              <w:rPr>
                <w:sz w:val="20"/>
                <w:szCs w:val="20"/>
                <w:color w:val="auto"/>
              </w:rPr>
            </w:pPr>
            <w:r>
              <w:rPr>
                <w:rFonts w:ascii="Arial" w:cs="Arial" w:eastAsia="Arial" w:hAnsi="Arial"/>
                <w:sz w:val="14"/>
                <w:szCs w:val="14"/>
                <w:b w:val="1"/>
                <w:bCs w:val="1"/>
                <w:color w:val="auto"/>
              </w:rPr>
              <w:t>Incorporation by Reference</w:t>
            </w:r>
          </w:p>
        </w:tc>
        <w:tc>
          <w:tcPr>
            <w:tcW w:w="1100" w:type="dxa"/>
            <w:vAlign w:val="bottom"/>
          </w:tcPr>
          <w:p>
            <w:pPr>
              <w:spacing w:after="0"/>
              <w:rPr>
                <w:sz w:val="15"/>
                <w:szCs w:val="15"/>
                <w:color w:val="auto"/>
              </w:rPr>
            </w:pPr>
          </w:p>
        </w:tc>
      </w:tr>
      <w:tr>
        <w:trPr>
          <w:trHeight w:val="180"/>
        </w:trPr>
        <w:tc>
          <w:tcPr>
            <w:tcW w:w="740" w:type="dxa"/>
            <w:vAlign w:val="bottom"/>
          </w:tcPr>
          <w:p>
            <w:pPr>
              <w:jc w:val="center"/>
              <w:ind w:right="318"/>
              <w:spacing w:after="0"/>
              <w:rPr>
                <w:sz w:val="20"/>
                <w:szCs w:val="20"/>
                <w:color w:val="auto"/>
              </w:rPr>
            </w:pPr>
            <w:r>
              <w:rPr>
                <w:rFonts w:ascii="Arial" w:cs="Arial" w:eastAsia="Arial" w:hAnsi="Arial"/>
                <w:sz w:val="14"/>
                <w:szCs w:val="14"/>
                <w:b w:val="1"/>
                <w:bCs w:val="1"/>
                <w:color w:val="auto"/>
                <w:w w:val="97"/>
              </w:rPr>
              <w:t>Form</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File No.</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00" w:type="dxa"/>
            <w:vAlign w:val="bottom"/>
          </w:tcPr>
          <w:p>
            <w:pPr>
              <w:ind w:left="400"/>
              <w:spacing w:after="0"/>
              <w:rPr>
                <w:sz w:val="20"/>
                <w:szCs w:val="20"/>
                <w:color w:val="auto"/>
              </w:rPr>
            </w:pPr>
            <w:r>
              <w:rPr>
                <w:rFonts w:ascii="Arial" w:cs="Arial" w:eastAsia="Arial" w:hAnsi="Arial"/>
                <w:sz w:val="14"/>
                <w:szCs w:val="14"/>
                <w:b w:val="1"/>
                <w:bCs w:val="1"/>
                <w:color w:val="auto"/>
                <w:w w:val="94"/>
              </w:rPr>
              <w:t>Filing Date</w:t>
            </w:r>
          </w:p>
        </w:tc>
      </w:tr>
      <w:tr>
        <w:trPr>
          <w:trHeight w:val="216"/>
        </w:trPr>
        <w:tc>
          <w:tcPr>
            <w:tcW w:w="740" w:type="dxa"/>
            <w:vAlign w:val="bottom"/>
          </w:tcPr>
          <w:p>
            <w:pPr>
              <w:jc w:val="center"/>
              <w:ind w:right="338"/>
              <w:spacing w:after="0"/>
              <w:rPr>
                <w:sz w:val="20"/>
                <w:szCs w:val="20"/>
                <w:color w:val="auto"/>
              </w:rPr>
            </w:pPr>
            <w:r>
              <w:rPr>
                <w:rFonts w:ascii="Arial" w:cs="Arial" w:eastAsia="Arial" w:hAnsi="Arial"/>
                <w:sz w:val="17"/>
                <w:szCs w:val="17"/>
                <w:color w:val="auto"/>
              </w:rPr>
              <w:t>S-1</w:t>
            </w:r>
          </w:p>
        </w:tc>
        <w:tc>
          <w:tcPr>
            <w:tcW w:w="168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20" w:type="dxa"/>
            <w:vAlign w:val="bottom"/>
          </w:tcPr>
          <w:p>
            <w:pPr>
              <w:jc w:val="center"/>
              <w:spacing w:after="0"/>
              <w:rPr>
                <w:sz w:val="20"/>
                <w:szCs w:val="20"/>
                <w:color w:val="auto"/>
              </w:rPr>
            </w:pPr>
            <w:r>
              <w:rPr>
                <w:rFonts w:ascii="Arial" w:cs="Arial" w:eastAsia="Arial" w:hAnsi="Arial"/>
                <w:sz w:val="17"/>
                <w:szCs w:val="17"/>
                <w:color w:val="auto"/>
              </w:rPr>
              <w:t>3.2</w:t>
            </w:r>
          </w:p>
        </w:tc>
        <w:tc>
          <w:tcPr>
            <w:tcW w:w="1100" w:type="dxa"/>
            <w:vAlign w:val="bottom"/>
          </w:tcPr>
          <w:p>
            <w:pPr>
              <w:ind w:left="420"/>
              <w:spacing w:after="0"/>
              <w:rPr>
                <w:sz w:val="20"/>
                <w:szCs w:val="20"/>
                <w:color w:val="auto"/>
              </w:rPr>
            </w:pPr>
            <w:r>
              <w:rPr>
                <w:rFonts w:ascii="Arial" w:cs="Arial" w:eastAsia="Arial" w:hAnsi="Arial"/>
                <w:sz w:val="17"/>
                <w:szCs w:val="17"/>
                <w:color w:val="auto"/>
                <w:w w:val="99"/>
              </w:rPr>
              <w:t>3/3/2021</w:t>
            </w:r>
          </w:p>
        </w:tc>
      </w:tr>
      <w:tr>
        <w:trPr>
          <w:trHeight w:val="387"/>
        </w:trPr>
        <w:tc>
          <w:tcPr>
            <w:tcW w:w="740" w:type="dxa"/>
            <w:vAlign w:val="bottom"/>
          </w:tcPr>
          <w:p>
            <w:pPr>
              <w:jc w:val="center"/>
              <w:ind w:right="338"/>
              <w:spacing w:after="0"/>
              <w:rPr>
                <w:sz w:val="20"/>
                <w:szCs w:val="20"/>
                <w:color w:val="auto"/>
              </w:rPr>
            </w:pPr>
            <w:r>
              <w:rPr>
                <w:rFonts w:ascii="Arial" w:cs="Arial" w:eastAsia="Arial" w:hAnsi="Arial"/>
                <w:sz w:val="17"/>
                <w:szCs w:val="17"/>
                <w:color w:val="auto"/>
              </w:rPr>
              <w:t>S-1</w:t>
            </w:r>
          </w:p>
        </w:tc>
        <w:tc>
          <w:tcPr>
            <w:tcW w:w="168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20" w:type="dxa"/>
            <w:vAlign w:val="bottom"/>
          </w:tcPr>
          <w:p>
            <w:pPr>
              <w:jc w:val="center"/>
              <w:spacing w:after="0"/>
              <w:rPr>
                <w:sz w:val="20"/>
                <w:szCs w:val="20"/>
                <w:color w:val="auto"/>
              </w:rPr>
            </w:pPr>
            <w:r>
              <w:rPr>
                <w:rFonts w:ascii="Arial" w:cs="Arial" w:eastAsia="Arial" w:hAnsi="Arial"/>
                <w:sz w:val="17"/>
                <w:szCs w:val="17"/>
                <w:color w:val="auto"/>
              </w:rPr>
              <w:t>3.4</w:t>
            </w:r>
          </w:p>
        </w:tc>
        <w:tc>
          <w:tcPr>
            <w:tcW w:w="1100" w:type="dxa"/>
            <w:vAlign w:val="bottom"/>
          </w:tcPr>
          <w:p>
            <w:pPr>
              <w:ind w:left="420"/>
              <w:spacing w:after="0"/>
              <w:rPr>
                <w:sz w:val="20"/>
                <w:szCs w:val="20"/>
                <w:color w:val="auto"/>
              </w:rPr>
            </w:pPr>
            <w:r>
              <w:rPr>
                <w:rFonts w:ascii="Arial" w:cs="Arial" w:eastAsia="Arial" w:hAnsi="Arial"/>
                <w:sz w:val="17"/>
                <w:szCs w:val="17"/>
                <w:color w:val="auto"/>
                <w:w w:val="99"/>
              </w:rPr>
              <w:t>3/3/2021</w:t>
            </w:r>
          </w:p>
        </w:tc>
      </w:tr>
      <w:tr>
        <w:trPr>
          <w:trHeight w:val="219"/>
        </w:trPr>
        <w:tc>
          <w:tcPr>
            <w:tcW w:w="740" w:type="dxa"/>
            <w:vAlign w:val="bottom"/>
          </w:tcPr>
          <w:p>
            <w:pPr>
              <w:jc w:val="center"/>
              <w:ind w:right="338"/>
              <w:spacing w:after="0"/>
              <w:rPr>
                <w:sz w:val="20"/>
                <w:szCs w:val="20"/>
                <w:color w:val="auto"/>
              </w:rPr>
            </w:pPr>
            <w:r>
              <w:rPr>
                <w:rFonts w:ascii="Arial" w:cs="Arial" w:eastAsia="Arial" w:hAnsi="Arial"/>
                <w:sz w:val="17"/>
                <w:szCs w:val="17"/>
                <w:color w:val="auto"/>
              </w:rPr>
              <w:t>S-1</w:t>
            </w:r>
          </w:p>
        </w:tc>
        <w:tc>
          <w:tcPr>
            <w:tcW w:w="168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20" w:type="dxa"/>
            <w:vAlign w:val="bottom"/>
          </w:tcPr>
          <w:p>
            <w:pPr>
              <w:jc w:val="center"/>
              <w:spacing w:after="0"/>
              <w:rPr>
                <w:sz w:val="20"/>
                <w:szCs w:val="20"/>
                <w:color w:val="auto"/>
              </w:rPr>
            </w:pPr>
            <w:r>
              <w:rPr>
                <w:rFonts w:ascii="Arial" w:cs="Arial" w:eastAsia="Arial" w:hAnsi="Arial"/>
                <w:sz w:val="17"/>
                <w:szCs w:val="17"/>
                <w:color w:val="auto"/>
              </w:rPr>
              <w:t>4.1</w:t>
            </w:r>
          </w:p>
        </w:tc>
        <w:tc>
          <w:tcPr>
            <w:tcW w:w="1100" w:type="dxa"/>
            <w:vAlign w:val="bottom"/>
          </w:tcPr>
          <w:p>
            <w:pPr>
              <w:ind w:left="420"/>
              <w:spacing w:after="0"/>
              <w:rPr>
                <w:sz w:val="20"/>
                <w:szCs w:val="20"/>
                <w:color w:val="auto"/>
              </w:rPr>
            </w:pPr>
            <w:r>
              <w:rPr>
                <w:rFonts w:ascii="Arial" w:cs="Arial" w:eastAsia="Arial" w:hAnsi="Arial"/>
                <w:sz w:val="17"/>
                <w:szCs w:val="17"/>
                <w:color w:val="auto"/>
                <w:w w:val="99"/>
              </w:rPr>
              <w:t>3/3/2021</w:t>
            </w:r>
          </w:p>
        </w:tc>
      </w:tr>
      <w:tr>
        <w:trPr>
          <w:trHeight w:val="219"/>
        </w:trPr>
        <w:tc>
          <w:tcPr>
            <w:tcW w:w="740" w:type="dxa"/>
            <w:vAlign w:val="bottom"/>
          </w:tcPr>
          <w:p>
            <w:pPr>
              <w:jc w:val="center"/>
              <w:ind w:right="338"/>
              <w:spacing w:after="0"/>
              <w:rPr>
                <w:sz w:val="20"/>
                <w:szCs w:val="20"/>
                <w:color w:val="auto"/>
              </w:rPr>
            </w:pPr>
            <w:r>
              <w:rPr>
                <w:rFonts w:ascii="Arial" w:cs="Arial" w:eastAsia="Arial" w:hAnsi="Arial"/>
                <w:sz w:val="17"/>
                <w:szCs w:val="17"/>
                <w:color w:val="auto"/>
              </w:rPr>
              <w:t>S-1</w:t>
            </w:r>
          </w:p>
        </w:tc>
        <w:tc>
          <w:tcPr>
            <w:tcW w:w="1680" w:type="dxa"/>
            <w:vAlign w:val="bottom"/>
          </w:tcPr>
          <w:p>
            <w:pPr>
              <w:jc w:val="center"/>
              <w:spacing w:after="0"/>
              <w:rPr>
                <w:sz w:val="20"/>
                <w:szCs w:val="20"/>
                <w:color w:val="auto"/>
              </w:rPr>
            </w:pPr>
            <w:r>
              <w:rPr>
                <w:rFonts w:ascii="Arial" w:cs="Arial" w:eastAsia="Arial" w:hAnsi="Arial"/>
                <w:sz w:val="17"/>
                <w:szCs w:val="17"/>
                <w:color w:val="auto"/>
              </w:rPr>
              <w:t>333-253834</w:t>
            </w:r>
          </w:p>
        </w:tc>
        <w:tc>
          <w:tcPr>
            <w:tcW w:w="1220" w:type="dxa"/>
            <w:vAlign w:val="bottom"/>
          </w:tcPr>
          <w:p>
            <w:pPr>
              <w:jc w:val="center"/>
              <w:spacing w:after="0"/>
              <w:rPr>
                <w:sz w:val="20"/>
                <w:szCs w:val="20"/>
                <w:color w:val="auto"/>
              </w:rPr>
            </w:pPr>
            <w:r>
              <w:rPr>
                <w:rFonts w:ascii="Arial" w:cs="Arial" w:eastAsia="Arial" w:hAnsi="Arial"/>
                <w:sz w:val="17"/>
                <w:szCs w:val="17"/>
                <w:color w:val="auto"/>
              </w:rPr>
              <w:t>4.2</w:t>
            </w:r>
          </w:p>
        </w:tc>
        <w:tc>
          <w:tcPr>
            <w:tcW w:w="1100" w:type="dxa"/>
            <w:vAlign w:val="bottom"/>
          </w:tcPr>
          <w:p>
            <w:pPr>
              <w:ind w:left="420"/>
              <w:spacing w:after="0"/>
              <w:rPr>
                <w:sz w:val="20"/>
                <w:szCs w:val="20"/>
                <w:color w:val="auto"/>
              </w:rPr>
            </w:pPr>
            <w:r>
              <w:rPr>
                <w:rFonts w:ascii="Arial" w:cs="Arial" w:eastAsia="Arial" w:hAnsi="Arial"/>
                <w:sz w:val="17"/>
                <w:szCs w:val="17"/>
                <w:color w:val="auto"/>
                <w:w w:val="99"/>
              </w:rPr>
              <w:t>3/3/2021</w:t>
            </w:r>
          </w:p>
        </w:tc>
      </w:tr>
    </w:tbl>
    <w:p>
      <w:pPr>
        <w:spacing w:after="0" w:line="3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Furnished herewith</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Furnished herewith</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158115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500" w:space="20"/>
            <w:col w:w="5320"/>
          </w:cols>
          <w:pgMar w:left="320" w:top="1440" w:right="739" w:bottom="1440" w:gutter="0" w:footer="0" w:header="0"/>
          <w:type w:val="continuous"/>
        </w:sectPr>
      </w:pPr>
    </w:p>
    <w:bookmarkStart w:id="41" w:name="page42"/>
    <w:bookmarkEnd w:id="41"/>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 w:type="dxa"/>
            <w:vAlign w:val="bottom"/>
          </w:tcPr>
          <w:p>
            <w:pPr>
              <w:spacing w:after="0"/>
              <w:rPr>
                <w:sz w:val="20"/>
                <w:szCs w:val="20"/>
                <w:color w:val="auto"/>
              </w:rPr>
            </w:pPr>
            <w:r>
              <w:rPr>
                <w:rFonts w:ascii="Arial" w:cs="Arial" w:eastAsia="Arial" w:hAnsi="Arial"/>
                <w:sz w:val="17"/>
                <w:szCs w:val="17"/>
                <w:color w:val="auto"/>
              </w:rPr>
              <w:t>101.PRE</w:t>
            </w:r>
          </w:p>
        </w:tc>
        <w:tc>
          <w:tcPr>
            <w:tcW w:w="4800" w:type="dxa"/>
            <w:vAlign w:val="bottom"/>
          </w:tcPr>
          <w:p>
            <w:pPr>
              <w:ind w:left="100"/>
              <w:spacing w:after="0"/>
              <w:rPr>
                <w:sz w:val="20"/>
                <w:szCs w:val="20"/>
                <w:color w:val="auto"/>
              </w:rPr>
            </w:pPr>
            <w:r>
              <w:rPr>
                <w:rFonts w:ascii="Arial" w:cs="Arial" w:eastAsia="Arial" w:hAnsi="Arial"/>
                <w:sz w:val="17"/>
                <w:szCs w:val="17"/>
                <w:color w:val="auto"/>
              </w:rPr>
              <w:t>Inline XBRL Taxonomy Extension Presentation Linkbase</w:t>
            </w:r>
          </w:p>
        </w:tc>
        <w:tc>
          <w:tcPr>
            <w:tcW w:w="1200" w:type="dxa"/>
            <w:vAlign w:val="bottom"/>
          </w:tcPr>
          <w:p>
            <w:pPr>
              <w:ind w:left="120"/>
              <w:spacing w:after="0"/>
              <w:rPr>
                <w:sz w:val="20"/>
                <w:szCs w:val="20"/>
                <w:color w:val="auto"/>
              </w:rPr>
            </w:pPr>
            <w:r>
              <w:rPr>
                <w:rFonts w:ascii="Arial" w:cs="Arial" w:eastAsia="Arial" w:hAnsi="Arial"/>
                <w:sz w:val="17"/>
                <w:szCs w:val="17"/>
                <w:color w:val="auto"/>
              </w:rPr>
              <w:t>Filed herewith</w:t>
            </w:r>
          </w:p>
        </w:tc>
      </w:tr>
      <w:tr>
        <w:trPr>
          <w:trHeight w:val="206"/>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Document.</w:t>
            </w:r>
          </w:p>
        </w:tc>
        <w:tc>
          <w:tcPr>
            <w:tcW w:w="1200" w:type="dxa"/>
            <w:vAlign w:val="bottom"/>
          </w:tcPr>
          <w:p>
            <w:pPr>
              <w:spacing w:after="0"/>
              <w:rPr>
                <w:sz w:val="17"/>
                <w:szCs w:val="17"/>
                <w:color w:val="auto"/>
              </w:rPr>
            </w:pPr>
          </w:p>
        </w:tc>
      </w:tr>
      <w:tr>
        <w:trPr>
          <w:trHeight w:val="181"/>
        </w:trPr>
        <w:tc>
          <w:tcPr>
            <w:tcW w:w="780" w:type="dxa"/>
            <w:vAlign w:val="bottom"/>
          </w:tcPr>
          <w:p>
            <w:pPr>
              <w:spacing w:after="0" w:line="181" w:lineRule="exact"/>
              <w:rPr>
                <w:sz w:val="20"/>
                <w:szCs w:val="20"/>
                <w:color w:val="auto"/>
              </w:rPr>
            </w:pPr>
            <w:r>
              <w:rPr>
                <w:rFonts w:ascii="Arial" w:cs="Arial" w:eastAsia="Arial" w:hAnsi="Arial"/>
                <w:sz w:val="17"/>
                <w:szCs w:val="17"/>
                <w:color w:val="auto"/>
              </w:rPr>
              <w:t>104</w:t>
            </w:r>
          </w:p>
        </w:tc>
        <w:tc>
          <w:tcPr>
            <w:tcW w:w="4800" w:type="dxa"/>
            <w:vAlign w:val="bottom"/>
          </w:tcPr>
          <w:p>
            <w:pPr>
              <w:ind w:left="100"/>
              <w:spacing w:after="0" w:line="181" w:lineRule="exact"/>
              <w:rPr>
                <w:sz w:val="20"/>
                <w:szCs w:val="20"/>
                <w:color w:val="auto"/>
              </w:rPr>
            </w:pPr>
            <w:r>
              <w:rPr>
                <w:rFonts w:ascii="Arial" w:cs="Arial" w:eastAsia="Arial" w:hAnsi="Arial"/>
                <w:sz w:val="17"/>
                <w:szCs w:val="17"/>
                <w:color w:val="auto"/>
              </w:rPr>
              <w:t>Cover Page Interactive Data File (formatted as inline XBRL</w:t>
            </w:r>
          </w:p>
        </w:tc>
        <w:tc>
          <w:tcPr>
            <w:tcW w:w="1200" w:type="dxa"/>
            <w:vAlign w:val="bottom"/>
          </w:tcPr>
          <w:p>
            <w:pPr>
              <w:ind w:left="120"/>
              <w:spacing w:after="0" w:line="181" w:lineRule="exact"/>
              <w:rPr>
                <w:sz w:val="20"/>
                <w:szCs w:val="20"/>
                <w:color w:val="auto"/>
              </w:rPr>
            </w:pPr>
            <w:r>
              <w:rPr>
                <w:rFonts w:ascii="Arial" w:cs="Arial" w:eastAsia="Arial" w:hAnsi="Arial"/>
                <w:sz w:val="17"/>
                <w:szCs w:val="17"/>
                <w:color w:val="auto"/>
              </w:rPr>
              <w:t>Filed herewith</w:t>
            </w:r>
          </w:p>
        </w:tc>
      </w:tr>
      <w:tr>
        <w:trPr>
          <w:trHeight w:val="168"/>
        </w:trPr>
        <w:tc>
          <w:tcPr>
            <w:tcW w:w="780" w:type="dxa"/>
            <w:vAlign w:val="bottom"/>
          </w:tcPr>
          <w:p>
            <w:pPr>
              <w:spacing w:after="0"/>
              <w:rPr>
                <w:sz w:val="14"/>
                <w:szCs w:val="14"/>
                <w:color w:val="auto"/>
              </w:rPr>
            </w:pPr>
          </w:p>
        </w:tc>
        <w:tc>
          <w:tcPr>
            <w:tcW w:w="4800" w:type="dxa"/>
            <w:vAlign w:val="bottom"/>
          </w:tcPr>
          <w:p>
            <w:pPr>
              <w:ind w:left="100"/>
              <w:spacing w:after="0" w:line="167" w:lineRule="exact"/>
              <w:rPr>
                <w:sz w:val="20"/>
                <w:szCs w:val="20"/>
                <w:color w:val="auto"/>
              </w:rPr>
            </w:pPr>
            <w:r>
              <w:rPr>
                <w:rFonts w:ascii="Arial" w:cs="Arial" w:eastAsia="Arial" w:hAnsi="Arial"/>
                <w:sz w:val="17"/>
                <w:szCs w:val="17"/>
                <w:color w:val="auto"/>
              </w:rPr>
              <w:t>with applicable taxonomy extension information contained in</w:t>
            </w:r>
          </w:p>
        </w:tc>
        <w:tc>
          <w:tcPr>
            <w:tcW w:w="1200" w:type="dxa"/>
            <w:vAlign w:val="bottom"/>
          </w:tcPr>
          <w:p>
            <w:pPr>
              <w:spacing w:after="0"/>
              <w:rPr>
                <w:sz w:val="14"/>
                <w:szCs w:val="14"/>
                <w:color w:val="auto"/>
              </w:rPr>
            </w:pPr>
          </w:p>
        </w:tc>
      </w:tr>
      <w:tr>
        <w:trPr>
          <w:trHeight w:val="206"/>
        </w:trPr>
        <w:tc>
          <w:tcPr>
            <w:tcW w:w="780" w:type="dxa"/>
            <w:vAlign w:val="bottom"/>
          </w:tcPr>
          <w:p>
            <w:pPr>
              <w:spacing w:after="0"/>
              <w:rPr>
                <w:sz w:val="17"/>
                <w:szCs w:val="17"/>
                <w:color w:val="auto"/>
              </w:rPr>
            </w:pPr>
          </w:p>
        </w:tc>
        <w:tc>
          <w:tcPr>
            <w:tcW w:w="4800" w:type="dxa"/>
            <w:vAlign w:val="bottom"/>
          </w:tcPr>
          <w:p>
            <w:pPr>
              <w:ind w:left="100"/>
              <w:spacing w:after="0"/>
              <w:rPr>
                <w:sz w:val="20"/>
                <w:szCs w:val="20"/>
                <w:color w:val="auto"/>
              </w:rPr>
            </w:pPr>
            <w:r>
              <w:rPr>
                <w:rFonts w:ascii="Arial" w:cs="Arial" w:eastAsia="Arial" w:hAnsi="Arial"/>
                <w:sz w:val="17"/>
                <w:szCs w:val="17"/>
                <w:color w:val="auto"/>
              </w:rPr>
              <w:t>Exhibits 101).</w:t>
            </w:r>
          </w:p>
        </w:tc>
        <w:tc>
          <w:tcPr>
            <w:tcW w:w="1200" w:type="dxa"/>
            <w:vAlign w:val="bottom"/>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8" w:lineRule="exact"/>
        <w:rPr>
          <w:sz w:val="20"/>
          <w:szCs w:val="20"/>
          <w:color w:val="auto"/>
        </w:rPr>
      </w:pPr>
    </w:p>
    <w:p>
      <w:pPr>
        <w:jc w:val="both"/>
        <w:ind w:left="320" w:hanging="317"/>
        <w:spacing w:after="0" w:line="260" w:lineRule="auto"/>
        <w:tabs>
          <w:tab w:leader="none" w:pos="312"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158115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85" w:lineRule="exact"/>
        <w:rPr>
          <w:sz w:val="20"/>
          <w:szCs w:val="20"/>
          <w:color w:val="auto"/>
        </w:rPr>
      </w:pPr>
    </w:p>
    <w:p>
      <w:pPr>
        <w:ind w:right="100" w:firstLine="309"/>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226"/>
        </w:trPr>
        <w:tc>
          <w:tcPr>
            <w:tcW w:w="6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040" w:type="dxa"/>
            <w:vAlign w:val="bottom"/>
            <w:gridSpan w:val="2"/>
          </w:tcPr>
          <w:p>
            <w:pPr>
              <w:ind w:left="1860"/>
              <w:spacing w:after="0"/>
              <w:rPr>
                <w:sz w:val="20"/>
                <w:szCs w:val="20"/>
                <w:color w:val="auto"/>
              </w:rPr>
            </w:pPr>
            <w:r>
              <w:rPr>
                <w:rFonts w:ascii="Arial" w:cs="Arial" w:eastAsia="Arial" w:hAnsi="Arial"/>
                <w:sz w:val="17"/>
                <w:szCs w:val="17"/>
                <w:b w:val="1"/>
                <w:bCs w:val="1"/>
                <w:color w:val="auto"/>
              </w:rPr>
              <w:t>THREDUP INC.</w:t>
            </w:r>
          </w:p>
        </w:tc>
      </w:tr>
      <w:tr>
        <w:trPr>
          <w:trHeight w:val="478"/>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040" w:type="dxa"/>
            <w:vAlign w:val="bottom"/>
          </w:tcPr>
          <w:p>
            <w:pPr>
              <w:ind w:left="240"/>
              <w:spacing w:after="0"/>
              <w:rPr>
                <w:sz w:val="20"/>
                <w:szCs w:val="20"/>
                <w:color w:val="auto"/>
              </w:rPr>
            </w:pPr>
            <w:r>
              <w:rPr>
                <w:rFonts w:ascii="Arial" w:cs="Arial" w:eastAsia="Arial" w:hAnsi="Arial"/>
                <w:sz w:val="17"/>
                <w:szCs w:val="17"/>
                <w:color w:val="auto"/>
              </w:rPr>
              <w:t>May 9, 2022</w:t>
            </w:r>
          </w:p>
        </w:tc>
        <w:tc>
          <w:tcPr>
            <w:tcW w:w="2120" w:type="dxa"/>
            <w:vAlign w:val="bottom"/>
          </w:tcPr>
          <w:p>
            <w:pPr>
              <w:ind w:left="1860"/>
              <w:spacing w:after="0"/>
              <w:rPr>
                <w:sz w:val="20"/>
                <w:szCs w:val="20"/>
                <w:color w:val="auto"/>
              </w:rPr>
            </w:pPr>
            <w:r>
              <w:rPr>
                <w:rFonts w:ascii="Arial" w:cs="Arial" w:eastAsia="Arial" w:hAnsi="Arial"/>
                <w:sz w:val="17"/>
                <w:szCs w:val="17"/>
                <w:color w:val="auto"/>
                <w:w w:val="97"/>
              </w:rPr>
              <w:t>By:</w:t>
            </w:r>
          </w:p>
        </w:tc>
        <w:tc>
          <w:tcPr>
            <w:tcW w:w="49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James Reinhart</w:t>
            </w:r>
          </w:p>
        </w:tc>
      </w:tr>
      <w:tr>
        <w:trPr>
          <w:trHeight w:val="211"/>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James Reinhart</w:t>
            </w:r>
          </w:p>
        </w:tc>
      </w:tr>
      <w:tr>
        <w:trPr>
          <w:trHeight w:val="215"/>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Chief Executive Officer</w:t>
            </w:r>
          </w:p>
        </w:tc>
      </w:tr>
      <w:tr>
        <w:trPr>
          <w:trHeight w:val="224"/>
        </w:trPr>
        <w:tc>
          <w:tcPr>
            <w:tcW w:w="6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i w:val="1"/>
                <w:iCs w:val="1"/>
                <w:color w:val="auto"/>
              </w:rPr>
              <w:t>(Principal Executive Officer)</w:t>
            </w:r>
          </w:p>
        </w:tc>
      </w:tr>
      <w:tr>
        <w:trPr>
          <w:trHeight w:val="478"/>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040" w:type="dxa"/>
            <w:vAlign w:val="bottom"/>
          </w:tcPr>
          <w:p>
            <w:pPr>
              <w:ind w:left="240"/>
              <w:spacing w:after="0"/>
              <w:rPr>
                <w:sz w:val="20"/>
                <w:szCs w:val="20"/>
                <w:color w:val="auto"/>
              </w:rPr>
            </w:pPr>
            <w:r>
              <w:rPr>
                <w:rFonts w:ascii="Arial" w:cs="Arial" w:eastAsia="Arial" w:hAnsi="Arial"/>
                <w:sz w:val="17"/>
                <w:szCs w:val="17"/>
                <w:color w:val="auto"/>
              </w:rPr>
              <w:t>May 9, 2022</w:t>
            </w:r>
          </w:p>
        </w:tc>
        <w:tc>
          <w:tcPr>
            <w:tcW w:w="2120" w:type="dxa"/>
            <w:vAlign w:val="bottom"/>
          </w:tcPr>
          <w:p>
            <w:pPr>
              <w:ind w:left="1860"/>
              <w:spacing w:after="0"/>
              <w:rPr>
                <w:sz w:val="20"/>
                <w:szCs w:val="20"/>
                <w:color w:val="auto"/>
              </w:rPr>
            </w:pPr>
            <w:r>
              <w:rPr>
                <w:rFonts w:ascii="Arial" w:cs="Arial" w:eastAsia="Arial" w:hAnsi="Arial"/>
                <w:sz w:val="17"/>
                <w:szCs w:val="17"/>
                <w:color w:val="auto"/>
                <w:w w:val="97"/>
              </w:rPr>
              <w:t>By:</w:t>
            </w:r>
          </w:p>
        </w:tc>
        <w:tc>
          <w:tcPr>
            <w:tcW w:w="49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Sean Sobers</w:t>
            </w:r>
          </w:p>
        </w:tc>
      </w:tr>
      <w:tr>
        <w:trPr>
          <w:trHeight w:val="211"/>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Sean Sobers</w:t>
            </w:r>
          </w:p>
        </w:tc>
      </w:tr>
      <w:tr>
        <w:trPr>
          <w:trHeight w:val="215"/>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Chief Financial Officer</w:t>
            </w:r>
          </w:p>
        </w:tc>
      </w:tr>
      <w:tr>
        <w:trPr>
          <w:trHeight w:val="224"/>
        </w:trPr>
        <w:tc>
          <w:tcPr>
            <w:tcW w:w="6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40"/>
          </w:cols>
          <w:pgMar w:left="320" w:top="144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 James Reinhart, certify that:</w:t>
      </w:r>
    </w:p>
    <w:p>
      <w:pPr>
        <w:spacing w:after="0" w:line="88" w:lineRule="exact"/>
        <w:rPr>
          <w:sz w:val="20"/>
          <w:szCs w:val="20"/>
          <w:color w:val="auto"/>
        </w:rPr>
      </w:pPr>
    </w:p>
    <w:p>
      <w:pPr>
        <w:ind w:left="200" w:hanging="197"/>
        <w:spacing w:after="0"/>
        <w:tabs>
          <w:tab w:leader="none" w:pos="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8" w:lineRule="exact"/>
        <w:rPr>
          <w:rFonts w:ascii="Arial" w:cs="Arial" w:eastAsia="Arial" w:hAnsi="Arial"/>
          <w:sz w:val="17"/>
          <w:szCs w:val="17"/>
          <w:color w:val="auto"/>
        </w:rPr>
      </w:pPr>
    </w:p>
    <w:p>
      <w:pPr>
        <w:jc w:val="both"/>
        <w:ind w:firstLine="3"/>
        <w:spacing w:after="0" w:line="259" w:lineRule="auto"/>
        <w:tabs>
          <w:tab w:leader="none" w:pos="199"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7"/>
          <w:szCs w:val="17"/>
          <w:color w:val="auto"/>
        </w:rPr>
      </w:pPr>
    </w:p>
    <w:p>
      <w:pPr>
        <w:ind w:firstLine="3"/>
        <w:spacing w:after="0" w:line="265" w:lineRule="auto"/>
        <w:tabs>
          <w:tab w:leader="none" w:pos="19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jc w:val="both"/>
        <w:ind w:firstLine="3"/>
        <w:spacing w:after="0" w:line="259" w:lineRule="auto"/>
        <w:tabs>
          <w:tab w:leader="none" w:pos="2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460" w:firstLine="7"/>
        <w:spacing w:after="0" w:line="259" w:lineRule="auto"/>
        <w:tabs>
          <w:tab w:leader="none" w:pos="704"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7"/>
          <w:szCs w:val="17"/>
          <w:color w:val="auto"/>
        </w:rPr>
      </w:pPr>
    </w:p>
    <w:p>
      <w:pPr>
        <w:jc w:val="both"/>
        <w:ind w:left="460" w:firstLine="7"/>
        <w:spacing w:after="0" w:line="259" w:lineRule="auto"/>
        <w:tabs>
          <w:tab w:leader="none" w:pos="675"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ind w:left="460" w:firstLine="7"/>
        <w:spacing w:after="0" w:line="265" w:lineRule="auto"/>
        <w:tabs>
          <w:tab w:leader="none" w:pos="6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jc w:val="both"/>
        <w:ind w:left="460" w:firstLine="7"/>
        <w:spacing w:after="0" w:line="259" w:lineRule="auto"/>
        <w:tabs>
          <w:tab w:leader="none" w:pos="681"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rFonts w:ascii="Arial" w:cs="Arial" w:eastAsia="Arial" w:hAnsi="Arial"/>
          <w:sz w:val="17"/>
          <w:szCs w:val="17"/>
          <w:color w:val="auto"/>
        </w:rPr>
      </w:pPr>
    </w:p>
    <w:p>
      <w:pPr>
        <w:ind w:firstLine="3"/>
        <w:spacing w:after="0" w:line="265" w:lineRule="auto"/>
        <w:tabs>
          <w:tab w:leader="none" w:pos="19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460" w:firstLine="7"/>
        <w:spacing w:after="0" w:line="265" w:lineRule="auto"/>
        <w:tabs>
          <w:tab w:leader="none" w:pos="6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460" w:firstLine="7"/>
        <w:spacing w:after="0" w:line="265" w:lineRule="auto"/>
        <w:tabs>
          <w:tab w:leader="none" w:pos="67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May 9, 2022</w:t>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23495</wp:posOffset>
            </wp:positionV>
            <wp:extent cx="48628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4862830" cy="8255"/>
                    </a:xfrm>
                    <a:prstGeom prst="rect">
                      <a:avLst/>
                    </a:prstGeom>
                    <a:noFill/>
                  </pic:spPr>
                </pic:pic>
              </a:graphicData>
            </a:graphic>
          </wp:anchor>
        </w:drawing>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James Reinhart</w:t>
      </w:r>
    </w:p>
    <w:p>
      <w:pPr>
        <w:spacing w:after="0" w:line="6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Chief Executive Officer</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31.2</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certify that:</w:t>
      </w:r>
    </w:p>
    <w:p>
      <w:pPr>
        <w:spacing w:after="0" w:line="88" w:lineRule="exact"/>
        <w:rPr>
          <w:sz w:val="20"/>
          <w:szCs w:val="20"/>
          <w:color w:val="auto"/>
        </w:rPr>
      </w:pPr>
    </w:p>
    <w:p>
      <w:pPr>
        <w:ind w:left="200" w:hanging="197"/>
        <w:spacing w:after="0"/>
        <w:tabs>
          <w:tab w:leader="none" w:pos="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8" w:lineRule="exact"/>
        <w:rPr>
          <w:rFonts w:ascii="Arial" w:cs="Arial" w:eastAsia="Arial" w:hAnsi="Arial"/>
          <w:sz w:val="17"/>
          <w:szCs w:val="17"/>
          <w:color w:val="auto"/>
        </w:rPr>
      </w:pPr>
    </w:p>
    <w:p>
      <w:pPr>
        <w:jc w:val="both"/>
        <w:ind w:firstLine="3"/>
        <w:spacing w:after="0" w:line="259" w:lineRule="auto"/>
        <w:tabs>
          <w:tab w:leader="none" w:pos="199"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7"/>
          <w:szCs w:val="17"/>
          <w:color w:val="auto"/>
        </w:rPr>
      </w:pPr>
    </w:p>
    <w:p>
      <w:pPr>
        <w:ind w:firstLine="3"/>
        <w:spacing w:after="0" w:line="265" w:lineRule="auto"/>
        <w:tabs>
          <w:tab w:leader="none" w:pos="1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jc w:val="both"/>
        <w:ind w:firstLine="3"/>
        <w:spacing w:after="0" w:line="259" w:lineRule="auto"/>
        <w:tabs>
          <w:tab w:leader="none" w:pos="2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460" w:firstLine="7"/>
        <w:spacing w:after="0" w:line="259" w:lineRule="auto"/>
        <w:tabs>
          <w:tab w:leader="none" w:pos="704"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7"/>
          <w:szCs w:val="17"/>
          <w:color w:val="auto"/>
        </w:rPr>
      </w:pPr>
    </w:p>
    <w:p>
      <w:pPr>
        <w:jc w:val="both"/>
        <w:ind w:left="460" w:firstLine="7"/>
        <w:spacing w:after="0" w:line="259" w:lineRule="auto"/>
        <w:tabs>
          <w:tab w:leader="none" w:pos="675"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ind w:left="460" w:firstLine="7"/>
        <w:spacing w:after="0" w:line="265" w:lineRule="auto"/>
        <w:tabs>
          <w:tab w:leader="none" w:pos="6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jc w:val="both"/>
        <w:ind w:left="460" w:firstLine="7"/>
        <w:spacing w:after="0" w:line="259" w:lineRule="auto"/>
        <w:tabs>
          <w:tab w:leader="none" w:pos="681"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rFonts w:ascii="Arial" w:cs="Arial" w:eastAsia="Arial" w:hAnsi="Arial"/>
          <w:sz w:val="17"/>
          <w:szCs w:val="17"/>
          <w:color w:val="auto"/>
        </w:rPr>
      </w:pPr>
    </w:p>
    <w:p>
      <w:pPr>
        <w:ind w:firstLine="3"/>
        <w:spacing w:after="0" w:line="265" w:lineRule="auto"/>
        <w:tabs>
          <w:tab w:leader="none" w:pos="19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460" w:firstLine="7"/>
        <w:spacing w:after="0" w:line="265" w:lineRule="auto"/>
        <w:tabs>
          <w:tab w:leader="none" w:pos="69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460" w:firstLine="7"/>
        <w:spacing w:after="0" w:line="265" w:lineRule="auto"/>
        <w:tabs>
          <w:tab w:leader="none" w:pos="676"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8"/>
          <w:szCs w:val="18"/>
          <w:color w:val="auto"/>
        </w:rPr>
        <w:t>May 9, 2022</w:t>
      </w:r>
    </w:p>
    <w:p>
      <w:pPr>
        <w:spacing w:after="0" w:line="6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23495</wp:posOffset>
            </wp:positionV>
            <wp:extent cx="382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Sean Sobers</w:t>
      </w:r>
    </w:p>
    <w:p>
      <w:pPr>
        <w:spacing w:after="0" w:line="6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Financial Officer</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40"/>
          </w:cols>
          <w:pgMar w:left="320" w:top="42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 James Reinhart, Chief Executive Officer of ThredUp Inc. (Company), do hereby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22" w:lineRule="exact"/>
        <w:rPr>
          <w:sz w:val="20"/>
          <w:szCs w:val="20"/>
          <w:color w:val="auto"/>
        </w:rPr>
      </w:pPr>
    </w:p>
    <w:p>
      <w:pPr>
        <w:ind w:left="740" w:right="40" w:hanging="410"/>
        <w:spacing w:after="0" w:line="26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2022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1" w:lineRule="exact"/>
        <w:rPr>
          <w:rFonts w:ascii="Arial" w:cs="Arial" w:eastAsia="Arial" w:hAnsi="Arial"/>
          <w:sz w:val="17"/>
          <w:szCs w:val="17"/>
          <w:color w:val="auto"/>
        </w:rPr>
      </w:pPr>
    </w:p>
    <w:p>
      <w:pPr>
        <w:ind w:left="740" w:right="40" w:hanging="410"/>
        <w:spacing w:after="0" w:line="26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7"/>
          <w:szCs w:val="17"/>
          <w:color w:val="auto"/>
        </w:rPr>
        <w:t>Date:</w:t>
        <w:tab/>
        <w:t>May 9, 2022</w:t>
      </w:r>
    </w:p>
    <w:p>
      <w:pPr>
        <w:spacing w:after="0" w:line="6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23495</wp:posOffset>
            </wp:positionV>
            <wp:extent cx="4756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spacing w:after="0" w:line="55"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James Reinhart</w:t>
      </w:r>
    </w:p>
    <w:p>
      <w:pPr>
        <w:spacing w:after="0" w:line="62"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Chief Executive Officer</w:t>
      </w:r>
    </w:p>
    <w:p>
      <w:pPr>
        <w:spacing w:after="0" w:line="44" w:lineRule="exact"/>
        <w:rPr>
          <w:sz w:val="20"/>
          <w:szCs w:val="20"/>
          <w:color w:val="auto"/>
        </w:rPr>
      </w:pPr>
    </w:p>
    <w:p>
      <w:pPr>
        <w:ind w:left="35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32.2</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Chief Financial Officer of ThredUp Inc. (Company), do hereby certify, pursuant to 18 U.S.C. Section 1350, as adopted pursuant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00" w:lineRule="exact"/>
        <w:rPr>
          <w:sz w:val="20"/>
          <w:szCs w:val="20"/>
          <w:color w:val="auto"/>
        </w:rPr>
      </w:pPr>
    </w:p>
    <w:p>
      <w:pPr>
        <w:spacing w:after="0" w:line="352" w:lineRule="exact"/>
        <w:rPr>
          <w:sz w:val="20"/>
          <w:szCs w:val="20"/>
          <w:color w:val="auto"/>
        </w:rPr>
      </w:pPr>
    </w:p>
    <w:p>
      <w:pPr>
        <w:ind w:left="740" w:right="40" w:hanging="410"/>
        <w:spacing w:after="0" w:line="26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2022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740" w:right="40" w:hanging="410"/>
        <w:spacing w:after="0" w:line="26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May 9, 2022</w:t>
      </w:r>
    </w:p>
    <w:p>
      <w:pPr>
        <w:spacing w:after="0" w:line="55"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23495</wp:posOffset>
            </wp:positionV>
            <wp:extent cx="4551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55"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Sean Sobers</w:t>
      </w:r>
    </w:p>
    <w:p>
      <w:pPr>
        <w:spacing w:after="0" w:line="62"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17"/>
          <w:szCs w:val="17"/>
          <w:i w:val="1"/>
          <w:iCs w:val="1"/>
          <w:color w:val="auto"/>
        </w:rPr>
        <w:t>(Principal Financial and Accounting Officer)</w:t>
      </w:r>
    </w:p>
    <w:sectPr>
      <w:pgSz w:w="11900" w:h="16838" w:orient="portrait"/>
      <w:cols w:equalWidth="0" w:num="1">
        <w:col w:w="11240"/>
      </w:cols>
      <w:pgMar w:left="320" w:top="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58" Type="http://schemas.openxmlformats.org/officeDocument/2006/relationships/hyperlink" Target="https://www.sec.gov/Archives/edgar/data/1484778/000162828021003857/exhibit32-sx1.htm" TargetMode="External"/><Relationship Id="rId59" Type="http://schemas.openxmlformats.org/officeDocument/2006/relationships/hyperlink" Target="https://www.sec.gov/Archives/edgar/data/1484778/000162828021003857/exhibit34-sx1.htm" TargetMode="External"/><Relationship Id="rId60" Type="http://schemas.openxmlformats.org/officeDocument/2006/relationships/hyperlink" Target="https://www.sec.gov/Archives/edgar/data/1484778/000162828021003857/exhibit41-sx1.htm" TargetMode="External"/><Relationship Id="rId61"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2022-05-10T05:19:13Z</dcterms:created>
  <dcterms:modified xsi:type="dcterms:W3CDTF">2022-05-10T05:19:13Z</dcterms:modified>
</cp:coreProperties>
</file>