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394147.xml.htm"/>
      <w:bookmarkStart w:id="1" w:name="kswkform4_17793941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Friedman 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THREDUP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969 BROADWAY,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ThredUp Inc.</w:t>
              </w:r>
            </w:hyperlink>
            <w:r>
              <w:rPr/>
              <w:t xml:space="preserve"> [ </w:t>
            </w:r>
            <w:r>
              <w:rPr>
                <w:rFonts w:ascii="Times;serif" w:hAnsi="Times;serif"/>
                <w:color w:val="0000FF"/>
                <w:sz w:val="24"/>
                <w:shd w:fill="FFFFFF" w:val="clear"/>
              </w:rPr>
              <w:t>TDUP</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37,265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454,336</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RSUs. Each RSU represents a contingent right to receive one share of the Issuer's Class A Common Stock. The RSUs vest in full on the earlier of (i) May 20, 2027 or (ii) the Issuer's next annual meeting of stockholders, subject to the Reporting Person's continued service to the Issuer on such date. The Reporting Person elected to defer distribution until the earliest of (a) 30 days after the Reporting Person's separation from service on the Board within the meaning of Section 409A of the Internal Revenue Code of 1986, as amended ("Section 409A"), (b) a Sale Event (as defined in the Issuer's 2021 Stock Option and Incentive Plan) that constitutes a change in control under Section 409A, or (c) 30 days after the Reporting Person's death.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Alon Rotem,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4575" TargetMode="External"/><Relationship Id="rId5" Type="http://schemas.openxmlformats.org/officeDocument/2006/relationships/hyperlink" Target="http://www.sec.gov/cgi-bin/browse-edgar?action=getcompany&amp;CIK=000148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692</Words>
  <Characters>3684</Characters>
  <CharactersWithSpaces>4316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