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9006.xml.htm"/>
      <w:bookmarkStart w:id="1" w:name="kswkform4_17883890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Homer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THREDUP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969 BROADWAY,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ThredUp Inc.</w:t>
              </w:r>
            </w:hyperlink>
            <w:r>
              <w:rPr/>
              <w:t xml:space="preserve"> [ </w:t>
            </w:r>
            <w:r>
              <w:rPr>
                <w:rFonts w:ascii="Times;serif" w:hAnsi="Times;serif"/>
                <w:color w:val="0000FF"/>
                <w:sz w:val="24"/>
                <w:shd w:fill="FFFFFF" w:val="clear"/>
              </w:rPr>
              <w:t>TDUP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836"/>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54,167</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1,389,990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26,632</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2.5812</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1,363,358</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39,583</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1,402,941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19,463</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2.5812</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1,383,478</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28,745</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1,412,223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14,135</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2.5812</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1,398,088</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54,167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579,118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39,583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539,535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28,745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510,790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by the Reporting Person to cover tax withholding obligations in connection with the vesting of RSUs.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26, 2024, the Reporting Person was granted 650,000 RSUs, vesting in twelve equal quarterly installments on June 1, September 1, December 1 and March 1 until fully vested, subject to the Reporting Person's continued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9, 2025, the Reporting Person was granted 475,000 RSUs, vesting in twelve equal quarterly installments on June 1, September 1, December 1 and March 1 until fully vested, subject to the Reporting Person's continued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January 28, 2026, the Reporting Person was granted 344,941 RSUs, vesting in twelve equal quarterly installments on June 1, September 1, December 1 and March 1 until fully vested, subject to the Reporting Person's continued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Alon Rotem,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0197" TargetMode="External"/><Relationship Id="rId5" Type="http://schemas.openxmlformats.org/officeDocument/2006/relationships/hyperlink" Target="http://www.sec.gov/cgi-bin/browse-edgar?action=getcompany&amp;CIK=000148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890</Words>
  <Characters>4677</Characters>
  <CharactersWithSpaces>5418</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