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ind w:left="4200"/>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3460" w:right="1640" w:hanging="3452"/>
        <w:spacing w:after="0" w:line="367" w:lineRule="auto"/>
        <w:tabs>
          <w:tab w:leader="none" w:pos="37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4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86360</wp:posOffset>
            </wp:positionV>
            <wp:extent cx="155130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30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7"/>
                <w:szCs w:val="17"/>
                <w:color w:val="auto"/>
              </w:rPr>
            </w:pPr>
          </w:p>
        </w:tc>
        <w:tc>
          <w:tcPr>
            <w:tcW w:w="3920" w:type="dxa"/>
            <w:vAlign w:val="bottom"/>
            <w:gridSpan w:val="3"/>
          </w:tcPr>
          <w:p>
            <w:pPr>
              <w:jc w:val="right"/>
              <w:ind w:right="23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197"/>
        </w:trPr>
        <w:tc>
          <w:tcPr>
            <w:tcW w:w="4840" w:type="dxa"/>
            <w:vAlign w:val="bottom"/>
            <w:gridSpan w:val="3"/>
          </w:tcPr>
          <w:p>
            <w:pPr>
              <w:jc w:val="center"/>
              <w:ind w:left="7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480" w:type="dxa"/>
            <w:vAlign w:val="bottom"/>
          </w:tcPr>
          <w:p>
            <w:pPr>
              <w:spacing w:after="0"/>
              <w:rPr>
                <w:sz w:val="17"/>
                <w:szCs w:val="17"/>
                <w:color w:val="auto"/>
              </w:rPr>
            </w:pPr>
          </w:p>
        </w:tc>
        <w:tc>
          <w:tcPr>
            <w:tcW w:w="3920" w:type="dxa"/>
            <w:vAlign w:val="bottom"/>
            <w:gridSpan w:val="3"/>
          </w:tcPr>
          <w:p>
            <w:pPr>
              <w:jc w:val="center"/>
              <w:ind w:right="162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3"/>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969 Broadway, Suite 200</w:t>
            </w:r>
          </w:p>
        </w:tc>
        <w:tc>
          <w:tcPr>
            <w:tcW w:w="2480" w:type="dxa"/>
            <w:vAlign w:val="bottom"/>
          </w:tcPr>
          <w:p>
            <w:pPr>
              <w:spacing w:after="0"/>
              <w:rPr>
                <w:sz w:val="24"/>
                <w:szCs w:val="24"/>
                <w:color w:val="auto"/>
              </w:rPr>
            </w:pPr>
          </w:p>
        </w:tc>
        <w:tc>
          <w:tcPr>
            <w:tcW w:w="3920" w:type="dxa"/>
            <w:vAlign w:val="bottom"/>
            <w:gridSpan w:val="3"/>
            <w:vMerge w:val="restart"/>
          </w:tcPr>
          <w:p>
            <w:pPr>
              <w:jc w:val="right"/>
              <w:ind w:right="25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5"/>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Oakland, California</w:t>
            </w:r>
          </w:p>
        </w:tc>
        <w:tc>
          <w:tcPr>
            <w:tcW w:w="248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40" w:type="dxa"/>
            <w:vAlign w:val="bottom"/>
            <w:gridSpan w:val="3"/>
          </w:tcPr>
          <w:p>
            <w:pPr>
              <w:jc w:val="center"/>
              <w:ind w:left="708"/>
              <w:spacing w:after="0"/>
              <w:rPr>
                <w:sz w:val="20"/>
                <w:szCs w:val="20"/>
                <w:color w:val="auto"/>
              </w:rPr>
            </w:pPr>
            <w:r>
              <w:rPr>
                <w:rFonts w:ascii="Arial" w:cs="Arial" w:eastAsia="Arial" w:hAnsi="Arial"/>
                <w:sz w:val="14"/>
                <w:szCs w:val="14"/>
                <w:i w:val="1"/>
                <w:iCs w:val="1"/>
                <w:color w:val="auto"/>
              </w:rPr>
              <w:t>(Address of principal executive offices)</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ind w:right="18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541"/>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jc w:val="center"/>
              <w:ind w:right="828"/>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2"/>
          </w:tcPr>
          <w:p>
            <w:pPr>
              <w:jc w:val="center"/>
              <w:ind w:left="1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4840" w:type="dxa"/>
            <w:vAlign w:val="bottom"/>
            <w:gridSpan w:val="3"/>
          </w:tcPr>
          <w:p>
            <w:pPr>
              <w:jc w:val="center"/>
              <w:ind w:right="1108"/>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7"/>
        </w:trPr>
        <w:tc>
          <w:tcPr>
            <w:tcW w:w="4840" w:type="dxa"/>
            <w:vAlign w:val="bottom"/>
            <w:gridSpan w:val="3"/>
          </w:tcPr>
          <w:p>
            <w:pPr>
              <w:jc w:val="center"/>
              <w:ind w:right="1088"/>
              <w:spacing w:after="0" w:line="147" w:lineRule="exact"/>
              <w:rPr>
                <w:sz w:val="20"/>
                <w:szCs w:val="20"/>
                <w:color w:val="auto"/>
              </w:rPr>
            </w:pPr>
            <w:r>
              <w:rPr>
                <w:rFonts w:ascii="Arial" w:cs="Arial" w:eastAsia="Arial" w:hAnsi="Arial"/>
                <w:sz w:val="14"/>
                <w:szCs w:val="14"/>
                <w:color w:val="auto"/>
              </w:rPr>
              <w:t>Class A Common Stock, $0.0001 par value per share</w:t>
            </w:r>
          </w:p>
        </w:tc>
        <w:tc>
          <w:tcPr>
            <w:tcW w:w="2480" w:type="dxa"/>
            <w:vAlign w:val="bottom"/>
          </w:tcPr>
          <w:p>
            <w:pPr>
              <w:jc w:val="center"/>
              <w:ind w:right="848"/>
              <w:spacing w:after="0" w:line="147" w:lineRule="exact"/>
              <w:rPr>
                <w:sz w:val="20"/>
                <w:szCs w:val="20"/>
                <w:color w:val="auto"/>
              </w:rPr>
            </w:pPr>
            <w:r>
              <w:rPr>
                <w:rFonts w:ascii="Arial" w:cs="Arial" w:eastAsia="Arial" w:hAnsi="Arial"/>
                <w:sz w:val="14"/>
                <w:szCs w:val="14"/>
                <w:color w:val="auto"/>
              </w:rPr>
              <w:t>TDUP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jc w:val="center"/>
              <w:spacing w:after="0" w:line="147"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Long-Term Stock Exchange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1"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50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5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There were 104,273,162 shares of Class A common stock and 20,868,731 shares of Class B common stock outstanding as of October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w w:val="99"/>
              </w:rPr>
              <w:t>PART I. FINANCIAL INFORMATION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10"/>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shd w:val="clear" w:color="auto" w:fill="CCEEFF"/>
          </w:tcPr>
          <w:p>
            <w:pPr>
              <w:spacing w:after="0"/>
              <w:rPr>
                <w:sz w:val="16"/>
                <w:szCs w:val="16"/>
                <w:color w:val="auto"/>
              </w:rPr>
            </w:pPr>
          </w:p>
        </w:tc>
        <w:tc>
          <w:tcPr>
            <w:tcW w:w="89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Statements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0" w:type="dxa"/>
            <w:vAlign w:val="bottom"/>
            <w:gridSpan w:val="19"/>
          </w:tcPr>
          <w:p>
            <w:pPr>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0000FF"/>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Unaudited Condensed Consolidated Statements of Stockholders’ Equity</w:t>
            </w:r>
          </w:p>
        </w:tc>
        <w:tc>
          <w:tcPr>
            <w:tcW w:w="306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2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50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PART II. OTHER INFORMATION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20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20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02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9160" w:type="dxa"/>
            <w:vAlign w:val="bottom"/>
            <w:gridSpan w:val="21"/>
          </w:tcPr>
          <w:p>
            <w:pPr>
              <w:ind w:left="200"/>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320" w:type="dxa"/>
            <w:vAlign w:val="bottom"/>
            <w:tcBorders>
              <w:bottom w:val="single" w:sz="8" w:color="CCEEFF"/>
            </w:tcBorders>
            <w:gridSpan w:val="1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Signatures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76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3860" w:type="dxa"/>
            <w:vAlign w:val="bottom"/>
            <w:gridSpan w:val="9"/>
          </w:tcPr>
          <w:p>
            <w:pPr>
              <w:jc w:val="center"/>
              <w:ind w:left="33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“possible”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48" w:lineRule="exact"/>
        <w:rPr>
          <w:rFonts w:ascii="Arial" w:cs="Arial" w:eastAsia="Arial" w:hAnsi="Arial"/>
          <w:sz w:val="18"/>
          <w:szCs w:val="18"/>
          <w:i w:val="1"/>
          <w:iCs w:val="1"/>
          <w:color w:val="auto"/>
        </w:rPr>
      </w:pPr>
    </w:p>
    <w:p>
      <w:pPr>
        <w:ind w:left="660" w:hanging="328"/>
        <w:spacing w:after="0" w:line="285"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 and the capacity of our operations and processing infrastructure to support that growth;</w:t>
      </w:r>
    </w:p>
    <w:p>
      <w:pPr>
        <w:spacing w:after="0" w:line="48"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jc w:val="both"/>
        <w:ind w:left="660" w:hanging="328"/>
        <w:spacing w:after="0" w:line="267"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inflationary pressures, increased interest rates, cybersecurity risks, changing consumer habits, climate change and extreme weather events and general global political and economic uncertainty;</w:t>
      </w:r>
    </w:p>
    <w:p>
      <w:pPr>
        <w:spacing w:after="0" w:line="65"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applicable laws and regulations;</w:t>
      </w:r>
    </w:p>
    <w:p>
      <w:pPr>
        <w:spacing w:after="0" w:line="157" w:lineRule="exact"/>
        <w:rPr>
          <w:rFonts w:ascii="Arial" w:cs="Arial" w:eastAsia="Arial" w:hAnsi="Arial"/>
          <w:sz w:val="18"/>
          <w:szCs w:val="18"/>
          <w:i w:val="1"/>
          <w:iCs w:val="1"/>
          <w:color w:val="auto"/>
        </w:rPr>
      </w:pPr>
    </w:p>
    <w:p>
      <w:pPr>
        <w:ind w:left="660" w:right="2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our ability to incorporate artificial intelligence and machine learning and other emergent technologies into our business operations successfully; and</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18"/>
          <w:szCs w:val="18"/>
          <w:i w:val="1"/>
          <w:iCs w:val="1"/>
          <w:color w:val="auto"/>
        </w:rPr>
        <w:t>our discontinuation of European operations in connection with the divestiture of our Remix subsidiary.</w:t>
      </w:r>
    </w:p>
    <w:p>
      <w:pPr>
        <w:spacing w:after="0" w:line="30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Forward -looking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risks from an intensely competitive market; our ability to effectively deploy new and evolving technologies, such as artificial intelligence and machine learning, in our offerings; risks arising from economic and industry trends, including the effects of inflationary pressures, increased interest rates, changing consumer habits, climate change and general global political and economic uncertainty; our ability to comply with applicable laws and regulations; our ability to recognize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 in Part I, Item 1A, Risk Factors, of our Annual Report on Form 10-K for the year ended December 31, 2024, in Part II, Item 1A, Risk Factors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ThredUp is one of the world’s largest online resale platforms for apparel, shoes and accessories, based primarily on items processed, items sold and the capacity of our distribution centers.</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28,853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10,746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172,469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29,856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65,534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61,524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18,151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113,397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114,924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Class A and B common stock, $0.0001 par value; 1,120,000 shares authorized as of</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September 30, 2025 and December 31, 2024; 125,086 and 116,134 shares issued and</w:t>
            </w:r>
          </w:p>
        </w:tc>
        <w:tc>
          <w:tcPr>
            <w:tcW w:w="2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September 30, 2025 and December 31, 2024, respectively</w:t>
            </w:r>
          </w:p>
        </w:tc>
        <w:tc>
          <w:tcPr>
            <w:tcW w:w="24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629,560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612,148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(555,861)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172,469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2"/>
              <w:spacing w:after="0" w:line="147"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16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231,109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39,739</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105,396</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37,021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43,072</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198,386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185,489</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(32,464)</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(31,919)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(55,279)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to compute loss per</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123,903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112,854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120,318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111,054</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share, basic and diluted</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Loss from continuing operations per share, basic</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22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Loss from discontinued operations per share, basic</w:t>
            </w:r>
          </w:p>
        </w:tc>
        <w:tc>
          <w:tcPr>
            <w:tcW w:w="220" w:type="dxa"/>
            <w:vAlign w:val="bottom"/>
          </w:tcPr>
          <w:p>
            <w:pPr>
              <w:spacing w:after="0"/>
              <w:rPr>
                <w:sz w:val="15"/>
                <w:szCs w:val="15"/>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22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basic and diluted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5"/>
              <w:spacing w:after="0" w:line="147"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10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(55,279)</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5"/>
        </w:trPr>
        <w:tc>
          <w:tcPr>
            <w:tcW w:w="4300" w:type="dxa"/>
            <w:vAlign w:val="bottom"/>
          </w:tcPr>
          <w:p>
            <w:pPr>
              <w:ind w:left="180"/>
              <w:spacing w:after="0" w:line="176" w:lineRule="exact"/>
              <w:rPr>
                <w:sz w:val="20"/>
                <w:szCs w:val="20"/>
                <w:color w:val="auto"/>
              </w:rPr>
            </w:pPr>
            <w:r>
              <w:rPr>
                <w:rFonts w:ascii="Arial" w:cs="Arial" w:eastAsia="Arial" w:hAnsi="Arial"/>
                <w:sz w:val="18"/>
                <w:szCs w:val="18"/>
                <w:color w:val="auto"/>
              </w:rPr>
              <w:t>Unrealized gain (loss) on available-for-sale</w:t>
            </w:r>
          </w:p>
        </w:tc>
        <w:tc>
          <w:tcPr>
            <w:tcW w:w="2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(55,176)</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2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2024</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116,134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612,148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56,301</w:t>
            </w: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2,047</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5"/>
        </w:trPr>
        <w:tc>
          <w:tcPr>
            <w:tcW w:w="3300" w:type="dxa"/>
            <w:vAlign w:val="bottom"/>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w:t>
            </w:r>
          </w:p>
        </w:tc>
        <w:tc>
          <w:tcPr>
            <w:tcW w:w="0" w:type="dxa"/>
            <w:vAlign w:val="bottom"/>
          </w:tcPr>
          <w:p>
            <w:pPr>
              <w:spacing w:after="0"/>
              <w:rPr>
                <w:sz w:val="1"/>
                <w:szCs w:val="1"/>
                <w:color w:val="auto"/>
              </w:rPr>
            </w:pPr>
          </w:p>
        </w:tc>
      </w:tr>
      <w:tr>
        <w:trPr>
          <w:trHeight w:val="198"/>
        </w:trPr>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loss</w:t>
            </w: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2025</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117,781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56,083</w:t>
            </w:r>
          </w:p>
        </w:tc>
        <w:tc>
          <w:tcPr>
            <w:tcW w:w="0" w:type="dxa"/>
            <w:vAlign w:val="bottom"/>
          </w:tcPr>
          <w:p>
            <w:pPr>
              <w:spacing w:after="0"/>
              <w:rPr>
                <w:sz w:val="1"/>
                <w:szCs w:val="1"/>
                <w:color w:val="auto"/>
              </w:rPr>
            </w:pPr>
          </w:p>
        </w:tc>
      </w:tr>
      <w:tr>
        <w:trPr>
          <w:trHeight w:val="153"/>
        </w:trPr>
        <w:tc>
          <w:tcPr>
            <w:tcW w:w="3300" w:type="dxa"/>
            <w:vAlign w:val="bottom"/>
          </w:tcPr>
          <w:p>
            <w:pPr>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160"/>
              <w:spacing w:after="0" w:line="145" w:lineRule="exact"/>
              <w:rPr>
                <w:sz w:val="20"/>
                <w:szCs w:val="20"/>
                <w:color w:val="auto"/>
              </w:rPr>
            </w:pPr>
            <w:r>
              <w:rPr>
                <w:rFonts w:ascii="Arial" w:cs="Arial" w:eastAsia="Arial" w:hAnsi="Arial"/>
                <w:sz w:val="14"/>
                <w:szCs w:val="14"/>
                <w:color w:val="auto"/>
              </w:rPr>
              <w:t>options, restricted stock units, and employee</w:t>
            </w: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5,570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6,853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6,854</w:t>
            </w:r>
          </w:p>
        </w:tc>
        <w:tc>
          <w:tcPr>
            <w:tcW w:w="0" w:type="dxa"/>
            <w:vAlign w:val="bottom"/>
          </w:tcPr>
          <w:p>
            <w:pPr>
              <w:spacing w:after="0"/>
              <w:rPr>
                <w:sz w:val="1"/>
                <w:szCs w:val="1"/>
                <w:color w:val="auto"/>
              </w:rPr>
            </w:pPr>
          </w:p>
        </w:tc>
      </w:tr>
      <w:tr>
        <w:trPr>
          <w:trHeight w:val="189"/>
        </w:trPr>
        <w:tc>
          <w:tcPr>
            <w:tcW w:w="3300" w:type="dxa"/>
            <w:vAlign w:val="bottom"/>
          </w:tcPr>
          <w:p>
            <w:pPr>
              <w:ind w:left="160"/>
              <w:spacing w:after="0"/>
              <w:rPr>
                <w:sz w:val="20"/>
                <w:szCs w:val="20"/>
                <w:color w:val="auto"/>
              </w:rPr>
            </w:pPr>
            <w:r>
              <w:rPr>
                <w:rFonts w:ascii="Arial" w:cs="Arial" w:eastAsia="Arial" w:hAnsi="Arial"/>
                <w:sz w:val="14"/>
                <w:szCs w:val="14"/>
                <w:color w:val="auto"/>
              </w:rPr>
              <w:t>stock purchase plan</w:t>
            </w: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tcPr>
          <w:p>
            <w:pPr>
              <w:jc w:val="right"/>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20"/>
                <w:szCs w:val="20"/>
                <w:color w:val="auto"/>
              </w:rPr>
            </w:pPr>
            <w:r>
              <w:rPr>
                <w:rFonts w:ascii="Arial" w:cs="Arial" w:eastAsia="Arial" w:hAnsi="Arial"/>
                <w:sz w:val="14"/>
                <w:szCs w:val="14"/>
                <w:color w:val="auto"/>
              </w:rPr>
              <w:t>Balance as of June 30, 2025</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123,048</w:t>
            </w:r>
          </w:p>
        </w:tc>
        <w:tc>
          <w:tcPr>
            <w:tcW w:w="8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626,449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(566,252)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60,207</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common stock from exercise of stock</w:t>
            </w: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2,352</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185"/>
        </w:trPr>
        <w:tc>
          <w:tcPr>
            <w:tcW w:w="3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options and restricted stock units</w:t>
            </w: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4,642</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Shares withheld for net share settlement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4"/>
                <w:szCs w:val="14"/>
                <w:color w:val="auto"/>
              </w:rPr>
              <w:t>Net loss</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(4,248)</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2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4"/>
                <w:szCs w:val="14"/>
                <w:color w:val="auto"/>
              </w:rPr>
              <w:t>Balance as of September 30, 2025</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125,086</w:t>
            </w:r>
          </w:p>
        </w:tc>
        <w:tc>
          <w:tcPr>
            <w:tcW w:w="80" w:type="dxa"/>
            <w:vAlign w:val="bottom"/>
          </w:tcPr>
          <w:p>
            <w:pPr>
              <w:spacing w:after="0"/>
              <w:rPr>
                <w:sz w:val="17"/>
                <w:szCs w:val="17"/>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629,560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(570,500)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59,072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2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108,784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(478,875)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103,917</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1,694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5"/>
        </w:trPr>
        <w:tc>
          <w:tcPr>
            <w:tcW w:w="3340" w:type="dxa"/>
            <w:vAlign w:val="bottom"/>
          </w:tcPr>
          <w:p>
            <w:pPr>
              <w:ind w:left="180"/>
              <w:spacing w:after="0"/>
              <w:rPr>
                <w:sz w:val="20"/>
                <w:szCs w:val="20"/>
                <w:color w:val="auto"/>
              </w:rPr>
            </w:pPr>
            <w:r>
              <w:rPr>
                <w:rFonts w:ascii="Arial" w:cs="Arial" w:eastAsia="Arial" w:hAnsi="Arial"/>
                <w:sz w:val="14"/>
                <w:szCs w:val="14"/>
                <w:color w:val="auto"/>
              </w:rPr>
              <w:t>options and restricted stock units</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color w:val="auto"/>
              </w:rPr>
              <w:t>Shares withheld for net share settlement</w:t>
            </w:r>
          </w:p>
        </w:tc>
        <w:tc>
          <w:tcPr>
            <w:tcW w:w="1220" w:type="dxa"/>
            <w:vAlign w:val="bottom"/>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(16,554)</w:t>
            </w:r>
          </w:p>
        </w:tc>
        <w:tc>
          <w:tcPr>
            <w:tcW w:w="0" w:type="dxa"/>
            <w:vAlign w:val="bottom"/>
          </w:tcPr>
          <w:p>
            <w:pPr>
              <w:spacing w:after="0"/>
              <w:rPr>
                <w:sz w:val="1"/>
                <w:szCs w:val="1"/>
                <w:color w:val="auto"/>
              </w:rPr>
            </w:pPr>
          </w:p>
        </w:tc>
      </w:tr>
      <w:tr>
        <w:trPr>
          <w:trHeight w:val="198"/>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2024</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110,217</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592,193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93,530</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80"/>
              <w:spacing w:after="0" w:line="145" w:lineRule="exact"/>
              <w:rPr>
                <w:sz w:val="20"/>
                <w:szCs w:val="20"/>
                <w:color w:val="auto"/>
              </w:rPr>
            </w:pPr>
            <w:r>
              <w:rPr>
                <w:rFonts w:ascii="Arial" w:cs="Arial" w:eastAsia="Arial" w:hAnsi="Arial"/>
                <w:sz w:val="14"/>
                <w:szCs w:val="14"/>
                <w:color w:val="auto"/>
              </w:rPr>
              <w:t>options, restricted stock units, and employee</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stock purchase plan</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7,314</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color w:val="auto"/>
              </w:rPr>
              <w:t>Shares withheld for net share settlement</w:t>
            </w:r>
          </w:p>
        </w:tc>
        <w:tc>
          <w:tcPr>
            <w:tcW w:w="1220" w:type="dxa"/>
            <w:vAlign w:val="bottom"/>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(13,954)</w:t>
            </w:r>
          </w:p>
        </w:tc>
        <w:tc>
          <w:tcPr>
            <w:tcW w:w="0" w:type="dxa"/>
            <w:vAlign w:val="bottom"/>
          </w:tcPr>
          <w:p>
            <w:pPr>
              <w:spacing w:after="0"/>
              <w:rPr>
                <w:sz w:val="1"/>
                <w:szCs w:val="1"/>
                <w:color w:val="auto"/>
              </w:rPr>
            </w:pPr>
          </w:p>
        </w:tc>
      </w:tr>
      <w:tr>
        <w:trPr>
          <w:trHeight w:val="198"/>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June 30, 2024</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86,489</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from exercise of stock</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80"/>
              <w:spacing w:after="0" w:line="145" w:lineRule="exact"/>
              <w:rPr>
                <w:sz w:val="20"/>
                <w:szCs w:val="20"/>
                <w:color w:val="auto"/>
              </w:rPr>
            </w:pPr>
            <w:r>
              <w:rPr>
                <w:rFonts w:ascii="Arial" w:cs="Arial" w:eastAsia="Arial" w:hAnsi="Arial"/>
                <w:sz w:val="14"/>
                <w:szCs w:val="14"/>
                <w:color w:val="auto"/>
              </w:rPr>
              <w:t>options, restricted stock units, and employee</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stock purchase plan</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6,636</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4"/>
                <w:szCs w:val="14"/>
                <w:color w:val="auto"/>
              </w:rPr>
              <w:t>Shares withheld for net share settlement</w:t>
            </w:r>
          </w:p>
        </w:tc>
        <w:tc>
          <w:tcPr>
            <w:tcW w:w="1220" w:type="dxa"/>
            <w:vAlign w:val="bottom"/>
          </w:tcPr>
          <w:p>
            <w:pPr>
              <w:jc w:val="right"/>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(24,771)</w:t>
            </w:r>
          </w:p>
        </w:tc>
        <w:tc>
          <w:tcPr>
            <w:tcW w:w="0" w:type="dxa"/>
            <w:vAlign w:val="bottom"/>
          </w:tcPr>
          <w:p>
            <w:pPr>
              <w:spacing w:after="0"/>
              <w:rPr>
                <w:sz w:val="1"/>
                <w:szCs w:val="1"/>
                <w:color w:val="auto"/>
              </w:rPr>
            </w:pPr>
          </w:p>
        </w:tc>
      </w:tr>
      <w:tr>
        <w:trPr>
          <w:trHeight w:val="198"/>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113,758</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605,687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(534,154)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69,272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460" w:type="dxa"/>
            <w:vAlign w:val="bottom"/>
          </w:tcPr>
          <w:p>
            <w:pPr>
              <w:jc w:val="right"/>
              <w:ind w:right="271"/>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192"/>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1191"/>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continuing operating activities: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(14,639)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(31,940)</w:t>
            </w:r>
          </w:p>
        </w:tc>
      </w:tr>
      <w:tr>
        <w:trPr>
          <w:trHeight w:val="176"/>
        </w:trPr>
        <w:tc>
          <w:tcPr>
            <w:tcW w:w="7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loss from continuing operations to net cash provided by continuing</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19,792</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3,798</w:t>
            </w: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Seller payable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(4,088)</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continuing operating activities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continuing investing activities: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(24,673)</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and maturities of marketable securities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r>
      <w:tr>
        <w:trPr>
          <w:trHeight w:val="229"/>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continuing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continuing financing activities: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issuance of stock-based awards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on stock-based awards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continuing financing activities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from continuing operations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r>
      <w:tr>
        <w:trPr>
          <w:trHeight w:val="148"/>
        </w:trPr>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in discontinued operating activities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cash flow used in discontinued investing activities</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from discontinued operations</w:t>
            </w: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operates a large resale platform that enables consumers to buy and sell primarily secondhand apparel, shoes, and accessories.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1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may be condensed or omitted.</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breakage on gift cards, stock-based compensation, lease liabilities, and goodwill.</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September 30, 2025 and 2024, and the results of operations and cash flows for the interim periods presented.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2024 (the “2024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prior period amounts have been reclassified to conform to the current period’s presentation. Beginning in the first quarter of 2025, the Company combined consignment revenue and product revenue into a single line item, revenue, on the condensed consolidated statements of operations, and similarly combined related cost of revenue line items, reflecting the immateriality of product revenue following the Company’s transition to a primarily consignment model. The Company also reclassified inventory to other current assets on the condensed consolidated balance sheets and statements of cash flows to align with the combined presentation. These reclassifications had no impact on previously reported total revenue, net loss, stockholders’ equity, or cash flows.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the fourth quarter of 2024, the Company divested 91% of its European business and Bulgarian subsidiary, Remix Global EAD (“Remix”), meeting the requirements for reporting Remix as a discontinued operation. Accordingly, Remix’s results during 2024 are presented as discontinued operations in the condensed consolidated statements of operations and excluded from continuing operations for the three and nine months ended September 30, 2024. In the condensed consolidated statements of cash flows, cash flows attributable to Remix have been segregated and presented separately as net cash flow used in discontinued operating activities and net cash flow used in discontinued investing activities for the three and nine months ended September 30, 2024. Unless otherwise noted, amounts and disclosures in these notes to condensed consolidated financial statements pertain to the Company’s continuing operations. See Note 12,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for further details on the transaction.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accounting pronouncements adopted during the three and nine months ended September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2025-06, </w:t>
      </w:r>
      <w:r>
        <w:rPr>
          <w:rFonts w:ascii="Arial" w:cs="Arial" w:eastAsia="Arial" w:hAnsi="Arial"/>
          <w:sz w:val="18"/>
          <w:szCs w:val="18"/>
          <w:i w:val="1"/>
          <w:iCs w:val="1"/>
          <w:color w:val="auto"/>
        </w:rPr>
        <w:t xml:space="preserve">Intangibles - Goodwill and Other - Internal-Use Software (Subtopic 350-40): Targeted Improvements to the Accounting for Internal-Use Software, </w:t>
      </w:r>
      <w:r>
        <w:rPr>
          <w:rFonts w:ascii="Arial" w:cs="Arial" w:eastAsia="Arial" w:hAnsi="Arial"/>
          <w:sz w:val="18"/>
          <w:szCs w:val="18"/>
          <w:color w:val="auto"/>
        </w:rPr>
        <w:t>which removes stage-based criteria and instead requires capitalization once a project is approved and it is probable that the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completed, unless significant development uncertainty exists. ASU 2025-06 is effective for annual periods beginning after December 15, 2027, and interim periods within those annual periods. For the Company, the ASU will be effective for the annual period ending December 31, 2028. Early adoption is permitted. The Company is currently evaluating the potential impact on its consolidated financial statement disclosures.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Accounts Receivable and Contract Assets. </w:t>
      </w:r>
      <w:r>
        <w:rPr>
          <w:rFonts w:ascii="Arial" w:cs="Arial" w:eastAsia="Arial" w:hAnsi="Arial"/>
          <w:sz w:val="18"/>
          <w:szCs w:val="18"/>
          <w:color w:val="auto"/>
        </w:rPr>
        <w:t>ASU 2025-05 provides a practical expedient that permits entities to assume that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as of the balance sheet date remain unchanged over the life of the asset when estimating expected credit losses for current accounts receivable and current contract assets. ASU 2025-05 is effective for annual periods beginning after December 15, 2025, including interim periods within those annual periods. For the Company, the ASU will be effective for the annual period ending December 31, 2026. Early adoption is permitted. The Company is currently evaluating the potential impact of the ASU but does not expect its adoption to have a material impact on its consolidated financial statement disclosures.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expands disclosures about a public entity’s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inventory, employee compensation, depreciation, intangible asset amortization, selling expenses and other expense categories. ASU 2024-03 is effective for annual period beginning after December 15, 2026, and interim periods within annual periods beginning after December 15, 2027, which will be the annual period ending December 31, 2027 and interim periods within the annual period ending December 31, 2028 for the Company. The Company is currently evaluating the potential impact on its consolidated financial statement disclosures.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annual period ending December 31, 2025 for the Company. The Company expects the adoption to result in enhanced income tax disclosures in its annual consolidated financial statements.</w:t>
      </w:r>
    </w:p>
    <w:p>
      <w:pPr>
        <w:spacing w:after="0" w:line="1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October 2023, the FASB issued ASU 2023-06, </w:t>
      </w:r>
      <w:r>
        <w:rPr>
          <w:rFonts w:ascii="Arial" w:cs="Arial" w:eastAsia="Arial" w:hAnsi="Arial"/>
          <w:sz w:val="18"/>
          <w:szCs w:val="18"/>
          <w:i w:val="1"/>
          <w:iCs w:val="1"/>
          <w:color w:val="auto"/>
        </w:rPr>
        <w:t>Disclosure Improvements: Codification Amendments in Response to the SEC’s</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Update and Simplification Initiative</w:t>
      </w:r>
      <w:r>
        <w:rPr>
          <w:rFonts w:ascii="Arial" w:cs="Arial" w:eastAsia="Arial" w:hAnsi="Arial"/>
          <w:sz w:val="18"/>
          <w:szCs w:val="18"/>
          <w:color w:val="auto"/>
        </w:rPr>
        <w:t>, to amend certain disclosure and presentation requirements for a variety of topics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Segment Reporting</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operates under one operating segment and one reportable segment as its chief operating decision maker (“CODM”), who is its Chief Executive Officer, reviews financial information presented on a consolidated basis for purposes of making operating decisions, allocating resources and evaluating financial performance. The Company does not have material intra-entity sales or transfers.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key measure of segment profit or loss that the CODM uses to allocate resources and assess performance is the Company’s loss from continuing operations, as reported in the condensed consolidated statements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expenses within operating loss, as well as within loss from continuing operations, include cost of revenue, operations, product and technology, marketing, and sales, general and administrative expenses, which are each separately presented in the condensed consolidated statements of operations. Other segment items within loss from continuing operations include interest expense, other income, net, and provision for income taxes. The CODM manages the business using consolidated expense information, as well as regularly provided budgeted or forecasted expense information. Assets provided to the CODM are consistent with those reported on the condensed consolidated balance sheets.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previously had a customer loyalty program, which allowed end-customers to earn and accumulate points with each qualifying purchase. Earned points could be redeemed for loyalty rewards, such as non-cashoutable shopping credit, free shipping, or waived restocking fee, which could be applied to future purchases or returns. Unredeemed points expired after one year from the date the points were earned. Reward coupons expired six months from the date the reward was claimed. Points earned on purchases were considered a material right, representing a separate performance obligation.</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allocated consideration for the points earned through qualifying purchase transactions was deferred based on the standalone selling price of the points, adjusted for expected breakage in proportion to the pattern of redemption, and recorded within deferred revenue under accrued and other current liabilities within the Company’s condensed consolidated balance sheets. Revenue was recognized for these performance obligations at a point in time when rewards were redeemed by the end customer or expired.</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October 1, 2024, customers were no longer able to earn loyalty points and after March 31, 2025, they could no longer redeem any previously accumulated points. As a result, as of September 30, 2025, the Company did not have a deferred revenue liability related to its customer loyalty program. As of December 31, 2024, the Company had a deferred revenue liability of $1.5 million related to the program, which was included in accrued and other current liabilities within the Company’s condensed consolidated balance sheets. The Company recognized $0 and $ 2.8 million of revenue from loyalty reward redemptions and expirations for the three months ended September 30, 2025 and September 30, 2024, respectively, and $1.5 million and $10.3 million for the nine months ended September 30, 2025 and 2024, respectively.</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Gift Cards and Site Credits</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sells ThredUp gift cards on its e-commerce website and may also convert seller payables and site credits to ThredUp gift cards one year after issuance at the discretion of the Company. ThredUp gift cards do not expire or lose value over periods of inactivity. The Company accounts for gift cards by recognizing a gift card liability at the time a gift card is delivered to the customer. As of September 30, 2025 and December 31, 2024, gift card liabilities of $5.1 million and $8.5 million, respectively, were included in accrued and other current liabilities within the Company’s condensed consolidated balance sheets. Revenue from redemption of gift cards was not material for the three and nine months ended September 30, 2025 and 2024.</w:t>
      </w:r>
    </w:p>
    <w:p>
      <w:pPr>
        <w:spacing w:after="0" w:line="1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recognizes breakage revenue for the portion of gift card values that are not expected to be redeemed. Previously, breakage revenue was estimated when gift card redemption was deemed remote. Beginning in the fourth quarter of 2024, with more historical data available, breakage revenue is estimated based upon historical customer redemption patterns. Breakage revenue primarily relates to gift cards converted from seller payables and site credits. Judgment is required in determining the appropriate grouping of gift cards for analyzing breakage rates, redemption patterns, and estimating the ultimate value of gift cards not expected to be redeemed. Breakage revenue was $2.6 million and $1.3 million for the three months ended September 30, 2025 and 2024, respectively, and $6.5 million and $3.9 million for the nine months ended September 30, 2025 and 2024, respectively.</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September 30, 2025 and December 31, 2024, $4.1 million and $3.8 million, respectively, of such customer site credits were included in accrued and other current liabilities within the Company’s condensed consolidated balance sheets. Revenue recognized from the redemption of site credits was $13.2 million and $10.5 million for the three months ended September 30, 2025 and 2024,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respectively, and $37.1 million and $32.6 million for the nine months ended September 30,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Seller Payable</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Seller payable includes amounts owed to sellers upon the purchase of sellers’ goods by the Company or by buyers. Amounts are initially provided as a credit to sellers (“seller credits”). These credits may be applied towards purchases from the Company, converted to third-party retailer or ThredUp gift cards or redeemed for cash. As of September 30, 2025 and December 31, 2024, there was $ 17.9 million and $ 15.1 million, respectively, of seller payable within the Company’s condensed consolidated balance sheets. Revenue recognized from the</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redemption of seller credits was $8.2 million and $5.8 million for the three months ended September 30, 2025 and 2024, respectively, and $21.7 million and $17.2 million for the nine months ended September 30, 2025 and 2024, respectively.</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which sum to the total of the same such amounts shown in the Company’s condensed consolidated statements of cash flows:</w:t>
      </w:r>
    </w:p>
    <w:p>
      <w:pPr>
        <w:spacing w:after="0" w:line="3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117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3,690</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w:t>
            </w:r>
          </w:p>
        </w:tc>
      </w:tr>
      <w:tr>
        <w:trPr>
          <w:trHeight w:val="21"/>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68"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 - Recurring Basis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September 30, 2025 and December 31, 2024:</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2025</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193"/>
        </w:trPr>
        <w:tc>
          <w:tcPr>
            <w:tcW w:w="6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229"/>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10,732</w:t>
            </w:r>
          </w:p>
        </w:tc>
      </w:tr>
      <w:tr>
        <w:trPr>
          <w:trHeight w:val="223"/>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r>
      <w:tr>
        <w:trPr>
          <w:trHeight w:val="209"/>
        </w:trPr>
        <w:tc>
          <w:tcPr>
            <w:tcW w:w="60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9"/>
        </w:trPr>
        <w:tc>
          <w:tcPr>
            <w:tcW w:w="60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23"/>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22,512</w:t>
            </w:r>
          </w:p>
        </w:tc>
      </w:tr>
      <w:tr>
        <w:trPr>
          <w:trHeight w:val="21"/>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2"/>
        </w:trPr>
        <w:tc>
          <w:tcPr>
            <w:tcW w:w="60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60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193"/>
        </w:trPr>
        <w:tc>
          <w:tcPr>
            <w:tcW w:w="6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7,923</w:t>
            </w:r>
          </w:p>
        </w:tc>
      </w:tr>
      <w:tr>
        <w:trPr>
          <w:trHeight w:val="229"/>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cash equivalents</w:t>
            </w:r>
          </w:p>
        </w:tc>
        <w:tc>
          <w:tcPr>
            <w:tcW w:w="1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w:t>
            </w:r>
          </w:p>
        </w:tc>
      </w:tr>
      <w:tr>
        <w:trPr>
          <w:trHeight w:val="20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w:t>
            </w:r>
          </w:p>
        </w:tc>
      </w:tr>
      <w:tr>
        <w:trPr>
          <w:trHeight w:val="230"/>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r>
      <w:tr>
        <w:trPr>
          <w:trHeight w:val="230"/>
        </w:trPr>
        <w:tc>
          <w:tcPr>
            <w:tcW w:w="602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3"/>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w:t>
            </w: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2025 and December 31, 2024, the Company’s cash equivalents and marketable securities approximated their estimated fair value. As such, the unrealized gains or losses related to the Company’s cash equivalents and marketable securities were not material.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nine months ended September 30, 2025 and 2024, the Company did not recognize any losses on its marketable securities due to credit-related factors.</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2025, the Company’s money market funds were valued using Level 1 inputs because they were valued using quoted prices in active markets. The Company’s commercial paper and U.S. treasury securities were valued using Level 2 inputs because they were valued using quoted prices for similar assets or liabilities in active markets and quoted prices for identical or similar assets or liabilities in markets that are not active.</w:t>
      </w:r>
    </w:p>
    <w:p>
      <w:pPr>
        <w:sectPr>
          <w:pgSz w:w="11900" w:h="16838" w:orient="portrait"/>
          <w:cols w:equalWidth="0" w:num="1">
            <w:col w:w="11240"/>
          </w:cols>
          <w:pgMar w:left="320" w:top="122"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2025 and December 31, 2024, the Company had no assets or liabilities classified within Level 3 of the fair value hierarchy. There were no transfers into or out of Level 3 during the three and nine months ended September 30, 2025. As of September 30, 2025, all of the $4.9 million carrying amount of marketable securities had a contractual maturity date of less than one year.</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 - Nonrecurring Basis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measures the fair value of certain assets on a nonrecurring basis when events or changes in circumstances indicate that the carrying value of the asset or asset group may not be recoverable. Such nonrecurring fair value measurements generally result from impairment charges. The Company did not have any assets resulting in nonrecurring fair value measurements as of September 30, 2025 and December 31, 2024 in the Company’s condensed consolidated balance sheets.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Fair Value Disclosures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2025 and December 31, 2024,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September 30, 2025 and December 31,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r>
      <w:tr>
        <w:trPr>
          <w:trHeight w:val="192"/>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4"/>
          </w:tcPr>
          <w:p>
            <w:pPr>
              <w:jc w:val="right"/>
              <w:ind w:right="1173"/>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82,813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78,908</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w:t>
            </w: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Internal-use software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11,681</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Computers and software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5,583</w:t>
            </w: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136,937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129,598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(61,118)</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68,480</w:t>
            </w: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Depreciation and amortization expense of property and equipment was $3.1 million and $3.5 million for the three months ended September 30, 2025 and 2024, respectively, and $9.5 million and $10.9 million for the nine months ended September 30, 2025 and 2024,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192"/>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4"/>
          </w:tcPr>
          <w:p>
            <w:pPr>
              <w:jc w:val="right"/>
              <w:ind w:right="1174"/>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3,916</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3,438</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29,856</w:t>
            </w:r>
          </w:p>
        </w:tc>
      </w:tr>
      <w:tr>
        <w:trPr>
          <w:trHeight w:val="21"/>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Term Loan was subsequently amended several times, with the most recent amendment taking place in December 2023. As amended, the Term Loan matures on July 14, 2027 and provides for an aggregate borrowing amount of up to $48.8 million, of which $22.5 million remains available and is designated for the purchase of certain equipment. The Term Loan bears interest at the prime rate published in the Wall Street Journal plus a margin of 1.25%, with a floor of 4.75%.</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September 30, 2025, the Company was in compliance with its debt covenants under the Term Loan.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permitted to make voluntary prepayments without penalty or premium at any time.</w:t>
      </w:r>
    </w:p>
    <w:p>
      <w:pPr>
        <w:spacing w:after="0" w:line="2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September 30, 2025 and December 31, 2024, the effective interest rate for borrowings under the Term Loan was 9.45% and 9.71%, respectively.</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nine months ended September 30, 2025 and 2024, the Company did not make any borrowings under the Term Loan and repaid a total of $3.0 million in each of the periods on amounts outstanding under the Term Loan. As of September 30, 2025 and December 31, 2024, the amounts outstanding under the Term Loan were $19.3 million and $22.3 million, respectively.</w:t>
      </w:r>
    </w:p>
    <w:p>
      <w:pPr>
        <w:spacing w:after="0" w:line="17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The Company incurred interest expense related to the Term Loan of $0.5 million and $0.6 million for the three months ended September 30, 2025 and 2024, respectively, and $1.5 million and $2.0 million for the nine months ended September 30, 2025 and 2024,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2025, the future annual principal payments of the Term Loan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Amount</w:t>
            </w:r>
          </w:p>
        </w:tc>
      </w:tr>
      <w:tr>
        <w:trPr>
          <w:trHeight w:val="193"/>
        </w:trPr>
        <w:tc>
          <w:tcPr>
            <w:tcW w:w="9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4"/>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(Remaining three months)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14,333</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Total principal payments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19,333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Stockholders’ Equity</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December 31, 2024:</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340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 2025</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17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2160" w:type="dxa"/>
            <w:vAlign w:val="bottom"/>
            <w:gridSpan w:val="3"/>
          </w:tcPr>
          <w:p>
            <w:pPr>
              <w:jc w:val="center"/>
              <w:ind w:right="480"/>
              <w:spacing w:after="0" w:line="143" w:lineRule="exact"/>
              <w:rPr>
                <w:sz w:val="20"/>
                <w:szCs w:val="20"/>
                <w:color w:val="auto"/>
              </w:rPr>
            </w:pPr>
            <w:r>
              <w:rPr>
                <w:rFonts w:ascii="Arial" w:cs="Arial" w:eastAsia="Arial" w:hAnsi="Arial"/>
                <w:sz w:val="14"/>
                <w:szCs w:val="14"/>
                <w:b w:val="1"/>
                <w:bCs w:val="1"/>
                <w:color w:val="auto"/>
              </w:rPr>
              <w:t>Issued and</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Authorized</w:t>
            </w:r>
          </w:p>
        </w:tc>
        <w:tc>
          <w:tcPr>
            <w:tcW w:w="1580" w:type="dxa"/>
            <w:vAlign w:val="bottom"/>
          </w:tcPr>
          <w:p>
            <w:pPr>
              <w:jc w:val="right"/>
              <w:ind w:right="337"/>
              <w:spacing w:after="0" w:line="143"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Outstanding</w:t>
            </w:r>
          </w:p>
        </w:tc>
        <w:tc>
          <w:tcPr>
            <w:tcW w:w="132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ind w:left="120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88,061</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125,086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 Company has stock-based compensation plans, which are more fully described in Note 10, </w:t>
      </w: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to the Consolidated Financial Statements included in the 2024 10-K. During the nine months ended September 30, 2025, the Company granted restricted stock units subject to service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89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Nine Months Ended</w:t>
            </w:r>
          </w:p>
        </w:tc>
      </w:tr>
      <w:tr>
        <w:trPr>
          <w:trHeight w:val="147"/>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5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6"/>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85"/>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2"/>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19,792</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40"/>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177"/>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1"/>
        </w:trPr>
        <w:tc>
          <w:tcPr>
            <w:tcW w:w="4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900" w:firstLine="324"/>
        <w:spacing w:after="0" w:line="287" w:lineRule="auto"/>
        <w:rPr>
          <w:sz w:val="20"/>
          <w:szCs w:val="20"/>
          <w:color w:val="auto"/>
        </w:rPr>
      </w:pPr>
      <w:r>
        <w:rPr>
          <w:rFonts w:ascii="Arial" w:cs="Arial" w:eastAsia="Arial" w:hAnsi="Arial"/>
          <w:sz w:val="18"/>
          <w:szCs w:val="18"/>
          <w:color w:val="auto"/>
        </w:rPr>
        <w:t>Stock-based compensation expense capitalized in internal use software was not material for the three and nine months ended September 30, 2025 and 2024.</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activities for all stock options under the Company’s stock-based compensation plans for the nine months ended September 30,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Exercise Price Per</w:t>
            </w: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6"/>
                <w:szCs w:val="16"/>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3.61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or expired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3.53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Exercisable as of September 30, 2025</w:t>
            </w: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9,510</w:t>
            </w:r>
          </w:p>
        </w:tc>
        <w:tc>
          <w:tcPr>
            <w:tcW w:w="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2.16</w:t>
            </w:r>
          </w:p>
        </w:tc>
        <w:tc>
          <w:tcPr>
            <w:tcW w:w="80" w:type="dxa"/>
            <w:vAlign w:val="bottom"/>
          </w:tcPr>
          <w:p>
            <w:pPr>
              <w:spacing w:after="0"/>
              <w:rPr>
                <w:sz w:val="17"/>
                <w:szCs w:val="17"/>
                <w:color w:val="auto"/>
              </w:rPr>
            </w:pPr>
          </w:p>
        </w:tc>
        <w:tc>
          <w:tcPr>
            <w:tcW w:w="1740" w:type="dxa"/>
            <w:vAlign w:val="bottom"/>
            <w:gridSpan w:val="2"/>
          </w:tcPr>
          <w:p>
            <w:pPr>
              <w:ind w:left="800"/>
              <w:spacing w:after="0" w:line="203" w:lineRule="exact"/>
              <w:rPr>
                <w:sz w:val="20"/>
                <w:szCs w:val="20"/>
                <w:color w:val="auto"/>
              </w:rPr>
            </w:pPr>
            <w:r>
              <w:rPr>
                <w:rFonts w:ascii="Arial" w:cs="Arial" w:eastAsia="Arial" w:hAnsi="Arial"/>
                <w:sz w:val="18"/>
                <w:szCs w:val="18"/>
                <w:color w:val="auto"/>
              </w:rPr>
              <w:t>3.51 years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69,289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40" w:type="dxa"/>
            <w:vAlign w:val="bottom"/>
            <w:tcBorders>
              <w:bottom w:val="single" w:sz="8" w:color="auto"/>
            </w:tcBorders>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intrinsic value is the amount by which the current market value of the underlying stock exceeds the exercise price of the stock awards.</w:t>
      </w:r>
    </w:p>
    <w:p>
      <w:pPr>
        <w:spacing w:after="0" w:line="1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As of September 30, 2025, the total unrecognized compensation cost related to all nonvested stock options was not material.</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23" w:lineRule="exact"/>
        <w:rPr>
          <w:sz w:val="20"/>
          <w:szCs w:val="20"/>
          <w:color w:val="auto"/>
        </w:rPr>
      </w:pPr>
    </w:p>
    <w:p>
      <w:pPr>
        <w:ind w:left="180" w:firstLine="324"/>
        <w:spacing w:after="0" w:line="287" w:lineRule="auto"/>
        <w:rPr>
          <w:sz w:val="20"/>
          <w:szCs w:val="20"/>
          <w:color w:val="auto"/>
        </w:rPr>
      </w:pPr>
      <w:r>
        <w:rPr>
          <w:rFonts w:ascii="Arial" w:cs="Arial" w:eastAsia="Arial" w:hAnsi="Arial"/>
          <w:sz w:val="18"/>
          <w:szCs w:val="18"/>
          <w:color w:val="auto"/>
        </w:rPr>
        <w:t>The following table summarizes the activities for all restricted stock units (“RSUs”) under the Company’s stock-based compensation plans for the nine months ended September 30, 2025:</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760" w:type="dxa"/>
            <w:vAlign w:val="bottom"/>
          </w:tcPr>
          <w:p>
            <w:pPr>
              <w:spacing w:after="0"/>
              <w:rPr>
                <w:sz w:val="12"/>
                <w:szCs w:val="12"/>
                <w:color w:val="auto"/>
              </w:rPr>
            </w:pPr>
          </w:p>
        </w:tc>
        <w:tc>
          <w:tcPr>
            <w:tcW w:w="16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17"/>
              <w:spacing w:after="0" w:line="14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December 31, 2024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5,436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nonvested as of September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September 30, 2025, the total unrecognized compensation cost related to all nonvested RSUs was $21.1 million and the related weighted-average period over which it is expected to be recognized was approximately two years.</w:t>
      </w:r>
    </w:p>
    <w:p>
      <w:pPr>
        <w:spacing w:after="0" w:line="261" w:lineRule="exact"/>
        <w:rPr>
          <w:sz w:val="20"/>
          <w:szCs w:val="20"/>
          <w:color w:val="auto"/>
        </w:rPr>
      </w:pPr>
    </w:p>
    <w:p>
      <w:pPr>
        <w:ind w:left="180" w:right="8180" w:hanging="172"/>
        <w:spacing w:after="0" w:line="397" w:lineRule="auto"/>
        <w:tabs>
          <w:tab w:leader="none" w:pos="21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Legal Contingencies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15"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U.S. The provision for income tax expense for the three and nine months ended September 30, 2025 and 2024 was determined based upon estimates of the Company’s annual effective tax rate for the years ending December 31, 2025 and 2024, respectively. Since the Company is in a full valuation allowance position due to losses incurred since inception, the provision for taxes consists solely of certain state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securities have been excluded from the computation of diluted loss per share for the periods presented because including them would have been anti-dilutive:</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780" w:type="dxa"/>
            <w:vAlign w:val="bottom"/>
          </w:tcPr>
          <w:p>
            <w:pPr>
              <w:spacing w:after="0"/>
              <w:rPr>
                <w:sz w:val="16"/>
                <w:szCs w:val="16"/>
                <w:color w:val="auto"/>
              </w:rPr>
            </w:pPr>
          </w:p>
        </w:tc>
        <w:tc>
          <w:tcPr>
            <w:tcW w:w="16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2"/>
        </w:trPr>
        <w:tc>
          <w:tcPr>
            <w:tcW w:w="7780" w:type="dxa"/>
            <w:vAlign w:val="bottom"/>
          </w:tcPr>
          <w:p>
            <w:pPr>
              <w:spacing w:after="0"/>
              <w:rPr>
                <w:sz w:val="16"/>
                <w:szCs w:val="16"/>
                <w:color w:val="auto"/>
              </w:rPr>
            </w:pPr>
          </w:p>
        </w:tc>
        <w:tc>
          <w:tcPr>
            <w:tcW w:w="3420" w:type="dxa"/>
            <w:vAlign w:val="bottom"/>
            <w:gridSpan w:val="3"/>
          </w:tcPr>
          <w:p>
            <w:pPr>
              <w:jc w:val="right"/>
              <w:ind w:right="117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8,780</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11,305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18,504</w:t>
            </w:r>
          </w:p>
        </w:tc>
        <w:tc>
          <w:tcPr>
            <w:tcW w:w="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27,599</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November 30, 2024, the Company completed the sale of its European subsidiary, Remix, to Remix’s management (the “Transaction”). The Transaction qualified for held-for-sale classification on November 30, 2024 and represented a strategic shift with a major effect on the Company’s operations and financial results. Following the divestiture, the Company did not have any significant continuing involvement in the operations of Remix. As a result, Remix met the criteria for reporting as a discontinued operation on the same date.</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Remix’s financial results during 2024 are presented as loss from discontinued operations, net of tax in the condensed consolidated statements of operations for the three and nine months ended September 30, 2024. The following table presents the major components of Remix’s financial results for the period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September 30, 2024</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3"/>
          </w:tcPr>
          <w:p>
            <w:pPr>
              <w:jc w:val="right"/>
              <w:ind w:right="296"/>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8,281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29,199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33,810</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3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4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2024 (the “</w:t>
      </w:r>
      <w:r>
        <w:rPr>
          <w:rFonts w:ascii="Arial" w:cs="Arial" w:eastAsia="Arial" w:hAnsi="Arial"/>
          <w:sz w:val="18"/>
          <w:szCs w:val="18"/>
          <w:color w:val="auto"/>
        </w:rPr>
        <w:t>2024</w:t>
      </w:r>
      <w:r>
        <w:rPr>
          <w:rFonts w:ascii="Arial" w:cs="Arial" w:eastAsia="Arial" w:hAnsi="Arial"/>
          <w:sz w:val="18"/>
          <w:szCs w:val="18"/>
          <w:i w:val="1"/>
          <w:iCs w:val="1"/>
          <w:color w:val="auto"/>
        </w:rPr>
        <w:t xml:space="preserve"> 10-K”). There have been no material changes to the risk factors described in our 2024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2025.</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marketplaces we have built enable buyers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In addition to our core marketplace, some of the world’s leading brands and retailers are taking advantage of our Resale-as-a-Service (“RaaS”) offering, which allows them to conveniently offer a scalable closet clean out service and/or resale shop to their customers. We believe that RaaS will accelerate the growth of this emerging category and supplements our overall supply strategy.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30, 2024, we divested 91% of our European business and Bulgarian subsidiary, Remix, which qualified for reporting as a discontinued operation. As a result, Remix’s results during 2024 are presented as a single line item, loss from discontinued operations, net of tax in the condensed consolidated statements of operations and excluded from continuing operations for the three and nine months ended September 30, 2024. In the condensed consolidated statements of cash flows, cash flows attributable to Remix have been segregated and presented separately as net cash flow used in discontinued operating activities and net cash flow used in discontinued investing activities for the nine months ended September 30, 2024. Accordingly, any discussion of historical information in the following sections reflects Remix’s results as a discontinued operation, and amounts, including key operating metrics, and disclosures below pertain to our continuing operations for all periods presented, unless otherwise noted.</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Reform</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July 4, 2025, the U.S. enacted a budget reconciliation package known as the One Big Beautiful Bill Act of 2025 (OBBBA) which includes both tax and non-tax provisions. The changes resulting from the tax provisions in OBBBA are not expected to have a material impact on the Company’s financial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Third Quarter Results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totaled $82.2 million for the third quarter of 2025, compared to $61.5 million for the third quarter of 2024,</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an increase of 33.6% year over year.</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$65.2 million for the third quarter of 2025, compared to $48.8 million for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2024, representing an increase of 33.8% year over year. Gross margin was 79.4%, an increase of 10 basis points from 79.3% in the comparable quarter last year.</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Loss from continuing operations: </w:t>
      </w:r>
      <w:r>
        <w:rPr>
          <w:rFonts w:ascii="Arial" w:cs="Arial" w:eastAsia="Arial" w:hAnsi="Arial"/>
          <w:sz w:val="18"/>
          <w:szCs w:val="18"/>
          <w:color w:val="auto"/>
        </w:rPr>
        <w:t>Loss from continuing operations was $4.2 million, or a negative 5.2% of revenue,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2025, compared to $10.4 million, or a negative 16.8% of revenue, for the third quarter of 2024, representing a decrease of 59.0% year over year .</w:t>
      </w:r>
    </w:p>
    <w:p>
      <w:pPr>
        <w:spacing w:after="0" w:line="16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b w:val="1"/>
          <w:bCs w:val="1"/>
          <w:color w:val="auto"/>
        </w:rPr>
        <w:t>Non-GAAP Adjusted EBITDA from continuing operations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Non-GAAP Adjusted EBITDA from continuing operations was</w:t>
      </w:r>
      <w:r>
        <w:rPr>
          <w:rFonts w:ascii="Arial" w:cs="Arial" w:eastAsia="Arial" w:hAnsi="Arial"/>
          <w:sz w:val="18"/>
          <w:szCs w:val="18"/>
          <w:b w:val="1"/>
          <w:bCs w:val="1"/>
          <w:color w:val="auto"/>
        </w:rPr>
        <w:t xml:space="preserve"> </w:t>
      </w:r>
      <w:r>
        <w:rPr>
          <w:rFonts w:ascii="Arial" w:cs="Arial" w:eastAsia="Arial" w:hAnsi="Arial"/>
          <w:sz w:val="18"/>
          <w:szCs w:val="18"/>
          <w:color w:val="auto"/>
        </w:rPr>
        <w:t>$3.8 million, or 4.6% of revenue, for the third quarter of 2025, compared to $0.3 million, or 0.5% of revenue, for the third quarter of 2024, representing an increase of 1101.3% year over year.</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1.568 million and Orders totaled 1.608 million, in the third quarter of 2025,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1.248 million and 1.172 million, respectively, in the third quarter of 2024, representing increases of 25.6% and 37.2%, respectively, year over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113"/>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40" w:type="dxa"/>
            <w:vAlign w:val="bottom"/>
          </w:tcPr>
          <w:p>
            <w:pPr>
              <w:jc w:val="right"/>
              <w:ind w:right="353"/>
              <w:spacing w:after="0" w:line="147" w:lineRule="exact"/>
              <w:rPr>
                <w:sz w:val="20"/>
                <w:szCs w:val="20"/>
                <w:color w:val="auto"/>
              </w:rPr>
            </w:pPr>
            <w:r>
              <w:rPr>
                <w:rFonts w:ascii="Arial" w:cs="Arial" w:eastAsia="Arial" w:hAnsi="Arial"/>
                <w:sz w:val="14"/>
                <w:szCs w:val="14"/>
                <w:b w:val="1"/>
                <w:bCs w:val="1"/>
                <w:color w:val="auto"/>
              </w:rPr>
              <w:t>September 30,</w:t>
            </w: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113"/>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60" w:type="dxa"/>
            <w:vAlign w:val="bottom"/>
          </w:tcPr>
          <w:p>
            <w:pPr>
              <w:jc w:val="right"/>
              <w:ind w:right="353"/>
              <w:spacing w:after="0" w:line="147" w:lineRule="exact"/>
              <w:rPr>
                <w:sz w:val="20"/>
                <w:szCs w:val="20"/>
                <w:color w:val="auto"/>
              </w:rPr>
            </w:pPr>
            <w:r>
              <w:rPr>
                <w:rFonts w:ascii="Arial" w:cs="Arial" w:eastAsia="Arial" w:hAnsi="Arial"/>
                <w:sz w:val="14"/>
                <w:szCs w:val="14"/>
                <w:b w:val="1"/>
                <w:bCs w:val="1"/>
                <w:color w:val="auto"/>
              </w:rPr>
              <w:t>September 30,</w:t>
            </w: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gridSpan w:val="5"/>
          </w:tcPr>
          <w:p>
            <w:pPr>
              <w:jc w:val="right"/>
              <w:ind w:right="173"/>
              <w:spacing w:after="0"/>
              <w:rPr>
                <w:sz w:val="20"/>
                <w:szCs w:val="20"/>
                <w:color w:val="auto"/>
              </w:rPr>
            </w:pPr>
            <w:r>
              <w:rPr>
                <w:rFonts w:ascii="Arial" w:cs="Arial" w:eastAsia="Arial" w:hAnsi="Arial"/>
                <w:sz w:val="14"/>
                <w:szCs w:val="14"/>
                <w:i w:val="1"/>
                <w:iCs w:val="1"/>
                <w:color w:val="auto"/>
              </w:rPr>
              <w:t>(in thousands, except percentages)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1,248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1,248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Orders</w:t>
            </w:r>
          </w:p>
        </w:tc>
        <w:tc>
          <w:tcPr>
            <w:tcW w:w="120" w:type="dxa"/>
            <w:vAlign w:val="bottom"/>
          </w:tcPr>
          <w:p>
            <w:pPr>
              <w:spacing w:after="0"/>
              <w:rPr>
                <w:sz w:val="19"/>
                <w:szCs w:val="19"/>
                <w:color w:val="auto"/>
              </w:rPr>
            </w:pP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9"/>
                <w:szCs w:val="19"/>
                <w:color w:val="auto"/>
              </w:rPr>
            </w:pPr>
          </w:p>
        </w:tc>
        <w:tc>
          <w:tcPr>
            <w:tcW w:w="1440" w:type="dxa"/>
            <w:vAlign w:val="bottom"/>
          </w:tcPr>
          <w:p>
            <w:pPr>
              <w:jc w:val="right"/>
              <w:ind w:right="433"/>
              <w:spacing w:after="0"/>
              <w:rPr>
                <w:sz w:val="20"/>
                <w:szCs w:val="20"/>
                <w:color w:val="auto"/>
              </w:rPr>
            </w:pPr>
            <w:r>
              <w:rPr>
                <w:rFonts w:ascii="Arial" w:cs="Arial" w:eastAsia="Arial" w:hAnsi="Arial"/>
                <w:sz w:val="18"/>
                <w:szCs w:val="18"/>
                <w:color w:val="auto"/>
              </w:rPr>
              <w:t>1,172</w:t>
            </w: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4,514</w:t>
            </w:r>
          </w:p>
        </w:tc>
        <w:tc>
          <w:tcPr>
            <w:tcW w:w="180" w:type="dxa"/>
            <w:vAlign w:val="bottom"/>
          </w:tcPr>
          <w:p>
            <w:pPr>
              <w:spacing w:after="0"/>
              <w:rPr>
                <w:sz w:val="19"/>
                <w:szCs w:val="19"/>
                <w:color w:val="auto"/>
              </w:rPr>
            </w:pP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3,624</w:t>
            </w: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82,161</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61,514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231,109</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192,764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65,212</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433"/>
              <w:spacing w:after="0"/>
              <w:rPr>
                <w:sz w:val="20"/>
                <w:szCs w:val="20"/>
                <w:color w:val="auto"/>
              </w:rPr>
            </w:pPr>
            <w:r>
              <w:rPr>
                <w:rFonts w:ascii="Arial" w:cs="Arial" w:eastAsia="Arial" w:hAnsi="Arial"/>
                <w:sz w:val="18"/>
                <w:szCs w:val="18"/>
                <w:color w:val="auto"/>
              </w:rPr>
              <w:t>48,754</w:t>
            </w: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183,319</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153,025</w:t>
            </w: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79.4 %</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79.3 %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79.4 %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(4,248)</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3"/>
              <w:spacing w:after="0"/>
              <w:rPr>
                <w:sz w:val="20"/>
                <w:szCs w:val="20"/>
                <w:color w:val="auto"/>
              </w:rPr>
            </w:pPr>
            <w:r>
              <w:rPr>
                <w:rFonts w:ascii="Arial" w:cs="Arial" w:eastAsia="Arial" w:hAnsi="Arial"/>
                <w:sz w:val="18"/>
                <w:szCs w:val="18"/>
                <w:color w:val="auto"/>
              </w:rPr>
              <w:t>(10,358)</w:t>
            </w:r>
          </w:p>
        </w:tc>
        <w:tc>
          <w:tcPr>
            <w:tcW w:w="88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(14,639)</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3"/>
              <w:spacing w:after="0"/>
              <w:rPr>
                <w:sz w:val="20"/>
                <w:szCs w:val="20"/>
                <w:color w:val="auto"/>
              </w:rPr>
            </w:pPr>
            <w:r>
              <w:rPr>
                <w:rFonts w:ascii="Arial" w:cs="Arial" w:eastAsia="Arial" w:hAnsi="Arial"/>
                <w:sz w:val="18"/>
                <w:szCs w:val="18"/>
                <w:color w:val="auto"/>
              </w:rPr>
              <w:t>(31,940)</w:t>
            </w:r>
          </w:p>
        </w:tc>
        <w:tc>
          <w:tcPr>
            <w:tcW w:w="860" w:type="dxa"/>
            <w:vAlign w:val="bottom"/>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Loss from continuing operations</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(16.8)%</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bps</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(16.6)%</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margin</w:t>
            </w:r>
          </w:p>
        </w:tc>
        <w:tc>
          <w:tcPr>
            <w:tcW w:w="1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Non-GAAP Adjusted EBITDA</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93"/>
              <w:spacing w:after="0"/>
              <w:rPr>
                <w:sz w:val="20"/>
                <w:szCs w:val="20"/>
                <w:color w:val="auto"/>
              </w:rPr>
            </w:pPr>
            <w:r>
              <w:rPr>
                <w:rFonts w:ascii="Arial" w:cs="Arial" w:eastAsia="Arial" w:hAnsi="Arial"/>
                <w:sz w:val="18"/>
                <w:szCs w:val="18"/>
                <w:color w:val="auto"/>
              </w:rPr>
              <w:t>3,772</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433"/>
              <w:spacing w:after="0"/>
              <w:rPr>
                <w:sz w:val="20"/>
                <w:szCs w:val="20"/>
                <w:color w:val="auto"/>
              </w:rPr>
            </w:pPr>
            <w:r>
              <w:rPr>
                <w:rFonts w:ascii="Arial" w:cs="Arial" w:eastAsia="Arial" w:hAnsi="Arial"/>
                <w:sz w:val="18"/>
                <w:szCs w:val="18"/>
                <w:color w:val="auto"/>
              </w:rPr>
              <w:t>314</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1101.3</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93"/>
              <w:spacing w:after="0"/>
              <w:rPr>
                <w:sz w:val="20"/>
                <w:szCs w:val="20"/>
                <w:color w:val="auto"/>
              </w:rPr>
            </w:pPr>
            <w:r>
              <w:rPr>
                <w:rFonts w:ascii="Arial" w:cs="Arial" w:eastAsia="Arial" w:hAnsi="Arial"/>
                <w:sz w:val="18"/>
                <w:szCs w:val="18"/>
                <w:color w:val="auto"/>
              </w:rPr>
              <w:t>10,597</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433"/>
              <w:spacing w:after="0"/>
              <w:rPr>
                <w:sz w:val="20"/>
                <w:szCs w:val="20"/>
                <w:color w:val="auto"/>
              </w:rPr>
            </w:pPr>
            <w:r>
              <w:rPr>
                <w:rFonts w:ascii="Arial" w:cs="Arial" w:eastAsia="Arial" w:hAnsi="Arial"/>
                <w:sz w:val="18"/>
                <w:szCs w:val="18"/>
                <w:color w:val="auto"/>
              </w:rPr>
              <w:t>3,690</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187.2</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from continuing operations(1)</w:t>
            </w:r>
          </w:p>
        </w:tc>
        <w:tc>
          <w:tcPr>
            <w:tcW w:w="1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Non-GAAP Adjusted EBITDA</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from continuing operations</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0.5 %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bps</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1.9 %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bps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margin(1)</w:t>
            </w:r>
          </w:p>
        </w:tc>
        <w:tc>
          <w:tcPr>
            <w:tcW w:w="1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0" w:hanging="332"/>
        <w:spacing w:after="0" w:line="262"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Adjusted EBITDA from continuing operations and Non-GAAP Adjusted EBITDA from continuing operations margin are non-GAAP measures, which may not be comparable to similarly-titled measures used by other companies. See below for a reconciliation of Non-GAAP Adjusted EBITDA from continuing operations to its most directly comparable GAAP measure, loss from continuing operations.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from Continuing Operations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Non-GAAP Adjusted EBITDA from Continuing Operations and Non-GAAP Adjusted EBITDA from Continuing Operations Margin</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Adjusted EBITDA from continuing operations means loss from continuing operations adjusted to exclude, where applicable in a given period, stock-based compensation expense, depreciation and amortization, interest expense, provision (benefit) for income taxes, severance and other reorganization costs, and gain on sale of non-marketable equity investment. Non-GAAP Adjusted EBITDA from continuing operations margin represents Non-GAAP Adjusted EBITDA from continuing operations divided by Revenue. We use these non-GAAP measures to evaluate and assess our operating performance and the operating leverage in our business, and for internal planning and forecasting purposes. We believe these non-GAAP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provides a reconciliation of loss from continuing operations to Non-GAAP Adjusted EBITDA from continuing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5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5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500" w:type="dxa"/>
            <w:vAlign w:val="bottom"/>
          </w:tcPr>
          <w:p>
            <w:pPr>
              <w:jc w:val="right"/>
              <w:ind w:right="293"/>
              <w:spacing w:after="0" w:line="147"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5"/>
          </w:tcPr>
          <w:p>
            <w:pPr>
              <w:ind w:left="110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(10,358)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(14,639)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(31,940)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6,162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14,459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Arial" w:cs="Arial" w:eastAsia="Arial" w:hAnsi="Arial"/>
                <w:sz w:val="18"/>
                <w:szCs w:val="18"/>
                <w:color w:val="auto"/>
              </w:rPr>
              <w:t>19,792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3,138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9,473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Severance and other reorganization costs</w:t>
            </w:r>
          </w:p>
        </w:tc>
        <w:tc>
          <w:tcPr>
            <w:tcW w:w="2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sale of non-marketable equity</w:t>
            </w:r>
          </w:p>
        </w:tc>
        <w:tc>
          <w:tcPr>
            <w:tcW w:w="24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240" w:type="dxa"/>
            <w:vAlign w:val="bottom"/>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rPr>
              <w:t>Non-GAAP Adjusted EBITDA from continuing</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8"/>
                <w:szCs w:val="18"/>
                <w:color w:val="auto"/>
              </w:rPr>
              <w:t>3,772</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8"/>
                <w:szCs w:val="18"/>
                <w:color w:val="auto"/>
              </w:rPr>
              <w:t>10,597</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1"/>
        </w:trPr>
        <w:tc>
          <w:tcPr>
            <w:tcW w:w="40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82,161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61,514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231,109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192,764</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rPr>
              <w:t>Non-GAAP Adjusted EBITDA from continuing</w:t>
            </w: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7"/>
        </w:trPr>
        <w:tc>
          <w:tcPr>
            <w:tcW w:w="4020" w:type="dxa"/>
            <w:vAlign w:val="bottom"/>
          </w:tcPr>
          <w:p>
            <w:pPr>
              <w:ind w:left="180"/>
              <w:spacing w:after="0"/>
              <w:rPr>
                <w:sz w:val="20"/>
                <w:szCs w:val="20"/>
                <w:color w:val="auto"/>
              </w:rPr>
            </w:pPr>
            <w:r>
              <w:rPr>
                <w:rFonts w:ascii="Arial" w:cs="Arial" w:eastAsia="Arial" w:hAnsi="Arial"/>
                <w:sz w:val="18"/>
                <w:szCs w:val="18"/>
                <w:color w:val="auto"/>
              </w:rPr>
              <w:t>operations margin</w:t>
            </w:r>
          </w:p>
        </w:tc>
        <w:tc>
          <w:tcPr>
            <w:tcW w:w="2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43"/>
        </w:trPr>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2025 and 2024</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Beginning in the first quarter of 2025, we combined consignment revenue and product revenue into a single line item, revenue, on the condensed consolidated statements of operations and similarly combined related cost of revenue line items. With our transition to a primarily consignment model, product revenue is no longer material. Prior period amounts have been reclassified to conform to the current period’s presentation.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80" w:type="dxa"/>
            <w:vAlign w:val="bottom"/>
            <w:vMerge w:val="restart"/>
          </w:tcPr>
          <w:p>
            <w:pPr>
              <w:jc w:val="right"/>
              <w:ind w:right="664"/>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60" w:type="dxa"/>
            <w:vAlign w:val="bottom"/>
            <w:vMerge w:val="restart"/>
          </w:tcPr>
          <w:p>
            <w:pPr>
              <w:jc w:val="right"/>
              <w:ind w:right="662"/>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5"/>
          </w:tcPr>
          <w:p>
            <w:pPr>
              <w:ind w:left="11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82,161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20,647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231,109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192,764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38,345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increased $20.6 million, or 33.6%, for the three months ended September 30, 2025 as compared to the same period in 2024. The growth in revenue was mainly driven by a 37.2% increase in Orders, supported by higher engagement from new buyers acquired during the third quarter and repeat purchases from customers acquired earlier in the year, partially offset by a 4.2% decrease in the average order value, primarily due to a higher mix of orders from new buyers, who tend to place smaller orders. These trends reflect the continued strength in our core marketplace business and our ongoing focus on driving platform growth.</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increased $38.3 million, or 19.9%, for the nine months ended September 30, 2025 as compared to the same period in 2024. The growth in revenue was mainly driven by an 24.6% increase in Orders, supported by higher engagement from new buyers acquired during the third quarter and repeat purchases from customers acquired earlier in the year, partially offset by a 0.9% decrease in the average order value, primarily due to a higher mix of orders from new buyers, who tend to place smaller orders. These trends reflect the continued strength in our core marketplace business and our ongoing focus on driving platform growth.</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rPr>
                <w:sz w:val="12"/>
                <w:szCs w:val="12"/>
                <w:color w:val="auto"/>
              </w:rPr>
            </w:pPr>
          </w:p>
        </w:tc>
        <w:tc>
          <w:tcPr>
            <w:tcW w:w="1240" w:type="dxa"/>
            <w:vAlign w:val="bottom"/>
            <w:gridSpan w:val="2"/>
          </w:tcPr>
          <w:p>
            <w:pPr>
              <w:jc w:val="right"/>
              <w:ind w:right="57"/>
              <w:spacing w:after="0" w:line="143"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60"/>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99"/>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28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5"/>
          </w:tcPr>
          <w:p>
            <w:pPr>
              <w:jc w:val="center"/>
              <w:ind w:left="761"/>
              <w:spacing w:after="0"/>
              <w:rPr>
                <w:sz w:val="20"/>
                <w:szCs w:val="20"/>
                <w:color w:val="auto"/>
              </w:rPr>
            </w:pPr>
            <w:r>
              <w:rPr>
                <w:rFonts w:ascii="Arial" w:cs="Arial" w:eastAsia="Arial" w:hAnsi="Arial"/>
                <w:sz w:val="14"/>
                <w:szCs w:val="14"/>
                <w:i w:val="1"/>
                <w:iCs w:val="1"/>
                <w:color w:val="auto"/>
              </w:rPr>
              <w:t>(in thousands, except percentages)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16,949</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12,760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421"/>
              <w:spacing w:after="0"/>
              <w:rPr>
                <w:sz w:val="20"/>
                <w:szCs w:val="20"/>
                <w:color w:val="auto"/>
              </w:rPr>
            </w:pPr>
            <w:r>
              <w:rPr>
                <w:rFonts w:ascii="Arial" w:cs="Arial" w:eastAsia="Arial" w:hAnsi="Arial"/>
                <w:sz w:val="18"/>
                <w:szCs w:val="18"/>
                <w:color w:val="auto"/>
              </w:rPr>
              <w:t>4,189</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32.8 %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47,790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39,739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8,051</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20.3 %</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7"/>
              <w:spacing w:after="0"/>
              <w:rPr>
                <w:sz w:val="20"/>
                <w:szCs w:val="20"/>
                <w:color w:val="auto"/>
              </w:rPr>
            </w:pPr>
            <w:r>
              <w:rPr>
                <w:rFonts w:ascii="Arial" w:cs="Arial" w:eastAsia="Arial" w:hAnsi="Arial"/>
                <w:sz w:val="18"/>
                <w:szCs w:val="18"/>
                <w:color w:val="auto"/>
              </w:rPr>
              <w:t>65,212</w:t>
            </w:r>
          </w:p>
        </w:tc>
        <w:tc>
          <w:tcPr>
            <w:tcW w:w="3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48,754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421"/>
              <w:spacing w:after="0"/>
              <w:rPr>
                <w:sz w:val="20"/>
                <w:szCs w:val="20"/>
                <w:color w:val="auto"/>
              </w:rPr>
            </w:pPr>
            <w:r>
              <w:rPr>
                <w:rFonts w:ascii="Arial" w:cs="Arial" w:eastAsia="Arial" w:hAnsi="Arial"/>
                <w:sz w:val="18"/>
                <w:szCs w:val="18"/>
                <w:color w:val="auto"/>
              </w:rPr>
              <w:t>16,458</w:t>
            </w:r>
          </w:p>
        </w:tc>
        <w:tc>
          <w:tcPr>
            <w:tcW w:w="720" w:type="dxa"/>
            <w:vAlign w:val="bottom"/>
          </w:tcPr>
          <w:p>
            <w:pPr>
              <w:ind w:left="120"/>
              <w:spacing w:after="0"/>
              <w:rPr>
                <w:sz w:val="20"/>
                <w:szCs w:val="20"/>
                <w:color w:val="auto"/>
              </w:rPr>
            </w:pPr>
            <w:r>
              <w:rPr>
                <w:rFonts w:ascii="Arial" w:cs="Arial" w:eastAsia="Arial" w:hAnsi="Arial"/>
                <w:sz w:val="18"/>
                <w:szCs w:val="18"/>
                <w:color w:val="auto"/>
              </w:rPr>
              <w:t>33.8 %</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9"/>
              <w:spacing w:after="0"/>
              <w:rPr>
                <w:sz w:val="20"/>
                <w:szCs w:val="20"/>
                <w:color w:val="auto"/>
              </w:rPr>
            </w:pPr>
            <w:r>
              <w:rPr>
                <w:rFonts w:ascii="Arial" w:cs="Arial" w:eastAsia="Arial" w:hAnsi="Arial"/>
                <w:sz w:val="18"/>
                <w:szCs w:val="18"/>
                <w:color w:val="auto"/>
              </w:rPr>
              <w:t>183,319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153,025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419"/>
              <w:spacing w:after="0"/>
              <w:rPr>
                <w:sz w:val="20"/>
                <w:szCs w:val="20"/>
                <w:color w:val="auto"/>
              </w:rPr>
            </w:pPr>
            <w:r>
              <w:rPr>
                <w:rFonts w:ascii="Arial" w:cs="Arial" w:eastAsia="Arial" w:hAnsi="Arial"/>
                <w:sz w:val="18"/>
                <w:szCs w:val="18"/>
                <w:color w:val="auto"/>
              </w:rPr>
              <w:t>30,294</w:t>
            </w:r>
          </w:p>
        </w:tc>
        <w:tc>
          <w:tcPr>
            <w:tcW w:w="720" w:type="dxa"/>
            <w:vAlign w:val="bottom"/>
          </w:tcPr>
          <w:p>
            <w:pPr>
              <w:ind w:left="140"/>
              <w:spacing w:after="0"/>
              <w:rPr>
                <w:sz w:val="20"/>
                <w:szCs w:val="20"/>
                <w:color w:val="auto"/>
              </w:rPr>
            </w:pPr>
            <w:r>
              <w:rPr>
                <w:rFonts w:ascii="Arial" w:cs="Arial" w:eastAsia="Arial" w:hAnsi="Arial"/>
                <w:sz w:val="18"/>
                <w:szCs w:val="18"/>
                <w:color w:val="auto"/>
                <w:w w:val="99"/>
              </w:rPr>
              <w:t>19.8 %</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79.4 %</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color w:val="auto"/>
        </w:rPr>
        <w:t>Gross margin was 79.4% for the three months ended September 30, 2025, compared to 79.3% in the same period in 2024, a slight increase of 10 basis points</w:t>
      </w:r>
      <w:r>
        <w:rPr>
          <w:rFonts w:ascii="Arial" w:cs="Arial" w:eastAsia="Arial" w:hAnsi="Arial"/>
          <w:sz w:val="21"/>
          <w:szCs w:val="21"/>
          <w:color w:val="auto"/>
        </w:rPr>
        <w:t>.</w:t>
      </w:r>
      <w:r>
        <w:rPr>
          <w:rFonts w:ascii="Arial" w:cs="Arial" w:eastAsia="Arial" w:hAnsi="Arial"/>
          <w:sz w:val="18"/>
          <w:szCs w:val="18"/>
          <w:color w:val="auto"/>
        </w:rPr>
        <w:t xml:space="preserve"> Gross margin was 79.3% for the nine months ended September 30, 2025, compared to 79.4% in the same period in 2024, a slight decline of 10 basis points</w:t>
      </w:r>
      <w:r>
        <w:rPr>
          <w:rFonts w:ascii="Arial" w:cs="Arial" w:eastAsia="Arial" w:hAnsi="Arial"/>
          <w:sz w:val="21"/>
          <w:szCs w:val="21"/>
          <w:color w:val="auto"/>
        </w:rPr>
        <w:t>.</w:t>
      </w:r>
      <w:r>
        <w:rPr>
          <w:rFonts w:ascii="Arial" w:cs="Arial" w:eastAsia="Arial" w:hAnsi="Arial"/>
          <w:sz w:val="18"/>
          <w:szCs w:val="18"/>
          <w:color w:val="auto"/>
        </w:rPr>
        <w:t xml:space="preserve"> Overall, gross margin remained relatively stable across both periods.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1240" w:type="dxa"/>
            <w:vAlign w:val="bottom"/>
            <w:gridSpan w:val="2"/>
          </w:tcPr>
          <w:p>
            <w:pPr>
              <w:jc w:val="right"/>
              <w:ind w:right="59"/>
              <w:spacing w:after="0" w:line="147"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8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01"/>
              <w:spacing w:after="0" w:line="147"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6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7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20" w:type="dxa"/>
            <w:vAlign w:val="bottom"/>
            <w:gridSpan w:val="4"/>
          </w:tcPr>
          <w:p>
            <w:pPr>
              <w:jc w:val="right"/>
              <w:ind w:right="81"/>
              <w:spacing w:after="0"/>
              <w:rPr>
                <w:sz w:val="20"/>
                <w:szCs w:val="20"/>
                <w:color w:val="auto"/>
              </w:rPr>
            </w:pPr>
            <w:r>
              <w:rPr>
                <w:rFonts w:ascii="Arial" w:cs="Arial" w:eastAsia="Arial" w:hAnsi="Arial"/>
                <w:sz w:val="14"/>
                <w:szCs w:val="14"/>
                <w:i w:val="1"/>
                <w:iCs w:val="1"/>
                <w:color w:val="auto"/>
              </w:rPr>
              <w:t>(in thousands, except percentages)</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product,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99"/>
              <w:spacing w:after="0"/>
              <w:rPr>
                <w:sz w:val="20"/>
                <w:szCs w:val="20"/>
                <w:color w:val="auto"/>
              </w:rPr>
            </w:pPr>
            <w:r>
              <w:rPr>
                <w:rFonts w:ascii="Arial" w:cs="Arial" w:eastAsia="Arial" w:hAnsi="Arial"/>
                <w:sz w:val="18"/>
                <w:szCs w:val="18"/>
                <w:color w:val="auto"/>
              </w:rPr>
              <w:t>38,545</w:t>
            </w:r>
          </w:p>
        </w:tc>
        <w:tc>
          <w:tcPr>
            <w:tcW w:w="32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33,296</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5,249</w:t>
            </w:r>
          </w:p>
        </w:tc>
        <w:tc>
          <w:tcPr>
            <w:tcW w:w="1340" w:type="dxa"/>
            <w:vAlign w:val="bottom"/>
            <w:gridSpan w:val="3"/>
            <w:vMerge w:val="restart"/>
            <w:shd w:val="clear" w:color="auto" w:fill="CCEEFF"/>
          </w:tcPr>
          <w:p>
            <w:pPr>
              <w:ind w:left="540"/>
              <w:spacing w:after="0"/>
              <w:rPr>
                <w:sz w:val="20"/>
                <w:szCs w:val="20"/>
                <w:color w:val="auto"/>
              </w:rPr>
            </w:pPr>
            <w:r>
              <w:rPr>
                <w:rFonts w:ascii="Arial" w:cs="Arial" w:eastAsia="Arial" w:hAnsi="Arial"/>
                <w:sz w:val="18"/>
                <w:szCs w:val="18"/>
                <w:color w:val="auto"/>
              </w:rPr>
              <w:t>15.8 % $</w:t>
            </w:r>
          </w:p>
        </w:tc>
        <w:tc>
          <w:tcPr>
            <w:tcW w:w="118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auto"/>
              </w:rPr>
              <w:t>111,196</w:t>
            </w:r>
          </w:p>
        </w:tc>
        <w:tc>
          <w:tcPr>
            <w:tcW w:w="132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   105,396</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442"/>
              <w:spacing w:after="0"/>
              <w:rPr>
                <w:sz w:val="20"/>
                <w:szCs w:val="20"/>
                <w:color w:val="auto"/>
              </w:rPr>
            </w:pPr>
            <w:r>
              <w:rPr>
                <w:rFonts w:ascii="Arial" w:cs="Arial" w:eastAsia="Arial" w:hAnsi="Arial"/>
                <w:sz w:val="18"/>
                <w:szCs w:val="18"/>
                <w:color w:val="auto"/>
              </w:rPr>
              <w:t>5,800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5"/>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340" w:type="dxa"/>
            <w:vAlign w:val="bottom"/>
            <w:gridSpan w:val="3"/>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20"/>
              <w:spacing w:after="0" w:line="176" w:lineRule="exact"/>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tcPr>
          <w:p>
            <w:pPr>
              <w:ind w:left="180"/>
              <w:spacing w:after="0" w:line="183" w:lineRule="exact"/>
              <w:rPr>
                <w:sz w:val="20"/>
                <w:szCs w:val="20"/>
                <w:color w:val="auto"/>
              </w:rPr>
            </w:pPr>
            <w:r>
              <w:rPr>
                <w:rFonts w:ascii="Arial" w:cs="Arial" w:eastAsia="Arial" w:hAnsi="Arial"/>
                <w:sz w:val="18"/>
                <w:szCs w:val="18"/>
                <w:color w:val="auto"/>
              </w:rPr>
              <w:t>product,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40" w:type="dxa"/>
            <w:vAlign w:val="bottom"/>
          </w:tcPr>
          <w:p>
            <w:pPr>
              <w:ind w:left="180"/>
              <w:spacing w:after="0" w:line="181" w:lineRule="exact"/>
              <w:rPr>
                <w:sz w:val="20"/>
                <w:szCs w:val="20"/>
                <w:color w:val="auto"/>
              </w:rPr>
            </w:pPr>
            <w:r>
              <w:rPr>
                <w:rFonts w:ascii="Arial" w:cs="Arial" w:eastAsia="Arial" w:hAnsi="Arial"/>
                <w:sz w:val="18"/>
                <w:szCs w:val="18"/>
                <w:color w:val="auto"/>
              </w:rPr>
              <w:t>technology as a</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ind w:left="180"/>
              <w:spacing w:after="0" w:line="176" w:lineRule="exact"/>
              <w:rPr>
                <w:sz w:val="20"/>
                <w:szCs w:val="20"/>
                <w:color w:val="auto"/>
              </w:rPr>
            </w:pPr>
            <w:r>
              <w:rPr>
                <w:rFonts w:ascii="Arial" w:cs="Arial" w:eastAsia="Arial" w:hAnsi="Arial"/>
                <w:sz w:val="18"/>
                <w:szCs w:val="18"/>
                <w:color w:val="auto"/>
              </w:rPr>
              <w:t>percentage of</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46.9 %</w:t>
            </w: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54.1 %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48.1 %</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54.7 %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540" w:type="dxa"/>
            <w:vAlign w:val="bottom"/>
          </w:tcPr>
          <w:p>
            <w:pPr>
              <w:ind w:left="18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Operations, product, and technology expenses increased $5.2 million, or 15.8%, for the three months ended September 30, 2025 as compared to the same period in 2024. The increase was primarily due to a $3.0 million increase in personnel-related costs, primarily driven by distribution center-related labor costs to support greater supply availability for customers, a $1.2 million increase in inbound shipping costs, primarily driven by higher supply volume, and a $1.0 million increase in facilities, technology and other distribution center-related costs. The decrease in operations, product, and technology expenses as a percentage of revenue was primarily due to increased operating leverage resulting from higher revenue.</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Operations, product, and technology expenses increased $5.8 million, or 5.5%, for the nine months ended September 30, 2025 as compared to the same period in 2024. The increase was primarily due to a $5.6 million increase in personnel-related costs, primarily driven by distribution center-related labor costs to support greater supply availability for customers, and a $0.2 million increase in facilities, technology and other distribution center-related costs. The decrease in operations, product, and technology expenses as a percentage of revenue was primarily due to increased operating leverage resulting from higher revenue.</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1400" w:type="dxa"/>
            <w:vAlign w:val="bottom"/>
          </w:tcPr>
          <w:p>
            <w:pPr>
              <w:spacing w:after="0"/>
              <w:rPr>
                <w:sz w:val="17"/>
                <w:szCs w:val="17"/>
                <w:color w:val="auto"/>
              </w:rPr>
            </w:pPr>
          </w:p>
        </w:tc>
        <w:tc>
          <w:tcPr>
            <w:tcW w:w="24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20" w:type="dxa"/>
            <w:vAlign w:val="bottom"/>
          </w:tcPr>
          <w:p>
            <w:pPr>
              <w:jc w:val="right"/>
              <w:ind w:right="61"/>
              <w:spacing w:after="0" w:line="143"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ind w:left="140"/>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59"/>
              <w:spacing w:after="0" w:line="143"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60"/>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jc w:val="right"/>
              <w:ind w:right="59"/>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   16,186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12,912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3,274</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25.4 %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45,535</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37,021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8,514</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175"/>
        </w:trPr>
        <w:tc>
          <w:tcPr>
            <w:tcW w:w="1400" w:type="dxa"/>
            <w:vAlign w:val="bottom"/>
          </w:tcPr>
          <w:p>
            <w:pPr>
              <w:ind w:left="20"/>
              <w:spacing w:after="0" w:line="176" w:lineRule="exact"/>
              <w:rPr>
                <w:sz w:val="20"/>
                <w:szCs w:val="20"/>
                <w:color w:val="auto"/>
              </w:rPr>
            </w:pPr>
            <w:r>
              <w:rPr>
                <w:rFonts w:ascii="Arial" w:cs="Arial" w:eastAsia="Arial" w:hAnsi="Arial"/>
                <w:sz w:val="18"/>
                <w:szCs w:val="18"/>
                <w:color w:val="auto"/>
              </w:rPr>
              <w:t>Marketing as a</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200"/>
              <w:spacing w:after="0" w:line="176" w:lineRule="exact"/>
              <w:rPr>
                <w:sz w:val="20"/>
                <w:szCs w:val="20"/>
                <w:color w:val="auto"/>
              </w:rPr>
            </w:pPr>
            <w:r>
              <w:rPr>
                <w:rFonts w:ascii="Arial" w:cs="Arial" w:eastAsia="Arial" w:hAnsi="Arial"/>
                <w:sz w:val="18"/>
                <w:szCs w:val="18"/>
                <w:color w:val="auto"/>
              </w:rPr>
              <w:t>percentage of</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19.7 %</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19.7 %</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400" w:type="dxa"/>
            <w:vAlign w:val="bottom"/>
          </w:tcPr>
          <w:p>
            <w:pPr>
              <w:ind w:left="200"/>
              <w:spacing w:after="0"/>
              <w:rPr>
                <w:sz w:val="20"/>
                <w:szCs w:val="20"/>
                <w:color w:val="auto"/>
              </w:rPr>
            </w:pPr>
            <w:r>
              <w:rPr>
                <w:rFonts w:ascii="Arial" w:cs="Arial" w:eastAsia="Arial" w:hAnsi="Arial"/>
                <w:sz w:val="18"/>
                <w:szCs w:val="18"/>
                <w:color w:val="auto"/>
              </w:rPr>
              <w:t>revenue</w:t>
            </w:r>
          </w:p>
        </w:tc>
        <w:tc>
          <w:tcPr>
            <w:tcW w:w="12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Marketing expenses increased $ 3.3 million, or 25.4%, for the three months ended September 30, 2025 as compared to the same period in 2024. The increase was primarily due to a $3.4 million increase in advertising costs related to our marketing initiatives aimed at driving customer engagement and platform growth. The decrease in marketing expenses as a percentage of revenue was primarily due to increased operating leverage resulting from higher revenue.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expenses increased $ 8.5 million, or 23.0%, for the nine months ended September 30, 2025 as compared to the same period in 2024. The increase was primarily due to a $7.7 million increase in advertising costs and a $1.4 million increase in professional services, both related to our marketing initiatives aimed at driving customer engagement and platform growth. This increase was partially offset by a $0.5 million decrease in personnel-related costs, primarily due to severance costs incurred in the prior year related to our March 2024 workforce reorganization. The marketing expenses as a percentage of revenue remained relatively consistent across the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80" w:type="dxa"/>
            <w:vAlign w:val="bottom"/>
          </w:tcPr>
          <w:p>
            <w:pPr>
              <w:spacing w:after="0"/>
              <w:rPr>
                <w:sz w:val="12"/>
                <w:szCs w:val="12"/>
                <w:color w:val="auto"/>
              </w:rPr>
            </w:pPr>
          </w:p>
        </w:tc>
        <w:tc>
          <w:tcPr>
            <w:tcW w:w="1220" w:type="dxa"/>
            <w:vAlign w:val="bottom"/>
            <w:gridSpan w:val="2"/>
          </w:tcPr>
          <w:p>
            <w:pPr>
              <w:jc w:val="right"/>
              <w:ind w:right="59"/>
              <w:spacing w:after="0" w:line="147"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30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9"/>
              <w:spacing w:after="0" w:line="147"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2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jc w:val="right"/>
              <w:ind w:right="59"/>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Sales, general,</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79"/>
              <w:spacing w:after="0"/>
              <w:rPr>
                <w:sz w:val="20"/>
                <w:szCs w:val="20"/>
                <w:color w:val="auto"/>
              </w:rPr>
            </w:pPr>
            <w:r>
              <w:rPr>
                <w:rFonts w:ascii="Arial" w:cs="Arial" w:eastAsia="Arial" w:hAnsi="Arial"/>
                <w:sz w:val="18"/>
                <w:szCs w:val="18"/>
                <w:color w:val="auto"/>
              </w:rPr>
              <w:t>14,869</w:t>
            </w:r>
          </w:p>
        </w:tc>
        <w:tc>
          <w:tcPr>
            <w:tcW w:w="32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13,010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464"/>
              <w:spacing w:after="0"/>
              <w:rPr>
                <w:sz w:val="20"/>
                <w:szCs w:val="20"/>
                <w:color w:val="auto"/>
              </w:rPr>
            </w:pPr>
            <w:r>
              <w:rPr>
                <w:rFonts w:ascii="Arial" w:cs="Arial" w:eastAsia="Arial" w:hAnsi="Arial"/>
                <w:sz w:val="18"/>
                <w:szCs w:val="18"/>
                <w:color w:val="auto"/>
              </w:rPr>
              <w:t>1,859</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99"/>
              <w:spacing w:after="0"/>
              <w:rPr>
                <w:sz w:val="20"/>
                <w:szCs w:val="20"/>
                <w:color w:val="auto"/>
              </w:rPr>
            </w:pPr>
            <w:r>
              <w:rPr>
                <w:rFonts w:ascii="Arial" w:cs="Arial" w:eastAsia="Arial" w:hAnsi="Arial"/>
                <w:sz w:val="18"/>
                <w:szCs w:val="18"/>
                <w:color w:val="auto"/>
              </w:rPr>
              <w:t>41,655</w:t>
            </w:r>
          </w:p>
        </w:tc>
        <w:tc>
          <w:tcPr>
            <w:tcW w:w="30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43,072</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402"/>
              <w:spacing w:after="0"/>
              <w:rPr>
                <w:sz w:val="20"/>
                <w:szCs w:val="20"/>
                <w:color w:val="auto"/>
              </w:rPr>
            </w:pPr>
            <w:r>
              <w:rPr>
                <w:rFonts w:ascii="Arial" w:cs="Arial" w:eastAsia="Arial" w:hAnsi="Arial"/>
                <w:sz w:val="18"/>
                <w:szCs w:val="18"/>
                <w:color w:val="auto"/>
              </w:rPr>
              <w:t>(1,417)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5"/>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Sales, general,</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tcPr>
          <w:p>
            <w:pPr>
              <w:ind w:left="180"/>
              <w:spacing w:after="0" w:line="183" w:lineRule="exact"/>
              <w:rPr>
                <w:sz w:val="20"/>
                <w:szCs w:val="20"/>
                <w:color w:val="auto"/>
              </w:rPr>
            </w:pPr>
            <w:r>
              <w:rPr>
                <w:rFonts w:ascii="Arial" w:cs="Arial" w:eastAsia="Arial" w:hAnsi="Arial"/>
                <w:sz w:val="18"/>
                <w:szCs w:val="18"/>
                <w:color w:val="auto"/>
              </w:rPr>
              <w:t>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80" w:type="dxa"/>
            <w:vAlign w:val="bottom"/>
          </w:tcPr>
          <w:p>
            <w:pPr>
              <w:ind w:left="180"/>
              <w:spacing w:after="0" w:line="181" w:lineRule="exact"/>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ind w:left="180"/>
              <w:spacing w:after="0" w:line="176" w:lineRule="exact"/>
              <w:rPr>
                <w:sz w:val="20"/>
                <w:szCs w:val="20"/>
                <w:color w:val="auto"/>
              </w:rPr>
            </w:pPr>
            <w:r>
              <w:rPr>
                <w:rFonts w:ascii="Arial" w:cs="Arial" w:eastAsia="Arial" w:hAnsi="Arial"/>
                <w:sz w:val="18"/>
                <w:szCs w:val="18"/>
                <w:color w:val="auto"/>
              </w:rPr>
              <w:t>as a percentage</w:t>
            </w: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18.1 %</w:t>
            </w: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18.0 %</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580" w:type="dxa"/>
            <w:vAlign w:val="bottom"/>
          </w:tcPr>
          <w:p>
            <w:pPr>
              <w:ind w:left="180"/>
              <w:spacing w:after="0"/>
              <w:rPr>
                <w:sz w:val="20"/>
                <w:szCs w:val="20"/>
                <w:color w:val="auto"/>
              </w:rPr>
            </w:pPr>
            <w:r>
              <w:rPr>
                <w:rFonts w:ascii="Arial" w:cs="Arial" w:eastAsia="Arial" w:hAnsi="Arial"/>
                <w:sz w:val="18"/>
                <w:szCs w:val="18"/>
                <w:color w:val="auto"/>
              </w:rPr>
              <w:t>of revenue</w:t>
            </w: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general, and administrative expenses increased $1.9 million, or 14.3%, for the three months ended September 30, 2025 as compared to the same period in 2024. The increase was primarily due to a $0.8 increase in payment processing fees associated with increased order volume, and a $0.8 million increase in personnel-related costs, mainly driven by higher headcount and executive bonus program. The decrease in sales, general, and administrative expenses as a percentage of revenue was primarily due to increased operating leverage resulting from higher revenue.</w:t>
      </w:r>
    </w:p>
    <w:p>
      <w:pPr>
        <w:spacing w:after="0" w:line="1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general, and administrative expenses decreased $1.4 million, or 3.3%, for the nine months ended September 30, 2025 as compared to the same period in 2024. The decrease was primarily due to a $4.3 million decrease in personnel-related costs, mainly attributable to lower stock-based compensation expense and severance costs incurred in the prior year related to our March 2024 workforce reorganization. This decrease was partially offset by a $1.3 million increase in payment processing fees and a $1.2 million increase in customer appeasement costs, both largely driven by higher order volume during the period. The decrease in sales, general, and administrative expenses as a percentage of revenue was primarily due to increased operating leverage resulting from higher revenue and lower overall costs.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560" w:type="dxa"/>
            <w:vAlign w:val="bottom"/>
          </w:tcPr>
          <w:p>
            <w:pPr>
              <w:spacing w:after="0"/>
              <w:rPr>
                <w:sz w:val="12"/>
                <w:szCs w:val="12"/>
                <w:color w:val="auto"/>
              </w:rPr>
            </w:pPr>
          </w:p>
        </w:tc>
        <w:tc>
          <w:tcPr>
            <w:tcW w:w="11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04"/>
              <w:spacing w:after="0"/>
              <w:rPr>
                <w:sz w:val="20"/>
                <w:szCs w:val="20"/>
                <w:color w:val="auto"/>
              </w:rPr>
            </w:pPr>
            <w:r>
              <w:rPr>
                <w:rFonts w:ascii="Arial" w:cs="Arial" w:eastAsia="Arial" w:hAnsi="Arial"/>
                <w:sz w:val="18"/>
                <w:szCs w:val="18"/>
                <w:color w:val="auto"/>
              </w:rPr>
              <w:t>152</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471</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Interest expense decreased $0.2 million for the three months ended September 30, 2025 as compared to the same period in 2024, primarily due to a lower interest rate environment and reduced outstanding debt balances.</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Interest expense decreased $0.5 million for the nine months ended September 30, 2025 as compared to the same period in 2024, primarily due to a lower interest rate environment and reduced outstanding debt balances.</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80" w:type="dxa"/>
            <w:vAlign w:val="bottom"/>
            <w:vMerge w:val="restart"/>
          </w:tcPr>
          <w:p>
            <w:pPr>
              <w:jc w:val="right"/>
              <w:ind w:right="684"/>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40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5"/>
          </w:tcPr>
          <w:p>
            <w:pPr>
              <w:jc w:val="right"/>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  $</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583</w:t>
            </w:r>
          </w:p>
        </w:tc>
        <w:tc>
          <w:tcPr>
            <w:tcW w:w="80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(156)</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1,969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(534)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income, net decreased $0.2 million for the three months ended September 30, 2025 as compared to the same period in 2024, primarily due to lower interest income resulting from both a decline in interest rates and a reduced average balance of cash and cash equivalents and marketable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income, net decreased $0.5 million for the nine months ended September 30, 2025 as compared to the same period in 2024, primarily due to lower interest income resulting from both a decline in interest rates and a reduced average balance of cash and cash equivalents and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We generated positive cash flows from continuing operations of $12.1 million for the nine months ended September 30, 2025. We have primarily financed our operations through private and public sales of equity securities and a term loan facility (“Term Loan”). As of September 30, 2025, we had cash, cash equivalents, restricted cash and short-term marketable securities of $56.1 million. Additionally, we have a Term Loan under which $22.5 million remained available to be drawn as of September 30, 2025 for the purchase of certain equipment, and we were in full compliance with our debt covenants under the Term Loan as of that date. See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a further discussion on our Term Loan.</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operating losses to continue in 2025 as we continue to invest in growing our business and our infrastructure. Our primary sources of liquidity are cash flows generated from operations, cash on hand and borrowings available under the Term Loan. Our primary uses of cash include seller payouts, operating costs such as distribution network spend, product and technology, marketing, personnel-related expenses, and other expenditures necessary to support our operations and our growth, as well as repayments on our Term Loan.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the continuing growth of our marketplaces and overall economic conditions. However, we expect that our capital expenditures will remain modest for the remainder of 2025. See the section titled </w:t>
      </w:r>
      <w:r>
        <w:rPr>
          <w:rFonts w:ascii="Arial" w:cs="Arial" w:eastAsia="Arial" w:hAnsi="Arial"/>
          <w:sz w:val="18"/>
          <w:szCs w:val="18"/>
          <w:i w:val="1"/>
          <w:iCs w:val="1"/>
          <w:color w:val="auto"/>
        </w:rPr>
        <w:t>“Risk Factors—Risks Relating to Our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and Liquidity</w:t>
      </w:r>
      <w:r>
        <w:rPr>
          <w:rFonts w:ascii="Arial" w:cs="Arial" w:eastAsia="Arial" w:hAnsi="Arial"/>
          <w:sz w:val="18"/>
          <w:szCs w:val="18"/>
          <w:color w:val="auto"/>
        </w:rPr>
        <w:t>—We may require additional capital to support business growth, and this capital might not be available or may be available only</w:t>
      </w:r>
      <w:r>
        <w:rPr>
          <w:rFonts w:ascii="Arial" w:cs="Arial" w:eastAsia="Arial" w:hAnsi="Arial"/>
          <w:sz w:val="18"/>
          <w:szCs w:val="18"/>
          <w:i w:val="1"/>
          <w:iCs w:val="1"/>
          <w:color w:val="auto"/>
        </w:rPr>
        <w:t xml:space="preserve"> </w:t>
      </w:r>
      <w:r>
        <w:rPr>
          <w:rFonts w:ascii="Arial" w:cs="Arial" w:eastAsia="Arial" w:hAnsi="Arial"/>
          <w:sz w:val="18"/>
          <w:szCs w:val="18"/>
          <w:color w:val="auto"/>
        </w:rPr>
        <w:t>by diluting existing stockholders” within the 2024 10-K.</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260" w:type="dxa"/>
            <w:vAlign w:val="bottom"/>
          </w:tcPr>
          <w:p>
            <w:pPr>
              <w:spacing w:after="0"/>
              <w:rPr>
                <w:sz w:val="12"/>
                <w:szCs w:val="12"/>
                <w:color w:val="auto"/>
              </w:rPr>
            </w:pPr>
          </w:p>
        </w:tc>
        <w:tc>
          <w:tcPr>
            <w:tcW w:w="122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Continuing operating activities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316"/>
              <w:spacing w:after="0"/>
              <w:rPr>
                <w:sz w:val="20"/>
                <w:szCs w:val="20"/>
                <w:color w:val="auto"/>
              </w:rPr>
            </w:pPr>
            <w:r>
              <w:rPr>
                <w:rFonts w:ascii="Arial" w:cs="Arial" w:eastAsia="Arial" w:hAnsi="Arial"/>
                <w:sz w:val="18"/>
                <w:szCs w:val="18"/>
                <w:color w:val="auto"/>
              </w:rPr>
              <w:t>4,240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7,875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185.7 %</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investing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98"/>
              </w:rPr>
              <w:t>(7,194)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Continuing financing activities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96"/>
              <w:spacing w:after="0"/>
              <w:rPr>
                <w:sz w:val="20"/>
                <w:szCs w:val="20"/>
                <w:color w:val="auto"/>
              </w:rPr>
            </w:pPr>
            <w:r>
              <w:rPr>
                <w:rFonts w:ascii="Arial" w:cs="Arial" w:eastAsia="Arial" w:hAnsi="Arial"/>
                <w:sz w:val="18"/>
                <w:szCs w:val="18"/>
                <w:color w:val="auto"/>
                <w:w w:val="98"/>
              </w:rPr>
              <w:t>(3,925)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5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56"/>
        </w:trPr>
        <w:tc>
          <w:tcPr>
            <w:tcW w:w="6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change in cash, cash equivalents and restricted cash from continuing</w:t>
            </w:r>
          </w:p>
        </w:tc>
        <w:tc>
          <w:tcPr>
            <w:tcW w:w="2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ind w:left="296"/>
              <w:spacing w:after="0"/>
              <w:rPr>
                <w:sz w:val="20"/>
                <w:szCs w:val="20"/>
                <w:color w:val="auto"/>
              </w:rPr>
            </w:pPr>
            <w:r>
              <w:rPr>
                <w:rFonts w:ascii="Arial" w:cs="Arial" w:eastAsia="Arial" w:hAnsi="Arial"/>
                <w:sz w:val="18"/>
                <w:szCs w:val="18"/>
                <w:color w:val="auto"/>
                <w:w w:val="98"/>
              </w:rPr>
              <w:t>(6,879)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17,644</w:t>
            </w:r>
          </w:p>
        </w:tc>
        <w:tc>
          <w:tcPr>
            <w:tcW w:w="5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6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Continuing Operating Activities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Net cash provided by continuing operating activities was $12.1 million during the nine months ended September 30, 2025, compared to $4.2 million for the same period in 2024. The $7.9 million increase in continuing operating cash inflows was primarily due to a $17.3 million decrease in our loss from continuing operations, partially offset by a $6.2 million decrease in non-cash charges and a $3.3 million net use of cash from changes in operating assets and liabilities. The decrease in non-cash charges was primarily related to a $5.3 million reduction in stock-based compensation expense as a result of the March 2024 workforce reorganization, and a $1.4 million decrease in depreciation expense due to the accelerated depreciation recorded in the fourth quarter of 2024 for warehouse equipment we no longer plan to use. The $3.3 million net decrease in operating assets and liabilities was primarily attributable to cash outflows of $3.9 million from accounts payable, accrued and other liabilities, primarily reflecting the timing of vendor payments and executive bonus program for 2025; $3.6 million from other assets, primarily related to lower sales of owned inventory and the timing of payments and receipts related to prepaid expenses and other receivables; and $1.1 million from accounts receivable, reflecting the timing of cash receipts and higher sales volume near the end of the quarter. These were partially offset by cash inflows of $4.8 million from seller payable, primarily reflecting an increase in seller credit issuance.</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Continuing Investing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Net cash used in continuing investing activities for the nine months ended September 30, 2025 was $0.9 million as compared to $7.2 million for the same period in 2024. The $ 6.3 million increase in cash inflows was primarily due to a $11.7 million decrease in purchases of marketable securities, partially offset by a $4.6 million increase in purchases of property and equipment and a $0.8 million decrease in sale and maturities of marketable securities.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Continuing Financing Activities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Net cash used in continuing financing activities for the nine months ended September 30, 2025 was $0.4 million as compared to $3.9 million for the same period in 2024. The $3.5 million increase in cash inflows was primarily due to a $19.7 million increase in proceeds from issuance of stock-based awards, driven by a higher stock price, partially offset by a $16.2 million increase in payroll taxes paid on stock-based award activity.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2024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2024 10-K.</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2025, we had non-restricted cash and cash equivalents of $46.2 million and marketable securities of $4.9 million, consisting primarily of money market funds, commercial paper, U.S. government agency bonds, and U.S. treasury securities,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2025, inflation remains elevated relative to historical norms in the U.S. where we conduct our business, resulting in higher costs in areas such as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which could slow revenue and Order growth. If we are unable to increase our prices to sufficiently offset the rising costs of doing business, our profitability and financial position could be adversely impacted.</w:t>
      </w:r>
    </w:p>
    <w:p>
      <w:pPr>
        <w:spacing w:after="0" w:line="2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September 30, 2025.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2025.</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quarter ended September 30, 2025 that materially affected, or are reasonably likely to materially affect, our internal control over financial reporting.</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Risks affecting our business are discussed in the section titled “Risk Factors” in Part I, Item 1A of our Annual Report on Form 10-K for the fiscal year ended December 31, 2024 filed with the SEC on March 3, 2025 (our “Fiscal 2024 10-K”). There have been no material changes to our risk factors as previously disclosed in our Fiscal 2024 10-K.</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10b5-1 Trading Plans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three months ended September 30, 2025, none of our directors or officers (as defined in Rule 16a-1(f) under the Exchange Act) adopted or terminated a “Rule 10b5-1 trading arrangement” or “non-Rule 10b5-1 trading arrangement,” as those terms are defined in Item 408 of Regulation S-K.</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jc w:val="center"/>
              <w:ind w:right="654"/>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5"/>
        </w:trPr>
        <w:tc>
          <w:tcPr>
            <w:tcW w:w="11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80" w:type="dxa"/>
            <w:vAlign w:val="bottom"/>
            <w:gridSpan w:val="13"/>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740" w:type="dxa"/>
            <w:vAlign w:val="bottom"/>
            <w:vMerge w:val="restart"/>
          </w:tcPr>
          <w:p>
            <w:pPr>
              <w:jc w:val="center"/>
              <w:ind w:left="214"/>
              <w:spacing w:after="0"/>
              <w:rPr>
                <w:sz w:val="20"/>
                <w:szCs w:val="20"/>
                <w:color w:val="auto"/>
              </w:rPr>
            </w:pPr>
            <w:r>
              <w:rPr>
                <w:rFonts w:ascii="Arial" w:cs="Arial" w:eastAsia="Arial" w:hAnsi="Arial"/>
                <w:sz w:val="14"/>
                <w:szCs w:val="14"/>
                <w:b w:val="1"/>
                <w:bCs w:val="1"/>
                <w:color w:val="auto"/>
              </w:rPr>
              <w:t>Form</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gridSpan w:val="1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260" w:type="dxa"/>
            <w:vAlign w:val="bottom"/>
            <w:tcBorders>
              <w:top w:val="single" w:sz="8" w:color="auto"/>
              <w:bottom w:val="single" w:sz="8" w:color="0000FF"/>
            </w:tcBorders>
            <w:gridSpan w:val="3"/>
            <w:shd w:val="clear" w:color="auto" w:fill="CCEEFF"/>
          </w:tcPr>
          <w:p>
            <w:pPr>
              <w:spacing w:after="0" w:line="182"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Restated Certificate of Incorporation of the Registrant</w:t>
              </w:r>
            </w:hyperlink>
          </w:p>
        </w:tc>
        <w:tc>
          <w:tcPr>
            <w:tcW w:w="2440" w:type="dxa"/>
            <w:vAlign w:val="bottom"/>
            <w:tcBorders>
              <w:top w:val="single" w:sz="8" w:color="auto"/>
              <w:bottom w:val="single" w:sz="8" w:color="CCEEFF"/>
            </w:tcBorders>
            <w:gridSpan w:val="11"/>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214"/>
              <w:spacing w:after="0" w:line="182" w:lineRule="exact"/>
              <w:rPr>
                <w:sz w:val="20"/>
                <w:szCs w:val="20"/>
                <w:color w:val="auto"/>
              </w:rPr>
            </w:pPr>
            <w:r>
              <w:rPr>
                <w:rFonts w:ascii="Arial" w:cs="Arial" w:eastAsia="Arial" w:hAnsi="Arial"/>
                <w:sz w:val="18"/>
                <w:szCs w:val="18"/>
                <w:color w:val="auto"/>
                <w:w w:val="99"/>
              </w:rPr>
              <w:t>10-Q</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8/5/2024</w:t>
            </w: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46">
              <w:r>
                <w:rPr>
                  <w:rFonts w:ascii="Arial" w:cs="Arial" w:eastAsia="Arial" w:hAnsi="Arial"/>
                  <w:sz w:val="18"/>
                  <w:szCs w:val="18"/>
                  <w:color w:val="0000FF"/>
                </w:rPr>
                <w:t>Amended and Restated Bylaws of the Registrant, as adopted on February 16, 2023</w:t>
              </w:r>
            </w:hyperlink>
          </w:p>
        </w:tc>
        <w:tc>
          <w:tcPr>
            <w:tcW w:w="740" w:type="dxa"/>
            <w:vAlign w:val="bottom"/>
          </w:tcPr>
          <w:p>
            <w:pPr>
              <w:jc w:val="center"/>
              <w:ind w:left="214"/>
              <w:spacing w:after="0" w:line="189" w:lineRule="exact"/>
              <w:rPr>
                <w:sz w:val="20"/>
                <w:szCs w:val="20"/>
                <w:color w:val="auto"/>
              </w:rPr>
            </w:pPr>
            <w:r>
              <w:rPr>
                <w:rFonts w:ascii="Arial" w:cs="Arial" w:eastAsia="Arial" w:hAnsi="Arial"/>
                <w:sz w:val="18"/>
                <w:szCs w:val="18"/>
                <w:color w:val="auto"/>
                <w:w w:val="99"/>
              </w:rPr>
              <w:t>8-K</w:t>
            </w:r>
          </w:p>
        </w:tc>
        <w:tc>
          <w:tcPr>
            <w:tcW w:w="1440" w:type="dxa"/>
            <w:vAlign w:val="bottom"/>
            <w:gridSpan w:val="3"/>
          </w:tcPr>
          <w:p>
            <w:pPr>
              <w:jc w:val="center"/>
              <w:ind w:left="315"/>
              <w:spacing w:after="0" w:line="189"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2/21/2023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rFonts w:ascii="Arial" w:cs="Arial" w:eastAsia="Arial" w:hAnsi="Arial"/>
                <w:sz w:val="18"/>
                <w:szCs w:val="18"/>
                <w:color w:val="0000FF"/>
              </w:rPr>
            </w:pPr>
            <w:hyperlink r:id="rId47">
              <w:r>
                <w:rPr>
                  <w:rFonts w:ascii="Arial" w:cs="Arial" w:eastAsia="Arial" w:hAnsi="Arial"/>
                  <w:sz w:val="18"/>
                  <w:szCs w:val="18"/>
                  <w:color w:val="0000FF"/>
                </w:rPr>
                <w:t>Form of Class A common stock certificate of the Registrant</w:t>
              </w:r>
            </w:hyperlink>
          </w:p>
        </w:tc>
        <w:tc>
          <w:tcPr>
            <w:tcW w:w="740" w:type="dxa"/>
            <w:vAlign w:val="bottom"/>
            <w:shd w:val="clear" w:color="auto" w:fill="CCEEFF"/>
          </w:tcPr>
          <w:p>
            <w:pPr>
              <w:jc w:val="center"/>
              <w:ind w:left="214"/>
              <w:spacing w:after="0" w:line="189" w:lineRule="exact"/>
              <w:rPr>
                <w:sz w:val="20"/>
                <w:szCs w:val="20"/>
                <w:color w:val="auto"/>
              </w:rPr>
            </w:pPr>
            <w:r>
              <w:rPr>
                <w:rFonts w:ascii="Arial" w:cs="Arial" w:eastAsia="Arial" w:hAnsi="Arial"/>
                <w:sz w:val="18"/>
                <w:szCs w:val="18"/>
                <w:color w:val="auto"/>
                <w:w w:val="99"/>
              </w:rPr>
              <w:t>S-1</w:t>
            </w:r>
          </w:p>
        </w:tc>
        <w:tc>
          <w:tcPr>
            <w:tcW w:w="1440" w:type="dxa"/>
            <w:vAlign w:val="bottom"/>
            <w:gridSpan w:val="3"/>
            <w:shd w:val="clear" w:color="auto" w:fill="CCEEFF"/>
          </w:tcPr>
          <w:p>
            <w:pPr>
              <w:jc w:val="center"/>
              <w:ind w:left="315"/>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rFonts w:ascii="Arial" w:cs="Arial" w:eastAsia="Arial" w:hAnsi="Arial"/>
                <w:sz w:val="18"/>
                <w:szCs w:val="18"/>
                <w:color w:val="0000FF"/>
              </w:rPr>
            </w:pPr>
            <w:hyperlink r:id="rId48">
              <w:r>
                <w:rPr>
                  <w:rFonts w:ascii="Arial" w:cs="Arial" w:eastAsia="Arial" w:hAnsi="Arial"/>
                  <w:sz w:val="18"/>
                  <w:szCs w:val="18"/>
                  <w:color w:val="0000FF"/>
                </w:rPr>
                <w:t>Tenth Amended and Restated Investors’ Rights Agreement, dated February 16,</w:t>
              </w:r>
            </w:hyperlink>
          </w:p>
        </w:tc>
        <w:tc>
          <w:tcPr>
            <w:tcW w:w="740" w:type="dxa"/>
            <w:vAlign w:val="bottom"/>
          </w:tcPr>
          <w:p>
            <w:pPr>
              <w:jc w:val="center"/>
              <w:ind w:left="214"/>
              <w:spacing w:after="0" w:line="189" w:lineRule="exact"/>
              <w:rPr>
                <w:sz w:val="20"/>
                <w:szCs w:val="20"/>
                <w:color w:val="auto"/>
              </w:rPr>
            </w:pPr>
            <w:r>
              <w:rPr>
                <w:rFonts w:ascii="Arial" w:cs="Arial" w:eastAsia="Arial" w:hAnsi="Arial"/>
                <w:sz w:val="18"/>
                <w:szCs w:val="18"/>
                <w:color w:val="auto"/>
                <w:w w:val="99"/>
              </w:rPr>
              <w:t>S-1</w:t>
            </w:r>
          </w:p>
        </w:tc>
        <w:tc>
          <w:tcPr>
            <w:tcW w:w="1440" w:type="dxa"/>
            <w:vAlign w:val="bottom"/>
            <w:gridSpan w:val="3"/>
          </w:tcPr>
          <w:p>
            <w:pPr>
              <w:jc w:val="center"/>
              <w:ind w:left="315"/>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2021, by and among the Registrant and certain of its stockholders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 Rules 13a-</w:t>
            </w: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340" w:type="dxa"/>
            <w:vAlign w:val="bottom"/>
            <w:tcBorders>
              <w:top w:val="single" w:sz="8" w:color="0000FF"/>
              <w:bottom w:val="single" w:sz="8" w:color="0000FF"/>
            </w:tcBorders>
            <w:gridSpan w:val="9"/>
            <w:shd w:val="clear" w:color="auto" w:fill="CCEEFF"/>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0000FF"/>
            </w:tcBorders>
            <w:shd w:val="clear" w:color="auto" w:fill="CCEEFF"/>
          </w:tcPr>
          <w:p>
            <w:pPr>
              <w:spacing w:after="0" w:line="169" w:lineRule="exact"/>
              <w:rPr>
                <w:sz w:val="20"/>
                <w:szCs w:val="20"/>
                <w:color w:val="auto"/>
              </w:rPr>
            </w:pPr>
            <w:r>
              <w:rPr>
                <w:rFonts w:ascii="Arial" w:cs="Arial" w:eastAsia="Arial" w:hAnsi="Arial"/>
                <w:sz w:val="18"/>
                <w:szCs w:val="18"/>
                <w:color w:val="0000FF"/>
                <w:w w:val="98"/>
              </w:rPr>
              <w:t>Act of 2002</w:t>
            </w:r>
          </w:p>
        </w:tc>
        <w:tc>
          <w:tcPr>
            <w:tcW w:w="5460" w:type="dxa"/>
            <w:vAlign w:val="bottom"/>
            <w:tcBorders>
              <w:bottom w:val="single" w:sz="8" w:color="CCEEFF"/>
            </w:tcBorders>
            <w:gridSpan w:val="9"/>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 Act Rules 13a-</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Act of 2002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80" w:type="dxa"/>
            <w:vAlign w:val="bottom"/>
            <w:tcBorders>
              <w:top w:val="single" w:sz="8" w:color="0000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00" w:type="dxa"/>
            <w:vAlign w:val="bottom"/>
            <w:tcBorders>
              <w:top w:val="single" w:sz="8" w:color="CCEEFF"/>
            </w:tcBorders>
            <w:gridSpan w:val="3"/>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101.INS*</w:t>
            </w: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document</w:t>
            </w: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101.SCH*</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101.DEF*</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101.LAB*</w:t>
            </w:r>
          </w:p>
        </w:tc>
        <w:tc>
          <w:tcPr>
            <w:tcW w:w="20" w:type="dxa"/>
            <w:vAlign w:val="bottom"/>
            <w:shd w:val="clear" w:color="auto" w:fill="CCEEFF"/>
          </w:tcPr>
          <w:p>
            <w:pPr>
              <w:spacing w:after="0"/>
              <w:rPr>
                <w:sz w:val="19"/>
                <w:szCs w:val="19"/>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101.PRE*</w:t>
            </w:r>
          </w:p>
        </w:tc>
        <w:tc>
          <w:tcPr>
            <w:tcW w:w="2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78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with applicable</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7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2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7"/>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2025</w:t>
      </w:r>
    </w:p>
    <w:p>
      <w:pPr>
        <w:sectPr>
          <w:pgSz w:w="11900" w:h="16838" w:orient="portrait"/>
          <w:cols w:equalWidth="0" w:num="1">
            <w:col w:w="11240"/>
          </w:cols>
          <w:pgMar w:left="320" w:top="76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8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2025</w:t>
      </w:r>
    </w:p>
    <w:p>
      <w:pPr>
        <w:sectPr>
          <w:pgSz w:w="11900" w:h="16838" w:orient="portrait"/>
          <w:cols w:equalWidth="0" w:num="1">
            <w:col w:w="11240"/>
          </w:cols>
          <w:pgMar w:left="320" w:top="76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2025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2025</w:t>
      </w:r>
    </w:p>
    <w:p>
      <w:pPr>
        <w:sectPr>
          <w:pgSz w:w="11900" w:h="16838" w:orient="portrait"/>
          <w:cols w:equalWidth="0" w:num="1">
            <w:col w:w="11240"/>
          </w:cols>
          <w:pgMar w:left="320" w:top="76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53" w:lineRule="exact"/>
        <w:rPr>
          <w:sz w:val="20"/>
          <w:szCs w:val="20"/>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2025 (the “Report”) fully complies with the requirements of Section 13(a) or 15(d) of the Securities Exchange Act of 1934;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20"/>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28"/>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9"/>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2025</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45" Type="http://schemas.openxmlformats.org/officeDocument/2006/relationships/hyperlink" Target="https://www.sec.gov/Archives/edgar/data/1484778/000148477824000117/ex31tdup-publiccompanyrest.htm" TargetMode="External"/><Relationship Id="rId46" Type="http://schemas.openxmlformats.org/officeDocument/2006/relationships/hyperlink" Target="https://www.sec.gov/Archives/edgar/data/1484778/000148477823000037/thredup-arpubliccompanybyl.htm" TargetMode="External"/><Relationship Id="rId47" Type="http://schemas.openxmlformats.org/officeDocument/2006/relationships/hyperlink" Target="https://www.sec.gov/Archives/edgar/data/1484778/000162828021003857/exhibit41-sx1.htm" TargetMode="External"/><Relationship Id="rId48" Type="http://schemas.openxmlformats.org/officeDocument/2006/relationships/hyperlink" Target="https://www.sec.gov/Archives/edgar/data/1484778/000162828021003857/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2025-11-03T15:27:07Z</dcterms:created>
  <dcterms:modified xsi:type="dcterms:W3CDTF">2025-11-03T15:27:07Z</dcterms:modified>
</cp:coreProperties>
</file>