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274320</wp:posOffset>
            </wp:positionH>
            <wp:positionV relativeFrom="page">
              <wp:posOffset>433705</wp:posOffset>
            </wp:positionV>
            <wp:extent cx="70084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8495" cy="17145"/>
                    </a:xfrm>
                    <a:prstGeom prst="rect">
                      <a:avLst/>
                    </a:prstGeom>
                    <a:noFill/>
                  </pic:spPr>
                </pic:pic>
              </a:graphicData>
            </a:graphic>
          </wp:anchor>
        </w:drawing>
        <w:t>UNITED STATES</w:t>
      </w:r>
    </w:p>
    <w:p>
      <w:pPr>
        <w:spacing w:after="0" w:line="43" w:lineRule="exact"/>
        <w:rPr>
          <w:sz w:val="24"/>
          <w:szCs w:val="24"/>
          <w:color w:val="auto"/>
        </w:rPr>
      </w:pPr>
    </w:p>
    <w:p>
      <w:pPr>
        <w:ind w:left="24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56"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Washington, D.C. 20549</w:t>
      </w:r>
    </w:p>
    <w:p>
      <w:pPr>
        <w:spacing w:after="0" w:line="6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1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10-Q</w:t>
      </w:r>
    </w:p>
    <w:p>
      <w:pPr>
        <w:spacing w:after="0" w:line="38"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(Mark One)</w:t>
      </w:r>
    </w:p>
    <w:p>
      <w:pPr>
        <w:spacing w:after="0" w:line="58" w:lineRule="exact"/>
        <w:rPr>
          <w:sz w:val="24"/>
          <w:szCs w:val="24"/>
          <w:color w:val="auto"/>
        </w:rPr>
      </w:pPr>
    </w:p>
    <w:p>
      <w:pPr>
        <w:ind w:left="3700" w:right="1480" w:hanging="3509"/>
        <w:spacing w:after="0" w:line="430" w:lineRule="auto"/>
        <w:tabs>
          <w:tab w:leader="none" w:pos="6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0" w:lineRule="exact"/>
        <w:rPr>
          <w:sz w:val="24"/>
          <w:szCs w:val="24"/>
          <w:color w:val="auto"/>
        </w:rPr>
      </w:pPr>
    </w:p>
    <w:p>
      <w:pPr>
        <w:jc w:val="center"/>
        <w:ind w:right="-439"/>
        <w:spacing w:after="0"/>
        <w:rPr>
          <w:sz w:val="20"/>
          <w:szCs w:val="20"/>
          <w:color w:val="auto"/>
        </w:rPr>
      </w:pPr>
      <w:r>
        <w:rPr>
          <w:rFonts w:ascii="Arial" w:cs="Arial" w:eastAsia="Arial" w:hAnsi="Arial"/>
          <w:sz w:val="14"/>
          <w:szCs w:val="14"/>
          <w:b w:val="1"/>
          <w:bCs w:val="1"/>
          <w:color w:val="auto"/>
        </w:rPr>
        <w:t>OR</w:t>
      </w:r>
    </w:p>
    <w:p>
      <w:pPr>
        <w:spacing w:after="0" w:line="214" w:lineRule="exact"/>
        <w:rPr>
          <w:sz w:val="24"/>
          <w:szCs w:val="24"/>
          <w:color w:val="auto"/>
        </w:rPr>
      </w:pPr>
    </w:p>
    <w:p>
      <w:pPr>
        <w:ind w:left="4260" w:right="1500" w:hanging="4044"/>
        <w:spacing w:after="0" w:line="568" w:lineRule="auto"/>
        <w:tabs>
          <w:tab w:leader="none" w:pos="6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Commission file number 001-40249</w:t>
      </w:r>
    </w:p>
    <w:p>
      <w:pPr>
        <w:spacing w:after="0" w:line="204"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5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ThredUp Inc.</w:t>
      </w:r>
    </w:p>
    <w:p>
      <w:pPr>
        <w:spacing w:after="0" w:line="8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4"/>
          <w:szCs w:val="24"/>
          <w:color w:val="auto"/>
        </w:rPr>
      </w:pPr>
    </w:p>
    <w:p>
      <w:pPr>
        <w:ind w:left="318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73" w:lineRule="exact"/>
        <w:rPr>
          <w:sz w:val="24"/>
          <w:szCs w:val="24"/>
          <w:color w:val="auto"/>
        </w:rPr>
      </w:pPr>
    </w:p>
    <w:tbl>
      <w:tblPr>
        <w:tblLayout w:type="fixed"/>
        <w:tblInd w:w="480" w:type="dxa"/>
        <w:tblCellMar>
          <w:top w:w="0" w:type="dxa"/>
          <w:left w:w="0" w:type="dxa"/>
          <w:bottom w:w="0" w:type="dxa"/>
          <w:right w:w="0" w:type="dxa"/>
        </w:tblCellMar>
      </w:tblPr>
      <w:tr>
        <w:trPr>
          <w:trHeight w:val="234"/>
        </w:trPr>
        <w:tc>
          <w:tcPr>
            <w:tcW w:w="4020" w:type="dxa"/>
            <w:vAlign w:val="bottom"/>
          </w:tcPr>
          <w:p>
            <w:pPr>
              <w:jc w:val="center"/>
              <w:ind w:right="432"/>
              <w:spacing w:after="0"/>
              <w:rPr>
                <w:sz w:val="20"/>
                <w:szCs w:val="20"/>
                <w:color w:val="auto"/>
              </w:rPr>
            </w:pPr>
            <w:r>
              <w:rPr>
                <w:rFonts w:ascii="Arial" w:cs="Arial" w:eastAsia="Arial" w:hAnsi="Arial"/>
                <w:sz w:val="18"/>
                <w:szCs w:val="18"/>
                <w:b w:val="1"/>
                <w:bCs w:val="1"/>
                <w:color w:val="auto"/>
                <w:w w:val="98"/>
              </w:rPr>
              <w:t>Delaware</w:t>
            </w:r>
          </w:p>
        </w:tc>
        <w:tc>
          <w:tcPr>
            <w:tcW w:w="5300" w:type="dxa"/>
            <w:vAlign w:val="bottom"/>
          </w:tcPr>
          <w:p>
            <w:pPr>
              <w:jc w:val="right"/>
              <w:ind w:right="792"/>
              <w:spacing w:after="0"/>
              <w:rPr>
                <w:sz w:val="20"/>
                <w:szCs w:val="20"/>
                <w:color w:val="auto"/>
              </w:rPr>
            </w:pPr>
            <w:r>
              <w:rPr>
                <w:rFonts w:ascii="Arial" w:cs="Arial" w:eastAsia="Arial" w:hAnsi="Arial"/>
                <w:sz w:val="18"/>
                <w:szCs w:val="18"/>
                <w:b w:val="1"/>
                <w:bCs w:val="1"/>
                <w:color w:val="auto"/>
              </w:rPr>
              <w:t>26-4009181</w:t>
            </w:r>
          </w:p>
        </w:tc>
      </w:tr>
      <w:tr>
        <w:trPr>
          <w:trHeight w:val="199"/>
        </w:trPr>
        <w:tc>
          <w:tcPr>
            <w:tcW w:w="4020" w:type="dxa"/>
            <w:vAlign w:val="bottom"/>
          </w:tcPr>
          <w:p>
            <w:pPr>
              <w:jc w:val="center"/>
              <w:ind w:right="452"/>
              <w:spacing w:after="0" w:line="199" w:lineRule="exact"/>
              <w:rPr>
                <w:sz w:val="20"/>
                <w:szCs w:val="20"/>
                <w:color w:val="auto"/>
              </w:rPr>
            </w:pPr>
            <w:r>
              <w:rPr>
                <w:rFonts w:ascii="Arial" w:cs="Arial" w:eastAsia="Arial" w:hAnsi="Arial"/>
                <w:sz w:val="18"/>
                <w:szCs w:val="18"/>
                <w:color w:val="auto"/>
                <w:w w:val="97"/>
              </w:rPr>
              <w:t>(State or other jurisdiction of incorporation or</w:t>
            </w:r>
          </w:p>
        </w:tc>
        <w:tc>
          <w:tcPr>
            <w:tcW w:w="5300" w:type="dxa"/>
            <w:vAlign w:val="bottom"/>
          </w:tcPr>
          <w:p>
            <w:pPr>
              <w:jc w:val="center"/>
              <w:ind w:left="2492"/>
              <w:spacing w:after="0" w:line="199" w:lineRule="exact"/>
              <w:rPr>
                <w:sz w:val="20"/>
                <w:szCs w:val="20"/>
                <w:color w:val="auto"/>
              </w:rPr>
            </w:pPr>
            <w:r>
              <w:rPr>
                <w:rFonts w:ascii="Arial" w:cs="Arial" w:eastAsia="Arial" w:hAnsi="Arial"/>
                <w:sz w:val="18"/>
                <w:szCs w:val="18"/>
                <w:color w:val="auto"/>
                <w:w w:val="98"/>
              </w:rPr>
              <w:t>(I.R.S. Employer Identification No.)</w:t>
            </w:r>
          </w:p>
        </w:tc>
      </w:tr>
      <w:tr>
        <w:trPr>
          <w:trHeight w:val="212"/>
        </w:trPr>
        <w:tc>
          <w:tcPr>
            <w:tcW w:w="4020" w:type="dxa"/>
            <w:vAlign w:val="bottom"/>
          </w:tcPr>
          <w:p>
            <w:pPr>
              <w:ind w:left="1080"/>
              <w:spacing w:after="0"/>
              <w:rPr>
                <w:sz w:val="20"/>
                <w:szCs w:val="20"/>
                <w:color w:val="auto"/>
              </w:rPr>
            </w:pPr>
            <w:r>
              <w:rPr>
                <w:rFonts w:ascii="Arial" w:cs="Arial" w:eastAsia="Arial" w:hAnsi="Arial"/>
                <w:sz w:val="18"/>
                <w:szCs w:val="18"/>
                <w:color w:val="auto"/>
              </w:rPr>
              <w:t>organization)</w:t>
            </w:r>
          </w:p>
        </w:tc>
        <w:tc>
          <w:tcPr>
            <w:tcW w:w="5300" w:type="dxa"/>
            <w:vAlign w:val="bottom"/>
          </w:tcPr>
          <w:p>
            <w:pPr>
              <w:spacing w:after="0"/>
              <w:rPr>
                <w:sz w:val="18"/>
                <w:szCs w:val="18"/>
                <w:color w:val="auto"/>
              </w:rPr>
            </w:pPr>
          </w:p>
        </w:tc>
      </w:tr>
      <w:tr>
        <w:trPr>
          <w:trHeight w:val="252"/>
        </w:trPr>
        <w:tc>
          <w:tcPr>
            <w:tcW w:w="4020" w:type="dxa"/>
            <w:vAlign w:val="bottom"/>
          </w:tcPr>
          <w:p>
            <w:pPr>
              <w:jc w:val="center"/>
              <w:ind w:right="452"/>
              <w:spacing w:after="0"/>
              <w:rPr>
                <w:sz w:val="20"/>
                <w:szCs w:val="20"/>
                <w:color w:val="auto"/>
              </w:rPr>
            </w:pPr>
            <w:r>
              <w:rPr>
                <w:rFonts w:ascii="Arial" w:cs="Arial" w:eastAsia="Arial" w:hAnsi="Arial"/>
                <w:sz w:val="18"/>
                <w:szCs w:val="18"/>
                <w:b w:val="1"/>
                <w:bCs w:val="1"/>
                <w:color w:val="auto"/>
                <w:w w:val="97"/>
              </w:rPr>
              <w:t>969 Broadway, Suite 200</w:t>
            </w:r>
          </w:p>
        </w:tc>
        <w:tc>
          <w:tcPr>
            <w:tcW w:w="5300" w:type="dxa"/>
            <w:vAlign w:val="bottom"/>
          </w:tcPr>
          <w:p>
            <w:pPr>
              <w:spacing w:after="0"/>
              <w:rPr>
                <w:sz w:val="21"/>
                <w:szCs w:val="21"/>
                <w:color w:val="auto"/>
              </w:rPr>
            </w:pPr>
          </w:p>
        </w:tc>
      </w:tr>
      <w:tr>
        <w:trPr>
          <w:trHeight w:val="424"/>
        </w:trPr>
        <w:tc>
          <w:tcPr>
            <w:tcW w:w="4020" w:type="dxa"/>
            <w:vAlign w:val="bottom"/>
          </w:tcPr>
          <w:p>
            <w:pPr>
              <w:jc w:val="center"/>
              <w:ind w:right="432"/>
              <w:spacing w:after="0"/>
              <w:rPr>
                <w:sz w:val="20"/>
                <w:szCs w:val="20"/>
                <w:color w:val="auto"/>
              </w:rPr>
            </w:pPr>
            <w:r>
              <w:rPr>
                <w:rFonts w:ascii="Arial" w:cs="Arial" w:eastAsia="Arial" w:hAnsi="Arial"/>
                <w:sz w:val="18"/>
                <w:szCs w:val="18"/>
                <w:b w:val="1"/>
                <w:bCs w:val="1"/>
                <w:color w:val="auto"/>
                <w:w w:val="98"/>
              </w:rPr>
              <w:t>Oakland, CA</w:t>
            </w:r>
          </w:p>
        </w:tc>
        <w:tc>
          <w:tcPr>
            <w:tcW w:w="5300" w:type="dxa"/>
            <w:vAlign w:val="bottom"/>
          </w:tcPr>
          <w:p>
            <w:pPr>
              <w:jc w:val="right"/>
              <w:ind w:right="1012"/>
              <w:spacing w:after="0"/>
              <w:rPr>
                <w:sz w:val="20"/>
                <w:szCs w:val="20"/>
                <w:color w:val="auto"/>
              </w:rPr>
            </w:pPr>
            <w:r>
              <w:rPr>
                <w:rFonts w:ascii="Arial" w:cs="Arial" w:eastAsia="Arial" w:hAnsi="Arial"/>
                <w:sz w:val="18"/>
                <w:szCs w:val="18"/>
                <w:b w:val="1"/>
                <w:bCs w:val="1"/>
                <w:color w:val="auto"/>
              </w:rPr>
              <w:t>94607</w:t>
            </w:r>
          </w:p>
        </w:tc>
      </w:tr>
      <w:tr>
        <w:trPr>
          <w:trHeight w:val="265"/>
        </w:trPr>
        <w:tc>
          <w:tcPr>
            <w:tcW w:w="4020" w:type="dxa"/>
            <w:vAlign w:val="bottom"/>
          </w:tcPr>
          <w:p>
            <w:pPr>
              <w:jc w:val="center"/>
              <w:ind w:right="432"/>
              <w:spacing w:after="0"/>
              <w:rPr>
                <w:sz w:val="20"/>
                <w:szCs w:val="20"/>
                <w:color w:val="auto"/>
              </w:rPr>
            </w:pPr>
            <w:r>
              <w:rPr>
                <w:rFonts w:ascii="Arial" w:cs="Arial" w:eastAsia="Arial" w:hAnsi="Arial"/>
                <w:sz w:val="18"/>
                <w:szCs w:val="18"/>
                <w:color w:val="auto"/>
                <w:w w:val="98"/>
              </w:rPr>
              <w:t>(Address of Principal Executive Offices)</w:t>
            </w:r>
          </w:p>
        </w:tc>
        <w:tc>
          <w:tcPr>
            <w:tcW w:w="5300" w:type="dxa"/>
            <w:vAlign w:val="bottom"/>
          </w:tcPr>
          <w:p>
            <w:pPr>
              <w:jc w:val="center"/>
              <w:ind w:left="2492"/>
              <w:spacing w:after="0"/>
              <w:rPr>
                <w:sz w:val="20"/>
                <w:szCs w:val="20"/>
                <w:color w:val="auto"/>
              </w:rPr>
            </w:pPr>
            <w:r>
              <w:rPr>
                <w:rFonts w:ascii="Arial" w:cs="Arial" w:eastAsia="Arial" w:hAnsi="Arial"/>
                <w:sz w:val="18"/>
                <w:szCs w:val="18"/>
                <w:color w:val="auto"/>
                <w:w w:val="98"/>
              </w:rPr>
              <w:t>(Zip Code)</w:t>
            </w:r>
          </w:p>
        </w:tc>
      </w:tr>
      <w:tr>
        <w:trPr>
          <w:trHeight w:val="331"/>
        </w:trPr>
        <w:tc>
          <w:tcPr>
            <w:tcW w:w="4020" w:type="dxa"/>
            <w:vAlign w:val="bottom"/>
          </w:tcPr>
          <w:p>
            <w:pPr>
              <w:spacing w:after="0"/>
              <w:rPr>
                <w:sz w:val="24"/>
                <w:szCs w:val="24"/>
                <w:color w:val="auto"/>
              </w:rPr>
            </w:pPr>
          </w:p>
        </w:tc>
        <w:tc>
          <w:tcPr>
            <w:tcW w:w="5300" w:type="dxa"/>
            <w:vAlign w:val="bottom"/>
          </w:tcPr>
          <w:p>
            <w:pPr>
              <w:jc w:val="right"/>
              <w:ind w:right="3492"/>
              <w:spacing w:after="0"/>
              <w:rPr>
                <w:sz w:val="20"/>
                <w:szCs w:val="20"/>
                <w:color w:val="auto"/>
              </w:rPr>
            </w:pPr>
            <w:r>
              <w:rPr>
                <w:rFonts w:ascii="Arial" w:cs="Arial" w:eastAsia="Arial" w:hAnsi="Arial"/>
                <w:sz w:val="18"/>
                <w:szCs w:val="18"/>
                <w:b w:val="1"/>
                <w:bCs w:val="1"/>
                <w:color w:val="auto"/>
              </w:rPr>
              <w:t>(415) 402-5202</w:t>
            </w:r>
          </w:p>
        </w:tc>
      </w:tr>
    </w:tbl>
    <w:p>
      <w:pPr>
        <w:spacing w:after="0" w:line="15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______________________</w:t>
      </w:r>
    </w:p>
    <w:p>
      <w:pPr>
        <w:spacing w:after="0" w:line="17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1190" w:type="dxa"/>
        <w:tblCellMar>
          <w:top w:w="0" w:type="dxa"/>
          <w:left w:w="0" w:type="dxa"/>
          <w:bottom w:w="0" w:type="dxa"/>
          <w:right w:w="0" w:type="dxa"/>
        </w:tblCellMar>
      </w:tblPr>
      <w:tr>
        <w:trPr>
          <w:trHeight w:val="211"/>
        </w:trPr>
        <w:tc>
          <w:tcPr>
            <w:tcW w:w="3080" w:type="dxa"/>
            <w:vAlign w:val="bottom"/>
            <w:tcBorders>
              <w:top w:val="single" w:sz="8" w:color="auto"/>
              <w:left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8"/>
              </w:rPr>
              <w:t>Name of each exchange on which</w:t>
            </w:r>
          </w:p>
        </w:tc>
        <w:tc>
          <w:tcPr>
            <w:tcW w:w="0" w:type="dxa"/>
            <w:vAlign w:val="bottom"/>
          </w:tcPr>
          <w:p>
            <w:pPr>
              <w:spacing w:after="0"/>
              <w:rPr>
                <w:sz w:val="1"/>
                <w:szCs w:val="1"/>
                <w:color w:val="auto"/>
              </w:rPr>
            </w:pPr>
          </w:p>
        </w:tc>
      </w:tr>
      <w:tr>
        <w:trPr>
          <w:trHeight w:val="212"/>
        </w:trPr>
        <w:tc>
          <w:tcPr>
            <w:tcW w:w="3080" w:type="dxa"/>
            <w:vAlign w:val="bottom"/>
            <w:tcBorders>
              <w:left w:val="single" w:sz="8" w:color="auto"/>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8"/>
              </w:rPr>
              <w:t>Title of each class</w:t>
            </w:r>
          </w:p>
        </w:tc>
        <w:tc>
          <w:tcPr>
            <w:tcW w:w="308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18"/>
                <w:szCs w:val="18"/>
                <w:color w:val="auto"/>
                <w:w w:val="97"/>
              </w:rPr>
              <w:t>Trading Symbol(s)</w:t>
            </w:r>
          </w:p>
        </w:tc>
        <w:tc>
          <w:tcPr>
            <w:tcW w:w="308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registered</w:t>
            </w:r>
          </w:p>
        </w:tc>
        <w:tc>
          <w:tcPr>
            <w:tcW w:w="0" w:type="dxa"/>
            <w:vAlign w:val="bottom"/>
          </w:tcPr>
          <w:p>
            <w:pPr>
              <w:spacing w:after="0"/>
              <w:rPr>
                <w:sz w:val="1"/>
                <w:szCs w:val="1"/>
                <w:color w:val="auto"/>
              </w:rPr>
            </w:pPr>
          </w:p>
        </w:tc>
      </w:tr>
      <w:tr>
        <w:trPr>
          <w:trHeight w:val="205"/>
        </w:trPr>
        <w:tc>
          <w:tcPr>
            <w:tcW w:w="3080" w:type="dxa"/>
            <w:vAlign w:val="bottom"/>
            <w:tcBorders>
              <w:left w:val="single" w:sz="8" w:color="auto"/>
              <w:right w:val="single" w:sz="8" w:color="auto"/>
            </w:tcBorders>
          </w:tcPr>
          <w:p>
            <w:pPr>
              <w:jc w:val="center"/>
              <w:ind w:left="212"/>
              <w:spacing w:after="0" w:line="205" w:lineRule="exact"/>
              <w:rPr>
                <w:sz w:val="20"/>
                <w:szCs w:val="20"/>
                <w:color w:val="auto"/>
              </w:rPr>
            </w:pPr>
            <w:r>
              <w:rPr>
                <w:rFonts w:ascii="Arial" w:cs="Arial" w:eastAsia="Arial" w:hAnsi="Arial"/>
                <w:sz w:val="18"/>
                <w:szCs w:val="18"/>
                <w:color w:val="auto"/>
                <w:w w:val="98"/>
              </w:rPr>
              <w:t>Class A common stock, $0.0001</w:t>
            </w:r>
          </w:p>
        </w:tc>
        <w:tc>
          <w:tcPr>
            <w:tcW w:w="308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97"/>
              </w:rPr>
              <w:t>TDUP</w:t>
            </w:r>
          </w:p>
        </w:tc>
        <w:tc>
          <w:tcPr>
            <w:tcW w:w="3080" w:type="dxa"/>
            <w:vAlign w:val="bottom"/>
            <w:tcBorders>
              <w:right w:val="single" w:sz="8" w:color="auto"/>
            </w:tcBorders>
            <w:vMerge w:val="restart"/>
          </w:tcPr>
          <w:p>
            <w:pPr>
              <w:jc w:val="center"/>
              <w:ind w:left="212"/>
              <w:spacing w:after="0"/>
              <w:rPr>
                <w:sz w:val="20"/>
                <w:szCs w:val="20"/>
                <w:color w:val="auto"/>
              </w:rPr>
            </w:pPr>
            <w:r>
              <w:rPr>
                <w:rFonts w:ascii="Arial" w:cs="Arial" w:eastAsia="Arial" w:hAnsi="Arial"/>
                <w:sz w:val="18"/>
                <w:szCs w:val="18"/>
                <w:color w:val="auto"/>
                <w:w w:val="98"/>
              </w:rPr>
              <w:t>The Nasdaq Stock Market LLC</w:t>
            </w:r>
          </w:p>
        </w:tc>
        <w:tc>
          <w:tcPr>
            <w:tcW w:w="0" w:type="dxa"/>
            <w:vAlign w:val="bottom"/>
          </w:tcPr>
          <w:p>
            <w:pPr>
              <w:spacing w:after="0"/>
              <w:rPr>
                <w:sz w:val="1"/>
                <w:szCs w:val="1"/>
                <w:color w:val="auto"/>
              </w:rPr>
            </w:pPr>
          </w:p>
        </w:tc>
      </w:tr>
      <w:tr>
        <w:trPr>
          <w:trHeight w:val="119"/>
        </w:trPr>
        <w:tc>
          <w:tcPr>
            <w:tcW w:w="3080" w:type="dxa"/>
            <w:vAlign w:val="bottom"/>
            <w:tcBorders>
              <w:left w:val="single" w:sz="8" w:color="auto"/>
              <w:right w:val="single" w:sz="8" w:color="auto"/>
            </w:tcBorders>
            <w:vMerge w:val="restart"/>
          </w:tcPr>
          <w:p>
            <w:pPr>
              <w:ind w:left="760"/>
              <w:spacing w:after="0"/>
              <w:rPr>
                <w:sz w:val="20"/>
                <w:szCs w:val="20"/>
                <w:color w:val="auto"/>
              </w:rPr>
            </w:pPr>
            <w:r>
              <w:rPr>
                <w:rFonts w:ascii="Arial" w:cs="Arial" w:eastAsia="Arial" w:hAnsi="Arial"/>
                <w:sz w:val="18"/>
                <w:szCs w:val="18"/>
                <w:color w:val="auto"/>
              </w:rPr>
              <w:t>par value per share</w:t>
            </w:r>
          </w:p>
        </w:tc>
        <w:tc>
          <w:tcPr>
            <w:tcW w:w="308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080" w:type="dxa"/>
            <w:vAlign w:val="bottom"/>
            <w:tcBorders>
              <w:left w:val="single" w:sz="8" w:color="auto"/>
              <w:right w:val="single" w:sz="8" w:color="auto"/>
            </w:tcBorders>
            <w:vMerge w:val="continue"/>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7" w:lineRule="exact"/>
        <w:rPr>
          <w:sz w:val="24"/>
          <w:szCs w:val="24"/>
          <w:color w:val="auto"/>
        </w:rPr>
      </w:pPr>
    </w:p>
    <w:p>
      <w:pPr>
        <w:ind w:firstLine="318"/>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7" w:lineRule="exact"/>
        <w:rPr>
          <w:sz w:val="24"/>
          <w:szCs w:val="24"/>
          <w:color w:val="auto"/>
        </w:rPr>
      </w:pPr>
    </w:p>
    <w:p>
      <w:pPr>
        <w:ind w:right="40" w:firstLine="318"/>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7" w:lineRule="exact"/>
        <w:rPr>
          <w:sz w:val="24"/>
          <w:szCs w:val="24"/>
          <w:color w:val="auto"/>
        </w:rPr>
      </w:pPr>
    </w:p>
    <w:p>
      <w:pPr>
        <w:ind w:right="100" w:firstLine="318"/>
        <w:spacing w:after="0" w:line="29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20" w:type="dxa"/>
        <w:tblCellMar>
          <w:top w:w="0" w:type="dxa"/>
          <w:left w:w="0" w:type="dxa"/>
          <w:bottom w:w="0" w:type="dxa"/>
          <w:right w:w="0" w:type="dxa"/>
        </w:tblCellMar>
      </w:tblPr>
      <w:tr>
        <w:trPr>
          <w:trHeight w:val="311"/>
        </w:trPr>
        <w:tc>
          <w:tcPr>
            <w:tcW w:w="3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5"/>
        </w:trPr>
        <w:tc>
          <w:tcPr>
            <w:tcW w:w="3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3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6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752" w:right="439" w:bottom="0" w:gutter="0" w:footer="0" w:header="0"/>
        </w:sectPr>
      </w:pPr>
    </w:p>
    <w:bookmarkStart w:id="1" w:name="page2"/>
    <w:bookmarkEnd w:id="1"/>
    <w:p>
      <w:pPr>
        <w:ind w:firstLine="318"/>
        <w:spacing w:after="0" w:line="22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9" w:lineRule="exact"/>
        <w:rPr>
          <w:sz w:val="20"/>
          <w:szCs w:val="20"/>
          <w:color w:val="auto"/>
        </w:rPr>
      </w:pPr>
    </w:p>
    <w:p>
      <w:pPr>
        <w:ind w:left="320"/>
        <w:spacing w:after="0" w:line="207" w:lineRule="exact"/>
        <w:tabs>
          <w:tab w:leader="none" w:pos="9380" w:val="left"/>
          <w:tab w:leader="none" w:pos="9800" w:val="left"/>
          <w:tab w:leader="none" w:pos="102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318"/>
        <w:spacing w:after="0" w:line="297" w:lineRule="auto"/>
        <w:rPr>
          <w:sz w:val="20"/>
          <w:szCs w:val="20"/>
          <w:color w:val="auto"/>
        </w:rPr>
      </w:pPr>
      <w:r>
        <w:rPr>
          <w:rFonts w:ascii="Arial" w:cs="Arial" w:eastAsia="Arial" w:hAnsi="Arial"/>
          <w:sz w:val="18"/>
          <w:szCs w:val="18"/>
          <w:color w:val="auto"/>
        </w:rPr>
        <w:t>The registrant had 15,022,873 shares of Class A common stock, $0.0001 par value per share, and 79,183,025 shares of Class B common stock, $0.0001 par value per share, outstanding as of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478790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146685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2" w:name="page3"/>
    <w:bookmarkEnd w:id="2"/>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2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0"/>
        </w:trPr>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00" w:type="dxa"/>
            <w:vAlign w:val="bottom"/>
            <w:gridSpan w:val="10"/>
          </w:tcPr>
          <w:p>
            <w:pPr>
              <w:jc w:val="center"/>
              <w:ind w:right="3100"/>
              <w:spacing w:after="0" w:line="180"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520" w:type="dxa"/>
            <w:vAlign w:val="bottom"/>
            <w:gridSpan w:val="2"/>
          </w:tcPr>
          <w:p>
            <w:pPr>
              <w:jc w:val="center"/>
              <w:ind w:left="352"/>
              <w:spacing w:after="0" w:line="180"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3"/>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Item 1.</w:t>
              </w:r>
            </w:hyperlink>
          </w:p>
        </w:tc>
        <w:tc>
          <w:tcPr>
            <w:tcW w:w="3100" w:type="dxa"/>
            <w:vAlign w:val="bottom"/>
            <w:gridSpan w:val="8"/>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3000" w:type="dxa"/>
            <w:vAlign w:val="bottom"/>
            <w:gridSpan w:val="7"/>
          </w:tcPr>
          <w:p>
            <w:pPr>
              <w:spacing w:after="0"/>
              <w:rPr>
                <w:sz w:val="17"/>
                <w:szCs w:val="17"/>
                <w:color w:val="auto"/>
              </w:rPr>
            </w:pPr>
          </w:p>
        </w:tc>
        <w:tc>
          <w:tcPr>
            <w:tcW w:w="31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jc w:val="center"/>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1</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gridSpan w:val="18"/>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w:t>
              </w:r>
            </w:hyperlink>
          </w:p>
        </w:tc>
        <w:tc>
          <w:tcPr>
            <w:tcW w:w="520" w:type="dxa"/>
            <w:vAlign w:val="bottom"/>
            <w:gridSpan w:val="2"/>
          </w:tcPr>
          <w:p>
            <w:pPr>
              <w:jc w:val="center"/>
              <w:ind w:left="352"/>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1</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gridSpan w:val="18"/>
          </w:tcPr>
          <w:p>
            <w:pPr>
              <w:spacing w:after="0" w:line="205"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Loss</w:t>
              </w:r>
            </w:hyperlink>
          </w:p>
        </w:tc>
        <w:tc>
          <w:tcPr>
            <w:tcW w:w="520" w:type="dxa"/>
            <w:vAlign w:val="bottom"/>
            <w:gridSpan w:val="2"/>
          </w:tcPr>
          <w:p>
            <w:pPr>
              <w:jc w:val="center"/>
              <w:ind w:left="352"/>
              <w:spacing w:after="0" w:line="205"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2</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gridSpan w:val="17"/>
          </w:tcPr>
          <w:p>
            <w:pPr>
              <w:spacing w:after="0" w:line="205"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Convertible Preferred Stock and Stockholders’ Equity</w:t>
              </w:r>
            </w:hyperlink>
          </w:p>
        </w:tc>
        <w:tc>
          <w:tcPr>
            <w:tcW w:w="2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jc w:val="center"/>
              <w:spacing w:after="0" w:line="205"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gridSpan w:val="10"/>
          </w:tcPr>
          <w:p>
            <w:pPr>
              <w:spacing w:after="0" w:line="205" w:lineRule="exact"/>
              <w:rPr>
                <w:rFonts w:ascii="Arial" w:cs="Arial" w:eastAsia="Arial" w:hAnsi="Arial"/>
                <w:sz w:val="18"/>
                <w:szCs w:val="18"/>
                <w:color w:val="0000FF"/>
                <w:w w:val="87"/>
              </w:rPr>
            </w:pPr>
            <w:hyperlink w:anchor="page9">
              <w:r>
                <w:rPr>
                  <w:rFonts w:ascii="Arial" w:cs="Arial" w:eastAsia="Arial" w:hAnsi="Arial"/>
                  <w:sz w:val="18"/>
                  <w:szCs w:val="18"/>
                  <w:color w:val="0000FF"/>
                  <w:w w:val="87"/>
                </w:rPr>
                <w:t>Condensed Consolidated Statement of Cash Flows</w:t>
              </w:r>
            </w:hyperlink>
          </w:p>
        </w:tc>
        <w:tc>
          <w:tcPr>
            <w:tcW w:w="3060" w:type="dxa"/>
            <w:vAlign w:val="bottom"/>
            <w:gridSpan w:val="7"/>
          </w:tcPr>
          <w:p>
            <w:pPr>
              <w:spacing w:after="0"/>
              <w:rPr>
                <w:sz w:val="17"/>
                <w:szCs w:val="17"/>
                <w:color w:val="auto"/>
              </w:rPr>
            </w:pPr>
          </w:p>
        </w:tc>
        <w:tc>
          <w:tcPr>
            <w:tcW w:w="2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jc w:val="center"/>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5</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gridSpan w:val="18"/>
          </w:tcPr>
          <w:p>
            <w:pPr>
              <w:spacing w:after="0" w:line="205" w:lineRule="exact"/>
              <w:rPr>
                <w:rFonts w:ascii="Arial" w:cs="Arial" w:eastAsia="Arial" w:hAnsi="Arial"/>
                <w:sz w:val="18"/>
                <w:szCs w:val="18"/>
                <w:color w:val="0000FF"/>
              </w:rPr>
            </w:pPr>
            <w:hyperlink w:anchor="page10">
              <w:r>
                <w:rPr>
                  <w:rFonts w:ascii="Arial" w:cs="Arial" w:eastAsia="Arial" w:hAnsi="Arial"/>
                  <w:sz w:val="18"/>
                  <w:szCs w:val="18"/>
                  <w:color w:val="0000FF"/>
                </w:rPr>
                <w:t>Notes to Unaudited Condensed Consolidated Financial Statements</w:t>
              </w:r>
            </w:hyperlink>
          </w:p>
        </w:tc>
        <w:tc>
          <w:tcPr>
            <w:tcW w:w="520" w:type="dxa"/>
            <w:vAlign w:val="bottom"/>
            <w:gridSpan w:val="2"/>
          </w:tcPr>
          <w:p>
            <w:pPr>
              <w:jc w:val="center"/>
              <w:ind w:left="352"/>
              <w:spacing w:after="0" w:line="205"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3"/>
          </w:tcPr>
          <w:p>
            <w:pPr>
              <w:spacing w:after="0" w:line="205" w:lineRule="exact"/>
              <w:rPr>
                <w:rFonts w:ascii="Arial" w:cs="Arial" w:eastAsia="Arial" w:hAnsi="Arial"/>
                <w:sz w:val="18"/>
                <w:szCs w:val="18"/>
                <w:color w:val="0000FF"/>
              </w:rPr>
            </w:pPr>
            <w:hyperlink w:anchor="page18">
              <w:r>
                <w:rPr>
                  <w:rFonts w:ascii="Arial" w:cs="Arial" w:eastAsia="Arial" w:hAnsi="Arial"/>
                  <w:sz w:val="18"/>
                  <w:szCs w:val="18"/>
                  <w:color w:val="0000FF"/>
                </w:rPr>
                <w:t>Item 2.</w:t>
              </w:r>
            </w:hyperlink>
          </w:p>
        </w:tc>
        <w:tc>
          <w:tcPr>
            <w:tcW w:w="9200" w:type="dxa"/>
            <w:vAlign w:val="bottom"/>
            <w:gridSpan w:val="18"/>
          </w:tcPr>
          <w:p>
            <w:pPr>
              <w:spacing w:after="0" w:line="205" w:lineRule="exact"/>
              <w:rPr>
                <w:rFonts w:ascii="Arial" w:cs="Arial" w:eastAsia="Arial" w:hAnsi="Arial"/>
                <w:sz w:val="18"/>
                <w:szCs w:val="18"/>
                <w:color w:val="0000FF"/>
              </w:rPr>
            </w:pPr>
            <w:hyperlink w:anchor="page18">
              <w:r>
                <w:rPr>
                  <w:rFonts w:ascii="Arial" w:cs="Arial" w:eastAsia="Arial" w:hAnsi="Arial"/>
                  <w:sz w:val="18"/>
                  <w:szCs w:val="18"/>
                  <w:color w:val="0000FF"/>
                </w:rPr>
                <w:t xml:space="preserve">Management's Discussion </w:t>
              </w:r>
            </w:hyperlink>
            <w:r>
              <w:rPr>
                <w:rFonts w:ascii="Arial" w:cs="Arial" w:eastAsia="Arial" w:hAnsi="Arial"/>
                <w:sz w:val="18"/>
                <w:szCs w:val="18"/>
                <w:color w:val="0000FF"/>
              </w:rPr>
              <w:t xml:space="preserve">and </w:t>
            </w:r>
            <w:hyperlink w:anchor="page18">
              <w:r>
                <w:rPr>
                  <w:rFonts w:ascii="Arial" w:cs="Arial" w:eastAsia="Arial" w:hAnsi="Arial"/>
                  <w:sz w:val="18"/>
                  <w:szCs w:val="18"/>
                  <w:color w:val="0000FF"/>
                </w:rPr>
                <w:t xml:space="preserve">Analysis </w:t>
              </w:r>
            </w:hyperlink>
            <w:r>
              <w:rPr>
                <w:rFonts w:ascii="Arial" w:cs="Arial" w:eastAsia="Arial" w:hAnsi="Arial"/>
                <w:sz w:val="18"/>
                <w:szCs w:val="18"/>
                <w:color w:val="0000FF"/>
              </w:rPr>
              <w:t xml:space="preserve">of </w:t>
            </w:r>
            <w:hyperlink w:anchor="page18">
              <w:r>
                <w:rPr>
                  <w:rFonts w:ascii="Arial" w:cs="Arial" w:eastAsia="Arial" w:hAnsi="Arial"/>
                  <w:sz w:val="18"/>
                  <w:szCs w:val="18"/>
                  <w:color w:val="0000FF"/>
                </w:rPr>
                <w:t xml:space="preserve">Financial Condition </w:t>
              </w:r>
            </w:hyperlink>
            <w:r>
              <w:rPr>
                <w:rFonts w:ascii="Arial" w:cs="Arial" w:eastAsia="Arial" w:hAnsi="Arial"/>
                <w:sz w:val="18"/>
                <w:szCs w:val="18"/>
                <w:color w:val="0000FF"/>
              </w:rPr>
              <w:t xml:space="preserve">and </w:t>
            </w:r>
            <w:hyperlink w:anchor="page18">
              <w:r>
                <w:rPr>
                  <w:rFonts w:ascii="Arial" w:cs="Arial" w:eastAsia="Arial" w:hAnsi="Arial"/>
                  <w:sz w:val="18"/>
                  <w:szCs w:val="18"/>
                  <w:color w:val="0000FF"/>
                </w:rPr>
                <w:t xml:space="preserve">Results </w:t>
              </w:r>
            </w:hyperlink>
            <w:r>
              <w:rPr>
                <w:rFonts w:ascii="Arial" w:cs="Arial" w:eastAsia="Arial" w:hAnsi="Arial"/>
                <w:sz w:val="18"/>
                <w:szCs w:val="18"/>
                <w:color w:val="0000FF"/>
              </w:rPr>
              <w:t xml:space="preserve">of </w:t>
            </w:r>
            <w:hyperlink w:anchor="page18">
              <w:r>
                <w:rPr>
                  <w:rFonts w:ascii="Arial" w:cs="Arial" w:eastAsia="Arial" w:hAnsi="Arial"/>
                  <w:sz w:val="18"/>
                  <w:szCs w:val="18"/>
                  <w:color w:val="0000FF"/>
                </w:rPr>
                <w:t>Operations</w:t>
              </w:r>
            </w:hyperlink>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3"/>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9200" w:type="dxa"/>
            <w:vAlign w:val="bottom"/>
            <w:gridSpan w:val="18"/>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3"/>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3"/>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Item 4.</w:t>
              </w:r>
            </w:hyperlink>
          </w:p>
        </w:tc>
        <w:tc>
          <w:tcPr>
            <w:tcW w:w="9200" w:type="dxa"/>
            <w:vAlign w:val="bottom"/>
            <w:gridSpan w:val="18"/>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00" w:type="dxa"/>
            <w:vAlign w:val="bottom"/>
            <w:gridSpan w:val="10"/>
            <w:vMerge w:val="restart"/>
          </w:tcPr>
          <w:p>
            <w:pPr>
              <w:jc w:val="center"/>
              <w:ind w:right="3100"/>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00" w:type="dxa"/>
            <w:vAlign w:val="bottom"/>
            <w:gridSpan w:val="10"/>
            <w:vMerge w:val="continue"/>
          </w:tcPr>
          <w:p>
            <w:pPr>
              <w:spacing w:after="0"/>
              <w:rPr>
                <w:sz w:val="17"/>
                <w:szCs w:val="17"/>
                <w:color w:val="auto"/>
              </w:rPr>
            </w:pPr>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3"/>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Item 1.</w:t>
              </w:r>
            </w:hyperlink>
          </w:p>
        </w:tc>
        <w:tc>
          <w:tcPr>
            <w:tcW w:w="3240" w:type="dxa"/>
            <w:vAlign w:val="bottom"/>
            <w:gridSpan w:val="9"/>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2720" w:type="dxa"/>
            <w:vAlign w:val="bottom"/>
            <w:gridSpan w:val="5"/>
          </w:tcPr>
          <w:p>
            <w:pPr>
              <w:spacing w:after="0"/>
              <w:rPr>
                <w:sz w:val="17"/>
                <w:szCs w:val="17"/>
                <w:color w:val="auto"/>
              </w:rPr>
            </w:pPr>
          </w:p>
        </w:tc>
        <w:tc>
          <w:tcPr>
            <w:tcW w:w="3240" w:type="dxa"/>
            <w:vAlign w:val="bottom"/>
            <w:gridSpan w:val="4"/>
          </w:tcPr>
          <w:p>
            <w:pPr>
              <w:spacing w:after="0"/>
              <w:rPr>
                <w:sz w:val="17"/>
                <w:szCs w:val="17"/>
                <w:color w:val="auto"/>
              </w:rPr>
            </w:pPr>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2"/>
          </w:tcPr>
          <w:p>
            <w:pPr>
              <w:spacing w:after="0" w:line="205" w:lineRule="exact"/>
              <w:rPr>
                <w:rFonts w:ascii="Arial" w:cs="Arial" w:eastAsia="Arial" w:hAnsi="Arial"/>
                <w:sz w:val="18"/>
                <w:szCs w:val="18"/>
                <w:color w:val="0000FF"/>
                <w:w w:val="92"/>
              </w:rPr>
            </w:pPr>
            <w:hyperlink w:anchor="page35">
              <w:r>
                <w:rPr>
                  <w:rFonts w:ascii="Arial" w:cs="Arial" w:eastAsia="Arial" w:hAnsi="Arial"/>
                  <w:sz w:val="18"/>
                  <w:szCs w:val="18"/>
                  <w:color w:val="0000FF"/>
                  <w:w w:val="92"/>
                </w:rPr>
                <w:t>Item 1A.</w:t>
              </w:r>
            </w:hyperlink>
          </w:p>
        </w:tc>
        <w:tc>
          <w:tcPr>
            <w:tcW w:w="420" w:type="dxa"/>
            <w:vAlign w:val="bottom"/>
          </w:tcPr>
          <w:p>
            <w:pPr>
              <w:spacing w:after="0"/>
              <w:rPr>
                <w:sz w:val="17"/>
                <w:szCs w:val="17"/>
                <w:color w:val="auto"/>
              </w:rPr>
            </w:pPr>
          </w:p>
        </w:tc>
        <w:tc>
          <w:tcPr>
            <w:tcW w:w="900" w:type="dxa"/>
            <w:vAlign w:val="bottom"/>
            <w:gridSpan w:val="3"/>
          </w:tcPr>
          <w:p>
            <w:pPr>
              <w:spacing w:after="0" w:line="205" w:lineRule="exact"/>
              <w:rPr>
                <w:rFonts w:ascii="Arial" w:cs="Arial" w:eastAsia="Arial" w:hAnsi="Arial"/>
                <w:sz w:val="18"/>
                <w:szCs w:val="18"/>
                <w:color w:val="0000FF"/>
                <w:w w:val="87"/>
              </w:rPr>
            </w:pPr>
            <w:hyperlink w:anchor="page35">
              <w:r>
                <w:rPr>
                  <w:rFonts w:ascii="Arial" w:cs="Arial" w:eastAsia="Arial" w:hAnsi="Arial"/>
                  <w:sz w:val="18"/>
                  <w:szCs w:val="18"/>
                  <w:color w:val="0000FF"/>
                  <w:w w:val="87"/>
                </w:rPr>
                <w:t>Risk Factors</w:t>
              </w:r>
            </w:hyperlink>
          </w:p>
        </w:tc>
        <w:tc>
          <w:tcPr>
            <w:tcW w:w="8300" w:type="dxa"/>
            <w:vAlign w:val="bottom"/>
            <w:gridSpan w:val="15"/>
          </w:tcPr>
          <w:p>
            <w:pPr>
              <w:spacing w:after="0"/>
              <w:rPr>
                <w:sz w:val="17"/>
                <w:szCs w:val="17"/>
                <w:color w:val="auto"/>
              </w:rPr>
            </w:pPr>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2"/>
          </w:tcPr>
          <w:p>
            <w:pPr>
              <w:spacing w:after="0" w:line="205" w:lineRule="exact"/>
              <w:rPr>
                <w:rFonts w:ascii="Arial" w:cs="Arial" w:eastAsia="Arial" w:hAnsi="Arial"/>
                <w:sz w:val="18"/>
                <w:szCs w:val="18"/>
                <w:color w:val="0000FF"/>
              </w:rPr>
            </w:pPr>
            <w:hyperlink w:anchor="page73">
              <w:r>
                <w:rPr>
                  <w:rFonts w:ascii="Arial" w:cs="Arial" w:eastAsia="Arial" w:hAnsi="Arial"/>
                  <w:sz w:val="18"/>
                  <w:szCs w:val="18"/>
                  <w:color w:val="0000FF"/>
                </w:rPr>
                <w:t>Item 2.</w:t>
              </w:r>
            </w:hyperlink>
          </w:p>
        </w:tc>
        <w:tc>
          <w:tcPr>
            <w:tcW w:w="420" w:type="dxa"/>
            <w:vAlign w:val="bottom"/>
          </w:tcPr>
          <w:p>
            <w:pPr>
              <w:spacing w:after="0"/>
              <w:rPr>
                <w:sz w:val="17"/>
                <w:szCs w:val="17"/>
                <w:color w:val="auto"/>
              </w:rPr>
            </w:pPr>
          </w:p>
        </w:tc>
        <w:tc>
          <w:tcPr>
            <w:tcW w:w="9200" w:type="dxa"/>
            <w:vAlign w:val="bottom"/>
            <w:gridSpan w:val="18"/>
          </w:tcPr>
          <w:p>
            <w:pPr>
              <w:spacing w:after="0" w:line="205" w:lineRule="exact"/>
              <w:rPr>
                <w:rFonts w:ascii="Arial" w:cs="Arial" w:eastAsia="Arial" w:hAnsi="Arial"/>
                <w:sz w:val="18"/>
                <w:szCs w:val="18"/>
                <w:color w:val="0000FF"/>
              </w:rPr>
            </w:pPr>
            <w:hyperlink w:anchor="page73">
              <w:r>
                <w:rPr>
                  <w:rFonts w:ascii="Arial" w:cs="Arial" w:eastAsia="Arial" w:hAnsi="Arial"/>
                  <w:sz w:val="18"/>
                  <w:szCs w:val="18"/>
                  <w:color w:val="0000FF"/>
                </w:rPr>
                <w:t>Unregistered Sales of Equity Securities and Use of Proceeds</w:t>
              </w:r>
            </w:hyperlink>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69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540" w:type="dxa"/>
            <w:vAlign w:val="bottom"/>
            <w:gridSpan w:val="9"/>
            <w:shd w:val="clear" w:color="auto" w:fill="0000FF"/>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60" w:type="dxa"/>
            <w:vAlign w:val="bottom"/>
            <w:gridSpan w:val="3"/>
          </w:tcPr>
          <w:p>
            <w:pPr>
              <w:spacing w:after="0" w:line="205" w:lineRule="exact"/>
              <w:rPr>
                <w:rFonts w:ascii="Arial" w:cs="Arial" w:eastAsia="Arial" w:hAnsi="Arial"/>
                <w:sz w:val="18"/>
                <w:szCs w:val="18"/>
                <w:color w:val="0000FF"/>
              </w:rPr>
            </w:pPr>
            <w:hyperlink w:anchor="page74">
              <w:r>
                <w:rPr>
                  <w:rFonts w:ascii="Arial" w:cs="Arial" w:eastAsia="Arial" w:hAnsi="Arial"/>
                  <w:sz w:val="18"/>
                  <w:szCs w:val="18"/>
                  <w:color w:val="0000FF"/>
                </w:rPr>
                <w:t>Item 6.</w:t>
              </w:r>
            </w:hyperlink>
          </w:p>
        </w:tc>
        <w:tc>
          <w:tcPr>
            <w:tcW w:w="9200" w:type="dxa"/>
            <w:vAlign w:val="bottom"/>
            <w:gridSpan w:val="18"/>
          </w:tcPr>
          <w:p>
            <w:pPr>
              <w:spacing w:after="0" w:line="205" w:lineRule="exact"/>
              <w:rPr>
                <w:rFonts w:ascii="Arial" w:cs="Arial" w:eastAsia="Arial" w:hAnsi="Arial"/>
                <w:sz w:val="18"/>
                <w:szCs w:val="18"/>
                <w:color w:val="0000FF"/>
              </w:rPr>
            </w:pPr>
            <w:hyperlink w:anchor="page74">
              <w:r>
                <w:rPr>
                  <w:rFonts w:ascii="Arial" w:cs="Arial" w:eastAsia="Arial" w:hAnsi="Arial"/>
                  <w:sz w:val="18"/>
                  <w:szCs w:val="18"/>
                  <w:color w:val="0000FF"/>
                </w:rPr>
                <w:t>Exhibits</w:t>
              </w:r>
            </w:hyperlink>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60" w:type="dxa"/>
            <w:vAlign w:val="bottom"/>
            <w:gridSpan w:val="16"/>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gridSpan w:val="18"/>
          </w:tcPr>
          <w:p>
            <w:pPr>
              <w:spacing w:after="0" w:line="205" w:lineRule="exact"/>
              <w:rPr>
                <w:rFonts w:ascii="Arial" w:cs="Arial" w:eastAsia="Arial" w:hAnsi="Arial"/>
                <w:sz w:val="18"/>
                <w:szCs w:val="18"/>
                <w:color w:val="0000FF"/>
              </w:rPr>
            </w:pPr>
            <w:hyperlink w:anchor="page76">
              <w:r>
                <w:rPr>
                  <w:rFonts w:ascii="Arial" w:cs="Arial" w:eastAsia="Arial" w:hAnsi="Arial"/>
                  <w:sz w:val="18"/>
                  <w:szCs w:val="18"/>
                  <w:color w:val="0000FF"/>
                </w:rPr>
                <w:t>Signatures</w:t>
              </w:r>
            </w:hyperlink>
          </w:p>
        </w:tc>
        <w:tc>
          <w:tcPr>
            <w:tcW w:w="960" w:type="dxa"/>
            <w:vAlign w:val="bottom"/>
            <w:gridSpan w:val="3"/>
          </w:tcPr>
          <w:p>
            <w:pPr>
              <w:jc w:val="center"/>
              <w:spacing w:after="0" w:line="205"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159385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58" w:lineRule="exact"/>
        <w:rPr>
          <w:sz w:val="20"/>
          <w:szCs w:val="20"/>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capital resources to meet our liquidity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strategies, plans, objectives and goals, including our expectations regarding future infrastructure investments;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buyers and sellers and the continued impact of network effects as we scale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our key financial and operating metrics;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and recovery therefrom on U.S. and global economies, our business, results of operations, financial condition, demand for secondhand items, sales cycles and buyer and seller retention;</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You should not rely upon forward-looking statements as predictions of future events. The outcome of the events described in these forward-looking statements is subject to risks, uncertainties and other factors described in the section titled “Risk Factors” and elsewhere in this Quarterly Report on Form 10-Q.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based primarily on items processed, items sold and the capacity of our distribution centers.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1520" w:type="dxa"/>
            <w:vAlign w:val="bottom"/>
          </w:tcPr>
          <w:p>
            <w:pPr>
              <w:jc w:val="right"/>
              <w:ind w:right="28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4"/>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64,485</w:t>
            </w:r>
          </w:p>
        </w:tc>
        <w:tc>
          <w:tcPr>
            <w:tcW w:w="0" w:type="dxa"/>
            <w:vAlign w:val="bottom"/>
          </w:tcPr>
          <w:p>
            <w:pPr>
              <w:spacing w:after="0"/>
              <w:rPr>
                <w:sz w:val="1"/>
                <w:szCs w:val="1"/>
                <w:color w:val="auto"/>
              </w:rPr>
            </w:pPr>
          </w:p>
        </w:tc>
      </w:tr>
      <w:tr>
        <w:trPr>
          <w:trHeight w:val="210"/>
        </w:trPr>
        <w:tc>
          <w:tcPr>
            <w:tcW w:w="770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14"/>
        </w:trPr>
        <w:tc>
          <w:tcPr>
            <w:tcW w:w="7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Inventory, net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5,332</w:t>
            </w: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254,890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75,159</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22,338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23,656</w:t>
            </w:r>
          </w:p>
        </w:tc>
        <w:tc>
          <w:tcPr>
            <w:tcW w:w="0" w:type="dxa"/>
            <w:vAlign w:val="bottom"/>
          </w:tcPr>
          <w:p>
            <w:pPr>
              <w:spacing w:after="0"/>
              <w:rPr>
                <w:sz w:val="1"/>
                <w:szCs w:val="1"/>
                <w:color w:val="auto"/>
              </w:rPr>
            </w:pPr>
          </w:p>
        </w:tc>
      </w:tr>
      <w:tr>
        <w:trPr>
          <w:trHeight w:val="214"/>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43,562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233"/>
        </w:trPr>
        <w:tc>
          <w:tcPr>
            <w:tcW w:w="7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323,770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142,911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14,540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9,386</w:t>
            </w:r>
          </w:p>
        </w:tc>
        <w:tc>
          <w:tcPr>
            <w:tcW w:w="0" w:type="dxa"/>
            <w:vAlign w:val="bottom"/>
          </w:tcPr>
          <w:p>
            <w:pPr>
              <w:spacing w:after="0"/>
              <w:rPr>
                <w:sz w:val="1"/>
                <w:szCs w:val="1"/>
                <w:color w:val="auto"/>
              </w:rPr>
            </w:pPr>
          </w:p>
        </w:tc>
      </w:tr>
      <w:tr>
        <w:trPr>
          <w:trHeight w:val="214"/>
        </w:trPr>
        <w:tc>
          <w:tcPr>
            <w:tcW w:w="7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32,541</w:t>
            </w:r>
          </w:p>
        </w:tc>
        <w:tc>
          <w:tcPr>
            <w:tcW w:w="0" w:type="dxa"/>
            <w:vAlign w:val="bottom"/>
          </w:tcPr>
          <w:p>
            <w:pPr>
              <w:spacing w:after="0"/>
              <w:rPr>
                <w:sz w:val="1"/>
                <w:szCs w:val="1"/>
                <w:color w:val="auto"/>
              </w:rPr>
            </w:pPr>
          </w:p>
        </w:tc>
      </w:tr>
      <w:tr>
        <w:trPr>
          <w:trHeight w:val="210"/>
        </w:trPr>
        <w:tc>
          <w:tcPr>
            <w:tcW w:w="7700" w:type="dxa"/>
            <w:vAlign w:val="bottom"/>
          </w:tcPr>
          <w:p>
            <w:pPr>
              <w:ind w:left="240"/>
              <w:spacing w:after="0"/>
              <w:rPr>
                <w:sz w:val="20"/>
                <w:szCs w:val="20"/>
                <w:color w:val="auto"/>
              </w:rPr>
            </w:pPr>
            <w:r>
              <w:rPr>
                <w:rFonts w:ascii="Arial" w:cs="Arial" w:eastAsia="Arial" w:hAnsi="Arial"/>
                <w:sz w:val="16"/>
                <w:szCs w:val="16"/>
                <w:color w:val="auto"/>
              </w:rPr>
              <w:t>Seller payable</w:t>
            </w:r>
          </w:p>
        </w:tc>
        <w:tc>
          <w:tcPr>
            <w:tcW w:w="3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15,194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13,724</w:t>
            </w:r>
          </w:p>
        </w:tc>
        <w:tc>
          <w:tcPr>
            <w:tcW w:w="0" w:type="dxa"/>
            <w:vAlign w:val="bottom"/>
          </w:tcPr>
          <w:p>
            <w:pPr>
              <w:spacing w:after="0"/>
              <w:rPr>
                <w:sz w:val="1"/>
                <w:szCs w:val="1"/>
                <w:color w:val="auto"/>
              </w:rPr>
            </w:pPr>
          </w:p>
        </w:tc>
      </w:tr>
      <w:tr>
        <w:trPr>
          <w:trHeight w:val="214"/>
        </w:trPr>
        <w:tc>
          <w:tcPr>
            <w:tcW w:w="7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76,285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62,564</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20,811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21,574</w:t>
            </w:r>
          </w:p>
        </w:tc>
        <w:tc>
          <w:tcPr>
            <w:tcW w:w="0" w:type="dxa"/>
            <w:vAlign w:val="bottom"/>
          </w:tcPr>
          <w:p>
            <w:pPr>
              <w:spacing w:after="0"/>
              <w:rPr>
                <w:sz w:val="1"/>
                <w:szCs w:val="1"/>
                <w:color w:val="auto"/>
              </w:rPr>
            </w:pPr>
          </w:p>
        </w:tc>
      </w:tr>
      <w:tr>
        <w:trPr>
          <w:trHeight w:val="215"/>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31,190</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132,343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118,047</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700" w:type="dxa"/>
            <w:vAlign w:val="bottom"/>
            <w:shd w:val="clear" w:color="auto" w:fill="CCEEFF"/>
          </w:tcPr>
          <w:p>
            <w:pPr>
              <w:jc w:val="center"/>
              <w:spacing w:after="0" w:line="177" w:lineRule="exact"/>
              <w:rPr>
                <w:sz w:val="20"/>
                <w:szCs w:val="20"/>
                <w:color w:val="auto"/>
              </w:rPr>
            </w:pPr>
            <w:r>
              <w:rPr>
                <w:rFonts w:ascii="Arial" w:cs="Arial" w:eastAsia="Arial" w:hAnsi="Arial"/>
                <w:sz w:val="16"/>
                <w:szCs w:val="16"/>
                <w:color w:val="auto"/>
                <w:w w:val="99"/>
              </w:rPr>
              <w:t>Convertible preferred stock: $0.0001 par value; 100,000,000 and 68,139,958 shares authorized as of March</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700" w:type="dxa"/>
            <w:vAlign w:val="bottom"/>
            <w:shd w:val="clear" w:color="auto" w:fill="CCEEFF"/>
          </w:tcPr>
          <w:p>
            <w:pPr>
              <w:ind w:left="240"/>
              <w:spacing w:after="0" w:line="159" w:lineRule="exact"/>
              <w:rPr>
                <w:sz w:val="20"/>
                <w:szCs w:val="20"/>
                <w:color w:val="auto"/>
              </w:rPr>
            </w:pPr>
            <w:r>
              <w:rPr>
                <w:rFonts w:ascii="Arial" w:cs="Arial" w:eastAsia="Arial" w:hAnsi="Arial"/>
                <w:sz w:val="16"/>
                <w:szCs w:val="16"/>
                <w:color w:val="auto"/>
              </w:rPr>
              <w:t>31, 2021 and December 31, 2020, respectively; 0 and 65,970,938 shares issued and outstanding as of</w:t>
            </w:r>
          </w:p>
        </w:tc>
        <w:tc>
          <w:tcPr>
            <w:tcW w:w="3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247,041</w:t>
            </w: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March 31, 2021 and December 31, 2020, respectively</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700" w:type="dxa"/>
            <w:vAlign w:val="bottom"/>
            <w:shd w:val="clear" w:color="auto" w:fill="CCEEFF"/>
          </w:tcPr>
          <w:p>
            <w:pPr>
              <w:jc w:val="center"/>
              <w:spacing w:after="0" w:line="177" w:lineRule="exact"/>
              <w:rPr>
                <w:sz w:val="20"/>
                <w:szCs w:val="20"/>
                <w:color w:val="auto"/>
              </w:rPr>
            </w:pPr>
            <w:r>
              <w:rPr>
                <w:rFonts w:ascii="Arial" w:cs="Arial" w:eastAsia="Arial" w:hAnsi="Arial"/>
                <w:sz w:val="16"/>
                <w:szCs w:val="16"/>
                <w:color w:val="auto"/>
                <w:w w:val="99"/>
              </w:rPr>
              <w:t>Class A and B common stock, $0.0001 par value; 1,120,000,000 and 110,000,000 shares authorized as of</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700" w:type="dxa"/>
            <w:vAlign w:val="bottom"/>
            <w:shd w:val="clear" w:color="auto" w:fill="CCEEFF"/>
          </w:tcPr>
          <w:p>
            <w:pPr>
              <w:jc w:val="center"/>
              <w:spacing w:after="0" w:line="159" w:lineRule="exact"/>
              <w:rPr>
                <w:sz w:val="20"/>
                <w:szCs w:val="20"/>
                <w:color w:val="auto"/>
              </w:rPr>
            </w:pPr>
            <w:r>
              <w:rPr>
                <w:rFonts w:ascii="Arial" w:cs="Arial" w:eastAsia="Arial" w:hAnsi="Arial"/>
                <w:sz w:val="16"/>
                <w:szCs w:val="16"/>
                <w:color w:val="auto"/>
                <w:w w:val="99"/>
              </w:rPr>
              <w:t>March 31, 2021 and December 31, 2020, respectively; 94,143,694 and 12,889,760 shares issued and</w:t>
            </w:r>
          </w:p>
        </w:tc>
        <w:tc>
          <w:tcPr>
            <w:tcW w:w="30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line="159" w:lineRule="exact"/>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line="159"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outstanding as of March 31, 2021 and December 31, 2020, respectively</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459,756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29,989</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(268,338)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(252,167)</w:t>
            </w:r>
          </w:p>
        </w:tc>
        <w:tc>
          <w:tcPr>
            <w:tcW w:w="0" w:type="dxa"/>
            <w:vAlign w:val="bottom"/>
          </w:tcPr>
          <w:p>
            <w:pPr>
              <w:spacing w:after="0"/>
              <w:rPr>
                <w:sz w:val="1"/>
                <w:szCs w:val="1"/>
                <w:color w:val="auto"/>
              </w:rPr>
            </w:pPr>
          </w:p>
        </w:tc>
      </w:tr>
      <w:tr>
        <w:trPr>
          <w:trHeight w:val="205"/>
        </w:trPr>
        <w:tc>
          <w:tcPr>
            <w:tcW w:w="77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equity (deficit)</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191,427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(222,177)</w:t>
            </w:r>
          </w:p>
        </w:tc>
        <w:tc>
          <w:tcPr>
            <w:tcW w:w="0" w:type="dxa"/>
            <w:vAlign w:val="bottom"/>
          </w:tcPr>
          <w:p>
            <w:pPr>
              <w:spacing w:after="0"/>
              <w:rPr>
                <w:sz w:val="1"/>
                <w:szCs w:val="1"/>
                <w:color w:val="auto"/>
              </w:rPr>
            </w:pPr>
          </w:p>
        </w:tc>
      </w:tr>
      <w:tr>
        <w:trPr>
          <w:trHeight w:val="233"/>
        </w:trPr>
        <w:tc>
          <w:tcPr>
            <w:tcW w:w="7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convertible preferred stock and stockholders’ equity</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323,770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142,911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 w:name="page7"/>
    <w:bookmarkEnd w:id="6"/>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Three months ended</w:t>
      </w:r>
    </w:p>
    <w:p>
      <w:pPr>
        <w:jc w:val="center"/>
        <w:ind w:left="8540"/>
        <w:spacing w:after="0"/>
        <w:rPr>
          <w:sz w:val="20"/>
          <w:szCs w:val="20"/>
          <w:color w:val="auto"/>
        </w:rPr>
      </w:pPr>
      <w:r>
        <w:rPr>
          <w:rFonts w:ascii="Arial" w:cs="Arial" w:eastAsia="Arial" w:hAnsi="Arial"/>
          <w:sz w:val="18"/>
          <w:szCs w:val="18"/>
          <w:b w:val="1"/>
          <w:bCs w:val="1"/>
          <w:color w:val="auto"/>
        </w:rPr>
        <w:t>March 31,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44,688</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35,314</w:t>
            </w: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18"/>
        </w:trPr>
        <w:tc>
          <w:tcPr>
            <w:tcW w:w="8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48,315</w:t>
            </w:r>
          </w:p>
        </w:tc>
        <w:tc>
          <w:tcPr>
            <w:tcW w:w="0" w:type="dxa"/>
            <w:vAlign w:val="bottom"/>
          </w:tcPr>
          <w:p>
            <w:pPr>
              <w:spacing w:after="0"/>
              <w:rPr>
                <w:sz w:val="1"/>
                <w:szCs w:val="1"/>
                <w:color w:val="auto"/>
              </w:rPr>
            </w:pPr>
          </w:p>
        </w:tc>
      </w:tr>
      <w:tr>
        <w:trPr>
          <w:trHeight w:val="206"/>
        </w:trPr>
        <w:tc>
          <w:tcPr>
            <w:tcW w:w="8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560" w:type="dxa"/>
            <w:vAlign w:val="bottom"/>
          </w:tcPr>
          <w:p>
            <w:pPr>
              <w:ind w:left="240"/>
              <w:spacing w:after="0"/>
              <w:rPr>
                <w:sz w:val="20"/>
                <w:szCs w:val="20"/>
                <w:color w:val="auto"/>
              </w:rPr>
            </w:pPr>
            <w:r>
              <w:rPr>
                <w:rFonts w:ascii="Arial" w:cs="Arial" w:eastAsia="Arial" w:hAnsi="Arial"/>
                <w:sz w:val="18"/>
                <w:szCs w:val="18"/>
                <w:color w:val="auto"/>
              </w:rPr>
              <w:t>Consignment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8"/>
        </w:trPr>
        <w:tc>
          <w:tcPr>
            <w:tcW w:w="8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0" w:type="dxa"/>
            <w:vAlign w:val="bottom"/>
          </w:tcPr>
          <w:p>
            <w:pPr>
              <w:spacing w:after="0"/>
              <w:rPr>
                <w:sz w:val="1"/>
                <w:szCs w:val="1"/>
                <w:color w:val="auto"/>
              </w:rPr>
            </w:pPr>
          </w:p>
        </w:tc>
      </w:tr>
      <w:tr>
        <w:trPr>
          <w:trHeight w:val="205"/>
        </w:trPr>
        <w:tc>
          <w:tcPr>
            <w:tcW w:w="856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product and technology</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25,475</w:t>
            </w:r>
          </w:p>
        </w:tc>
        <w:tc>
          <w:tcPr>
            <w:tcW w:w="0" w:type="dxa"/>
            <w:vAlign w:val="bottom"/>
          </w:tcPr>
          <w:p>
            <w:pPr>
              <w:spacing w:after="0"/>
              <w:rPr>
                <w:sz w:val="1"/>
                <w:szCs w:val="1"/>
                <w:color w:val="auto"/>
              </w:rPr>
            </w:pPr>
          </w:p>
        </w:tc>
      </w:tr>
      <w:tr>
        <w:trPr>
          <w:trHeight w:val="225"/>
        </w:trPr>
        <w:tc>
          <w:tcPr>
            <w:tcW w:w="856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13,001</w:t>
            </w:r>
          </w:p>
        </w:tc>
        <w:tc>
          <w:tcPr>
            <w:tcW w:w="0" w:type="dxa"/>
            <w:vAlign w:val="bottom"/>
          </w:tcPr>
          <w:p>
            <w:pPr>
              <w:spacing w:after="0"/>
              <w:rPr>
                <w:sz w:val="1"/>
                <w:szCs w:val="1"/>
                <w:color w:val="auto"/>
              </w:rPr>
            </w:pPr>
          </w:p>
        </w:tc>
      </w:tr>
      <w:tr>
        <w:trPr>
          <w:trHeight w:val="225"/>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9"/>
        </w:trPr>
        <w:tc>
          <w:tcPr>
            <w:tcW w:w="8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45,909</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income,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0" w:type="dxa"/>
            <w:vAlign w:val="bottom"/>
          </w:tcPr>
          <w:p>
            <w:pPr>
              <w:spacing w:after="0"/>
              <w:rPr>
                <w:sz w:val="1"/>
                <w:szCs w:val="1"/>
                <w:color w:val="auto"/>
              </w:rPr>
            </w:pP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 and total comprehensive loss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6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22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6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Weighted-average shares used in computing net loss per share attributable to common stockholders, basic</w:t>
            </w: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18,701,108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10,763,234</w:t>
            </w:r>
          </w:p>
        </w:tc>
        <w:tc>
          <w:tcPr>
            <w:tcW w:w="0" w:type="dxa"/>
            <w:vAlign w:val="bottom"/>
          </w:tcPr>
          <w:p>
            <w:pPr>
              <w:spacing w:after="0"/>
              <w:rPr>
                <w:sz w:val="1"/>
                <w:szCs w:val="1"/>
                <w:color w:val="auto"/>
              </w:rPr>
            </w:pPr>
          </w:p>
        </w:tc>
      </w:tr>
      <w:tr>
        <w:trPr>
          <w:trHeight w:val="206"/>
        </w:trPr>
        <w:tc>
          <w:tcPr>
            <w:tcW w:w="85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4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6"/>
                <w:szCs w:val="16"/>
                <w:b w:val="1"/>
                <w:bCs w:val="1"/>
                <w:color w:val="auto"/>
                <w:w w:val="99"/>
              </w:rPr>
              <w:t>Convertible</w:t>
            </w:r>
          </w:p>
        </w:tc>
        <w:tc>
          <w:tcPr>
            <w:tcW w:w="60" w:type="dxa"/>
            <w:vAlign w:val="bottom"/>
          </w:tcPr>
          <w:p>
            <w:pPr>
              <w:spacing w:after="0"/>
              <w:rPr>
                <w:sz w:val="18"/>
                <w:szCs w:val="18"/>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7"/>
              </w:rPr>
              <w:t>Additional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14"/>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2400" w:type="dxa"/>
            <w:vAlign w:val="bottom"/>
            <w:tcBorders>
              <w:right w:val="single" w:sz="8" w:color="auto"/>
            </w:tcBorders>
            <w:gridSpan w:val="5"/>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Preferred Stock</w:t>
            </w:r>
          </w:p>
        </w:tc>
        <w:tc>
          <w:tcPr>
            <w:tcW w:w="6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53"/>
        </w:trPr>
        <w:tc>
          <w:tcPr>
            <w:tcW w:w="34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restart"/>
          </w:tcPr>
          <w:p>
            <w:pPr>
              <w:jc w:val="center"/>
              <w:ind w:right="220"/>
              <w:spacing w:after="0" w:line="159" w:lineRule="exact"/>
              <w:rPr>
                <w:sz w:val="20"/>
                <w:szCs w:val="20"/>
                <w:color w:val="auto"/>
              </w:rPr>
            </w:pPr>
            <w:r>
              <w:rPr>
                <w:rFonts w:ascii="Arial" w:cs="Arial" w:eastAsia="Arial" w:hAnsi="Arial"/>
                <w:sz w:val="16"/>
                <w:szCs w:val="16"/>
                <w:b w:val="1"/>
                <w:bCs w:val="1"/>
                <w:color w:val="auto"/>
                <w:w w:val="97"/>
              </w:rPr>
              <w:t>Paid-in</w:t>
            </w:r>
          </w:p>
        </w:tc>
        <w:tc>
          <w:tcPr>
            <w:tcW w:w="1180" w:type="dxa"/>
            <w:vAlign w:val="bottom"/>
            <w:gridSpan w:val="3"/>
            <w:vMerge w:val="restart"/>
          </w:tcPr>
          <w:p>
            <w:pPr>
              <w:ind w:left="60"/>
              <w:spacing w:after="0" w:line="159"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4"/>
                <w:szCs w:val="4"/>
                <w:color w:val="auto"/>
              </w:rPr>
            </w:pPr>
          </w:p>
        </w:tc>
        <w:tc>
          <w:tcPr>
            <w:tcW w:w="940" w:type="dxa"/>
            <w:vAlign w:val="bottom"/>
            <w:vMerge w:val="restart"/>
          </w:tcPr>
          <w:p>
            <w:pPr>
              <w:jc w:val="center"/>
              <w:ind w:right="114"/>
              <w:spacing w:after="0" w:line="159"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86"/>
        </w:trPr>
        <w:tc>
          <w:tcPr>
            <w:tcW w:w="3460" w:type="dxa"/>
            <w:vAlign w:val="bottom"/>
          </w:tcPr>
          <w:p>
            <w:pPr>
              <w:spacing w:after="0"/>
              <w:rPr>
                <w:sz w:val="7"/>
                <w:szCs w:val="7"/>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7"/>
                <w:szCs w:val="7"/>
                <w:color w:val="auto"/>
              </w:rPr>
            </w:pPr>
          </w:p>
        </w:tc>
        <w:tc>
          <w:tcPr>
            <w:tcW w:w="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7"/>
                <w:szCs w:val="7"/>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9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4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940" w:type="dxa"/>
            <w:vAlign w:val="bottom"/>
          </w:tcPr>
          <w:p>
            <w:pPr>
              <w:jc w:val="center"/>
              <w:ind w:right="114"/>
              <w:spacing w:after="0"/>
              <w:rPr>
                <w:sz w:val="20"/>
                <w:szCs w:val="20"/>
                <w:color w:val="auto"/>
              </w:rPr>
            </w:pPr>
            <w:r>
              <w:rPr>
                <w:rFonts w:ascii="Arial" w:cs="Arial" w:eastAsia="Arial" w:hAnsi="Arial"/>
                <w:sz w:val="16"/>
                <w:szCs w:val="16"/>
                <w:b w:val="1"/>
                <w:bCs w:val="1"/>
                <w:color w:val="auto"/>
                <w:w w:val="97"/>
              </w:rPr>
              <w:t>(Deficit)</w:t>
            </w:r>
          </w:p>
        </w:tc>
        <w:tc>
          <w:tcPr>
            <w:tcW w:w="0" w:type="dxa"/>
            <w:vAlign w:val="bottom"/>
          </w:tcPr>
          <w:p>
            <w:pPr>
              <w:spacing w:after="0"/>
              <w:rPr>
                <w:sz w:val="1"/>
                <w:szCs w:val="1"/>
                <w:color w:val="auto"/>
              </w:rPr>
            </w:pPr>
          </w:p>
        </w:tc>
      </w:tr>
      <w:tr>
        <w:trPr>
          <w:trHeight w:val="219"/>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65,970,938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12,889,760</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(222,177)</w:t>
            </w:r>
          </w:p>
        </w:tc>
        <w:tc>
          <w:tcPr>
            <w:tcW w:w="0" w:type="dxa"/>
            <w:vAlign w:val="bottom"/>
          </w:tcPr>
          <w:p>
            <w:pPr>
              <w:spacing w:after="0"/>
              <w:rPr>
                <w:sz w:val="1"/>
                <w:szCs w:val="1"/>
                <w:color w:val="auto"/>
              </w:rPr>
            </w:pPr>
          </w:p>
        </w:tc>
      </w:tr>
      <w:tr>
        <w:trPr>
          <w:trHeight w:val="185"/>
        </w:trPr>
        <w:tc>
          <w:tcPr>
            <w:tcW w:w="3460" w:type="dxa"/>
            <w:vAlign w:val="bottom"/>
          </w:tcPr>
          <w:p>
            <w:pPr>
              <w:ind w:left="240"/>
              <w:spacing w:after="0" w:line="185" w:lineRule="exact"/>
              <w:rPr>
                <w:sz w:val="20"/>
                <w:szCs w:val="20"/>
                <w:color w:val="auto"/>
              </w:rPr>
            </w:pPr>
            <w:r>
              <w:rPr>
                <w:rFonts w:ascii="Arial" w:cs="Arial" w:eastAsia="Arial" w:hAnsi="Arial"/>
                <w:sz w:val="18"/>
                <w:szCs w:val="18"/>
                <w:color w:val="auto"/>
              </w:rPr>
              <w:t>Preferred stock conversion to Class B</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(65,970,938)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(247,041)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65,970,938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247,034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247,041</w:t>
            </w:r>
          </w:p>
        </w:tc>
        <w:tc>
          <w:tcPr>
            <w:tcW w:w="0" w:type="dxa"/>
            <w:vAlign w:val="bottom"/>
          </w:tcPr>
          <w:p>
            <w:pPr>
              <w:spacing w:after="0"/>
              <w:rPr>
                <w:sz w:val="1"/>
                <w:szCs w:val="1"/>
                <w:color w:val="auto"/>
              </w:rPr>
            </w:pPr>
          </w:p>
        </w:tc>
      </w:tr>
      <w:tr>
        <w:trPr>
          <w:trHeight w:val="185"/>
        </w:trPr>
        <w:tc>
          <w:tcPr>
            <w:tcW w:w="346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Sale of Class A common stock upon</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60" w:type="dxa"/>
            <w:vAlign w:val="bottom"/>
            <w:shd w:val="clear" w:color="auto" w:fill="CCEEFF"/>
          </w:tcPr>
          <w:p>
            <w:pPr>
              <w:ind w:left="240"/>
              <w:spacing w:after="0" w:line="172" w:lineRule="exact"/>
              <w:rPr>
                <w:sz w:val="20"/>
                <w:szCs w:val="20"/>
                <w:color w:val="auto"/>
              </w:rPr>
            </w:pPr>
            <w:r>
              <w:rPr>
                <w:rFonts w:ascii="Arial" w:cs="Arial" w:eastAsia="Arial" w:hAnsi="Arial"/>
                <w:sz w:val="18"/>
                <w:szCs w:val="18"/>
                <w:color w:val="auto"/>
              </w:rPr>
              <w:t>initial public offering, net of issuance</w:t>
            </w: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13,800,000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175,533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175,534</w:t>
            </w:r>
          </w:p>
        </w:tc>
        <w:tc>
          <w:tcPr>
            <w:tcW w:w="0" w:type="dxa"/>
            <w:vAlign w:val="bottom"/>
          </w:tcPr>
          <w:p>
            <w:pPr>
              <w:spacing w:after="0"/>
              <w:rPr>
                <w:sz w:val="1"/>
                <w:szCs w:val="1"/>
                <w:color w:val="auto"/>
              </w:rPr>
            </w:pPr>
          </w:p>
        </w:tc>
      </w:tr>
      <w:tr>
        <w:trPr>
          <w:trHeight w:val="185"/>
        </w:trPr>
        <w:tc>
          <w:tcPr>
            <w:tcW w:w="3460" w:type="dxa"/>
            <w:vAlign w:val="bottom"/>
          </w:tcPr>
          <w:p>
            <w:pPr>
              <w:ind w:left="240"/>
              <w:spacing w:after="0" w:line="185" w:lineRule="exact"/>
              <w:rPr>
                <w:sz w:val="20"/>
                <w:szCs w:val="20"/>
                <w:color w:val="auto"/>
              </w:rPr>
            </w:pPr>
            <w:r>
              <w:rPr>
                <w:rFonts w:ascii="Arial" w:cs="Arial" w:eastAsia="Arial" w:hAnsi="Arial"/>
                <w:sz w:val="18"/>
                <w:szCs w:val="18"/>
                <w:color w:val="auto"/>
              </w:rPr>
              <w:t>Conversion of convertible preferred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60" w:type="dxa"/>
            <w:vAlign w:val="bottom"/>
          </w:tcPr>
          <w:p>
            <w:pPr>
              <w:ind w:left="240"/>
              <w:spacing w:after="0" w:line="172" w:lineRule="exact"/>
              <w:rPr>
                <w:sz w:val="20"/>
                <w:szCs w:val="20"/>
                <w:color w:val="auto"/>
              </w:rPr>
            </w:pPr>
            <w:r>
              <w:rPr>
                <w:rFonts w:ascii="Arial" w:cs="Arial" w:eastAsia="Arial" w:hAnsi="Arial"/>
                <w:sz w:val="18"/>
                <w:szCs w:val="18"/>
                <w:color w:val="auto"/>
                <w:w w:val="98"/>
              </w:rPr>
              <w:t>stock warrants to Class B common stock</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240"/>
              <w:spacing w:after="0"/>
              <w:rPr>
                <w:sz w:val="20"/>
                <w:szCs w:val="20"/>
                <w:color w:val="auto"/>
              </w:rPr>
            </w:pPr>
            <w:r>
              <w:rPr>
                <w:rFonts w:ascii="Arial" w:cs="Arial" w:eastAsia="Arial" w:hAnsi="Arial"/>
                <w:sz w:val="18"/>
                <w:szCs w:val="18"/>
                <w:color w:val="auto"/>
              </w:rPr>
              <w:t>warrants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185"/>
        </w:trPr>
        <w:tc>
          <w:tcPr>
            <w:tcW w:w="346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Cashless exercise of common stock</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to Class B common stock</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46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1,458,159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25"/>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3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94,143,694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459,756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191,427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159385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8" w:name="page9"/>
    <w:bookmarkEnd w:id="8"/>
    <w:p>
      <w:pPr>
        <w:spacing w:after="0" w:line="200" w:lineRule="exact"/>
        <w:rPr>
          <w:sz w:val="20"/>
          <w:szCs w:val="20"/>
          <w:color w:val="auto"/>
        </w:rPr>
      </w:pPr>
    </w:p>
    <w:p>
      <w:pPr>
        <w:spacing w:after="0" w:line="30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ThredUp Inc.</w:t>
      </w:r>
    </w:p>
    <w:p>
      <w:pPr>
        <w:spacing w:after="0" w:line="16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3380" w:type="dxa"/>
            <w:vAlign w:val="bottom"/>
          </w:tcPr>
          <w:p>
            <w:pPr>
              <w:spacing w:after="0"/>
              <w:rPr>
                <w:sz w:val="24"/>
                <w:szCs w:val="24"/>
                <w:color w:val="auto"/>
              </w:rPr>
            </w:pPr>
          </w:p>
        </w:tc>
        <w:tc>
          <w:tcPr>
            <w:tcW w:w="2180" w:type="dxa"/>
            <w:vAlign w:val="bottom"/>
            <w:tcBorders>
              <w:right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Convertible</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center"/>
              <w:ind w:right="136"/>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Additional</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0"/>
                <w:szCs w:val="10"/>
                <w:color w:val="auto"/>
              </w:rPr>
            </w:pPr>
          </w:p>
        </w:tc>
        <w:tc>
          <w:tcPr>
            <w:tcW w:w="9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0"/>
                <w:szCs w:val="10"/>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jc w:val="center"/>
              <w:ind w:right="80"/>
              <w:spacing w:after="0" w:line="126"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0"/>
                <w:szCs w:val="10"/>
                <w:color w:val="auto"/>
              </w:rPr>
            </w:pPr>
          </w:p>
        </w:tc>
        <w:tc>
          <w:tcPr>
            <w:tcW w:w="980" w:type="dxa"/>
            <w:vAlign w:val="bottom"/>
          </w:tcPr>
          <w:p>
            <w:pPr>
              <w:jc w:val="center"/>
              <w:ind w:right="136"/>
              <w:spacing w:after="0" w:line="126"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Deficit</w:t>
            </w:r>
          </w:p>
        </w:tc>
        <w:tc>
          <w:tcPr>
            <w:tcW w:w="220" w:type="dxa"/>
            <w:vAlign w:val="bottom"/>
          </w:tcPr>
          <w:p>
            <w:pPr>
              <w:spacing w:after="0"/>
              <w:rPr>
                <w:sz w:val="18"/>
                <w:szCs w:val="18"/>
                <w:color w:val="auto"/>
              </w:rPr>
            </w:pPr>
          </w:p>
        </w:tc>
        <w:tc>
          <w:tcPr>
            <w:tcW w:w="980" w:type="dxa"/>
            <w:vAlign w:val="bottom"/>
          </w:tcPr>
          <w:p>
            <w:pPr>
              <w:jc w:val="center"/>
              <w:ind w:right="116"/>
              <w:spacing w:after="0"/>
              <w:rPr>
                <w:sz w:val="20"/>
                <w:szCs w:val="20"/>
                <w:color w:val="auto"/>
              </w:rPr>
            </w:pPr>
            <w:r>
              <w:rPr>
                <w:rFonts w:ascii="Arial" w:cs="Arial" w:eastAsia="Arial" w:hAnsi="Arial"/>
                <w:sz w:val="16"/>
                <w:szCs w:val="16"/>
                <w:b w:val="1"/>
                <w:bCs w:val="1"/>
                <w:color w:val="auto"/>
                <w:w w:val="97"/>
              </w:rPr>
              <w:t>(Deficit)</w:t>
            </w:r>
          </w:p>
        </w:tc>
        <w:tc>
          <w:tcPr>
            <w:tcW w:w="0" w:type="dxa"/>
            <w:vAlign w:val="bottom"/>
          </w:tcPr>
          <w:p>
            <w:pPr>
              <w:spacing w:after="0"/>
              <w:rPr>
                <w:sz w:val="1"/>
                <w:szCs w:val="1"/>
                <w:color w:val="auto"/>
              </w:rPr>
            </w:pPr>
          </w:p>
        </w:tc>
      </w:tr>
      <w:tr>
        <w:trPr>
          <w:trHeight w:val="21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65,928,261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10,647,380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(203,725)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(183,241)</w:t>
            </w:r>
          </w:p>
        </w:tc>
        <w:tc>
          <w:tcPr>
            <w:tcW w:w="0" w:type="dxa"/>
            <w:vAlign w:val="bottom"/>
          </w:tcPr>
          <w:p>
            <w:pPr>
              <w:spacing w:after="0"/>
              <w:rPr>
                <w:sz w:val="1"/>
                <w:szCs w:val="1"/>
                <w:color w:val="auto"/>
              </w:rPr>
            </w:pPr>
          </w:p>
        </w:tc>
      </w:tr>
      <w:tr>
        <w:trPr>
          <w:trHeight w:val="185"/>
        </w:trPr>
        <w:tc>
          <w:tcPr>
            <w:tcW w:w="3380" w:type="dxa"/>
            <w:vAlign w:val="bottom"/>
          </w:tcPr>
          <w:p>
            <w:pPr>
              <w:ind w:left="260"/>
              <w:spacing w:after="0" w:line="185" w:lineRule="exact"/>
              <w:rPr>
                <w:sz w:val="20"/>
                <w:szCs w:val="20"/>
                <w:color w:val="auto"/>
              </w:rPr>
            </w:pPr>
            <w:r>
              <w:rPr>
                <w:rFonts w:ascii="Arial" w:cs="Arial" w:eastAsia="Arial" w:hAnsi="Arial"/>
                <w:sz w:val="18"/>
                <w:szCs w:val="18"/>
                <w:color w:val="auto"/>
              </w:rPr>
              <w:t>ASC 842 adoption (eff. January 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80" w:type="dxa"/>
            <w:vAlign w:val="bottom"/>
          </w:tcPr>
          <w:p>
            <w:pPr>
              <w:ind w:left="260"/>
              <w:spacing w:after="0"/>
              <w:rPr>
                <w:sz w:val="20"/>
                <w:szCs w:val="20"/>
                <w:color w:val="auto"/>
              </w:rPr>
            </w:pPr>
            <w:r>
              <w:rPr>
                <w:rFonts w:ascii="Arial" w:cs="Arial" w:eastAsia="Arial" w:hAnsi="Arial"/>
                <w:sz w:val="18"/>
                <w:szCs w:val="18"/>
                <w:color w:val="auto"/>
              </w:rPr>
              <w:t>2020)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33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0" w:type="dxa"/>
            <w:vAlign w:val="bottom"/>
          </w:tcPr>
          <w:p>
            <w:pPr>
              <w:spacing w:after="0"/>
              <w:rPr>
                <w:sz w:val="1"/>
                <w:szCs w:val="1"/>
                <w:color w:val="auto"/>
              </w:rPr>
            </w:pPr>
          </w:p>
        </w:tc>
      </w:tr>
      <w:tr>
        <w:trPr>
          <w:trHeight w:val="259"/>
        </w:trPr>
        <w:tc>
          <w:tcPr>
            <w:tcW w:w="3380" w:type="dxa"/>
            <w:vAlign w:val="bottom"/>
          </w:tcPr>
          <w:p>
            <w:pPr>
              <w:ind w:left="20"/>
              <w:spacing w:after="0"/>
              <w:rPr>
                <w:sz w:val="20"/>
                <w:szCs w:val="20"/>
                <w:color w:val="auto"/>
              </w:rPr>
            </w:pPr>
            <w:r>
              <w:rPr>
                <w:rFonts w:ascii="Arial" w:cs="Arial" w:eastAsia="Arial" w:hAnsi="Arial"/>
                <w:sz w:val="18"/>
                <w:szCs w:val="18"/>
                <w:color w:val="auto"/>
              </w:rPr>
              <w:t>Balance as of March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65,928,261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246,905</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10,766,065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(217,505)</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Three months ended</w:t>
      </w:r>
    </w:p>
    <w:p>
      <w:pPr>
        <w:ind w:left="9380"/>
        <w:spacing w:after="0"/>
        <w:rPr>
          <w:sz w:val="20"/>
          <w:szCs w:val="20"/>
          <w:color w:val="auto"/>
        </w:rPr>
      </w:pPr>
      <w:r>
        <w:rPr>
          <w:rFonts w:ascii="Arial" w:cs="Arial" w:eastAsia="Arial" w:hAnsi="Arial"/>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r>
      <w:tr>
        <w:trPr>
          <w:trHeight w:val="205"/>
        </w:trPr>
        <w:tc>
          <w:tcPr>
            <w:tcW w:w="83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(16,171)</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(13,215)</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2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25"/>
        </w:trPr>
        <w:tc>
          <w:tcPr>
            <w:tcW w:w="8320" w:type="dxa"/>
            <w:vAlign w:val="bottom"/>
          </w:tcPr>
          <w:p>
            <w:pPr>
              <w:ind w:left="240"/>
              <w:spacing w:after="0"/>
              <w:rPr>
                <w:sz w:val="20"/>
                <w:szCs w:val="20"/>
                <w:color w:val="auto"/>
              </w:rPr>
            </w:pPr>
            <w:r>
              <w:rPr>
                <w:rFonts w:ascii="Arial" w:cs="Arial" w:eastAsia="Arial" w:hAnsi="Arial"/>
                <w:sz w:val="18"/>
                <w:szCs w:val="18"/>
                <w:color w:val="auto"/>
              </w:rPr>
              <w:t>Reduction in the carrying amount of right-of-use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fair value of convertible preferred stock warrants and others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5"/>
        </w:trPr>
        <w:tc>
          <w:tcPr>
            <w:tcW w:w="83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5"/>
        </w:trPr>
        <w:tc>
          <w:tcPr>
            <w:tcW w:w="8320" w:type="dxa"/>
            <w:vAlign w:val="bottom"/>
          </w:tcPr>
          <w:p>
            <w:pPr>
              <w:ind w:left="440"/>
              <w:spacing w:after="0"/>
              <w:rPr>
                <w:sz w:val="20"/>
                <w:szCs w:val="20"/>
                <w:color w:val="auto"/>
              </w:rPr>
            </w:pPr>
            <w:r>
              <w:rPr>
                <w:rFonts w:ascii="Arial" w:cs="Arial" w:eastAsia="Arial" w:hAnsi="Arial"/>
                <w:sz w:val="18"/>
                <w:szCs w:val="18"/>
                <w:color w:val="auto"/>
              </w:rPr>
              <w:t>Inventory,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and non-current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25"/>
        </w:trPr>
        <w:tc>
          <w:tcPr>
            <w:tcW w:w="83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25"/>
        </w:trPr>
        <w:tc>
          <w:tcPr>
            <w:tcW w:w="8320" w:type="dxa"/>
            <w:vAlign w:val="bottom"/>
          </w:tcPr>
          <w:p>
            <w:pPr>
              <w:ind w:left="440"/>
              <w:spacing w:after="0"/>
              <w:rPr>
                <w:sz w:val="20"/>
                <w:szCs w:val="20"/>
                <w:color w:val="auto"/>
              </w:rPr>
            </w:pPr>
            <w:r>
              <w:rPr>
                <w:rFonts w:ascii="Arial" w:cs="Arial" w:eastAsia="Arial" w:hAnsi="Arial"/>
                <w:sz w:val="18"/>
                <w:szCs w:val="18"/>
                <w:color w:val="auto"/>
              </w:rPr>
              <w:t>Seller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25"/>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w:t>
            </w:r>
          </w:p>
        </w:tc>
      </w:tr>
      <w:tr>
        <w:trPr>
          <w:trHeight w:val="205"/>
        </w:trPr>
        <w:tc>
          <w:tcPr>
            <w:tcW w:w="8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19"/>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w:t>
            </w:r>
          </w:p>
        </w:tc>
      </w:tr>
      <w:tr>
        <w:trPr>
          <w:trHeight w:val="206"/>
        </w:trPr>
        <w:tc>
          <w:tcPr>
            <w:tcW w:w="8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8320" w:type="dxa"/>
            <w:vAlign w:val="bottom"/>
          </w:tcPr>
          <w:p>
            <w:pPr>
              <w:ind w:left="240"/>
              <w:spacing w:after="0"/>
              <w:rPr>
                <w:sz w:val="20"/>
                <w:szCs w:val="20"/>
                <w:color w:val="auto"/>
              </w:rPr>
            </w:pPr>
            <w:r>
              <w:rPr>
                <w:rFonts w:ascii="Arial" w:cs="Arial" w:eastAsia="Arial" w:hAnsi="Arial"/>
                <w:sz w:val="18"/>
                <w:szCs w:val="18"/>
                <w:color w:val="auto"/>
              </w:rPr>
              <w:t>Proceeds from debt issuance, net of issuance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debt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185"/>
        </w:trPr>
        <w:tc>
          <w:tcPr>
            <w:tcW w:w="8320" w:type="dxa"/>
            <w:vAlign w:val="bottom"/>
          </w:tcPr>
          <w:p>
            <w:pPr>
              <w:ind w:left="240"/>
              <w:spacing w:after="0" w:line="185" w:lineRule="exact"/>
              <w:rPr>
                <w:sz w:val="20"/>
                <w:szCs w:val="20"/>
                <w:color w:val="auto"/>
              </w:rPr>
            </w:pPr>
            <w:r>
              <w:rPr>
                <w:rFonts w:ascii="Arial" w:cs="Arial" w:eastAsia="Arial" w:hAnsi="Arial"/>
                <w:sz w:val="18"/>
                <w:szCs w:val="18"/>
                <w:color w:val="auto"/>
              </w:rPr>
              <w:t>Proceeds from issuance of Class A common stock upon initial public offering, net of underwriting</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8320" w:type="dxa"/>
            <w:vAlign w:val="bottom"/>
          </w:tcPr>
          <w:p>
            <w:pPr>
              <w:ind w:left="400"/>
              <w:spacing w:after="0"/>
              <w:rPr>
                <w:sz w:val="20"/>
                <w:szCs w:val="20"/>
                <w:color w:val="auto"/>
              </w:rPr>
            </w:pPr>
            <w:r>
              <w:rPr>
                <w:rFonts w:ascii="Arial" w:cs="Arial" w:eastAsia="Arial" w:hAnsi="Arial"/>
                <w:sz w:val="18"/>
                <w:szCs w:val="18"/>
                <w:color w:val="auto"/>
              </w:rPr>
              <w:t>discounts and commissions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180,284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exercise of common stock options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Payment of costs for the initial public offering</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19"/>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18"/>
        </w:trPr>
        <w:tc>
          <w:tcPr>
            <w:tcW w:w="8320" w:type="dxa"/>
            <w:vAlign w:val="bottom"/>
          </w:tcPr>
          <w:p>
            <w:pPr>
              <w:ind w:left="440"/>
              <w:spacing w:after="0"/>
              <w:rPr>
                <w:sz w:val="20"/>
                <w:szCs w:val="20"/>
                <w:color w:val="auto"/>
              </w:rPr>
            </w:pPr>
            <w:r>
              <w:rPr>
                <w:rFonts w:ascii="Arial" w:cs="Arial" w:eastAsia="Arial" w:hAnsi="Arial"/>
                <w:sz w:val="18"/>
                <w:szCs w:val="18"/>
                <w:color w:val="auto"/>
              </w:rPr>
              <w:t>Net increase (decrease) in cash, cash equivalents and restricted cash and cash equivalents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182,029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(14,560)</w:t>
            </w:r>
          </w:p>
        </w:tc>
      </w:tr>
      <w:tr>
        <w:trPr>
          <w:trHeight w:val="252"/>
        </w:trPr>
        <w:tc>
          <w:tcPr>
            <w:tcW w:w="8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and cash equivalents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87,853</w:t>
            </w:r>
          </w:p>
        </w:tc>
      </w:tr>
      <w:tr>
        <w:trPr>
          <w:trHeight w:val="219"/>
        </w:trPr>
        <w:tc>
          <w:tcPr>
            <w:tcW w:w="83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73,293</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640" w:hanging="634"/>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ThredUp Inc. (“ThredUp” or “Company”) was formed as a corporation in the State of Delaware in January 2009. ThredUp is a large resale platform that enables consumers to buy and sell secondhand women’s and kid’s apparel, shoes and accessories. The Company conducts its marketing and administrative functions from Oakland, California and Scottsdale, Arizona and operates its fulfillment centers in Pennsylvania, Illinois, Georgia, and Arizona.</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3" w:lineRule="exact"/>
        <w:rPr>
          <w:sz w:val="20"/>
          <w:szCs w:val="20"/>
          <w:color w:val="auto"/>
        </w:rPr>
      </w:pPr>
    </w:p>
    <w:p>
      <w:pPr>
        <w:jc w:val="both"/>
        <w:ind w:firstLine="318"/>
        <w:spacing w:after="0" w:line="220" w:lineRule="auto"/>
        <w:rPr>
          <w:sz w:val="20"/>
          <w:szCs w:val="20"/>
          <w:color w:val="auto"/>
        </w:rPr>
      </w:pPr>
      <w:r>
        <w:rPr>
          <w:rFonts w:ascii="Arial" w:cs="Arial" w:eastAsia="Arial" w:hAnsi="Arial"/>
          <w:sz w:val="18"/>
          <w:szCs w:val="18"/>
          <w:color w:val="auto"/>
        </w:rPr>
        <w:t>The Company’s registration statement on Form S-1 related to its initial public offering (“IPO”) was declared effective on March 25, 2021 by the Securities and Exchange Commission (“SEC”), and the Company’s Class A common stock began trading on the Nasdaq Global Select Market on March 26, 2021. Upon the closing of the IPO, the Company sold 13,800,000 shares of Class A common stock (which included 1,800,000 shares that were offered and sold pursuant to the full exercise of the underwriters’ option to purchase additional shares) to the public at a price of $14.00 per share. The aggregate net proceeds were $175.5 million after deducting offering costs, underwriting discounts and commissions of $17.7 million.</w:t>
      </w:r>
    </w:p>
    <w:p>
      <w:pPr>
        <w:spacing w:after="0" w:line="213"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Immediately prior to the completion of the IPO, the Company filed its Amended and Restated Certificate of Incorporation, which authorized a total of 1,000,000,000 shares of Class A common stock, 120,000,000 shares of Class B common stock and 100,000,000 shares of undesignated preferred stock.</w:t>
      </w:r>
    </w:p>
    <w:p>
      <w:pPr>
        <w:spacing w:after="0" w:line="213" w:lineRule="exact"/>
        <w:rPr>
          <w:sz w:val="20"/>
          <w:szCs w:val="20"/>
          <w:color w:val="auto"/>
        </w:rPr>
      </w:pPr>
    </w:p>
    <w:p>
      <w:pPr>
        <w:jc w:val="both"/>
        <w:ind w:firstLine="318"/>
        <w:spacing w:after="0" w:line="221" w:lineRule="auto"/>
        <w:rPr>
          <w:sz w:val="20"/>
          <w:szCs w:val="20"/>
          <w:color w:val="auto"/>
        </w:rPr>
      </w:pPr>
      <w:r>
        <w:rPr>
          <w:rFonts w:ascii="Arial" w:cs="Arial" w:eastAsia="Arial" w:hAnsi="Arial"/>
          <w:sz w:val="18"/>
          <w:szCs w:val="18"/>
          <w:color w:val="auto"/>
        </w:rPr>
        <w:t>Immediately prior to the completion of the IPO, 65,970,938 shares of the convertible preferred stock then outstanding were converted into an equivalent number of shares of Class B common stock. The Company reclassified the convertible preferred stock to Class B common stock and additional paid-in capital upon the conversion in the three months ended March 31, 2021. 12,889,760 shares of the outstanding historical common stock were reclassified into an equivalent number of shares of Class B common stock. 164,973 shares of the convertible preferred stock warrants were converted to an equivalent number of shares of Class B common stock warrants.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86" w:lineRule="exact"/>
        <w:rPr>
          <w:sz w:val="20"/>
          <w:szCs w:val="20"/>
          <w:color w:val="auto"/>
        </w:rPr>
      </w:pPr>
    </w:p>
    <w:p>
      <w:pPr>
        <w:jc w:val="both"/>
        <w:ind w:firstLine="318"/>
        <w:spacing w:after="0" w:line="201" w:lineRule="exact"/>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generally accepted accounting principles (“GAAP”) in the United States for interim financial information and with the instructions to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can be condensed or omitted.</w:t>
      </w:r>
    </w:p>
    <w:p>
      <w:pPr>
        <w:spacing w:after="0" w:line="228"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allowance for sales returns, allowance for bad debts, breakage on loyalty points and rewards, valuation of inventory, warrants, stock-based compensation, valuation of right-of-use assets and income taxes. In the opinion of management, the accompanying unaudited condensed consolidated financial statements reflect all normal and recurring adjustments necessary to present fairly the financial position of the Company as of March 31, 2021, and the results of operations and cash flows for the interim periods presented.</w:t>
      </w:r>
    </w:p>
    <w:p>
      <w:pPr>
        <w:spacing w:after="0" w:line="2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Company’s audited consolidated financial statements and related notes for the year ended December 31, 2020 included in the final prospectus for the IPO dated March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Risks</w:t>
      </w:r>
    </w:p>
    <w:p>
      <w:pPr>
        <w:spacing w:after="0" w:line="252"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of March 31, 2021 and December 31, 2020, there were no customers that represented 10% or more of the Company’s accounts receivable balance. There were no customers that individually exceeded 10% of the Company’s revenue for the three months ended March 31, 2021 and 2020, respectively.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 from Loyalty Reward Redemption or Expiration</w:t>
      </w:r>
    </w:p>
    <w:p>
      <w:pPr>
        <w:spacing w:after="0" w:line="18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For the three months ended March 31, 2021 and 2020, the Company recognized $3.3 million and $0.2 million, respectively, of revenue from loyalty reward redemption or expiration.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Cash Equivalents and Restricted Cash and Cash Equivalents</w:t>
      </w:r>
    </w:p>
    <w:p>
      <w:pPr>
        <w:spacing w:after="0" w:line="18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reported within the condensed consolidated balance sheets to the amounts shown in the condensed consolidated statements of cash flows (in thousands):</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5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2020</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246,514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r>
      <w:tr>
        <w:trPr>
          <w:trHeight w:val="225"/>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Restricted cash and cash equivalents, current and non-current</w:t>
            </w: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3,054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and cash equivalents</w:t>
            </w:r>
          </w:p>
        </w:tc>
        <w:tc>
          <w:tcPr>
            <w:tcW w:w="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249,568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Restricted cash and cash equivalents, non-current of $2.7 million is included in the other assets in the condensed consolidated balance sheets statements as of March 31, 2021 and December 31,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Company follows the two-class method when computing net loss per common share when shares issued meet the definition of participating securities. The rights, including the liquidation and dividend rights and sharing of losses, of the Class A common stock and Class B common stock are identical, other than voting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5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For periods in which the Company reports net losses, diluted net loss per share attributable to common stockholders is the same as basic net loss per share attributable to common stockholders, because potentially dilutive common shares are not assumed to have been issued if their effect is anti-dilutive.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68"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color w:val="auto"/>
        </w:rPr>
        <w:t xml:space="preserve">In August 2018, the Financial Accounting Standards Board (“FASB”) issued ASU No. 2018-15, </w:t>
      </w:r>
      <w:r>
        <w:rPr>
          <w:rFonts w:ascii="Arial" w:cs="Arial" w:eastAsia="Arial" w:hAnsi="Arial"/>
          <w:sz w:val="18"/>
          <w:szCs w:val="18"/>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8"/>
          <w:szCs w:val="18"/>
          <w:color w:val="auto"/>
        </w:rPr>
        <w:t>The Company adopted ASU 2018-15 as of January 1, 2021. The adoption of ASU 2018-15 did not have a material impact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condensed consolidated financial statements.</w:t>
      </w:r>
    </w:p>
    <w:p>
      <w:pPr>
        <w:spacing w:after="0" w:line="131"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 Contracts in Entity’s Own Equity (Subtopic 815-40)</w:t>
      </w:r>
      <w:r>
        <w:rPr>
          <w:rFonts w:ascii="Arial" w:cs="Arial" w:eastAsia="Arial" w:hAnsi="Arial"/>
          <w:sz w:val="18"/>
          <w:szCs w:val="18"/>
          <w:color w:val="auto"/>
        </w:rPr>
        <w:t>. The Company adopted ASU 2020-06 on January 1, 2021. The adoption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did not have any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7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Pronouncements Recently Issued But Not Yet Adopted</w:t>
      </w:r>
    </w:p>
    <w:p>
      <w:pPr>
        <w:spacing w:after="0" w:line="16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and subsequent amendments to the initial guidance: ASU 2018-19, ASU 2019-04, ASU 2019-05, ASU 2019-10, ASU</w:t>
      </w:r>
      <w:r>
        <w:rPr>
          <w:rFonts w:ascii="Arial" w:cs="Arial" w:eastAsia="Arial" w:hAnsi="Arial"/>
          <w:sz w:val="18"/>
          <w:szCs w:val="18"/>
          <w:i w:val="1"/>
          <w:iCs w:val="1"/>
          <w:color w:val="auto"/>
        </w:rPr>
        <w:t xml:space="preserve"> </w:t>
      </w:r>
      <w:r>
        <w:rPr>
          <w:rFonts w:ascii="Arial" w:cs="Arial" w:eastAsia="Arial" w:hAnsi="Arial"/>
          <w:sz w:val="18"/>
          <w:szCs w:val="18"/>
          <w:color w:val="auto"/>
        </w:rPr>
        <w:t>2019-11, ASU 2020-02, and ASU 2020-03, which replaces the existing incurred loss impairment model with an expected credit loss model and requires a financial asset measured at amortized cost to be presented at the net amount expected to be collected. This standard is effective for fiscal years beginning after December 15, 2022, including interim periods within those fiscal years. Early adoption is permitted. The Company is currently evaluating the impact of this standard on its consolidated financial statements.</w:t>
      </w:r>
    </w:p>
    <w:p>
      <w:pPr>
        <w:spacing w:after="0" w:line="128" w:lineRule="exact"/>
        <w:rPr>
          <w:sz w:val="20"/>
          <w:szCs w:val="20"/>
          <w:color w:val="auto"/>
        </w:rPr>
      </w:pPr>
    </w:p>
    <w:p>
      <w:pPr>
        <w:ind w:left="640" w:hanging="634"/>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provide the financial instruments measured at fair value for each of the respective periods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8"/>
                <w:szCs w:val="18"/>
                <w:b w:val="1"/>
                <w:bCs w:val="1"/>
                <w:color w:val="auto"/>
              </w:rPr>
              <w:t>March 31, 2021</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9"/>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b w:val="1"/>
                <w:bCs w:val="1"/>
                <w:color w:val="auto"/>
              </w:rPr>
              <w:t>Total</w:t>
            </w:r>
          </w:p>
        </w:tc>
      </w:tr>
      <w:tr>
        <w:trPr>
          <w:trHeight w:val="22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224,268</w:t>
            </w:r>
          </w:p>
        </w:tc>
      </w:tr>
      <w:tr>
        <w:trPr>
          <w:trHeight w:val="219"/>
        </w:trPr>
        <w:tc>
          <w:tcPr>
            <w:tcW w:w="47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224,268</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224,268</w:t>
            </w: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rPr>
              <w:t>December 31, 2020</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43,460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transfers in or out of Level 1 or 2 during the periods presented in the tables above.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money market funds are classified as Level 1 because they are valued using quoted market prices.</w:t>
      </w:r>
    </w:p>
    <w:p>
      <w:pPr>
        <w:spacing w:after="0" w:line="16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As of March 31, 2021 and December 31, 2020, the amortized cost of the Company’s financial assets and liabilities approximate their estimated fair values. As such, there are no unrealized gains or losses related to the Company’s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20"/>
                <w:szCs w:val="20"/>
                <w:color w:val="auto"/>
              </w:rPr>
            </w:pPr>
          </w:p>
        </w:tc>
        <w:tc>
          <w:tcPr>
            <w:tcW w:w="1620" w:type="dxa"/>
            <w:vAlign w:val="bottom"/>
          </w:tcPr>
          <w:p>
            <w:pPr>
              <w:jc w:val="center"/>
              <w:ind w:right="152"/>
              <w:spacing w:after="0"/>
              <w:rPr>
                <w:sz w:val="20"/>
                <w:szCs w:val="20"/>
                <w:color w:val="auto"/>
              </w:rPr>
            </w:pPr>
            <w:r>
              <w:rPr>
                <w:rFonts w:ascii="Arial" w:cs="Arial" w:eastAsia="Arial" w:hAnsi="Arial"/>
                <w:sz w:val="18"/>
                <w:szCs w:val="18"/>
                <w:b w:val="1"/>
                <w:bCs w:val="1"/>
                <w:color w:val="auto"/>
                <w:w w:val="97"/>
              </w:rPr>
              <w:t>December 31,</w:t>
            </w:r>
          </w:p>
        </w:tc>
      </w:tr>
      <w:tr>
        <w:trPr>
          <w:trHeight w:val="266"/>
        </w:trPr>
        <w:tc>
          <w:tcPr>
            <w:tcW w:w="74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2020</w:t>
            </w:r>
          </w:p>
        </w:tc>
      </w:tr>
      <w:tr>
        <w:trPr>
          <w:trHeight w:val="21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left="732"/>
              <w:spacing w:after="0"/>
              <w:rPr>
                <w:sz w:val="20"/>
                <w:szCs w:val="20"/>
                <w:color w:val="auto"/>
              </w:rPr>
            </w:pPr>
            <w:r>
              <w:rPr>
                <w:rFonts w:ascii="Arial" w:cs="Arial" w:eastAsia="Arial" w:hAnsi="Arial"/>
                <w:sz w:val="18"/>
                <w:szCs w:val="18"/>
                <w:color w:val="auto"/>
                <w:w w:val="98"/>
              </w:rPr>
              <w:t>59,283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center"/>
              <w:ind w:left="832"/>
              <w:spacing w:after="0"/>
              <w:rPr>
                <w:sz w:val="20"/>
                <w:szCs w:val="20"/>
                <w:color w:val="auto"/>
              </w:rPr>
            </w:pPr>
            <w:r>
              <w:rPr>
                <w:rFonts w:ascii="Arial" w:cs="Arial" w:eastAsia="Arial" w:hAnsi="Arial"/>
                <w:sz w:val="18"/>
                <w:szCs w:val="18"/>
                <w:color w:val="auto"/>
                <w:w w:val="98"/>
              </w:rPr>
              <w:t>55,221</w:t>
            </w:r>
          </w:p>
        </w:tc>
      </w:tr>
      <w:tr>
        <w:trPr>
          <w:trHeight w:val="264"/>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left="712"/>
              <w:spacing w:after="0"/>
              <w:rPr>
                <w:sz w:val="20"/>
                <w:szCs w:val="20"/>
                <w:color w:val="auto"/>
              </w:rPr>
            </w:pPr>
            <w:r>
              <w:rPr>
                <w:rFonts w:ascii="Arial" w:cs="Arial" w:eastAsia="Arial" w:hAnsi="Arial"/>
                <w:sz w:val="18"/>
                <w:szCs w:val="18"/>
                <w:color w:val="auto"/>
                <w:w w:val="95"/>
              </w:rPr>
              <w:t>(15,721)</w:t>
            </w: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left="832"/>
              <w:spacing w:after="0"/>
              <w:rPr>
                <w:sz w:val="20"/>
                <w:szCs w:val="20"/>
                <w:color w:val="auto"/>
              </w:rPr>
            </w:pPr>
            <w:r>
              <w:rPr>
                <w:rFonts w:ascii="Arial" w:cs="Arial" w:eastAsia="Arial" w:hAnsi="Arial"/>
                <w:sz w:val="18"/>
                <w:szCs w:val="18"/>
                <w:color w:val="auto"/>
                <w:w w:val="98"/>
              </w:rPr>
              <w:t>(14,090)</w:t>
            </w: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732"/>
              <w:spacing w:after="0"/>
              <w:rPr>
                <w:sz w:val="20"/>
                <w:szCs w:val="20"/>
                <w:color w:val="auto"/>
              </w:rPr>
            </w:pPr>
            <w:r>
              <w:rPr>
                <w:rFonts w:ascii="Arial" w:cs="Arial" w:eastAsia="Arial" w:hAnsi="Arial"/>
                <w:sz w:val="18"/>
                <w:szCs w:val="18"/>
                <w:color w:val="auto"/>
                <w:w w:val="98"/>
              </w:rPr>
              <w:t>43,562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center"/>
              <w:ind w:left="832"/>
              <w:spacing w:after="0"/>
              <w:rPr>
                <w:sz w:val="20"/>
                <w:szCs w:val="20"/>
                <w:color w:val="auto"/>
              </w:rPr>
            </w:pPr>
            <w:r>
              <w:rPr>
                <w:rFonts w:ascii="Arial" w:cs="Arial" w:eastAsia="Arial" w:hAnsi="Arial"/>
                <w:sz w:val="18"/>
                <w:szCs w:val="18"/>
                <w:color w:val="auto"/>
                <w:w w:val="98"/>
              </w:rPr>
              <w:t>41,131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three months ended March 31, 2021 and 2020, the Company capitalized $0.5 million and $0.3 million of costs associated with internal-use software, respectively. For the three months ended March 31, 2021 and 2020, the Company capitalized $0.1 million and $0.1 million, respectively, out of $0.6 million and $0.3 million total interest costs incurred for each respective period. Depreciation and amortization expense of property and equipment was $2.0 million and $1.2 million for the three months ended March 31, 2021 and 2020,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360" w:type="dxa"/>
            <w:vAlign w:val="bottom"/>
          </w:tcPr>
          <w:p>
            <w:pPr>
              <w:ind w:left="400"/>
              <w:spacing w:after="0"/>
              <w:rPr>
                <w:sz w:val="20"/>
                <w:szCs w:val="20"/>
                <w:color w:val="auto"/>
              </w:rPr>
            </w:pPr>
            <w:r>
              <w:rPr>
                <w:rFonts w:ascii="Arial" w:cs="Arial" w:eastAsia="Arial" w:hAnsi="Arial"/>
                <w:sz w:val="18"/>
                <w:szCs w:val="18"/>
                <w:b w:val="1"/>
                <w:bCs w:val="1"/>
                <w:color w:val="auto"/>
              </w:rPr>
              <w:t>Other Balance Sheet Details</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71"/>
        </w:trPr>
        <w:tc>
          <w:tcPr>
            <w:tcW w:w="240" w:type="dxa"/>
            <w:vAlign w:val="bottom"/>
          </w:tcPr>
          <w:p>
            <w:pPr>
              <w:spacing w:after="0"/>
              <w:rPr>
                <w:sz w:val="24"/>
                <w:szCs w:val="24"/>
                <w:color w:val="auto"/>
              </w:rPr>
            </w:pPr>
          </w:p>
        </w:tc>
        <w:tc>
          <w:tcPr>
            <w:tcW w:w="7360" w:type="dxa"/>
            <w:vAlign w:val="bottom"/>
          </w:tcPr>
          <w:p>
            <w:pPr>
              <w:ind w:left="80"/>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7"/>
        </w:trPr>
        <w:tc>
          <w:tcPr>
            <w:tcW w:w="2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b w:val="1"/>
                <w:bCs w:val="1"/>
                <w:color w:val="auto"/>
              </w:rPr>
              <w:t>December 31,</w:t>
            </w:r>
          </w:p>
        </w:tc>
      </w:tr>
      <w:tr>
        <w:trPr>
          <w:trHeight w:val="252"/>
        </w:trPr>
        <w:tc>
          <w:tcPr>
            <w:tcW w:w="240" w:type="dxa"/>
            <w:vAlign w:val="bottom"/>
            <w:tcBorders>
              <w:bottom w:val="single" w:sz="8" w:color="CCEEFF"/>
            </w:tcBorders>
          </w:tcPr>
          <w:p>
            <w:pPr>
              <w:spacing w:after="0"/>
              <w:rPr>
                <w:sz w:val="21"/>
                <w:szCs w:val="21"/>
                <w:color w:val="auto"/>
              </w:rPr>
            </w:pPr>
          </w:p>
        </w:tc>
        <w:tc>
          <w:tcPr>
            <w:tcW w:w="73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2020</w:t>
            </w:r>
          </w:p>
        </w:tc>
      </w:tr>
      <w:tr>
        <w:trPr>
          <w:trHeight w:val="21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r>
      <w:tr>
        <w:trPr>
          <w:trHeight w:val="225"/>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5,094</w:t>
            </w:r>
          </w:p>
        </w:tc>
      </w:tr>
      <w:tr>
        <w:trPr>
          <w:trHeight w:val="22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r>
      <w:tr>
        <w:trPr>
          <w:trHeight w:val="225"/>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Accrued taxes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4,594</w:t>
            </w:r>
          </w:p>
        </w:tc>
      </w:tr>
      <w:tr>
        <w:trPr>
          <w:trHeight w:val="22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r>
      <w:tr>
        <w:trPr>
          <w:trHeight w:val="225"/>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Accrued vendor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3,407</w:t>
            </w:r>
          </w:p>
        </w:tc>
      </w:tr>
      <w:tr>
        <w:trPr>
          <w:trHeight w:val="22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marketing</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25"/>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other</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r>
      <w:tr>
        <w:trPr>
          <w:trHeight w:val="243"/>
        </w:trPr>
        <w:tc>
          <w:tcPr>
            <w:tcW w:w="24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32,541</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 Agreements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For the three months ended March 31, 2021 and 2020, the Company’s operating lease expense was $2.1 million and $1.4 million,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80" w:type="dxa"/>
            <w:vAlign w:val="bottom"/>
          </w:tcPr>
          <w:p>
            <w:pPr>
              <w:ind w:left="320"/>
              <w:spacing w:after="0"/>
              <w:rPr>
                <w:sz w:val="20"/>
                <w:szCs w:val="20"/>
                <w:color w:val="auto"/>
              </w:rPr>
            </w:pPr>
            <w:r>
              <w:rPr>
                <w:rFonts w:ascii="Arial" w:cs="Arial" w:eastAsia="Arial" w:hAnsi="Arial"/>
                <w:sz w:val="18"/>
                <w:szCs w:val="18"/>
                <w:color w:val="auto"/>
              </w:rPr>
              <w:t>Maturities of operating lease liabilities were as follows as of March 31, 2021 (in thousands):</w:t>
            </w: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11"/>
        </w:trPr>
        <w:tc>
          <w:tcPr>
            <w:tcW w:w="92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Amount</w:t>
            </w:r>
          </w:p>
        </w:tc>
      </w:tr>
      <w:tr>
        <w:trPr>
          <w:trHeight w:val="219"/>
        </w:trPr>
        <w:tc>
          <w:tcPr>
            <w:tcW w:w="92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Remainder of 2021</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r>
      <w:tr>
        <w:trPr>
          <w:trHeight w:val="225"/>
        </w:trPr>
        <w:tc>
          <w:tcPr>
            <w:tcW w:w="9280" w:type="dxa"/>
            <w:vAlign w:val="bottom"/>
          </w:tcPr>
          <w:p>
            <w:pPr>
              <w:ind w:left="18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4,519</w:t>
            </w:r>
          </w:p>
        </w:tc>
      </w:tr>
      <w:tr>
        <w:trPr>
          <w:trHeight w:val="22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r>
      <w:tr>
        <w:trPr>
          <w:trHeight w:val="225"/>
        </w:trPr>
        <w:tc>
          <w:tcPr>
            <w:tcW w:w="9280" w:type="dxa"/>
            <w:vAlign w:val="bottom"/>
          </w:tcPr>
          <w:p>
            <w:pPr>
              <w:ind w:left="18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26"/>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25"/>
        </w:trPr>
        <w:tc>
          <w:tcPr>
            <w:tcW w:w="9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12,292</w:t>
            </w:r>
          </w:p>
        </w:tc>
      </w:tr>
      <w:tr>
        <w:trPr>
          <w:trHeight w:val="219"/>
        </w:trPr>
        <w:tc>
          <w:tcPr>
            <w:tcW w:w="92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31,691</w:t>
            </w:r>
          </w:p>
        </w:tc>
      </w:tr>
      <w:tr>
        <w:trPr>
          <w:trHeight w:val="238"/>
        </w:trPr>
        <w:tc>
          <w:tcPr>
            <w:tcW w:w="92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7,785</w:t>
            </w:r>
          </w:p>
        </w:tc>
      </w:tr>
      <w:tr>
        <w:trPr>
          <w:trHeight w:val="28"/>
        </w:trPr>
        <w:tc>
          <w:tcPr>
            <w:tcW w:w="9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928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23,906</w:t>
            </w:r>
          </w:p>
        </w:tc>
      </w:tr>
      <w:tr>
        <w:trPr>
          <w:trHeight w:val="218"/>
        </w:trPr>
        <w:tc>
          <w:tcPr>
            <w:tcW w:w="9280" w:type="dxa"/>
            <w:vAlign w:val="bottom"/>
          </w:tcPr>
          <w:p>
            <w:pPr>
              <w:ind w:left="20"/>
              <w:spacing w:after="0"/>
              <w:rPr>
                <w:sz w:val="20"/>
                <w:szCs w:val="20"/>
                <w:color w:val="auto"/>
              </w:rPr>
            </w:pPr>
            <w:r>
              <w:rPr>
                <w:rFonts w:ascii="Arial" w:cs="Arial" w:eastAsia="Arial" w:hAnsi="Arial"/>
                <w:sz w:val="18"/>
                <w:szCs w:val="18"/>
                <w:color w:val="auto"/>
              </w:rPr>
              <w:t>Less: current lease liabilities</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3,095</w:t>
            </w:r>
          </w:p>
        </w:tc>
      </w:tr>
      <w:tr>
        <w:trPr>
          <w:trHeight w:val="28"/>
        </w:trPr>
        <w:tc>
          <w:tcPr>
            <w:tcW w:w="9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9280" w:type="dxa"/>
            <w:vAlign w:val="bottom"/>
            <w:tcBorders>
              <w:bottom w:val="single" w:sz="8" w:color="CCEEFF"/>
            </w:tcBorders>
            <w:shd w:val="clear" w:color="auto" w:fill="CCEEFF"/>
          </w:tcPr>
          <w:p>
            <w:pPr>
              <w:ind w:left="340"/>
              <w:spacing w:after="0" w:line="204" w:lineRule="exact"/>
              <w:rPr>
                <w:sz w:val="20"/>
                <w:szCs w:val="20"/>
                <w:color w:val="auto"/>
              </w:rPr>
            </w:pPr>
            <w:r>
              <w:rPr>
                <w:rFonts w:ascii="Arial" w:cs="Arial" w:eastAsia="Arial" w:hAnsi="Arial"/>
                <w:sz w:val="18"/>
                <w:szCs w:val="18"/>
                <w:color w:val="auto"/>
              </w:rPr>
              <w:t>Total non-current lease liabilities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20,811</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Convertible Preferred Stock Warrants</w:t>
      </w:r>
    </w:p>
    <w:p>
      <w:pPr>
        <w:spacing w:after="0" w:line="186"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The Company entered into a loan and security agreement (“Term Loan”) with Western Alliance Bank (“Bank”) for an aggregate amount up to $40.0 million to refinance its Loan and Security Agreement with Silicon Valley Bank (“SVB”) in February 2019. The Term Loan was amended three times before December 31, 2020.</w:t>
      </w:r>
    </w:p>
    <w:p>
      <w:pPr>
        <w:spacing w:after="0" w:line="147"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In February 2021, the Company amended and restated the loan and security agreement (“Fourth Amendment”) with the Bank to reflect all waivers and amendments to date. Subsequently, the Company borrowed an additional $5.0 million for an aggregate principal amount of $40.0 million. In connection with the additional $5.0 million draw, the Company issued additional warrant shares for Series E-1 preferred stock in the amount of 15,979 or (i) two percent of the additional advance amount drawn under the Term A Loans, divided by (ii) the applicable exercise price at the time the warrant is exercised.</w:t>
      </w:r>
    </w:p>
    <w:p>
      <w:pPr>
        <w:spacing w:after="0" w:line="148"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As of March 31, 2021, the nominal interest rate was 5.75% and the effective interest rate was 6.84%. The Company is in compliance with the covenants as of March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80" w:type="dxa"/>
            <w:vAlign w:val="bottom"/>
          </w:tcPr>
          <w:p>
            <w:pPr>
              <w:ind w:left="320"/>
              <w:spacing w:after="0"/>
              <w:rPr>
                <w:sz w:val="20"/>
                <w:szCs w:val="20"/>
                <w:color w:val="auto"/>
              </w:rPr>
            </w:pPr>
            <w:r>
              <w:rPr>
                <w:rFonts w:ascii="Arial" w:cs="Arial" w:eastAsia="Arial" w:hAnsi="Arial"/>
                <w:sz w:val="18"/>
                <w:szCs w:val="18"/>
                <w:color w:val="auto"/>
              </w:rPr>
              <w:t>The maturities of the loan agreement as of March 31, 2021 are as follows (in thousands):</w:t>
            </w: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90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Amount</w:t>
            </w:r>
          </w:p>
        </w:tc>
      </w:tr>
      <w:tr>
        <w:trPr>
          <w:trHeight w:val="21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5"/>
        </w:trPr>
        <w:tc>
          <w:tcPr>
            <w:tcW w:w="9080" w:type="dxa"/>
            <w:vAlign w:val="bottom"/>
          </w:tcPr>
          <w:p>
            <w:pPr>
              <w:ind w:left="24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6"/>
        </w:trPr>
        <w:tc>
          <w:tcPr>
            <w:tcW w:w="9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5"/>
        </w:trPr>
        <w:tc>
          <w:tcPr>
            <w:tcW w:w="9080" w:type="dxa"/>
            <w:vAlign w:val="bottom"/>
          </w:tcPr>
          <w:p>
            <w:pPr>
              <w:ind w:left="24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6"/>
        </w:trPr>
        <w:tc>
          <w:tcPr>
            <w:tcW w:w="9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080" w:type="dxa"/>
            <w:vAlign w:val="bottom"/>
          </w:tcPr>
          <w:p>
            <w:pPr>
              <w:ind w:left="340"/>
              <w:spacing w:after="0"/>
              <w:rPr>
                <w:sz w:val="20"/>
                <w:szCs w:val="20"/>
                <w:color w:val="auto"/>
              </w:rPr>
            </w:pPr>
            <w:r>
              <w:rPr>
                <w:rFonts w:ascii="Arial" w:cs="Arial" w:eastAsia="Arial" w:hAnsi="Arial"/>
                <w:sz w:val="18"/>
                <w:szCs w:val="18"/>
                <w:color w:val="auto"/>
              </w:rPr>
              <w:t>Total future principal</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26"/>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5"/>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w:t>
            </w:r>
          </w:p>
        </w:tc>
      </w:tr>
      <w:tr>
        <w:trPr>
          <w:trHeight w:val="244"/>
        </w:trPr>
        <w:tc>
          <w:tcPr>
            <w:tcW w:w="9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Noncurrent portion of long-term debt</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33,320</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 Issued with Loan and Security Agreement</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issued various preferred stock warrants under its loan and security agreements with SVB and the Bank. Immediately prior to the conversion upon IPO and as of December 31, 2020, the following preferred stock warrant liabilities were outstanding.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7"/>
              </w:rPr>
              <w:t>Balance Sheet</w:t>
            </w:r>
          </w:p>
        </w:tc>
        <w:tc>
          <w:tcPr>
            <w:tcW w:w="150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7"/>
              </w:rPr>
              <w:t>Exercise Price</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Immediately Prior</w:t>
            </w:r>
          </w:p>
        </w:tc>
        <w:tc>
          <w:tcPr>
            <w:tcW w:w="13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72"/>
        </w:trPr>
        <w:tc>
          <w:tcPr>
            <w:tcW w:w="192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Description</w:t>
            </w:r>
          </w:p>
        </w:tc>
        <w:tc>
          <w:tcPr>
            <w:tcW w:w="162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b w:val="1"/>
                <w:bCs w:val="1"/>
                <w:color w:val="auto"/>
              </w:rPr>
              <w:t>Issuance Date</w:t>
            </w:r>
          </w:p>
        </w:tc>
        <w:tc>
          <w:tcPr>
            <w:tcW w:w="16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8"/>
              </w:rPr>
              <w:t>Expiration Date</w:t>
            </w:r>
          </w:p>
        </w:tc>
        <w:tc>
          <w:tcPr>
            <w:tcW w:w="1620" w:type="dxa"/>
            <w:vAlign w:val="bottom"/>
            <w:gridSpan w:val="2"/>
            <w:vMerge w:val="continue"/>
            <w:shd w:val="clear" w:color="auto" w:fill="CCEEFF"/>
          </w:tcPr>
          <w:p>
            <w:pPr>
              <w:spacing w:after="0"/>
              <w:rPr>
                <w:sz w:val="14"/>
                <w:szCs w:val="14"/>
                <w:color w:val="auto"/>
              </w:rPr>
            </w:pPr>
          </w:p>
        </w:tc>
        <w:tc>
          <w:tcPr>
            <w:tcW w:w="1500" w:type="dxa"/>
            <w:vAlign w:val="bottom"/>
            <w:gridSpan w:val="3"/>
            <w:vMerge w:val="continue"/>
            <w:shd w:val="clear" w:color="auto" w:fill="CCEEFF"/>
          </w:tcPr>
          <w:p>
            <w:pPr>
              <w:spacing w:after="0"/>
              <w:rPr>
                <w:sz w:val="14"/>
                <w:szCs w:val="14"/>
                <w:color w:val="auto"/>
              </w:rPr>
            </w:pPr>
          </w:p>
        </w:tc>
        <w:tc>
          <w:tcPr>
            <w:tcW w:w="1620" w:type="dxa"/>
            <w:vAlign w:val="bottom"/>
            <w:gridSpan w:val="2"/>
            <w:shd w:val="clear" w:color="auto" w:fill="CCEEFF"/>
          </w:tcPr>
          <w:p>
            <w:pPr>
              <w:jc w:val="center"/>
              <w:ind w:right="100"/>
              <w:spacing w:after="0" w:line="172" w:lineRule="exact"/>
              <w:rPr>
                <w:sz w:val="20"/>
                <w:szCs w:val="20"/>
                <w:color w:val="auto"/>
              </w:rPr>
            </w:pPr>
            <w:r>
              <w:rPr>
                <w:rFonts w:ascii="Arial" w:cs="Arial" w:eastAsia="Arial" w:hAnsi="Arial"/>
                <w:sz w:val="18"/>
                <w:szCs w:val="18"/>
                <w:b w:val="1"/>
                <w:bCs w:val="1"/>
                <w:color w:val="auto"/>
                <w:w w:val="97"/>
              </w:rPr>
              <w:t>to the</w:t>
            </w: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2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20" w:type="dxa"/>
            <w:vAlign w:val="bottom"/>
            <w:gridSpan w:val="2"/>
            <w:vMerge w:val="restart"/>
            <w:shd w:val="clear" w:color="auto" w:fill="CCEEFF"/>
          </w:tcPr>
          <w:p>
            <w:pPr>
              <w:jc w:val="center"/>
              <w:ind w:right="100"/>
              <w:spacing w:after="0" w:line="172" w:lineRule="exact"/>
              <w:rPr>
                <w:sz w:val="20"/>
                <w:szCs w:val="20"/>
                <w:color w:val="auto"/>
              </w:rPr>
            </w:pPr>
            <w:r>
              <w:rPr>
                <w:rFonts w:ascii="Arial" w:cs="Arial" w:eastAsia="Arial" w:hAnsi="Arial"/>
                <w:sz w:val="18"/>
                <w:szCs w:val="18"/>
                <w:b w:val="1"/>
                <w:bCs w:val="1"/>
                <w:color w:val="auto"/>
                <w:w w:val="99"/>
              </w:rPr>
              <w:t>Classification</w:t>
            </w:r>
          </w:p>
        </w:tc>
        <w:tc>
          <w:tcPr>
            <w:tcW w:w="2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center"/>
              <w:ind w:right="280"/>
              <w:spacing w:after="0" w:line="172" w:lineRule="exact"/>
              <w:rPr>
                <w:sz w:val="20"/>
                <w:szCs w:val="20"/>
                <w:color w:val="auto"/>
              </w:rPr>
            </w:pPr>
            <w:r>
              <w:rPr>
                <w:rFonts w:ascii="Arial" w:cs="Arial" w:eastAsia="Arial" w:hAnsi="Arial"/>
                <w:sz w:val="18"/>
                <w:szCs w:val="18"/>
                <w:b w:val="1"/>
                <w:bCs w:val="1"/>
                <w:color w:val="auto"/>
                <w:w w:val="97"/>
              </w:rPr>
              <w:t>Per Share</w:t>
            </w:r>
          </w:p>
        </w:tc>
        <w:tc>
          <w:tcPr>
            <w:tcW w:w="1620" w:type="dxa"/>
            <w:vAlign w:val="bottom"/>
            <w:gridSpan w:val="2"/>
            <w:vMerge w:val="restart"/>
            <w:shd w:val="clear" w:color="auto" w:fill="CCEEFF"/>
          </w:tcPr>
          <w:p>
            <w:pPr>
              <w:jc w:val="center"/>
              <w:ind w:right="80"/>
              <w:spacing w:after="0" w:line="172" w:lineRule="exact"/>
              <w:rPr>
                <w:sz w:val="20"/>
                <w:szCs w:val="20"/>
                <w:color w:val="auto"/>
              </w:rPr>
            </w:pPr>
            <w:r>
              <w:rPr>
                <w:rFonts w:ascii="Arial" w:cs="Arial" w:eastAsia="Arial" w:hAnsi="Arial"/>
                <w:sz w:val="18"/>
                <w:szCs w:val="18"/>
                <w:b w:val="1"/>
                <w:bCs w:val="1"/>
                <w:color w:val="auto"/>
                <w:w w:val="97"/>
              </w:rPr>
              <w:t>Completion of</w:t>
            </w:r>
          </w:p>
        </w:tc>
        <w:tc>
          <w:tcPr>
            <w:tcW w:w="1340" w:type="dxa"/>
            <w:vAlign w:val="bottom"/>
            <w:vMerge w:val="restart"/>
            <w:shd w:val="clear" w:color="auto" w:fill="CCEEFF"/>
          </w:tcPr>
          <w:p>
            <w:pPr>
              <w:jc w:val="right"/>
              <w:ind w:right="392"/>
              <w:spacing w:after="0" w:line="17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1"/>
        </w:trPr>
        <w:tc>
          <w:tcPr>
            <w:tcW w:w="1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gridSpan w:val="2"/>
            <w:vMerge w:val="continue"/>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00" w:type="dxa"/>
            <w:vAlign w:val="bottom"/>
            <w:gridSpan w:val="2"/>
            <w:vMerge w:val="continue"/>
            <w:shd w:val="clear" w:color="auto" w:fill="CCEEFF"/>
          </w:tcPr>
          <w:p>
            <w:pPr>
              <w:spacing w:after="0"/>
              <w:rPr>
                <w:sz w:val="3"/>
                <w:szCs w:val="3"/>
                <w:color w:val="auto"/>
              </w:rPr>
            </w:pPr>
          </w:p>
        </w:tc>
        <w:tc>
          <w:tcPr>
            <w:tcW w:w="1620" w:type="dxa"/>
            <w:vAlign w:val="bottom"/>
            <w:gridSpan w:val="2"/>
            <w:vMerge w:val="continue"/>
            <w:shd w:val="clear" w:color="auto" w:fill="CCEEFF"/>
          </w:tcPr>
          <w:p>
            <w:pPr>
              <w:spacing w:after="0"/>
              <w:rPr>
                <w:sz w:val="3"/>
                <w:szCs w:val="3"/>
                <w:color w:val="auto"/>
              </w:rPr>
            </w:pPr>
          </w:p>
        </w:tc>
        <w:tc>
          <w:tcPr>
            <w:tcW w:w="134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IPO</w:t>
            </w: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20" w:type="dxa"/>
            <w:vAlign w:val="bottom"/>
            <w:gridSpan w:val="2"/>
          </w:tcPr>
          <w:p>
            <w:pPr>
              <w:ind w:left="240"/>
              <w:spacing w:after="0"/>
              <w:rPr>
                <w:sz w:val="20"/>
                <w:szCs w:val="20"/>
                <w:color w:val="auto"/>
              </w:rPr>
            </w:pPr>
            <w:r>
              <w:rPr>
                <w:rFonts w:ascii="Arial" w:cs="Arial" w:eastAsia="Arial" w:hAnsi="Arial"/>
                <w:sz w:val="18"/>
                <w:szCs w:val="18"/>
                <w:color w:val="auto"/>
              </w:rPr>
              <w:t>Series D</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1/22/2015</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1/22/2025</w:t>
            </w: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2.2600</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13,382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Series D</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4/20/2015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1/22/2025</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2/7/2019</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6.2581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63,917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63,917</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Series F</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5/29/2020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8/14/2020</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6.2581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31,958</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31,958</w:t>
            </w:r>
          </w:p>
        </w:tc>
        <w:tc>
          <w:tcPr>
            <w:tcW w:w="0" w:type="dxa"/>
            <w:vAlign w:val="bottom"/>
          </w:tcPr>
          <w:p>
            <w:pPr>
              <w:spacing w:after="0"/>
              <w:rPr>
                <w:sz w:val="1"/>
                <w:szCs w:val="1"/>
                <w:color w:val="auto"/>
              </w:rPr>
            </w:pPr>
          </w:p>
        </w:tc>
      </w:tr>
      <w:tr>
        <w:trPr>
          <w:trHeight w:val="226"/>
        </w:trPr>
        <w:tc>
          <w:tcPr>
            <w:tcW w:w="1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11/25/2020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0" w:type="dxa"/>
            <w:vAlign w:val="bottom"/>
          </w:tcPr>
          <w:p>
            <w:pPr>
              <w:spacing w:after="0"/>
              <w:rPr>
                <w:sz w:val="1"/>
                <w:szCs w:val="1"/>
                <w:color w:val="auto"/>
              </w:rPr>
            </w:pPr>
          </w:p>
        </w:tc>
      </w:tr>
      <w:tr>
        <w:trPr>
          <w:trHeight w:val="225"/>
        </w:trPr>
        <w:tc>
          <w:tcPr>
            <w:tcW w:w="19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Series E-1</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6"/>
              </w:rPr>
              <w:t>2/8/2021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5/29/2030</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Liability</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6.2581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15,979</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164,973</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148,994</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The convertible preferred stock warrant liability of $0.8 million was included in other non-current liabilities in the consolidated balance sheet as of December 31, 2020.</w:t>
      </w:r>
    </w:p>
    <w:p>
      <w:pPr>
        <w:spacing w:after="0" w:line="146"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Immediately prior to the completion of IPO in March 2021, all 164,973 shares of the convertible preferred stock warrant were remeasured to fair value and converted to equivalent number of Class B common stock warrants. The Company reclassified the convertible preferred stock warrant liability to additional paid-in capital upon the conversion. Refer to Note 8. Common Stock and Common Stock Warrants for more details on common stock warrants.</w:t>
      </w:r>
    </w:p>
    <w:p>
      <w:pPr>
        <w:spacing w:after="0" w:line="125"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Immediately prior to the completion of the IPO, 65,970,938 shares of the convertible preferred stock converted to an equivalent number of shares of Class B common stock and 164,973 shares of the convertible preferred stock warrants were converted to an equivalent number of Class B common stock warrants.</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During the three months ended March 31, 2021, the Company issued 24,837 shares of Class B common stock through a cashless net exercise of 26,764 shares of Class B common stock warrants. 138,209 shares of Class B common stock warrants were outstanding as of March 31, 2021.</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Class A common stock and Class B common stock issued and outstanding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20" w:type="dxa"/>
            <w:vAlign w:val="bottom"/>
            <w:tcBorders>
              <w:bottom w:val="single" w:sz="8" w:color="auto"/>
            </w:tcBorders>
            <w:gridSpan w:val="3"/>
          </w:tcPr>
          <w:p>
            <w:pPr>
              <w:jc w:val="right"/>
              <w:ind w:right="2052"/>
              <w:spacing w:after="0"/>
              <w:rPr>
                <w:sz w:val="20"/>
                <w:szCs w:val="20"/>
                <w:color w:val="auto"/>
              </w:rPr>
            </w:pPr>
            <w:r>
              <w:rPr>
                <w:rFonts w:ascii="Arial" w:cs="Arial" w:eastAsia="Arial" w:hAnsi="Arial"/>
                <w:sz w:val="18"/>
                <w:szCs w:val="18"/>
                <w:b w:val="1"/>
                <w:bCs w:val="1"/>
                <w:color w:val="auto"/>
              </w:rPr>
              <w:t>As of March 31, 2021</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060" w:type="dxa"/>
            <w:vAlign w:val="bottom"/>
            <w:gridSpan w:val="2"/>
          </w:tcPr>
          <w:p>
            <w:pPr>
              <w:ind w:left="1000"/>
              <w:spacing w:after="0"/>
              <w:rPr>
                <w:sz w:val="20"/>
                <w:szCs w:val="20"/>
                <w:color w:val="auto"/>
              </w:rPr>
            </w:pPr>
            <w:r>
              <w:rPr>
                <w:rFonts w:ascii="Arial" w:cs="Arial" w:eastAsia="Arial" w:hAnsi="Arial"/>
                <w:sz w:val="18"/>
                <w:szCs w:val="18"/>
                <w:b w:val="1"/>
                <w:bCs w:val="1"/>
                <w:color w:val="auto"/>
              </w:rPr>
              <w:t>Authorized</w:t>
            </w:r>
          </w:p>
        </w:tc>
        <w:tc>
          <w:tcPr>
            <w:tcW w:w="2960" w:type="dxa"/>
            <w:vAlign w:val="bottom"/>
          </w:tcPr>
          <w:p>
            <w:pPr>
              <w:jc w:val="right"/>
              <w:ind w:right="372"/>
              <w:spacing w:after="0"/>
              <w:rPr>
                <w:sz w:val="20"/>
                <w:szCs w:val="20"/>
                <w:color w:val="auto"/>
              </w:rPr>
            </w:pPr>
            <w:r>
              <w:rPr>
                <w:rFonts w:ascii="Arial" w:cs="Arial" w:eastAsia="Arial" w:hAnsi="Arial"/>
                <w:sz w:val="18"/>
                <w:szCs w:val="18"/>
                <w:b w:val="1"/>
                <w:bCs w:val="1"/>
                <w:color w:val="auto"/>
              </w:rPr>
              <w:t>Issued and Outstanding</w:t>
            </w:r>
          </w:p>
        </w:tc>
        <w:tc>
          <w:tcPr>
            <w:tcW w:w="0" w:type="dxa"/>
            <w:vAlign w:val="bottom"/>
          </w:tcPr>
          <w:p>
            <w:pPr>
              <w:spacing w:after="0"/>
              <w:rPr>
                <w:sz w:val="1"/>
                <w:szCs w:val="1"/>
                <w:color w:val="auto"/>
              </w:rPr>
            </w:pPr>
          </w:p>
        </w:tc>
      </w:tr>
      <w:tr>
        <w:trPr>
          <w:trHeight w:val="218"/>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Common stock Class A</w:t>
            </w:r>
          </w:p>
        </w:tc>
        <w:tc>
          <w:tcPr>
            <w:tcW w:w="2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Common stock Class B</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120,000,000</w:t>
            </w:r>
          </w:p>
        </w:tc>
        <w:tc>
          <w:tcPr>
            <w:tcW w:w="120" w:type="dxa"/>
            <w:vAlign w:val="bottom"/>
            <w:tcBorders>
              <w:bottom w:val="single" w:sz="8" w:color="CCEEFF"/>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80,343,694</w:t>
            </w: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common stock</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1,120,000,000</w:t>
            </w: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94,143,694</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w:t>
            </w:r>
          </w:p>
        </w:tc>
        <w:tc>
          <w:tcPr>
            <w:tcW w:w="498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b w:val="1"/>
                <w:bCs w:val="1"/>
                <w:color w:val="auto"/>
              </w:rPr>
              <w:t>Stock-Based Compensation Plans</w:t>
            </w: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40" w:type="dxa"/>
            <w:vAlign w:val="bottom"/>
            <w:vMerge w:val="continue"/>
          </w:tcPr>
          <w:p>
            <w:pPr>
              <w:spacing w:after="0"/>
              <w:rPr>
                <w:sz w:val="24"/>
                <w:szCs w:val="24"/>
                <w:color w:val="auto"/>
              </w:rPr>
            </w:pPr>
          </w:p>
        </w:tc>
        <w:tc>
          <w:tcPr>
            <w:tcW w:w="4980" w:type="dxa"/>
            <w:vAlign w:val="bottom"/>
            <w:vMerge w:val="continue"/>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40" w:type="dxa"/>
            <w:vAlign w:val="bottom"/>
          </w:tcPr>
          <w:p>
            <w:pPr>
              <w:spacing w:after="0"/>
              <w:rPr>
                <w:sz w:val="24"/>
                <w:szCs w:val="24"/>
                <w:color w:val="auto"/>
              </w:rPr>
            </w:pPr>
          </w:p>
        </w:tc>
        <w:tc>
          <w:tcPr>
            <w:tcW w:w="49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2021 Stock Option and Incentive Plan</w:t>
            </w: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February 2021, in connection with the IPO, the Company’s board of directors adopted the 2021 Stock Option and Incentive Plan (“2021 Plan”) to replace the Second Amended and Restated 2010 Stock Plan (“2010 Plan”), which was subsequently approved by the Company’s stockholders in March 2021. The 2021 Plan became effective on March 24, 2021.</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March 31, 2021, no stock options were granted under the 2021 Plan. As of March 31, 2021, 96,426 restricted stock units were granted under the 2021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February 2021, the Company’s board of directors adopted the Employee Stock Purchase Plan (“ESPP”), which was subsequently approved by the stockholders in March 2021. The ESPP became effective on March 24, 2021. The first offering period began on March 25, 2021, and there was no stock-based compensation related to the ESPP for the three months ended March 31, 2021.</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IPO Options Under the 2010 Plan</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August 2020, the Company’s board of directors approved stock options for 3,588,535 common shares to be granted to certain officers and employees with an exercise price of $2.05 per share. 50% of the options granted vest over a four-year period commencing on the effective date of the IPO. The remaining 50% of the options granted vest over a four-year period commencing on the one-year anniversary of the IPO. As these stock options vest upon the satisfaction of both a time-based condition and a performance condition, the fair value of these stock options of $6.7 million, in aggregate, will be recognized as compensation expense over the requisite service period using the accelerated attribution method. In the three months ended in March 31, 2021, $1.6 million was recognized as compensation expense from such stock options subject to these performance conditions.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Stock-based Compensation</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1"/>
        </w:trPr>
        <w:tc>
          <w:tcPr>
            <w:tcW w:w="8000" w:type="dxa"/>
            <w:vAlign w:val="bottom"/>
          </w:tcPr>
          <w:p>
            <w:pPr>
              <w:ind w:left="320"/>
              <w:spacing w:after="0"/>
              <w:rPr>
                <w:sz w:val="20"/>
                <w:szCs w:val="20"/>
                <w:color w:val="auto"/>
              </w:rPr>
            </w:pPr>
            <w:r>
              <w:rPr>
                <w:rFonts w:ascii="Arial" w:cs="Arial" w:eastAsia="Arial" w:hAnsi="Arial"/>
                <w:sz w:val="18"/>
                <w:szCs w:val="18"/>
                <w:color w:val="auto"/>
              </w:rPr>
              <w:t>Total stock-based compensation expense by department is as follows (in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1"/>
        </w:trPr>
        <w:tc>
          <w:tcPr>
            <w:tcW w:w="80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8"/>
                <w:szCs w:val="18"/>
                <w:b w:val="1"/>
                <w:bCs w:val="1"/>
                <w:color w:val="auto"/>
              </w:rPr>
              <w:t>Three months ended March 31,</w:t>
            </w:r>
          </w:p>
        </w:tc>
      </w:tr>
      <w:tr>
        <w:trPr>
          <w:trHeight w:val="219"/>
        </w:trPr>
        <w:tc>
          <w:tcPr>
            <w:tcW w:w="80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19"/>
        </w:trPr>
        <w:tc>
          <w:tcPr>
            <w:tcW w:w="800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March 31, 2021, there was approximately $20.1 million of total unrecognized stock-based compensation expense related to unvested options granted to employees under the Company’s stock option plan that is expected to be recognized over a weighted average period of 1.56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ThredUp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640" w:hanging="634"/>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but that have not yet been made.</w:t>
      </w:r>
    </w:p>
    <w:p>
      <w:pPr>
        <w:spacing w:after="0" w:line="131"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United States. The provision for income tax expense for the three months ended March 31, 2021 and 2020 was determined based upon estimates of the Company’s annual effective tax rate for the years ending December 31, 2021 and 2020 respectively. Since the company is in a full valuation allowance position, due to losses incurred since inception, the provision for taxes consist solely of state minimum taxes. The Company has no uncertain tax positions or any unrecognized tax benefits.</w:t>
      </w:r>
    </w:p>
    <w:p>
      <w:pPr>
        <w:spacing w:after="0" w:line="132"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participating securities were excluded from the computation of diluted net loss per share attributable to common stockholders for the periods presented, because including them would have been anti-dilutive (on an as-converted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220" w:type="dxa"/>
            <w:vAlign w:val="bottom"/>
            <w:tcBorders>
              <w:bottom w:val="single" w:sz="8" w:color="auto"/>
            </w:tcBorders>
            <w:gridSpan w:val="3"/>
          </w:tcPr>
          <w:p>
            <w:pPr>
              <w:jc w:val="right"/>
              <w:ind w:right="872"/>
              <w:spacing w:after="0"/>
              <w:rPr>
                <w:sz w:val="20"/>
                <w:szCs w:val="20"/>
                <w:color w:val="auto"/>
              </w:rPr>
            </w:pPr>
            <w:r>
              <w:rPr>
                <w:rFonts w:ascii="Arial" w:cs="Arial" w:eastAsia="Arial" w:hAnsi="Arial"/>
                <w:sz w:val="18"/>
                <w:szCs w:val="18"/>
                <w:b w:val="1"/>
                <w:bCs w:val="1"/>
                <w:color w:val="auto"/>
              </w:rPr>
              <w:t>As of March 31,</w:t>
            </w:r>
          </w:p>
        </w:tc>
      </w:tr>
      <w:tr>
        <w:trPr>
          <w:trHeight w:val="219"/>
        </w:trPr>
        <w:tc>
          <w:tcPr>
            <w:tcW w:w="80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22,067,610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19,886,677</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Outstanding Class B 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138,209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65,928,261</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convertible preferred stock warrants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170,975</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22,302,245</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85,985,913</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8" w:name="page19"/>
    <w:bookmarkEnd w:id="18"/>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financial statements and related notes thereto included elsewhere in this Quarterly Report on Form 10-Q and our final prospectus (“Prospectus”), dated March 25, 2021, filed with the SEC pursuant to Rule 424(b) under the Securities Act of 1933, as amended (“Securities Act”).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Our custom-built operating platform is powering the rapidly emerging resale economy, the fastest growing sector in retail. thredUP’s platform consists of distributed processing infrastructure, proprietary software and systems and data science expertise. Since our founding in 2009, we have processed over 100 million unique secondhand items from 35,000 brands across 100 categories, saving our buyers an estimated $3.3 billion off estimated retail price. We estimate that we have positively impacted the environment by saving 1.0 billion pounds of CO2 emissions, 2.0 billion kWh of energy and 4.4 billion gallons of water simply by empowering consumers to buy and sell secondhand.</w:t>
      </w:r>
    </w:p>
    <w:p>
      <w:pPr>
        <w:spacing w:after="0" w:line="1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Sellers order a Clean Out Kit, fill it and return it to us using our prepaid label. We take it from there and do the work to make those items available for resale. In 2018, based on our success with consumers directly, we extended our platform to enable brands and retailers to participate in the resale economy. A number of the world’s leading brands and retailers are already taking advantage of our Resale-as-a-Service (“RaaS”) offering.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Historically, we have financed our operations primarily through private sales of equity securities and debt. Our registration statement related to the initial public offering (the “IPO”) was declared effective on March 25, 2021 by the Securities and Exchange Commission (the “SEC”), and our Class A common stock began trading on the Nasdaq Global Select Market (“Nasdaq”) on March 26, 2021. Upon the completion of our IPO, we sold 13,800,000 shares of Class A common stock (which included 1,800,000 shares that were offered and sold pursuant to the full exercise of the IPO underwriters’ option to purchase additional shares) at a price to the public of $14.00 per share. Including the option exercise, we received aggregate net proceeds of $175.5 million after deducting offering costs, underwriting discounts and commissions of $17.7 million.</w:t>
      </w:r>
    </w:p>
    <w:p>
      <w:pPr>
        <w:spacing w:after="0" w:line="14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Immediately prior to the completion of the IPO, we filed the amended and restated certificate of incorporation, which authorized a total of 1,000,000,000 shares of Class A common stock, 120,000,000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shares of Class B common stock and 100,000,000 shares of undesignated preferred stock. Each share of Class A common stock is entitled to one vote per share. Each share of Class B common stock is entitled to ten votes per share.</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Immediately prior to the completion of the IPO, 65,970,938 shares of convertible preferred stock then outstanding were converted into an equivalent number of shares of Class B common stock and 12,889,760 shares of the outstanding existing common stock were re-classed into an equivalent number of shares of Class B common stock. 164,973 shares of the convertible preferred stock warrants were converted to an equivalent number of shares of Class B common stock warrants.</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 Impact</w:t>
      </w:r>
    </w:p>
    <w:p>
      <w:pPr>
        <w:spacing w:after="0" w:line="25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a novel strain of coronavirus was first identified, and in March 2020, the World Health Organization categorized COVID-19 as a pandemic. The COVID-19 pandemic has adversely impacted businesses worldwide and has impacted aspects of our business and operations.</w:t>
      </w:r>
    </w:p>
    <w:p>
      <w:pPr>
        <w:spacing w:after="0" w:line="23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To help control the spread of the virus and protect the health and safety of our employees, we modified certain operational protocols in our distribution centers. We implemented and maintained numerous health and safety measures in our distribution centers, including mandatory temperature checks, increased paid time off for illness, distribution of personal protective equipment to employees, regular facility cleanings and comprehensive contact tracing. We have enabled social distancing by reconfiguring workstations and break rooms and staggering shifts. In March 2020, we shifted all of our corporate employees and contract engineers to a remote work model and implemented additional measures to better enable remote work. As of March 31, 2021 our remote work model remains in place.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Impact</w:t>
      </w:r>
    </w:p>
    <w:p>
      <w:pPr>
        <w:spacing w:after="0" w:line="1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first quarter of 2020, we temporarily reduced marketing spend to take time to better understand the impact of COVID-19 on consumer demand. Later, as advertising auctions stabilized, we gradually scaled up acquisition marketing spend towards normal levels. Also, beginning in the second quarter of 2020, we chose to strategically increase discounts and incentives to encourage our existing buyer base to shop with us, as consumers generally prioritize value in times of economic uncertainty. This increase negatively impacted our year-over-year revenue growth in the second, third and fourth quarters of 2020, as discounts and incentives remained at elevated levels relative to pre-pandemic levels.</w:t>
      </w:r>
    </w:p>
    <w:p>
      <w:pPr>
        <w:spacing w:after="0" w:line="14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Further, in 2020, we also implemented several cost saving measures to address challenges presented by the COVID-19 pandemic. For example, in April 2020, we reduced salaries by 20% for the vast majority of corporate employees and, in June 2020, we laid off staff at our three small retail stores and permanently closed our retail stores during 2020. We have since granted stock options to the corporate employees affected by the salary reductions in an amount proportional to the respective employee’s salary reduction. Beginning in January 2021, we restored full salaries for corporate employees.</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the three months ended March 31, 2021, we saw increased demand, which we believe was partly related to COVID-19 recovery and re-opening efforts such as the vaccine roll out, easing of social distancing restrictions and federal stimulus legislation. We also saw increased operating expenses due to increased processing to support the increased demand experienced to date and in anticipation of accelerating demand. The growth in net loss is primarily related to the growth in operating expenses.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Impact on Processing at our Distribution Centers</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onset of the COVID-19 pandemic led to a significant reduction in our ability to process Clean Out Kits. As a result of the pandemic, we took actions to protect our business and our employees, which impacted our distribution center productivity, staffing and processing capacity. The existing configuration of our distribution centers pre-pandemic enabled us to implement social distancing protocols, including the reconfiguring of workstations for the safety of our employees, without reducing the total steady-state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throughput capacity of our facilities, however, macro-developments such as shelter-in-place orders and the federal unemployment stimulus negatively affected the rate of hiring and retention for our distribution center workforce, which impacted throughput in the first three quarters of 2020. Since those events have abated somewhat, we have seen increases in our supply throughput, which began to increase in the fourth quarter of 2020. Our supply throughput continued to improve in the first quarter of 2021, however, we still face challenges in retaining employees and have implemented compensation and benefits programs to enhance retention, which has contributed to higher costs in our Operations, Product and Technology line.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a consequence of these constraints, the number of unprocessed Clean Out Kits in our distribution centers has been elevated since March 2020, which also impacted listings of product on our marketplace. Starting in July 2020, we took measures to reduce the number of unprocessed Clean Out Kits, and also temporarily limited the number of Clean Out Kits available for sellers. As a result of this processing delay, our 2020 growth rates were negatively impacted by a lesser number of new listings on our marketplace. In the fourth quarter of 2020, the average number of unprocessed Clean Out Kits began to normalize to pre-pandemic levels, although they remain slightly elevated. During the three months ended March 31, 2021, the number of unprocessed Clean Out Kits continued to decline, when compared to the three months ended December 31, 2020, due to increased processing and as a result we added a higher volume of new listings to support the growth in orders.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been monitoring and continue to monitor the impact of COVID-19 on our business and operations. We expect the evolving COVID-19 pandemic to continue to have an adverse impact on our business, results of operations and financial condition, including our revenue and cash flows, for at least the remainder of 2021. Due to the unknown duration and unprecedented impact of the COVID-19 pandemic and the range of national, state and local responses thereto, the related financial impact on our business could change and cannot be accurately predicted at this time. See the section titled “Risk Factors—Risks Relating to our Business and Industry—The global COVID-19 pandemic has had and may continue to have an adverse impact on our business, results of operations and financial condition.”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Period Highlights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a record at $55.7 million, an increase of 15% year-over-year.</w:t>
      </w:r>
    </w:p>
    <w:p>
      <w:pPr>
        <w:spacing w:after="0" w:line="164"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$39.7 million representing growth of 22% year-over-year. Gross margin expanded to 71%</w:t>
      </w:r>
      <w:r>
        <w:rPr>
          <w:rFonts w:ascii="Arial" w:cs="Arial" w:eastAsia="Arial" w:hAnsi="Arial"/>
          <w:sz w:val="18"/>
          <w:szCs w:val="18"/>
          <w:b w:val="1"/>
          <w:bCs w:val="1"/>
          <w:color w:val="auto"/>
        </w:rPr>
        <w:t xml:space="preserve"> </w:t>
      </w:r>
      <w:r>
        <w:rPr>
          <w:rFonts w:ascii="Arial" w:cs="Arial" w:eastAsia="Arial" w:hAnsi="Arial"/>
          <w:sz w:val="18"/>
          <w:szCs w:val="18"/>
          <w:color w:val="auto"/>
        </w:rPr>
        <w:t>from 68% in the comparable quarter last year.</w:t>
      </w:r>
    </w:p>
    <w:p>
      <w:pPr>
        <w:spacing w:after="0" w:line="107"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GAAP net loss was $16.2 million for the first quarter 2021, compared to a GAAP net loss of $13.2 million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The Adjusted EBITDA loss was $9.1 million, which was a negative 16% of revenue.</w:t>
      </w:r>
    </w:p>
    <w:p>
      <w:pPr>
        <w:spacing w:after="0" w:line="164"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Total first quarter Active Buyers of 1.29 million and Orders of 1.13 million grew 14% and 18%,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comparable quarter last year.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5" w:lineRule="exact"/>
        <w:rPr>
          <w:sz w:val="20"/>
          <w:szCs w:val="20"/>
          <w:color w:val="auto"/>
        </w:rPr>
      </w:pPr>
    </w:p>
    <w:p>
      <w:pPr>
        <w:jc w:val="center"/>
        <w:ind w:left="7680"/>
        <w:spacing w:after="0"/>
        <w:rPr>
          <w:sz w:val="20"/>
          <w:szCs w:val="20"/>
          <w:color w:val="auto"/>
        </w:rPr>
      </w:pPr>
      <w:r>
        <w:rPr>
          <w:rFonts w:ascii="Arial" w:cs="Arial" w:eastAsia="Arial" w:hAnsi="Arial"/>
          <w:sz w:val="18"/>
          <w:szCs w:val="18"/>
          <w:b w:val="1"/>
          <w:bCs w:val="1"/>
          <w:color w:val="auto"/>
        </w:rPr>
        <w:t>Three months ended</w:t>
      </w:r>
    </w:p>
    <w:p>
      <w:pPr>
        <w:jc w:val="center"/>
        <w:ind w:left="7680"/>
        <w:spacing w:after="0"/>
        <w:rPr>
          <w:sz w:val="20"/>
          <w:szCs w:val="20"/>
          <w:color w:val="auto"/>
        </w:rPr>
      </w:pPr>
      <w:r>
        <w:rPr>
          <w:rFonts w:ascii="Arial" w:cs="Arial" w:eastAsia="Arial" w:hAnsi="Arial"/>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2020</w:t>
            </w:r>
          </w:p>
        </w:tc>
      </w:tr>
      <w:tr>
        <w:trPr>
          <w:trHeight w:val="258"/>
        </w:trPr>
        <w:tc>
          <w:tcPr>
            <w:tcW w:w="7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2"/>
                <w:szCs w:val="22"/>
                <w:color w:val="auto"/>
              </w:rPr>
            </w:pPr>
          </w:p>
        </w:tc>
      </w:tr>
      <w:tr>
        <w:trPr>
          <w:trHeight w:val="22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rPr>
              <w:t>Orders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r>
      <w:tr>
        <w:trPr>
          <w:trHeight w:val="296"/>
        </w:trPr>
        <w:tc>
          <w:tcPr>
            <w:tcW w:w="770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2"/>
                <w:szCs w:val="22"/>
                <w:color w:val="auto"/>
                <w:vertAlign w:val="superscript"/>
              </w:rPr>
              <w:t>(1)</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24"/>
                <w:szCs w:val="24"/>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(10,427)</w:t>
            </w:r>
          </w:p>
        </w:tc>
      </w:tr>
    </w:tbl>
    <w:p>
      <w:pPr>
        <w:spacing w:after="0" w:line="183"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below for a reconciliation of Adjusted EBITDA to net loss.</w:t>
      </w:r>
    </w:p>
    <w:p>
      <w:pPr>
        <w:spacing w:after="0" w:line="135"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Active Buyers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in our marketplace. A thredUP buyer is identified by a unique email address and a single person could have multiple thredUP accounts and count as multiple Active Buyers. The number of Active Buyers is a key driver of revenue for our marketplace and we expect the number of Active Buyers to increase over time.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Orders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Orders means the total number of orders placed by buyers across our marketplace, including through our RaaS partners, in a given period, net of cancellations. We expect Orders to increase over time.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Adjusted EBITDA means net loss adjusted to exclude depreciation and amortization, stock-based compensation expense, interest expense, change in fair value of convertible preferred stock warrant liability and provision for income taxes. We use Adjusted EBITDA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net loss to Adjusted EBITDA (in thousands):</w:t>
      </w:r>
    </w:p>
    <w:p>
      <w:pPr>
        <w:spacing w:after="0" w:line="169"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Three months ended</w:t>
      </w:r>
    </w:p>
    <w:p>
      <w:pPr>
        <w:jc w:val="center"/>
        <w:ind w:left="7400"/>
        <w:spacing w:after="0"/>
        <w:rPr>
          <w:sz w:val="20"/>
          <w:szCs w:val="20"/>
          <w:color w:val="auto"/>
        </w:rPr>
      </w:pPr>
      <w:r>
        <w:rPr>
          <w:rFonts w:ascii="Arial" w:cs="Arial" w:eastAsia="Arial" w:hAnsi="Arial"/>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Reconciliation:</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742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(16,171)</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0" w:type="dxa"/>
            <w:vAlign w:val="bottom"/>
          </w:tcPr>
          <w:p>
            <w:pPr>
              <w:spacing w:after="0"/>
              <w:rPr>
                <w:sz w:val="1"/>
                <w:szCs w:val="1"/>
                <w:color w:val="auto"/>
              </w:rPr>
            </w:pPr>
          </w:p>
        </w:tc>
      </w:tr>
      <w:tr>
        <w:trPr>
          <w:trHeight w:val="225"/>
        </w:trPr>
        <w:tc>
          <w:tcPr>
            <w:tcW w:w="74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5"/>
        </w:trPr>
        <w:tc>
          <w:tcPr>
            <w:tcW w:w="74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6"/>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1"/>
        </w:trPr>
        <w:tc>
          <w:tcPr>
            <w:tcW w:w="7780" w:type="dxa"/>
            <w:vAlign w:val="bottom"/>
          </w:tcPr>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9"/>
        </w:trPr>
        <w:tc>
          <w:tcPr>
            <w:tcW w:w="7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4"/>
          </w:tcPr>
          <w:p>
            <w:pPr>
              <w:jc w:val="right"/>
              <w:ind w:right="752"/>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7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218"/>
        </w:trPr>
        <w:tc>
          <w:tcPr>
            <w:tcW w:w="7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r>
      <w:tr>
        <w:trPr>
          <w:trHeight w:val="258"/>
        </w:trPr>
        <w:tc>
          <w:tcPr>
            <w:tcW w:w="778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2"/>
                <w:szCs w:val="22"/>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2"/>
                <w:szCs w:val="22"/>
                <w:color w:val="auto"/>
              </w:rPr>
            </w:pPr>
          </w:p>
        </w:tc>
      </w:tr>
      <w:tr>
        <w:trPr>
          <w:trHeight w:val="226"/>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Consignment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44,688</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r>
      <w:tr>
        <w:trPr>
          <w:trHeight w:val="225"/>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10,992</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13,001</w:t>
            </w:r>
          </w:p>
        </w:tc>
      </w:tr>
      <w:tr>
        <w:trPr>
          <w:trHeight w:val="21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48,315</w:t>
            </w:r>
          </w:p>
        </w:tc>
      </w:tr>
      <w:tr>
        <w:trPr>
          <w:trHeight w:val="205"/>
        </w:trPr>
        <w:tc>
          <w:tcPr>
            <w:tcW w:w="7780" w:type="dxa"/>
            <w:vAlign w:val="bottom"/>
          </w:tcPr>
          <w:p>
            <w:pPr>
              <w:ind w:left="20"/>
              <w:spacing w:after="0" w:line="204" w:lineRule="exact"/>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Consignment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r>
      <w:tr>
        <w:trPr>
          <w:trHeight w:val="225"/>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w:t>
            </w:r>
          </w:p>
        </w:tc>
      </w:tr>
      <w:tr>
        <w:trPr>
          <w:trHeight w:val="218"/>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15,962</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15,689</w:t>
            </w:r>
          </w:p>
        </w:tc>
      </w:tr>
      <w:tr>
        <w:trPr>
          <w:trHeight w:val="219"/>
        </w:trPr>
        <w:tc>
          <w:tcPr>
            <w:tcW w:w="778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39,718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32,626</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7780" w:type="dxa"/>
            <w:vAlign w:val="bottom"/>
          </w:tcPr>
          <w:p>
            <w:pPr>
              <w:ind w:left="240"/>
              <w:spacing w:after="0"/>
              <w:rPr>
                <w:sz w:val="20"/>
                <w:szCs w:val="20"/>
                <w:color w:val="auto"/>
              </w:rPr>
            </w:pPr>
            <w:r>
              <w:rPr>
                <w:rFonts w:ascii="Arial" w:cs="Arial" w:eastAsia="Arial" w:hAnsi="Arial"/>
                <w:sz w:val="18"/>
                <w:szCs w:val="18"/>
                <w:color w:val="auto"/>
              </w:rPr>
              <w:t>Operations, product and technology</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28,312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25,475</w:t>
            </w:r>
          </w:p>
        </w:tc>
      </w:tr>
      <w:tr>
        <w:trPr>
          <w:trHeight w:val="226"/>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Marketing</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w:t>
            </w:r>
          </w:p>
        </w:tc>
      </w:tr>
      <w:tr>
        <w:trPr>
          <w:trHeight w:val="225"/>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Sales, general and administrative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r>
      <w:tr>
        <w:trPr>
          <w:trHeight w:val="219"/>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54,396</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45,909</w:t>
            </w:r>
          </w:p>
        </w:tc>
      </w:tr>
      <w:tr>
        <w:trPr>
          <w:trHeight w:val="218"/>
        </w:trPr>
        <w:tc>
          <w:tcPr>
            <w:tcW w:w="7780" w:type="dxa"/>
            <w:vAlign w:val="bottom"/>
          </w:tcPr>
          <w:p>
            <w:pPr>
              <w:ind w:left="44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(14,678)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(13,283)</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8"/>
        </w:trPr>
        <w:tc>
          <w:tcPr>
            <w:tcW w:w="7780" w:type="dxa"/>
            <w:vAlign w:val="bottom"/>
          </w:tcPr>
          <w:p>
            <w:pPr>
              <w:ind w:left="44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(16,144)</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(13,215)</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780" w:type="dxa"/>
            <w:vAlign w:val="bottom"/>
          </w:tcPr>
          <w:p>
            <w:pPr>
              <w:ind w:left="4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(16,171)</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(13,215)</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320"/>
              <w:spacing w:after="0"/>
              <w:rPr>
                <w:sz w:val="20"/>
                <w:szCs w:val="20"/>
                <w:color w:val="auto"/>
              </w:rPr>
            </w:pPr>
            <w:r>
              <w:rPr>
                <w:rFonts w:ascii="Arial" w:cs="Arial" w:eastAsia="Arial" w:hAnsi="Arial"/>
                <w:sz w:val="18"/>
                <w:szCs w:val="18"/>
                <w:i w:val="1"/>
                <w:iCs w:val="1"/>
                <w:color w:val="auto"/>
              </w:rPr>
              <w:t>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24"/>
                <w:szCs w:val="24"/>
                <w:color w:val="auto"/>
              </w:rPr>
            </w:pPr>
          </w:p>
        </w:tc>
        <w:tc>
          <w:tcPr>
            <w:tcW w:w="1880" w:type="dxa"/>
            <w:vAlign w:val="bottom"/>
            <w:gridSpan w:val="3"/>
            <w:vMerge w:val="restart"/>
          </w:tcPr>
          <w:p>
            <w:pPr>
              <w:ind w:left="102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6"/>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revenue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rPr>
              <w:t>9,374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10,992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52"/>
              <w:spacing w:after="0"/>
              <w:rPr>
                <w:sz w:val="20"/>
                <w:szCs w:val="20"/>
                <w:color w:val="auto"/>
              </w:rPr>
            </w:pPr>
            <w:r>
              <w:rPr>
                <w:rFonts w:ascii="Arial" w:cs="Arial" w:eastAsia="Arial" w:hAnsi="Arial"/>
                <w:sz w:val="18"/>
                <w:szCs w:val="18"/>
                <w:color w:val="auto"/>
                <w:w w:val="98"/>
              </w:rPr>
              <w:t>(2,009)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55,680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48,315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rPr>
              <w:t>7,365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60" w:type="dxa"/>
            <w:vAlign w:val="bottom"/>
          </w:tcPr>
          <w:p>
            <w:pPr>
              <w:ind w:left="20"/>
              <w:spacing w:after="0" w:line="198" w:lineRule="exact"/>
              <w:rPr>
                <w:sz w:val="20"/>
                <w:szCs w:val="20"/>
                <w:color w:val="auto"/>
              </w:rPr>
            </w:pPr>
            <w:r>
              <w:rPr>
                <w:rFonts w:ascii="Arial" w:cs="Arial" w:eastAsia="Arial" w:hAnsi="Arial"/>
                <w:sz w:val="18"/>
                <w:szCs w:val="18"/>
                <w:color w:val="auto"/>
              </w:rPr>
              <w:t>Consignment revenue as a % of total revenue</w:t>
            </w:r>
          </w:p>
        </w:tc>
        <w:tc>
          <w:tcPr>
            <w:tcW w:w="38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80 %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198" w:lineRule="exact"/>
              <w:rPr>
                <w:sz w:val="20"/>
                <w:szCs w:val="20"/>
                <w:color w:val="auto"/>
              </w:rPr>
            </w:pPr>
            <w:r>
              <w:rPr>
                <w:rFonts w:ascii="Arial" w:cs="Arial" w:eastAsia="Arial" w:hAnsi="Arial"/>
                <w:sz w:val="18"/>
                <w:szCs w:val="18"/>
                <w:color w:val="auto"/>
              </w:rPr>
              <w:t>73 %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as a % of total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$7.4 million represents a 15% increase in total revenue for the three months ended March 31, 2021, as compared to the three months ended March 31, 2020. This increase was primarily attributable to an 18% increase in Orders, which was primarily driven by growth in Active Buyers of 14%, and partially offset by a 2% decrease in revenue per Order over the same period. The decrease in revenue per Order was due primarily to a higher concentration of consignment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Consignment sales result in higher gross profit margin than product sales because revenue for consignment sales is recognized net of seller payouts, whereas, for product sales, seller payouts are recognized as a component of cost of revenue, leading to different gross margin profiles between consignment sales and product sales.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Consignment Revenue</w:t>
      </w:r>
    </w:p>
    <w:p>
      <w:pPr>
        <w:spacing w:after="0" w:line="18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$9.4 million represents a 27% increase in consignment revenue for the three months ended March 31, 2021, as compared to the three months ended March 31, 2020. This increase was primarily attributable to the mix shift from product to consignment sales, which resulted in consignment sales representing 80% of our total revenue mix, up from 73% in the three months ended March 31, 2020, as well as an 18% increase in overall Orders.</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Product Revenue</w:t>
      </w:r>
    </w:p>
    <w:p>
      <w:pPr>
        <w:spacing w:after="0" w:line="18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$2.0 million, or 15%, decrease in product revenue for the three months ended March 31, 2021, as compared to the three months ended March 31, 2020, was primarily attributable to the mix shift from product to consignment sales.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320"/>
              <w:spacing w:after="0"/>
              <w:rPr>
                <w:sz w:val="20"/>
                <w:szCs w:val="20"/>
                <w:color w:val="auto"/>
              </w:rPr>
            </w:pPr>
            <w:r>
              <w:rPr>
                <w:rFonts w:ascii="Arial" w:cs="Arial" w:eastAsia="Arial" w:hAnsi="Arial"/>
                <w:sz w:val="18"/>
                <w:szCs w:val="18"/>
                <w:i w:val="1"/>
                <w:iCs w:val="1"/>
                <w:color w:val="auto"/>
              </w:rPr>
              <w:t>Cost of 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24"/>
                <w:szCs w:val="24"/>
                <w:color w:val="auto"/>
              </w:rPr>
            </w:pPr>
          </w:p>
        </w:tc>
        <w:tc>
          <w:tcPr>
            <w:tcW w:w="1880" w:type="dxa"/>
            <w:vAlign w:val="bottom"/>
            <w:gridSpan w:val="3"/>
            <w:vMerge w:val="restart"/>
          </w:tcPr>
          <w:p>
            <w:pPr>
              <w:ind w:left="102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6"/>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15,962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15,689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ind w:left="20"/>
              <w:spacing w:after="0" w:line="197" w:lineRule="exact"/>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2"/>
              <w:spacing w:after="0" w:line="197"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line="197" w:lineRule="exact"/>
              <w:rPr>
                <w:sz w:val="20"/>
                <w:szCs w:val="20"/>
                <w:color w:val="auto"/>
              </w:rPr>
            </w:pPr>
            <w:r>
              <w:rPr>
                <w:rFonts w:ascii="Arial" w:cs="Arial" w:eastAsia="Arial" w:hAnsi="Arial"/>
                <w:sz w:val="18"/>
                <w:szCs w:val="18"/>
                <w:color w:val="auto"/>
              </w:rPr>
              <w:t>39,718</w:t>
            </w:r>
          </w:p>
        </w:tc>
        <w:tc>
          <w:tcPr>
            <w:tcW w:w="100" w:type="dxa"/>
            <w:vAlign w:val="bottom"/>
          </w:tcPr>
          <w:p>
            <w:pPr>
              <w:spacing w:after="0"/>
              <w:rPr>
                <w:sz w:val="17"/>
                <w:szCs w:val="17"/>
                <w:color w:val="auto"/>
              </w:rPr>
            </w:pPr>
          </w:p>
        </w:tc>
        <w:tc>
          <w:tcPr>
            <w:tcW w:w="140" w:type="dxa"/>
            <w:vAlign w:val="bottom"/>
          </w:tcPr>
          <w:p>
            <w:pPr>
              <w:jc w:val="right"/>
              <w:spacing w:after="0" w:line="197"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2"/>
              <w:spacing w:after="0" w:line="197" w:lineRule="exact"/>
              <w:rPr>
                <w:sz w:val="20"/>
                <w:szCs w:val="20"/>
                <w:color w:val="auto"/>
              </w:rPr>
            </w:pPr>
            <w:r>
              <w:rPr>
                <w:rFonts w:ascii="Arial" w:cs="Arial" w:eastAsia="Arial" w:hAnsi="Arial"/>
                <w:sz w:val="18"/>
                <w:szCs w:val="18"/>
                <w:color w:val="auto"/>
              </w:rPr>
              <w:t>32,626</w:t>
            </w:r>
          </w:p>
        </w:tc>
        <w:tc>
          <w:tcPr>
            <w:tcW w:w="100" w:type="dxa"/>
            <w:vAlign w:val="bottom"/>
          </w:tcPr>
          <w:p>
            <w:pPr>
              <w:spacing w:after="0"/>
              <w:rPr>
                <w:sz w:val="17"/>
                <w:szCs w:val="17"/>
                <w:color w:val="auto"/>
              </w:rPr>
            </w:pPr>
          </w:p>
        </w:tc>
        <w:tc>
          <w:tcPr>
            <w:tcW w:w="280" w:type="dxa"/>
            <w:vAlign w:val="bottom"/>
          </w:tcPr>
          <w:p>
            <w:pPr>
              <w:jc w:val="right"/>
              <w:ind w:right="72"/>
              <w:spacing w:after="0" w:line="197"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7" w:lineRule="exact"/>
              <w:rPr>
                <w:sz w:val="20"/>
                <w:szCs w:val="20"/>
                <w:color w:val="auto"/>
              </w:rPr>
            </w:pPr>
            <w:r>
              <w:rPr>
                <w:rFonts w:ascii="Arial" w:cs="Arial" w:eastAsia="Arial" w:hAnsi="Arial"/>
                <w:sz w:val="18"/>
                <w:szCs w:val="18"/>
                <w:color w:val="auto"/>
              </w:rPr>
              <w:t>7,092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line="197"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margin</w:t>
            </w:r>
          </w:p>
        </w:tc>
        <w:tc>
          <w:tcPr>
            <w:tcW w:w="1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71 %</w:t>
            </w:r>
          </w:p>
        </w:tc>
        <w:tc>
          <w:tcPr>
            <w:tcW w:w="252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68 %</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5"/>
        </w:trPr>
        <w:tc>
          <w:tcPr>
            <w:tcW w:w="5020" w:type="dxa"/>
            <w:vAlign w:val="bottom"/>
          </w:tcPr>
          <w:p>
            <w:pPr>
              <w:ind w:left="20"/>
              <w:spacing w:after="0"/>
              <w:rPr>
                <w:sz w:val="20"/>
                <w:szCs w:val="20"/>
                <w:color w:val="auto"/>
              </w:rPr>
            </w:pPr>
            <w:r>
              <w:rPr>
                <w:rFonts w:ascii="Arial" w:cs="Arial" w:eastAsia="Arial" w:hAnsi="Arial"/>
                <w:sz w:val="18"/>
                <w:szCs w:val="18"/>
                <w:color w:val="auto"/>
              </w:rPr>
              <w:t>Cost of revenue as a % of total revenue</w:t>
            </w:r>
          </w:p>
        </w:tc>
        <w:tc>
          <w:tcPr>
            <w:tcW w:w="1760" w:type="dxa"/>
            <w:vAlign w:val="bottom"/>
          </w:tcPr>
          <w:p>
            <w:pPr>
              <w:jc w:val="right"/>
              <w:ind w:right="572"/>
              <w:spacing w:after="0"/>
              <w:rPr>
                <w:sz w:val="20"/>
                <w:szCs w:val="20"/>
                <w:color w:val="auto"/>
              </w:rPr>
            </w:pPr>
            <w:r>
              <w:rPr>
                <w:rFonts w:ascii="Arial" w:cs="Arial" w:eastAsia="Arial" w:hAnsi="Arial"/>
                <w:sz w:val="18"/>
                <w:szCs w:val="18"/>
                <w:color w:val="auto"/>
              </w:rPr>
              <w:t>29 %</w:t>
            </w:r>
          </w:p>
        </w:tc>
        <w:tc>
          <w:tcPr>
            <w:tcW w:w="2520" w:type="dxa"/>
            <w:vAlign w:val="bottom"/>
          </w:tcPr>
          <w:p>
            <w:pPr>
              <w:jc w:val="right"/>
              <w:ind w:right="1332"/>
              <w:spacing w:after="0"/>
              <w:rPr>
                <w:sz w:val="20"/>
                <w:szCs w:val="20"/>
                <w:color w:val="auto"/>
              </w:rPr>
            </w:pPr>
            <w:r>
              <w:rPr>
                <w:rFonts w:ascii="Arial" w:cs="Arial" w:eastAsia="Arial" w:hAnsi="Arial"/>
                <w:sz w:val="18"/>
                <w:szCs w:val="18"/>
                <w:color w:val="auto"/>
              </w:rPr>
              <w:t>32 %</w:t>
            </w:r>
          </w:p>
        </w:tc>
        <w:tc>
          <w:tcPr>
            <w:tcW w:w="1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85"/>
        </w:trPr>
        <w:tc>
          <w:tcPr>
            <w:tcW w:w="50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Cost of consignment revenue as a % of total cost of</w:t>
            </w:r>
          </w:p>
        </w:tc>
        <w:tc>
          <w:tcPr>
            <w:tcW w:w="17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1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68 %</w:t>
            </w:r>
          </w:p>
        </w:tc>
        <w:tc>
          <w:tcPr>
            <w:tcW w:w="252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56 %</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4"/>
        </w:trPr>
        <w:tc>
          <w:tcPr>
            <w:tcW w:w="5020" w:type="dxa"/>
            <w:vAlign w:val="bottom"/>
          </w:tcPr>
          <w:p>
            <w:pPr>
              <w:ind w:left="20"/>
              <w:spacing w:after="0"/>
              <w:rPr>
                <w:sz w:val="20"/>
                <w:szCs w:val="20"/>
                <w:color w:val="auto"/>
              </w:rPr>
            </w:pPr>
            <w:r>
              <w:rPr>
                <w:rFonts w:ascii="Arial" w:cs="Arial" w:eastAsia="Arial" w:hAnsi="Arial"/>
                <w:sz w:val="18"/>
                <w:szCs w:val="18"/>
                <w:color w:val="auto"/>
              </w:rPr>
              <w:t>Cost of product revenue as a % of total cost of revenue</w:t>
            </w:r>
          </w:p>
        </w:tc>
        <w:tc>
          <w:tcPr>
            <w:tcW w:w="1760" w:type="dxa"/>
            <w:vAlign w:val="bottom"/>
          </w:tcPr>
          <w:p>
            <w:pPr>
              <w:jc w:val="right"/>
              <w:ind w:right="572"/>
              <w:spacing w:after="0"/>
              <w:rPr>
                <w:sz w:val="20"/>
                <w:szCs w:val="20"/>
                <w:color w:val="auto"/>
              </w:rPr>
            </w:pPr>
            <w:r>
              <w:rPr>
                <w:rFonts w:ascii="Arial" w:cs="Arial" w:eastAsia="Arial" w:hAnsi="Arial"/>
                <w:sz w:val="18"/>
                <w:szCs w:val="18"/>
                <w:color w:val="auto"/>
              </w:rPr>
              <w:t>32 %</w:t>
            </w:r>
          </w:p>
        </w:tc>
        <w:tc>
          <w:tcPr>
            <w:tcW w:w="2520" w:type="dxa"/>
            <w:vAlign w:val="bottom"/>
          </w:tcPr>
          <w:p>
            <w:pPr>
              <w:jc w:val="right"/>
              <w:ind w:right="1332"/>
              <w:spacing w:after="0"/>
              <w:rPr>
                <w:sz w:val="20"/>
                <w:szCs w:val="20"/>
                <w:color w:val="auto"/>
              </w:rPr>
            </w:pPr>
            <w:r>
              <w:rPr>
                <w:rFonts w:ascii="Arial" w:cs="Arial" w:eastAsia="Arial" w:hAnsi="Arial"/>
                <w:sz w:val="18"/>
                <w:szCs w:val="18"/>
                <w:color w:val="auto"/>
              </w:rPr>
              <w:t>44 %</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5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Total cost of revenue as a percentage of total revenue, decreased 300 basis points from 32% for the three months ended March 31, 2020 to 29% for the three months ended March 31, 2021. The mix shift from product to consignment sales resulted in a decreased costs of revenue as a percent of revenue as consignment revenue has a higher gross margin profile than product sales due to the treatment of payout cost in cost of goods sold for product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640"/>
              <w:spacing w:after="0"/>
              <w:rPr>
                <w:sz w:val="20"/>
                <w:szCs w:val="20"/>
                <w:color w:val="auto"/>
              </w:rPr>
            </w:pPr>
            <w:r>
              <w:rPr>
                <w:rFonts w:ascii="Arial" w:cs="Arial" w:eastAsia="Arial" w:hAnsi="Arial"/>
                <w:sz w:val="18"/>
                <w:szCs w:val="18"/>
                <w:i w:val="1"/>
                <w:iCs w:val="1"/>
                <w:color w:val="auto"/>
              </w:rPr>
              <w:t>Cost of Consignment 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24"/>
                <w:szCs w:val="24"/>
                <w:color w:val="auto"/>
              </w:rPr>
            </w:pPr>
          </w:p>
        </w:tc>
        <w:tc>
          <w:tcPr>
            <w:tcW w:w="1880" w:type="dxa"/>
            <w:vAlign w:val="bottom"/>
            <w:gridSpan w:val="3"/>
            <w:vMerge w:val="restart"/>
          </w:tcPr>
          <w:p>
            <w:pPr>
              <w:ind w:left="102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28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4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80" w:type="dxa"/>
            <w:vAlign w:val="bottom"/>
            <w:gridSpan w:val="6"/>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consignment revenue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As a percent of consignment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 gross margin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$2.0 million represents a 23% increase in the cost of consignment revenue for the three months ended March 31, 2021 compared to the three months ended March 31, 2020. This increase was primarily driven by the increase in consignment revenue and increased costs listed in the below table. Consignment gross margin remained relatively consistent at 76% for the three months ended March 31, 2021 compared to 75% for the three months ended March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8"/>
              </w:rPr>
              <w:t>Three months ended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5"/>
            <w:vMerge w:val="restart"/>
          </w:tcPr>
          <w:p>
            <w:pPr>
              <w:ind w:left="1040"/>
              <w:spacing w:after="0"/>
              <w:rPr>
                <w:sz w:val="20"/>
                <w:szCs w:val="20"/>
                <w:color w:val="auto"/>
              </w:rPr>
            </w:pPr>
            <w:r>
              <w:rPr>
                <w:rFonts w:ascii="Arial" w:cs="Arial" w:eastAsia="Arial" w:hAnsi="Arial"/>
                <w:sz w:val="18"/>
                <w:szCs w:val="18"/>
                <w:b w:val="1"/>
                <w:bCs w:val="1"/>
                <w:color w:val="auto"/>
              </w:rPr>
              <w:t>Change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5"/>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gridSpan w:val="2"/>
          </w:tcPr>
          <w:p>
            <w:pPr>
              <w:spacing w:after="0"/>
              <w:rPr>
                <w:sz w:val="19"/>
                <w:szCs w:val="19"/>
                <w:color w:val="auto"/>
              </w:rPr>
            </w:pPr>
          </w:p>
        </w:tc>
        <w:tc>
          <w:tcPr>
            <w:tcW w:w="560" w:type="dxa"/>
            <w:vAlign w:val="bottom"/>
            <w:tcBorders>
              <w:top w:val="single" w:sz="8" w:color="auto"/>
              <w:bottom w:val="single" w:sz="8" w:color="auto"/>
            </w:tcBorders>
            <w:gridSpan w:val="2"/>
          </w:tcPr>
          <w:p>
            <w:pPr>
              <w:spacing w:after="0"/>
              <w:rPr>
                <w:sz w:val="19"/>
                <w:szCs w:val="19"/>
                <w:color w:val="auto"/>
              </w:rPr>
            </w:pPr>
          </w:p>
        </w:tc>
        <w:tc>
          <w:tcPr>
            <w:tcW w:w="114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1"/>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gridSpan w:val="10"/>
          </w:tcPr>
          <w:p>
            <w:pPr>
              <w:ind w:left="80"/>
              <w:spacing w:after="0"/>
              <w:rPr>
                <w:sz w:val="20"/>
                <w:szCs w:val="20"/>
                <w:color w:val="auto"/>
              </w:rPr>
            </w:pPr>
            <w:r>
              <w:rPr>
                <w:rFonts w:ascii="Arial" w:cs="Arial" w:eastAsia="Arial" w:hAnsi="Arial"/>
                <w:sz w:val="18"/>
                <w:szCs w:val="18"/>
                <w:b w:val="1"/>
                <w:bCs w:val="1"/>
                <w:color w:val="auto"/>
              </w:rPr>
              <w:t>(in thousands, except percentages)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Outbound shipping</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5"/>
        </w:trPr>
        <w:tc>
          <w:tcPr>
            <w:tcW w:w="4400" w:type="dxa"/>
            <w:vAlign w:val="bottom"/>
          </w:tcPr>
          <w:p>
            <w:pPr>
              <w:ind w:left="20"/>
              <w:spacing w:after="0"/>
              <w:rPr>
                <w:sz w:val="20"/>
                <w:szCs w:val="20"/>
                <w:color w:val="auto"/>
              </w:rPr>
            </w:pPr>
            <w:r>
              <w:rPr>
                <w:rFonts w:ascii="Arial" w:cs="Arial" w:eastAsia="Arial" w:hAnsi="Arial"/>
                <w:sz w:val="18"/>
                <w:szCs w:val="18"/>
                <w:color w:val="auto"/>
              </w:rPr>
              <w:t>Direct labor</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5"/>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8"/>
        </w:trPr>
        <w:tc>
          <w:tcPr>
            <w:tcW w:w="44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change in consignment costs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8"/>
                <w:szCs w:val="18"/>
                <w:i w:val="1"/>
                <w:iCs w:val="1"/>
                <w:color w:val="auto"/>
              </w:rPr>
              <w:t>Cost of Product Revenue</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7"/>
              </w:rPr>
              <w:t>Three months ended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5"/>
            <w:vMerge w:val="restart"/>
          </w:tcPr>
          <w:p>
            <w:pPr>
              <w:ind w:left="1080"/>
              <w:spacing w:after="0"/>
              <w:rPr>
                <w:sz w:val="20"/>
                <w:szCs w:val="20"/>
                <w:color w:val="auto"/>
              </w:rPr>
            </w:pPr>
            <w:r>
              <w:rPr>
                <w:rFonts w:ascii="Arial" w:cs="Arial" w:eastAsia="Arial" w:hAnsi="Arial"/>
                <w:sz w:val="18"/>
                <w:szCs w:val="18"/>
                <w:b w:val="1"/>
                <w:bCs w:val="1"/>
                <w:color w:val="auto"/>
              </w:rPr>
              <w:t>Change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5"/>
            <w:vMerge w:val="continu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4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gridSpan w:val="2"/>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80" w:type="dxa"/>
            <w:vAlign w:val="bottom"/>
            <w:gridSpan w:val="10"/>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5,130</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6,873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400" w:type="dxa"/>
            <w:vAlign w:val="bottom"/>
          </w:tcPr>
          <w:p>
            <w:pPr>
              <w:ind w:left="20"/>
              <w:spacing w:after="0"/>
              <w:rPr>
                <w:sz w:val="20"/>
                <w:szCs w:val="20"/>
                <w:color w:val="auto"/>
              </w:rPr>
            </w:pPr>
            <w:r>
              <w:rPr>
                <w:rFonts w:ascii="Arial" w:cs="Arial" w:eastAsia="Arial" w:hAnsi="Arial"/>
                <w:sz w:val="18"/>
                <w:szCs w:val="18"/>
                <w:color w:val="auto"/>
              </w:rPr>
              <w:t>As a percent of product revenue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gross margin</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$1.7 million represents a 25% decrease in the cost of product revenue for the three months ended March 31, 2021 compared to the three months ended March 31, 2020. This decrease was primarily driven by the decrease in product revenue and decreased costs listed in the below table. Product gross margin increased from 47% to 53%, primarily due to higher average selling prices per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to a lesser extent, lower direct labor costs and lower product cost due to lower outbound shipping costs.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68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3"/>
            <w:vMerge w:val="restart"/>
          </w:tcPr>
          <w:p>
            <w:pPr>
              <w:ind w:left="106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vMerge w:val="continue"/>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6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4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40" w:type="dxa"/>
            <w:vAlign w:val="bottom"/>
            <w:gridSpan w:val="7"/>
          </w:tcPr>
          <w:p>
            <w:pPr>
              <w:ind w:left="160"/>
              <w:spacing w:after="0"/>
              <w:rPr>
                <w:sz w:val="20"/>
                <w:szCs w:val="20"/>
                <w:color w:val="auto"/>
              </w:rPr>
            </w:pPr>
            <w:r>
              <w:rPr>
                <w:rFonts w:ascii="Arial" w:cs="Arial" w:eastAsia="Arial" w:hAnsi="Arial"/>
                <w:sz w:val="18"/>
                <w:szCs w:val="18"/>
                <w:b w:val="1"/>
                <w:bCs w:val="1"/>
                <w:color w:val="auto"/>
              </w:rPr>
              <w:t>(in thousands, except percentages)</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costs</w:t>
            </w:r>
          </w:p>
        </w:tc>
        <w:tc>
          <w:tcPr>
            <w:tcW w:w="100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Outbound shipping</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labor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Packaging</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product costs</w:t>
            </w: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our gross profit margin will remain relatively flat in the second quarter of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ind w:left="320"/>
              <w:spacing w:after="0"/>
              <w:rPr>
                <w:sz w:val="20"/>
                <w:szCs w:val="20"/>
                <w:color w:val="auto"/>
              </w:rPr>
            </w:pPr>
            <w:r>
              <w:rPr>
                <w:rFonts w:ascii="Arial" w:cs="Arial" w:eastAsia="Arial" w:hAnsi="Arial"/>
                <w:sz w:val="18"/>
                <w:szCs w:val="18"/>
                <w:i w:val="1"/>
                <w:iCs w:val="1"/>
                <w:color w:val="auto"/>
              </w:rPr>
              <w:t>Operating Expenses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24"/>
                <w:szCs w:val="24"/>
                <w:color w:val="auto"/>
              </w:rPr>
            </w:pPr>
          </w:p>
        </w:tc>
        <w:tc>
          <w:tcPr>
            <w:tcW w:w="1880" w:type="dxa"/>
            <w:vAlign w:val="bottom"/>
            <w:gridSpan w:val="3"/>
            <w:vMerge w:val="restart"/>
          </w:tcPr>
          <w:p>
            <w:pPr>
              <w:ind w:left="104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March 31,</w:t>
            </w:r>
          </w:p>
        </w:tc>
        <w:tc>
          <w:tcPr>
            <w:tcW w:w="26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44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4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80" w:type="dxa"/>
            <w:vAlign w:val="bottom"/>
            <w:gridSpan w:val="6"/>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8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13,001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5"/>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10,638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54,396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45,909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tcBorders>
              <w:top w:val="single" w:sz="8" w:color="CCEEFF"/>
            </w:tcBorders>
            <w:shd w:val="clear" w:color="auto" w:fill="CCEEFF"/>
          </w:tcPr>
          <w:p>
            <w:pPr>
              <w:ind w:left="20"/>
              <w:spacing w:after="0" w:line="178" w:lineRule="exact"/>
              <w:rPr>
                <w:sz w:val="20"/>
                <w:szCs w:val="20"/>
                <w:color w:val="auto"/>
              </w:rPr>
            </w:pPr>
            <w:r>
              <w:rPr>
                <w:rFonts w:ascii="Arial" w:cs="Arial" w:eastAsia="Arial" w:hAnsi="Arial"/>
                <w:sz w:val="18"/>
                <w:szCs w:val="18"/>
                <w:color w:val="auto"/>
              </w:rPr>
              <w:t>Operations, product and technology as a % of total</w:t>
            </w:r>
          </w:p>
        </w:tc>
        <w:tc>
          <w:tcPr>
            <w:tcW w:w="1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440" w:type="dxa"/>
            <w:vAlign w:val="bottom"/>
          </w:tcPr>
          <w:p>
            <w:pPr>
              <w:ind w:left="20"/>
              <w:spacing w:after="0"/>
              <w:rPr>
                <w:sz w:val="20"/>
                <w:szCs w:val="20"/>
                <w:color w:val="auto"/>
              </w:rPr>
            </w:pPr>
            <w:r>
              <w:rPr>
                <w:rFonts w:ascii="Arial" w:cs="Arial" w:eastAsia="Arial" w:hAnsi="Arial"/>
                <w:sz w:val="18"/>
                <w:szCs w:val="18"/>
                <w:color w:val="auto"/>
              </w:rPr>
              <w:t>Marketing as a % of total revenue</w:t>
            </w:r>
          </w:p>
        </w:tc>
        <w:tc>
          <w:tcPr>
            <w:tcW w:w="17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185"/>
        </w:trPr>
        <w:tc>
          <w:tcPr>
            <w:tcW w:w="44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Sales, general and administrative as a % of total</w:t>
            </w: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3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Operating expenses increased $8.5 million and 18% for the three months ended March 31, 2021 compared to the three months ended March 31, 2020, compared to $7.1 million and 22% gross profit growth in the same period. We compare operating expense growth to gross profit growth as a measure of our operating leverage given the shift in revenue mix towards primarily consignment since mid-2019. Results by operating expenses line item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Operations, Product and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Personnel-related costs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Facilities and other allocated costs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Inbound shipping</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18" w:lineRule="exact"/>
        <w:rPr>
          <w:sz w:val="20"/>
          <w:szCs w:val="20"/>
          <w:color w:val="auto"/>
        </w:rPr>
      </w:pPr>
    </w:p>
    <w:p>
      <w:pPr>
        <w:ind w:left="180" w:hanging="158"/>
        <w:spacing w:after="0" w:line="222" w:lineRule="auto"/>
        <w:rPr>
          <w:sz w:val="20"/>
          <w:szCs w:val="20"/>
          <w:color w:val="auto"/>
        </w:rPr>
      </w:pPr>
      <w:r>
        <w:rPr>
          <w:rFonts w:ascii="Arial" w:cs="Arial" w:eastAsia="Arial" w:hAnsi="Arial"/>
          <w:sz w:val="18"/>
          <w:szCs w:val="18"/>
          <w:color w:val="auto"/>
        </w:rPr>
        <w:t>Total change in operations, product and technology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9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17"/>
                <w:szCs w:val="17"/>
                <w:color w:val="auto"/>
              </w:rPr>
            </w:pPr>
          </w:p>
        </w:tc>
        <w:tc>
          <w:tcPr>
            <w:tcW w:w="1920" w:type="dxa"/>
            <w:vAlign w:val="bottom"/>
            <w:gridSpan w:val="3"/>
            <w:vMerge w:val="restart"/>
          </w:tcPr>
          <w:p>
            <w:pPr>
              <w:ind w:left="106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9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6"/>
          </w:tcPr>
          <w:p>
            <w:pPr>
              <w:ind w:left="40"/>
              <w:spacing w:after="0"/>
              <w:rPr>
                <w:sz w:val="20"/>
                <w:szCs w:val="20"/>
                <w:color w:val="auto"/>
              </w:rPr>
            </w:pPr>
            <w:r>
              <w:rPr>
                <w:rFonts w:ascii="Arial" w:cs="Arial" w:eastAsia="Arial" w:hAnsi="Arial"/>
                <w:sz w:val="18"/>
                <w:szCs w:val="18"/>
                <w:b w:val="1"/>
                <w:bCs w:val="1"/>
                <w:color w:val="auto"/>
              </w:rPr>
              <w:t>(in thousands, except percentages)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84"/>
        </w:trPr>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28,312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67"/>
        </w:trPr>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-840740</wp:posOffset>
            </wp:positionV>
            <wp:extent cx="713486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-554355</wp:posOffset>
            </wp:positionV>
            <wp:extent cx="7134860"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-268605</wp:posOffset>
            </wp:positionV>
            <wp:extent cx="7134860" cy="252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580"/>
            <w:col w:w="6640"/>
          </w:cols>
          <w:pgMar w:left="320" w:top="1440" w:right="339" w:bottom="1440" w:gutter="0" w:footer="0" w:header="0"/>
        </w:sectPr>
      </w:pPr>
    </w:p>
    <w:p>
      <w:pPr>
        <w:spacing w:after="0" w:line="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Operations, product and technology expense represented 51% of total revenue for the three months ended March 31, 2021, a 200 basis points decrease, compared to 53% for the three months ended March 31, 2020. Operations, product and technology expense increased 11% in the same period, compared to 22% gross profit growth demonstrating the leverage of our business model.</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Personnel-related costs increased by 26% from $14.8 million for the three months ended March 31, 2020 to $18.7 million for the three months ended March 31, 2021. The increase was due to investments to support growth in our distribution center operations and increases in headcount in our corporate functions.</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Facilities and other allocated costs remained relatively flat at $6.0 million for both the three months ended March 31, 2020 and March 31, 2021.</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Inbound shipping costs decreased by 18% from $4.3 million for the three months ended March 31, 2020 compared to $3.6 million for the three months ended March 31, 2021. The decrease was due to fewer Clean Out Kits received in the three months ended March 31, 2020 compared to the three months ended March 31, 2021, as we maintained restrictions on the ability of sellers to order Clean Out Kits until the end of February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640"/>
              <w:spacing w:after="0"/>
              <w:rPr>
                <w:sz w:val="20"/>
                <w:szCs w:val="20"/>
                <w:color w:val="auto"/>
              </w:rPr>
            </w:pPr>
            <w:r>
              <w:rPr>
                <w:rFonts w:ascii="Arial" w:cs="Arial" w:eastAsia="Arial" w:hAnsi="Arial"/>
                <w:sz w:val="18"/>
                <w:szCs w:val="18"/>
                <w:i w:val="1"/>
                <w:iCs w:val="1"/>
                <w:color w:val="auto"/>
              </w:rPr>
              <w:t>Marketing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24"/>
                <w:szCs w:val="24"/>
                <w:color w:val="auto"/>
              </w:rPr>
            </w:pPr>
          </w:p>
        </w:tc>
        <w:tc>
          <w:tcPr>
            <w:tcW w:w="1920" w:type="dxa"/>
            <w:vAlign w:val="bottom"/>
            <w:gridSpan w:val="3"/>
            <w:vMerge w:val="restart"/>
          </w:tcPr>
          <w:p>
            <w:pPr>
              <w:ind w:left="106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8"/>
        </w:trPr>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6"/>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and advertising costs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change in marketing expense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Marketing represented 28% of revenue for the three months ended March 31, 2021, a 100 basis points increase compared to 27% for the three months ended March 31, 2020. Marketing expense increased by 19% for the period, compared to 22% gross profit growth demonstrating the leverage of our business model.</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Marketing and advertising costs increased by 17% from $11.3 million for the three months ended March 31, 2020, compared to $13.2 million for the three months ended March 31, 2021 due to increased efforts to attract new buyers for our marketplace. Marketing and advertising costs increased by 17%, compared to a 22% increase in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ind w:left="640"/>
              <w:spacing w:after="0"/>
              <w:rPr>
                <w:sz w:val="20"/>
                <w:szCs w:val="20"/>
                <w:color w:val="auto"/>
              </w:rPr>
            </w:pPr>
            <w:r>
              <w:rPr>
                <w:rFonts w:ascii="Arial" w:cs="Arial" w:eastAsia="Arial" w:hAnsi="Arial"/>
                <w:sz w:val="18"/>
                <w:szCs w:val="18"/>
                <w:i w:val="1"/>
                <w:iCs w:val="1"/>
                <w:color w:val="auto"/>
              </w:rPr>
              <w:t>Sales, General and Administrative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8"/>
              </w:rPr>
              <w:t>Three months ended</w:t>
            </w:r>
          </w:p>
        </w:tc>
        <w:tc>
          <w:tcPr>
            <w:tcW w:w="280" w:type="dxa"/>
            <w:vAlign w:val="bottom"/>
          </w:tcPr>
          <w:p>
            <w:pPr>
              <w:spacing w:after="0"/>
              <w:rPr>
                <w:sz w:val="24"/>
                <w:szCs w:val="24"/>
                <w:color w:val="auto"/>
              </w:rPr>
            </w:pPr>
          </w:p>
        </w:tc>
        <w:tc>
          <w:tcPr>
            <w:tcW w:w="1920" w:type="dxa"/>
            <w:vAlign w:val="bottom"/>
            <w:gridSpan w:val="3"/>
            <w:vMerge w:val="restart"/>
          </w:tcPr>
          <w:p>
            <w:pPr>
              <w:ind w:left="106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Pr>
          <w:p>
            <w:pPr>
              <w:spacing w:after="0"/>
              <w:rPr>
                <w:sz w:val="19"/>
                <w:szCs w:val="19"/>
                <w:color w:val="auto"/>
              </w:rPr>
            </w:pPr>
          </w:p>
        </w:tc>
        <w:tc>
          <w:tcPr>
            <w:tcW w:w="192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4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00" w:type="dxa"/>
            <w:vAlign w:val="bottom"/>
            <w:gridSpan w:val="6"/>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costs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5"/>
        </w:trPr>
        <w:tc>
          <w:tcPr>
            <w:tcW w:w="46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processing fees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change in sales, general and administrative costs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Sales, general and administrative represented 19% of total revenue for the three months ended March 31, 2021, a 400 basis points increase, compared to 15% for the three months ended March 31, 2020. Sales, general and administrative expense increased 43% in the period, compared to 22% gross profit growth. This increase was mainly the result of investments, primarily personnel and professional services costs, made towards scaling our business and improving our processes as we became a public company.</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Personnel-related costs increased from $3.4 million for the three months ended March 31, 2020, compared to $5.5 million for the three months ended March 31, 2021. The increase was primarily due to increased headcount by 10% over the same period to support growth in our corporate functions and increased stock-based compensation of $1.2 million.</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Professional services costs increased from $1.4 million for the three months ended March 31, 2020 compared to $1.8 million for the three months ended March 31, 2021. The increase was mainly due to an increase in accounting and consulting fees as we became a public company.</w:t>
      </w:r>
    </w:p>
    <w:p>
      <w:pPr>
        <w:spacing w:after="0" w:line="1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believe that our expenses in operations, product and technology, marketing, and sales, general and administrative will continue to increase in absolute dollars in the second quarter of 2021 as revenue grows and as we continue to make investments for our future growth and expand our business and infrastructure to support being a public company.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March 31, 2021, we had cash and cash equivalents of $246.5 million and an accumulated deficit of $268.3 million. Since our founding, we have generated negative cash flows from operations and have primarily financed our operations through private sales of equity securities and debt. Additionally, we currently have a term loan facility with Western Alliance Bank. In March 2021, we completed our IPO for aggregate net proceeds of $175.5 million, net of offering costs, underwriter discounts and commissions of $17.7 million.</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operating losses and negative cash flows from operations to continue into the foreseeable future as we continue to invest in growing our business and expanding our infrastructure. Our primary use of cash includes operating costs such as distribution center operating costs and product and technology expenses, marketing expenses, personnel expenses and other expenditures necessary to support our operations and our growth. Additionally, our primary capital expenditures are related to the set-up, automation and expansion of our distribution centers. Based upon our current operating plans, we believe that our existing cash and cash equivalents will be sufficient to fund our operations for at least the next twelve months. Our forecast of the period of time through which our financial resources will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support our operations is a forward-looking statement that involves risks and uncertainties, and actual results could vary materially.</w:t>
      </w:r>
    </w:p>
    <w:p>
      <w:pPr>
        <w:spacing w:after="0" w:line="16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partnerships,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facility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 See the section titled “Risk Factors—Risks Relating to Our Business and Industry—We may require additional capital to support business growth, and this capital might not be available or may be available only by diluting existing stockholders.”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69"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Three months ended</w:t>
      </w:r>
    </w:p>
    <w:p>
      <w:pPr>
        <w:jc w:val="center"/>
        <w:ind w:left="7980"/>
        <w:spacing w:after="0"/>
        <w:rPr>
          <w:sz w:val="20"/>
          <w:szCs w:val="20"/>
          <w:color w:val="auto"/>
        </w:rPr>
      </w:pPr>
      <w:r>
        <w:rPr>
          <w:rFonts w:ascii="Arial" w:cs="Arial" w:eastAsia="Arial" w:hAnsi="Arial"/>
          <w:sz w:val="18"/>
          <w:szCs w:val="18"/>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w w:val="99"/>
              </w:rPr>
              <w:t>2020</w:t>
            </w:r>
          </w:p>
        </w:tc>
      </w:tr>
      <w:tr>
        <w:trPr>
          <w:trHeight w:val="298"/>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24"/>
                <w:szCs w:val="24"/>
                <w:color w:val="auto"/>
              </w:rPr>
            </w:pP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80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(9,102)</w:t>
            </w:r>
          </w:p>
        </w:tc>
      </w:tr>
      <w:tr>
        <w:trPr>
          <w:trHeight w:val="22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25"/>
        </w:trPr>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185,051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 and cash equivalents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182,029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Cash Flow from Operating Activities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three months ended March 31, 2021, net cash provided by operating activities was $1.1 million, which consisted of non-cash charges of $7.9 million and a net change of $9.3 million in our operating assets and liabilities, partially offset by a net loss of $16.2 million. The change in operating assets and liabilities is primarily due to a $4.8 million increase in accrued and other current liabilities, a $4.7 million increase in accounts payable due to the timing of payments and increased operating expenses as we grow our business, and a $1.5 million increase in seller payable due to the timing of payments, partially offset by a reduction in operating lease liabilities of $1.3 million.</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$4.8 million increase in accrued and other current liabilities is primarily due to an increase in accrued marketing of $2.3 million, an increase in allowance for returns of $1.2 million, and an increase in accrued compensation of $1.0 million.</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three months ended March 31, 2020, net cash used in operating activities was $9.1 million, which consisted of a net loss of $13.2 million, partially offset by non-cash adjustment of $3.4 million and a net change of $0.7 million in our operating assets and liabilities.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net change of $0.7 million in our operating assets and liabilities is largely driven by an increase of $1.8 million in accrued and other current liabilities due to the timing of vendor payables, a $1.2 million increase in seller payables, and a $1.1 million increase in accounts payable, partially offset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$2.0 million increase in other current and non-current assets, primarily due to $1.0 million increase in non-trade receivables, and a $1.2 million decrease in operating lease liabilities.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Cash Flow from Investing Activities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three months ended March 31, 2021, net cash used in investing activities was $4.1 million, which is attributable to purchases of property and equipment, primarily for automation assets for DC06 in Georgia, our newest distribution center.</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three months ended March 31, 2020, net cash used in investing activities was $4.7 million, which consisted of additional purchases of property and equipment.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Cash Flow from Financing Activities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three months ended March 31, 2021, net cash provided by financing activities was $185.1 million, which consisted mainly of $180.3 million in proceeds from the sale of Class A common stock in the IPO, net of underwriting discounts and commissions, $4.6 million in debt financing proceeds, net of issuance costs, and $1.9 million in proceeds from the exercise of common stock options, partially offset by $1.7 million in connection with the payment of offering costs for the IPO.</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the three months ended March 31, 2020, net cash used in financing activities was $0.8 million, which was mainly driven by $0.7 million repayment of debt.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than the additional $5.0 million term loan borrowed from Western Alliance Bank in February 2021, there have been no material changes to our contractual obligations as of March 31, 2021, as compared to those disclosed as of December 31, 2020 in the Prospectus.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any entities sometimes referred to as structured finance or special purpose entities, that were established for the purpose of facilitating off-balance sheet arrangements or other contractually narrow or limited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United States generally accepted accounting principles (“GAAP”). The preparation of these financial statements requires us to make judgments and estimates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w:t>
      </w:r>
    </w:p>
    <w:p>
      <w:pPr>
        <w:spacing w:after="0" w:line="15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There have been no significant changes to our critical accounting policies since December 31, 2020. For a description of critical accounting policies that affect our significant judgments and estimates used in the preparation of our unaudited condensed consolidated financial statements, refer to the section titled “Management’s Discussion and Analysis of Financial Condition and Results of Operations” included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 information on recently issued accounting pronouncements, refer to Note 2 titled “Significant Accounting Policies” to our unaudited condensed consolidated financial statements included in Part 1, Item 1 of this Quarterly Report on Form 10-Q for a discussion of recent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of March 31, 2021, we had unrestricted cash and cash equivalents of $246.5 million, consisting primarily of money market funds, which carry a degree of interest rate risk. Fluctuations in interest rates have not been significant to date.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Fluctuations in interest rates have not been significant to date.</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Interest rates under our loan and security agreement with Western Alliance Bank are tied to the prime rate with a floor of 5.75% and therefore carry interest rate risk. As of March 31, 2021, we had borrowed $40.0 million under our loan and security agreement, with $40.0 million principal outstanding as of such date, at an interest rate of 5.75%. Fluctuations in interest rates have not been significant to date.</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 hypothetical 100 basis point change in interest rates would not have a material impact on our financial condition or results of operations for the periods presented.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8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Because of the material weakness in our internal control over financial reporting discussed below, our Chief Executive Officer and Chief Financial Officer concluded that, as of March 31, 2021,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Reported Material Weaknesses in Internal Control Over Financial Reporting</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previously disclosed in the Prospectus, in connection with the audit of our financial statements for the fiscal years ended December 31, 2020, 2019 and 2018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material weakness related to the following control deficiencies:</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5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deficiencies described above, if not remediated, could result in a misstatement of one or more account balances or disclosures in our annual or interim consolidated financial statements that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0" w:lineRule="exact"/>
        <w:rPr>
          <w:sz w:val="20"/>
          <w:szCs w:val="20"/>
          <w:color w:val="auto"/>
        </w:rPr>
      </w:pPr>
    </w:p>
    <w:p>
      <w:pPr>
        <w:ind w:right="1760"/>
        <w:spacing w:after="0" w:line="430" w:lineRule="auto"/>
        <w:rPr>
          <w:sz w:val="20"/>
          <w:szCs w:val="20"/>
          <w:color w:val="auto"/>
        </w:rPr>
      </w:pPr>
      <w:r>
        <w:rPr>
          <w:rFonts w:ascii="Arial" w:cs="Arial" w:eastAsia="Arial" w:hAnsi="Arial"/>
          <w:sz w:val="18"/>
          <w:szCs w:val="18"/>
          <w:color w:val="auto"/>
        </w:rPr>
        <w:t xml:space="preserve">be prevented or detected, and, accordingly, we determined that these control deficiencies constitute a material weakness. </w:t>
      </w:r>
      <w:r>
        <w:rPr>
          <w:rFonts w:ascii="Arial" w:cs="Arial" w:eastAsia="Arial" w:hAnsi="Arial"/>
          <w:sz w:val="18"/>
          <w:szCs w:val="18"/>
          <w:b w:val="1"/>
          <w:bCs w:val="1"/>
          <w:color w:val="auto"/>
        </w:rPr>
        <w:t>Remediation Plans</w:t>
      </w:r>
    </w:p>
    <w:p>
      <w:pPr>
        <w:jc w:val="both"/>
        <w:ind w:firstLine="318"/>
        <w:spacing w:after="0" w:line="247" w:lineRule="auto"/>
        <w:rPr>
          <w:sz w:val="20"/>
          <w:szCs w:val="20"/>
          <w:color w:val="auto"/>
        </w:rPr>
      </w:pPr>
      <w:r>
        <w:rPr>
          <w:rFonts w:ascii="Arial" w:cs="Arial" w:eastAsia="Arial" w:hAnsi="Arial"/>
          <w:sz w:val="18"/>
          <w:szCs w:val="18"/>
          <w:color w:val="auto"/>
        </w:rPr>
        <w:t>To address our material weakness, we have added accounting, finance and information technology personnel and implemented new financial accounting processes. We are continuing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the controls have been operating effectively for a sufficient period of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6"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as described above. Except as described above, there was not any change in our internal control over financial reporting (as such term is defined in Rule 13a-15(f) under the Exchange Act) during our most recent fiscal quarter that has materially affected, or is reasonably likely to materially affect, our internal control over financial reporting. We have not experienced any material impact to our internal controls over financial reporting despite our employees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6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Class A common stock could decline, and you could lose part or all of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Our business is subject to numerous risks and uncertainties, including those highlighted in this section titled “Risk Factors” and summarized below. We have various categories of risks, including risks relating to our business and industry, risks relating to information technology, intellectual property, data security and privacy, risks relating to legal, regulatory, accounting and tax matters, risks relating to our indebtedness and liquidity and risks relating to ownership of our Class A common stock,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 as elsewhere in this Quarterly Report on Form 10-Q. Additional risks, beyond those summarized below or discussed elsewhere in this Quarterly Report on Form 10-Q, may apply to our business, activities or operations as currently conducted or as we may conduct them in the future or in the markets in which we operate or may in the future operate. These risks include, but are not limited to, the following:</w:t>
      </w:r>
    </w:p>
    <w:p>
      <w:pPr>
        <w:spacing w:after="0" w:line="152"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continued growth depends on attracting new, and retaining existing, buyers.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including our costs and supply of secondhand items, is subject to risks associated with sourcing, itemizing, warehousing and shipping.</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experienced rapid growth in many of our recent periods and those growth rates may not be indicative of our future growth. If we fail to manage our growth effectively, we may be unable to execute our business plan and our business, results of operations and financial condition could be harmed.</w:t>
      </w:r>
    </w:p>
    <w:p>
      <w:pPr>
        <w:spacing w:after="0" w:line="153"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in an evolving industry, which makes it difficult to forecast our revenue, plan our expenses and evaluate our business and future prospects.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history of losses, we anticipate increasing operating expenses in the future and we may not be able to achieve and, if achieved, maintain profitability.</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5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0" w:lineRule="exact"/>
        <w:rPr>
          <w:sz w:val="20"/>
          <w:szCs w:val="20"/>
          <w:color w:val="auto"/>
        </w:rPr>
      </w:pPr>
    </w:p>
    <w:p>
      <w:pPr>
        <w:ind w:left="6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global COVID-19 pandemic has had and may continue to have an adverse impact on our business, results of operations and financial condition.</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Compromises of our data security could cause us to incur unexpected expenses and may materially harm our reputation and results of operations.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and this capital might not be available or may be available only by diluting existing stockholders.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or may decline regardless of our operating performance. You may lose all or part of your investment.</w:t>
      </w:r>
    </w:p>
    <w:p>
      <w:pPr>
        <w:spacing w:after="0" w:line="150"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growth depends on attracting new, and retaining existing, buyers.</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To expand our buyer base, we must appeal to and attract buyers who do not typically purchase secondhand items, who have historically purchased only new retail items or who used other means to purchase secondhand items, such as traditional brick-and-mortar thrift stores or the websites of other secondary marketplaces. We reach new buyers through paid search, social media, influencers, television and digital advertising, other paid marketing, press coverage, retail locations, our RaaS partnership programs, referral programs, organic word of mouth and other methods of discovery, such as converting sellers to buyers. We expect to continue investing heavily in these and other marketing channels in the future and cannot be certain that these efforts will enable us to attract and retain more buyers, result in increased purchase frequency or order sizes from our buyers or be cost-effective. Our ability to attract and retain buyers also depends on our ability to offer a broad selection of desirable and high-quality secondhand items on our marketplace, the reliability of our shipping and delivery estimates, our ability to consistently provide high-quality customer experiences, our ability to promote and position our brand and marketplace and the success of our marketing efforts. Our investments in marketing may not effectively reach potential buyers and existing buyers, potential buyers or existing buyers may decide not to buy through us or the spend of buyers that purchase from us may not yield the intended return on investment, any of which could negatively affect our results of operations. Moreover, consumer preferences may change, and buyers may not purchase through our marketplace as frequently or spend as much with us as historically has been the case. As a result, the revenue generated from buyer transactions in the future may not be as high as the revenue generated from transactions historically. Relatedly, an inability to attract and retain buyers could harm our ability to attract and retain sellers, who may decide to resell their items through alternative platforms or marketplaces. Consequently, failure to attract new buyers and to retain existing buyers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fail to generate a sufficient amount of new and recurring high-quality secondhand items by attracting new sellers and retaining existing sellers, our business, results of operations and financial condition could be harmed.</w:t>
      </w:r>
    </w:p>
    <w:p>
      <w:pPr>
        <w:spacing w:after="0" w:line="129"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success depends on our ability to cost-effectively attract high-quality secondhand items by attracting new sellers and retaining existing sellers, such that they choose thredUP to list their items. Numerous factors, however, may impede our ability to attract new sellers and retain existing sellers with high-quality secondhand items. To expand our base of secondhand items for resale, as well as our base of sellers, we must appeal to and engage individuals new to selling secondhand items or who have sold secondhand items through traditional brick-and-mortar shops but are unfamiliar with our business. We find new sellers by converting buyers using our marketplace, our RaaS partnership programs, referral programs, organic word-of-mouth and other methods of discovery, such as mentions in the press. We cannot be certain that these efforts will result in more supply of high-quality secondhand items or sellers or that these efforts will be cost-effective. Our ability to attract new and recurring high-quality secondhand items from new sellers and existing sellers depends on other factors, such as our ability to enhance and improve our marketplace, our ability to process the items sent to us by sellers in a timely manner, sellers’ perceptions of whether payouts they are receiving are adequate and timely compensation for their items and the perceived quality of the items sold and purchased on our marketplace. If we are unable to meet seller standards and drive repeat supply, our existing sellers may not choose to send us secondhand items for resale to the same extent, in terms of quality, value or volume, in the future. Further, failure to generate sufficient high-quality secondhand items and attract new sellers and retain existing sellers could harm our business, results of operations and financial condition. For instance, if our sellers send lower quality secondhand items that we are unable to resell in our marketplace, then we will incur expense to sort and process such lower quality secondhand items and detract resources from processing re-sellable secondhand items. Additionally, if sellers substantially increase the initial price of their items that we list on our marketplace and subsequently reclaim these items if they do not sell within the listing window, our business could be harmed because these activities may negatively affect sell-through rates and gross margin.</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business, including our costs and supply of secondhand items, is subject to risks associated with sourcing, itemizing, warehousing and shipping.</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Nearly all of the secondhand items we offer through our marketplace are initially sourced from sellers who are individuals. As a result, we may be subject to periodic fluctuations in the number, brands and quality of secondhand items sold through our marketplace. Our results of operations could be negatively impacted by these fluctuations. In addition, as we expand into new categories of secondhand items, our payments to our sellers may rise relative to our existing categories, which could adversely affect our results of operations.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can make no assurance that secondhand items we receive from sellers will be of sufficient quality or free from damage, or that such secondhand items will not be damaged during shipping, while in one of our distribution centers or when shipped to buyers. While we conduct inspections of secondhand items sent by sellers for resale and inspect secondhand items returned by buyers, we cannot control items while they are out of our possession or prevent all damage while in our distribution centers. For example, we have in the past and may in the future experience contamination, such as mold, bacteria, insects and other pests, in the secondhand items shipped to us by our sellers, which may cause contamination of the secondhand items in our distribution centers or while shipping to buyers. If we are unable to detect and quarantine such contaminants at the time such secondhand items are initially received in our distribution centers, some or all of the secondhand items in such facilities could be contaminated. We may incur additional expenses and our reputation could be harmed if the secondhand items we offer are damaged or contain contaminants.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experienced rapid growth in many of our recent periods and those growth rates may not be indicative of our future growth. If we fail to manage our growth effectively,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execute our business plan and our business, results of operations and financial condition could be harmed.</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experienced, and may continue to experience, rapid growth in certain recent periods, which has placed, and may continue to place, significant demands on our management and our operational and financial resources. We have also experienced significant growth in the number of buyers and sellers using our platform in certain periods, despite a reduction in Active Sellers during 2020 and growth rates that were impacted by the COVID-19 pandemic. Additionally, our organizational structure is becoming more complex as we scale our operational, financial and management controls as well as our reporting systems and procedures. For example, our headcount has grown from 1,076 employees and professional contractors as of December 31, 2018 to 1,862 as of December 31, 2020, as we have scaled our business. We define an “Active Seller” as a thredUP seller who has sold at least one item on our marketplace in the last 12 months. A thredUP seller is a customer who has created an account and has listed an item in our marketplace. A thredUP seller is identified by a unique email address and a single person could have multiple thredUP seller accounts and count as multiple Active Sellers.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To manage growth in our operations and the growth in the number of buyers and sellers on our platform, we will need to continue to grow and improve our operational, financial and management controls and our reporting systems and procedures. We will need to maintain or increase the automation of our distribution centers and continue to improve how we apply data science to our operations. Our expansion has placed, and our expected future growth will continue to place, a significant strain on our management, marketing, operations, administrative, financial, customer support, engineering and other resources. If we fail to manage our anticipated growth and change in a manner that preserves the key aspects of our corporate culture, our employee morale, productivity and retention could suffer, which could negatively affect our brand and reputation and harm our ability to attract new buyers and sellers and to grow our business. In addition, future growth, such as the potential expansion of our operations internationally or expansion into new categories of offerings, either organically or through acquisitions, would require significant capital expenditures, which could adversely affect our results of operations, and the allocation of valuable management resources to grow and change in these areas.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revenue was $129.6 million, $163.8 million and $186.0 million for the years ended December 31, 2018, 2019 and 2020, respectively, representing annual growth of 26% and 14%, respectively. In future periods, we may not be able to sustain or increase revenue growth rates consistent with recent history, or at all. Our revenue growth has been and may continue to be affected by the COVID-19 pandemic. We believe our success and revenue growth depends on a number of factors, including, but not limited to, our ability to:</w:t>
      </w:r>
    </w:p>
    <w:p>
      <w:pPr>
        <w:spacing w:after="0" w:line="155" w:lineRule="exact"/>
        <w:rPr>
          <w:sz w:val="20"/>
          <w:szCs w:val="20"/>
          <w:color w:val="auto"/>
        </w:rPr>
      </w:pPr>
    </w:p>
    <w:p>
      <w:pPr>
        <w:ind w:left="64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and retain new and existing buyers and sellers and grow our supply of high-quality secondhand items for resale through our marketplace;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scale our revenue and achieve the operating efficiencies necessary to achieve and maintain profitability;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buyer and seller awareness of our brand;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 and respond to changing buyer and seller preferences;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and improve our business processes in response to changing business needs;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process Clean Out Kits from sellers on a timely basis;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 expand and further automate our distribution center operations and information systems;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 and respond to macroeconomic changes generally, including changes in the markets for both new and secondhand retail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ind w:left="640" w:right="2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national retailers and brands and traditional brick-and-mortar thrift stores;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high-quality service and buyer and seller satisfaction;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and retain talented employees and professional contractors at all levels of our business;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breaches and other factors that could affect our physical and digital infrastructure;</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fulfill and deliver Orders in a timely manner and in accordance with customer expectations, which may change over 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 high level of customer service and satisfaction;</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to changing conditions in our industry and related to the COVID-19 pandemic and measures implemented to contain its spread;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regulations applicable to our business.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a history of losses, we anticipate increasing operating expenses in the future and we may not be able to achieve and, if achieved, maintain profitability.</w:t>
      </w:r>
    </w:p>
    <w:p>
      <w:pPr>
        <w:spacing w:after="0" w:line="129"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experienced net losses of $34.2 million, $38.2 million and $47.9 million in the years ended December 31, 2018, 2019 and 2020, respectively. We expect to continue to incur net losses for the foreseeable future and we may not achieve or maintain profitability in the future. We believe there is a significant market opportunity for our business, and we intend to invest aggressively to capitalize on this opportunity. Because the market for secondhand items is evolving, particularly the online resale of secondhand items, it is difficult for us to predict our future results of operations or the limits of our market opportunity. We expect our operating expenses to significantly increase as we expand our operations and infrastructure, make significant investments in our marketing initiatives, develop and introduce new technologies and automation and hire additional personnel. These efforts may be more costly than we expect and may not result in revenue growth or increased efficiency. In addition, as we grow and comply with rules and regulations of being a public company, we will incur additional significant legal, accounting and other expenses that we did not incur as a private company. If our revenue does not increase to offset these expected increases in our operating expenses, we will not be profitable in future periods.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have a limited operating history in an evolving industry, which makes it difficult to forecast our revenue, plan our expenses and evaluate our business and future prospects.</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a limited operating history in a rapidly evolving industry that may not develop in a manner favorable to our business. Our marketplace represents a substantial departure from the traditional thrift store market for secondhand items. While our business has grown rapidly, and much of that growth has occurred in recent periods, the resale market for secondhand items may not continue to develop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manner that we expect or that otherwise would be favorable to our business. As a result of our limited operating history, ongoing changes in our new and evolving industry,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Class A common stock price to decline.</w:t>
      </w:r>
    </w:p>
    <w:p>
      <w:pPr>
        <w:spacing w:after="0" w:line="136"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129"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150"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secondhand items;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levels or quality of secondhand items on our marketplace;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capacity as we expand our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in engaging existing buyers and sellers and attracting new buyers and sellers;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the expectations of sellers that we will process their Clean Out Kits in a timely manner;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our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of new partnerships, retail offerings and referral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reported disruptions or defects in our online marketplace, such as actual or perceived privacy or data security breaches;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and market conditions, particularly those affecting our industry;</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market volatility and economic downturn, including those caused by outbreaks of disease, such as the COVID-19 pandemic, on our business;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and regulatory compliance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new employees and professional contractors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contractors or consultants;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pressure as a result of competition, economic conditions or otherwise, including as a result of the effects of the COVID-19 pandemic;</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talent, technologies, intellectual property or businesses, including potentially significant amortization costs and possible write-downs;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health crises, including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including geopolitical uncertainty and instability.</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analysts that cover us or investors with respect to revenue or other key metrics for a particular period. If we fail to meet or exceed such expectations for these or any other reasons, the market price of our Class A common stock could fall, and we could face costly lawsuits, including securities class action suits.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not be able to expand our distribution center operations, attract and retain personnel to efficiently and effectively manage the operations required to process, itemize, list, sell, pack and ship secondhand items or identify and lease distribution centers in geographic regions that enable us to effectively scale our operations.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lease facilities to store and accommodate the logistics infrastructure required to process, itemize, list, sell, pack and ship the secondhand items we sell through our marketplace and related channels of distribution, including our RaaS partnerships. To grow our business, we must continue to improve and expand our distribution center operations, proprietary software and systems, and personnel in the geographic regions that have the resources necessary to effectively operate our business. The operation of our business is complex and requires the coordination of multiple functions that are highly dependent on numerous employees and personnel. Each item that we offer through our marketplace is unique and requires multiple touch points, including inspection, evaluation, photography, pricing, application of a unique SKU, and fulfillment. This process is complex and, from time to time, we may have more Clean Out Kits coming in from sellers than we can timely process. For instance, due to restrictions in our distribution centers as a result of COVID-19 safety precautions, governmental requirements and other COVID-19-related impacts, we currently have an elevated number of unprocessed Clean Out Kits containing secondhand items from sellers. We have also rapidly increased our operations employee headcount in recent years to support the growth of our business. The number of employees in our distribution centers increased to 1,570 as of December 31, 2020 from 835 as of December 31, 2018. While we experienced a temporary decrease in the number of employees in our distribution centers in the second quarter of 2020 due to the effects of COVID-19, we have restored and continued to grow our distribution center headcount. We expect that the number of employees in our distribution centers will increase significantly in the near term, particularly as and when concerns and restrictions due to COVID-19 abate. The market for these employees is increasingly competitive and is highly dependent on geographic location. We could be required to raise wages or introduce other compensation incentives to remain competitive, which could increase our costs and harm our results of operations. If we fail to effectively locate, hire and retain such personnel, our operations could be negatively impacted, which could harm our business, results of operations and financial condition.</w:t>
      </w:r>
    </w:p>
    <w:p>
      <w:pPr>
        <w:spacing w:after="0" w:line="15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Further, the success of our business depends on our ability to maintain our current distribution centers and secure additional distribution centers that meet our business needs and are also in geographic locations with access to a large, qualified talent pool. We have distribution centers across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three strategic locations: Arizona, Georgia and Pennsylvania. Space in well-positioned geographic locations is becoming increasingly scarce, and where it is available, the lease terms offered by landlords are increasingly competitive, particularly in geographic locations with access to the large, qualified talent pools required for us to run our logistics infrastructure. Incentives currently offered by local, state and federal entities to offset operating expenses may be reduced or become unavailable. Companies who have more financial resources and negotiating leverage than us may be more attractive tenants and, as a result, may outbid us for the facilities we seek. Due to the competitive nature of the real estate market in the locations where we currently operate, we may be unable to renew our existing leases or renew them on satisfactory terms. Failure to identify and secure adequate new distribution centers in optimal geographic locations or maintain our current distribution centers could harm our business, results of operations and financial condition.</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are unable to successfully leverage technology to automate and drive efficiencies in our operations, our business, results of operations and financial condition could be harmed.</w:t>
      </w:r>
    </w:p>
    <w:p>
      <w:pPr>
        <w:spacing w:after="0" w:line="129"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are continuing to build automation, machine learning and other capabilities to drive efficiencies in our distribution center operations, including our newest distribution center in Suwanee, Georgia. As we continue to enhance automation and add capabilities, our operations may become increasingly complex. While we expect these technologies to improve productivity in many of our merchandising operations, including processing, itemizing, listing and selling, any flaws, bugs or failures of such technologies could cause interruptions in and delays to our operations, which may harm our business. We are increasing our investment in technology, software and systems to support these efforts, but such investments may not increase productivity, maintain or improve the experience for buyers and sellers or result in more efficient operations. While we have created our own proprietary technology to operate our business, we also rely on technology from third parties. For example, to run our inbound operations, we leverage third-party machine learning software that analyzes data that we use in our proprietary algorithms for determining the optimal list price. We have also integrated third-party software to help operate our automated carousels and conveyors in our distribution centers. If these technologies do not increase our operational efficiency in accordance with our expectations, third parties change the terms and conditions that govern their relationships with us, or if competition increases for the technology and services provided by third parties, our business may be harmed. If we are no longer able to rely on such third parties, we would be required to either seek licenses to technologies or services from other third parties and redesign aspects of business and operations to function with such technologies or services or develop such technologies ourselves, either of which would result in increased costs and could result in operational delays until equivalent technologies can be licensed or developed and integrated into our business and operations. In addition, if we are unable to enhance automation to our operations, we may be unable to reduce the costs of processing supply and fulfilling orders, which could cause delays in buyers receiving their purchases and sellers receiving their payouts. As a result, our reputation and our relationships with our buyers and sellers could be harmed, which could harm our business, results of operations and financial condition.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continue to be adversely affected by economic downturns and other macroeconomic conditions or trends.</w:t>
      </w:r>
    </w:p>
    <w:p>
      <w:pPr>
        <w:spacing w:after="0" w:line="12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Our business and results of operations are subject to global economic conditions and their impact on consumer discretionary spending, particularly in the retail market. Some of the factors that may negatively influence consumer spending on retail items include high levels of unemployment, high consumer debt levels, fluctuating interest rates and credit availability, fluctuating fuel and other energy costs, fluctuating commodity prices and general uncertainty regarding the overall future political and economic environment. Economic conditions in particular regions may also be affected by natural disasters, such as earthquakes, hurricanes and wildfires; unforeseen public health crises, such as pandemics and epidemics, including the COVID-19 pandemic; political crises, such as terrorist attacks, war and other incidents of political instability, including the recent presidential election in the United States; or other catastrophic events, whether occurring in the United States or internationally. Traditionally, consumer purchases of new retail items have declined during periods of economic uncertainty, when disposable income is reduced or when there is a reduction in consumer confidence. Such economic uncertainty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decrease in the rate of retail purchases in the primary market may slow the rate at which individuals choose to supply their secondhand items to us, which could result in a decrease of items available in our marketplace, and may also slow the rate at which individuals choose to buy secondhand items on our marketplace. For instance, from the beginning of the COVID-19 pandemic and throughout 2020, we experienced an increase in the supply of Clean Out Kits with secondhand items from sellers. Additionally, at the onset of the COVID-19 pandemic, we experienced a reduction in operations productivity at our distribution centers as we were unable to process Clean Out Kits at our normal rate. In March 2020, we experienced a 10% reduction in average monthly Orders through our site, as compared to February 2020, which we attribute to the general economic uncertainty at the beginning of the COVID-19 pandemic. The presence or absence of government stimulus funding programs has had and may continue to have an impact on consumer discretionary spending and, consequently, purchases through our marketplace site. Further, we cannot guarantee that buyers will continue to buy at current rates if the economy worsens. Adverse economic changes could reduce consumer confidence, and thereby negatively affect our results of operations.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in which we participate is competitive and rapidly changing, and if we do not compete effectively with established companies as well as new market entrants or maintain and develop strategic relationships with third parties, our business, results of operations and financial condition could be harmed.</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markets for resale and secondhand items are highly competitive. We compete with vendors of new and secondhand items, including branded goods stores, local, national and global department stores, traditional brick-and-mortar consignment and thrift stores, specialty retailers, direct-to-consumer, retailers, discount chains, independent retail stores, the online offerings of traditional retail competitors, resale players focused on niche or single categories, as well as technology-enabled marketplaces that may offer the same or similar goods and services that we offer. Competitors offering the same or similar goods or services include secondhand marketplaces, such as eBay Inc., Mercari, Inc., Poshmark, Inc. and The RealReal, Inc.; large online retailers, such as Amazon.com, Inc., Kohl’s Corporation and Walmart Inc.; and off-price retailers, such as Burlington Stores, Inc., Ross Stores, Inc. and The TJX Companies, Inc. We believe our ability to compete depends on many factors, many of which are beyond our control, including:</w:t>
      </w:r>
    </w:p>
    <w:p>
      <w:pPr>
        <w:spacing w:after="0" w:line="158"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and retaining buyers and sellers and increasing the volume of secondhand items they buy and sell;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developing our data science and automation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favorable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delivering our marketplace to buyers and sellers;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and delivering authentic, high-quality secondhand items;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and increasing the amount, diversity and quality of brands and secondhand items that we offer;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expand the means through which we acquire and offer secondhand items for resale;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at which secondhand items accepted onto our marketplace are offered;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speed and cost at which we can process and make available secondhand items and deliver purchased secondhand items to our buyers;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ease with which our buyers and sellers can supply, purchase and return secondhand items.</w:t>
      </w:r>
    </w:p>
    <w:p>
      <w:pPr>
        <w:spacing w:after="0" w:line="164"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As our market evolves and we begin to compete with new market entrants, we expect competition to intensify in the future. Established companies may not only develop their own platforms and competing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lines of business, but also acquire or establish cooperative relationships with our current competitors or provide meaningful incentives to third parties to favor their offerings over our marketplace.</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of our existing competitors have, and some of our potential competitors or potential alliances among competitors could have, substantial competitive advantages such as greater brand name recognition and longer operating histories, larger fulfillment infrastructures, greater technical capabilities, faster shipping times, lower-cost shipping, broader supply, established relationships with a larger existing buyer and/or seller base, superior or more desirable secondhand items for sale or resale, greater customer service resources, greater financial, marketing, institutional and other resources than we do, greater resources to make acquisitions, lower labor, and development costs, larger and more mature intellectual property portfolios, and substantially greater financial, technical and other resources than we do. Such competitors with greater financial and operating resources may be able to respond more quickly and effectively than we can to new or changing opportunities, technologies, standards or customer requirements and derive greater revenue and profits from their existing buyer bases, adopt more aggressive pricing policies to build larger buyer or seller bases, or respond more quickly than we can to new or emerging technologies and changes in consumer shopping behavior.</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Potential buyers may also prefer to purchase retail items from larger online or brick-and-mortar competitors that they currently shop from, rather than a newer marketplace, regardless of offerings. These larger competitors often have broader supply and market focus and will therefore not be as susceptible to downturns in a particular market.</w:t>
      </w:r>
    </w:p>
    <w:p>
      <w:pPr>
        <w:spacing w:after="0" w:line="15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If we are unsuccessful in establishing or maintaining our relationships with third parties, or if they partner with our competitors and devote greater resources to implement and support the platforms or retail items of our competitors, our ability to compete in the marketplace, or to grow our revenue, could be impaired, and our results of operations may suffer. Even if these partnerships and any future partnerships we undertake are successful, we cannot assure you that these relationships will result in increased buying and selling through our marketplace or increased revenue.</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Conditions in our market could also change rapidly and significantly as a result of technological advancements, partnering by our competitors or continuing market consolidation or strategic changes we or our competitors make in response to the COVID-19 pandemic, and it is uncertain how our market will evolve. These competitive pressures in our market or our failure to compete effectively may result in price reductions, fewer buyers and sellers, reduced revenue, gross profit, and gross margins, increased net losses, and loss of market share. Any failure to meet and address these factors could harm our business, results of operations and financial condition.</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National retailers and brands set their own retail prices and promotional discounts on new items, which could adversely affect our value proposition to buyers and harm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National retailers and brands set pricing for their own new retail items, which can include promotional discounts. Promotional pricing by these parties may adversely affect the relative value of secondhand items offered for resale with us, and, in turn, our revenue, results of operations and financial condition. In order to attract buyers to our marketplace, the prices for the secondhand items sold through our marketplace may need to be lowered in order to compete with pricing strategies employed by national retailers and brands for their own new retail items, which could negatively affect revenue growth, results of operations and financial condition. We have experienced a reduction in our revenue in the past due to reductions and fluctuations in the price of new retail items sold by national retailers and brands, and we anticipate similar reductions and fluctuations could occur in the future, such as due to a decrease in the price of new retail items in light of the economic downturn caused by the COVID-19 pandemic. These pricing changes and promotional discounts could, as a result,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global COVID-19 pandemic has had and may continue to have an adverse impact on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the World Health Organization declared COVID-19 a global pandemic and this contagious disease outbreak has continued to spread. The related public health measures, including orders to shelter-in-place, travel restrictions and mandated business closures, have adversely affected workforces, organizations, customers, economies and financial markets globally, leading to an economic downturn and increased market volatility. The fear associated with COVID-19, or any pandemic, and the reactions of governments around the world in response to COVID-19, or any pandemic, to regulate the flow of labor and products and impede the travel of individuals, have and may continue to impact our ability to conduct normal business operations, which could adversely affect our results of operations and liquidity. For example, due to shelter-in-place orders and mandatory business closures, in Georgia in particular, we have been required to limit operations at our distribution centers, resulting in a delay in our ability to process our Clean Out Kits, and have implemented enhanced safety and cleaning measures, resulting in increased costs. In compliance with local ordinances and to protect our workforce, we have also temporarily closed our corporate offices, except for limited essential staff and visits by our operations teams to the distribution centers on an as-needed and limited basis.</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we implemented several cost-saving measures to address the challenges from the COVID-19 pandemic. For example, in the first quarter of 2020, we temporarily reduced marketing spend to take time to better understand the impact of COVID-19 on consumer demand. Additionally, in April 2020, we reduced salaries by 20% for the vast majority of corporate employees, whose full salaries were restored in January 2021, and in June 2020 we laid off the staff at our three small retail stores and permanently closed our retail stores during 2020. Further, we also have implemented promotional measures. Beginning in the second quarter of 2020, we chose to strategically increase discounts and incentives to encourage our existing buyer base to shop with us, as consumers generally prioritize value in times of economic uncertainty. The presence or absence of government stimulus funding programs, however, has had and may continue to have an impact on consumer discretionary spending and, consequently, purchases through our marketplace site. Without timely and robust government stimulus funding programs, consumers would have less money to spend on apparel, which could harm our business, results of operations and financial condition. We are also impacted by the overall decrease in spending in the apparel sector during the pandemic as many consumers have limited their social activity and are making fewer apparel purchases. In connection with this reduced social activity, the shift to wear-at-home clothing has also meant that many popular secondhand categories sold on thredUP, such as dresses and shoes, have been less in-demand than pre-COVID-19 pandemic levels, which affects our business, results of operations and financial condition.</w:t>
      </w:r>
    </w:p>
    <w:p>
      <w:pPr>
        <w:spacing w:after="0" w:line="15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Further, disruptions to our business operations have included and could include personnel absences, temporary closures of our distribution centers, further or ongoing reduced capacity at our distribution centers, delays in processing Clean Out Kits shipped by sellers to us, delays in our shipment of items purchased by our buyers, a slow-down in our ability to hire if we are unable to interview candidates in person, decreased foot traffic at and/or closure of our and our partners’ physical retail locations, disruptions in internet connections and a decrease or volatile patterns in spending on retail in general. For instance, decreased processing capacity at our distribution centers during the onset of the COVID-19 pandemic resulted in fewer items being listed as available for sale, which adversely impacted our revenue growth. Our third-party vendors and partners have also experienced and may continue to experience disruptions to their business operations, which in turn affects us.</w:t>
      </w:r>
    </w:p>
    <w:p>
      <w:pPr>
        <w:spacing w:after="0" w:line="1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the COVID-19 pandemic and the resulting shelter-in-place orders throughout the country have disproportionately affected women, our predominant buyer demographic. If women are not able to economically recover from the impact of COVID-19, our business, results of operations and financial condition could be adversely impacted.</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Further, developing various responses to the challenges caused by COVID-19 and its effects has and may continue to divert the attention of our management team. In the future, we may need to temporarily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close some or all of our distribution centers. If a critical number of our employees become too ill to work or are unable to work due to personal reasons related to the effects of COVID-19, our ability to process merchandise through our distribution centers could be significantly slowed or halted.</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Similarly, COVID-19 has led to a broader economic slowdown that may heighten other risks disclosed in this Quarterly Report on Form 10-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Public health concerns, such as COVID-19, could also result in social, economic and labor instability in the localities in which we or our vendors, buyers and sellers reside. Any of these uncertainties and actions we take to mitigate the effects of COVID-19 and uncertainties related to COVID-19 could harm our business, results of operations and financial condition. See the section titled “Management’s Discussion and Analysis of Financial Condition and Results of Operations—COVID-19 Impact” for additional information about the impact of COVID-19 on our business.</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We may experience damage or destruction to our distribution centers in which we store all of the secondhand items we offer through our marketplace, which may harm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store the majority of the secondhand items we offer through our marketplace in our distribution centers in Arizona, Georgia and Pennsylvania. Our distribution centers, as well as our headquarters, are located in areas that have a history of natural disasters, including severe weather events, rendering our distribution centers vulnerable to damage. Any large-scale damage to or catastrophic loss of secondhand items stored in one of our distribution centers, due to natural disasters or man-made disasters such as arson, theft or otherwise would result in liability to our sellers for the expected payout commission liability for the lost items, reduction in the value of our inventory and a significant disruption to our business.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Additionally, given the nature of the unique selection of secondhand items we offer on our marketplace, our ability to restore such secondhand items on our marketplace would take time and would result in a limitation and delay of available supply for buyers, which would negatively impact our revenue and results of operations. Further, natural disasters, such as earthquakes, hurricanes, tornadoes, fires,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distribution centers or the operations of one or more of our third-party providers or vendors. For example, in March 2020 due to the progression of COVID-19 in areas where we operate distribution centers and have corporate offices, we reduced operations at our distribution centers and temporarily closed our corporate offices to slow the spread of COVID-19 and protect our employees. Such reductions in operations and closures have slowed and may in the future slow or temporarily halt our operations and harm our business, results of operations and financial condition.</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Further, while we carry insurance for the secondhand items in our distribution centers, the number of carriers which provide for such insurance has declined, which has resulted in increased premiums and deductibles. The insurance we do carry may not continue to be available on commercially reasonable terms and, in any event, may not be adequate to cover all possible losses that our business could suffer. In the event that we suffer a catastrophic loss of any or all of our distribution centers and the secondhand items in such facilities, our liabilities may exceed the maximum insurance coverage amount, which would harm our business and results of operations.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harm our business, results of operations and financial condition.</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currently rely on major vendors for our shipping of purchases to buyers and the shipping of supplied secondhand items by sellers. If we are not able to negotiate acceptable pricing and other terms with these vendors or they experience performance problems or other difficulties, such as the increased volume of deliveries due to shelter-in-place orders associated with the COVID-19 pandemic, it could negatively impact our business and results of operations and negatively affect the experiences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buyers and sellers, which could affect the degree to which they continue to buy and supply secondhand items on our marketplace. In addition, our ability to receive inbound secondhand items efficiently and ship secondhand items to buyers may be negatively affected by inclement weather, fire, flood, power loss, earthquakes, labor disputes, acts of war or terrorism, disruptions and/or delays due to business closures and shelter-in-place orders like those associated with the COVID-19 pandemic and similar factors. Disruption to delivery services due to inclement weather could result in delays that could adversely affect our reputation, business and results of operations. If our secondhand items are not delivered in a timely fashion or are damaged or lost during the supply or the delivery process, our buyers or sellers could become dissatisfied and cease using our marketplace, which could adversely affect our business and results of operations.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advertising activity and strategic RaaS partnerships may fail to efficiently drive growth in buyers and sellers, which could harm our business, results of operations and financial condition.</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future growth and potential profitability will depend in large part upon the effectiveness and efficiency of our advertising, promotion, public relations and marketing programs as well as our strategic RaaS partnerships, and we are investing heavily in these activities. Our advertising activities may not yield increased revenue and the efficacy of these activities will depend on a number of factors, including our ability to:</w:t>
      </w:r>
    </w:p>
    <w:p>
      <w:pPr>
        <w:spacing w:after="0" w:line="155"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determine the effective creative message and media mix for advertising, marketing and promotional expenditures;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select the right markets, media and specific media vehicles in which to advertise;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 media and specific media vehicle;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expenses, to maintain acceptable buyer and seller acquisition costs.</w:t>
      </w:r>
    </w:p>
    <w:p>
      <w:pPr>
        <w:spacing w:after="0" w:line="17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closely monitor the effectiveness of our advertising campaigns and changes in the advertising market, and adjust or re-allocate our advertising spend across channels, customer segments and geographic markets in real-time to optimize the effectiveness of these activities. We expect to increase advertising spend in future periods to continue driving our growth. 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channels, which, in turn, could adversely affect our results of operations.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or result in increased revenue. Even if our marketing and advertising expenses result in increased sales,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buyer and seller base could be adversely affected, our brand could suffer and our business, results of operations and financial condition could be harmed.</w:t>
      </w:r>
    </w:p>
    <w:p>
      <w:pPr>
        <w:spacing w:after="0" w:line="158"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We have invested and expect to continue to invest significant time and resources into our RaaS partnerships with national retail stores, premium women’s fashion brands, fashion-focused e-commerce sites and marketplaces for the buying and selling of secondhand items. We maintain a robust and varied set of RaaS partnership programs, including our RaaS offering, in-store pop-up shops and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Clean Out Kits at our partners’ retail stores, our cash out marketplace partnerships, the resale of worn retail items provided to us by our RaaS partners and cross-listing our products on our RaaS partners’ websites. See the section titled “Business—The thredUP Product Experience—For Resale-as-a-Service (RaaS) Partners” included in the Prospectus for additional information about our RaaS partnerships. To grow our business and build out our marketplace, we anticipate that we will continue to depend on relationships with third parties. Identifying RaaS partners, and negotiating, documenting and maintaining relationships with them, requires significant time and resources. Further, our competitors may be effective in providing incentives to third parties to favor their offerings over our marketplace, mobile application or in-store offerings.</w:t>
      </w:r>
    </w:p>
    <w:p>
      <w:pPr>
        <w:spacing w:after="0" w:line="2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There is significant uncertainty around the future profitability of our RaaS partnerships and whether they will result in an increased number of new and repeat buyers, an increased number of new and repeat sellers selling high-quality secondhand items and increased awareness of our brand. The effectiveness of some of these RaaS partnerships has also been disrupted by the COVID-19 pandemic and associated shelter-in-place orders. Further, if the retail industry suffers in general, there may be fewer customers visiting our partners’ retail stores and buying secondhand items in our pop-up shops, our RaaS partners may discontinue our pop-ups in an effort to cut back newer partnerships and our kit distribution partnership for gift cards to our partners’ store could be less desirable. Additionally, our RaaS partners could go out of business or declare bankruptcy. If our RaaS partnerships are not profitable and do not result in us acquiring a high-quality supply of secondhand items from our partners and/or their customers, who become our sellers, and reaching additional buyers, our business, results of operations and financial condition could be harmed.</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third parties to drive traffic to our website and mobile application, and these providers may change their algorithms or pricing in ways that could negatively impact our business, results of operations, financial condition and prospects.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in part on digital advertising, including search engine marketing and social media advertising, to promote awareness of our marketplace, grow our business, attract new buyers and sellers and retain existing buyers and sellers. In particular, we rely on search engines, such as Google, the major mobile application stores and social media platforms such as Facebook and Instagram as important marketing channels. In addition to purchasing traditional advertising space on search engines and social media platforms, we also partner with influencers on Instagram who promote their buying and selling of secondhand items through our marketplace to their followers. Search engine companies, social media platforms or mobile application stores that we advertise our marketplace through may determine that we are not in compliance with their guidelines and penalize us as a result. If search engines or social media platforms change their algorithms, terms of service, display or the featuring of search results, determine we are out of compliance with their terms of service or if competition increases for advertisements, we may be unable to cost-effectively add buyers and sellers to our website and mobile application.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Instagram influencer partners will be interested in buying and selling through our marketplace, or if our influencer partners will maintain their follower numbers throughout the time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promoting and maintaining our brand and reputation, which could harm our business and future growth.</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believe that maintaining our brand and reputation is critical to driving buyer and seller engagement. An important goal of our brand promotion strategy is establishing trust with our buyers and sellers.</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buyers, maintaining our brand and reputation requires that we foster trust through timely and reliable fulfillment of orders, responsive and effective customer service, a broad supply of desirable brands and secondhand items and an exciting and user-friendly interface on our marketplace, in our stores and through our partnerships. For sellers, maintaining our brand and reputation requires that we foster convenience with service that is convenient, consistent and timely. It also requires that we foster trust through consistent and transparent acceptance, payout and return processes and policies for secondhand items supplied to us, payouts that our sellers perceive to be adequate compensation for their items and responsive and effective customer service. If we fail to provide buyers or sellers with the service and experience they expect, or we experience buyer or seller complaints or negative publicity about our marketplace services, merchandise, delivery times or customer support, whether justified or not, the value of our brand could be harmed, which could harm our business and future growth. For example, disruption to processing of Clean Out Kits and distribution caused by COVID-19 has led and could potentially lead to additional delays in our ability to process secondhand items sellers send in for resale, resulting in delays in sellers receiving payouts and less refreshing of our supply on our marketplace, and could harm our brand and reputation.</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use data science to predict buyer and seller preferences, and if we do not accurately predict evolving preferences of our buyers and sellers it could harm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success is in large part dependent upon our ability to anticipate and identify trends in the market for secondhand items in a timely manner and to obtain a supply of secondhand items that addresses those trends by attracting and retaining sellers who send in high-quality secondhand items. We use data science to predict buyer and seller preferences, which we in turn use to ensure our buyers are looking at secondhand items that they are interested in purchasing on our marketplace. There can be no assurance that our data science will accurately anticipate buyer or seller preferences and, if our predictions are inaccurate, we will not be able to optimize our buyers’ and sellers’ experience on our marketplace. Lead times relating to these changing preferences may make it difficult for us to respond rapidly to new or changing trends. We have begun to expand our offerings beyond our core marketplace and to expand our RaaS partnership programs and the impact on our business from these new offerings and RaaS partnership programs is not clear as it is difficult to accurately predict buyer and seller preferences. To the extent we do not accurately predict the evolving preferences of our buyers and sellers, it could harm our business, results of operations and financial condition.</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Certain estimates of our buyer metrics included in this Quarterly Report on Form 10-Q may prove to be inaccurate, and any real or perceived inaccuracies may harm our reputation and negatively affect our business.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Certain metrics presented in this Quarterly Report on Form 10-Q, including the numbers of Active Buyers, are based on internal company data, assumptions and estimates and we use these numbers in managing our business. We believe that these figures are reasonable estimates, and we take measures to improve their accuracy, such as eliminating known fictitious or duplicate accounts. There are, however, inherent challenges in gathering accurate data across large online and mobile populations. For example, there may be individuals who have multiple email accounts in violation of our terms of service, despite our efforts to detect and enforce our terms of service. If individuals have multiple unique email addresses that are undetected, then we could be overestimating the number of Active Buyers. We regularly review and may adjust our processes for calculating these metrics to improve their accuracy. If investors or analysts do not perceive our metrics to be accurate representations of our business, or if we discover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inaccuracies in our metrics, our reputation, business, results of operations and financial condition would be harmed.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Greater than expected returns could have a negative impact on our revenue.</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allow buyers to return certain purchases from our website and mobile application under our return policy. We record a reserve for returns against proceeds to us from the resale of secondhand items on our marketplace in calculating revenue. We estimate this reserve based on historical return trends. The introduction of new products in the retail market, changes in consumer confidence or other competitive and general economic conditions may cause actual returns to exceed our reserve for returns. From time to time, the secondhand items sold through our marketplace are damaged in transit which can increase return rates, increase our costs and harm our brand. Returned items may also be damaged in transit as part of the return process, which can significantly impact the price we are able to charge for such items on our marketplace. Any significant increase in returns that exceeds our reserves could adversely affect our revenue and results of operations.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As an online secondhand marketplace, our success depends on the accuracy of our item acceptance process. Failure by us to identify counterfeit or stolen retail items could adversely affect our reputation and expose us to liability for the resale of counterfeit or stolen items.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success depends on our ability to accurately and cost-effectively determine whether a secondhand item offered for resale is an authentic product. From time to time we receive counterfeit secondhand items through our sellers. While we have invested in our authentication processes and we reject any retail items we believe to be counterfeit, we cannot be certain that we will identify every counterfeit item that is supplied to us. As the sophistication of counterfeiters increases, it may be increasingly difficult to identify counterfeit products. We refund the cost of an item to a buyer if the buyer questions its authenticity and returns the item. The resale of any counterfeit items may damage our reputation as a trusted marketplace for secondhand items, which may impact our ability to attract and maintain repeat buyers and sellers. We may also be subject to allegations that an item we sold is not authentic despite our efforts to inspect such item. Such controversy could negatively impact our reputation and brand and harm our business and results of operations.</w:t>
      </w:r>
    </w:p>
    <w:p>
      <w:pPr>
        <w:spacing w:after="0" w:line="15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Additionally, we may fail to prevent sellers from supplying stolen items. Government regulators and law enforcement officials may allege that our services violate, or aid and abet violations of certain laws, including laws restricting or prohibiting the transferability and, by extension, the resale, of stolen items. Our form of seller terms includes a representation that the seller has the necessary right and title to the secondhand items they may resell. Our terms of use prohibit the listing of stolen or otherwise illegal products. If these terms prove inadequate, we may be required to spend substantial resources to take additional protective measures which could negatively impact our operations. Any costs incurred as a result of potential liability relating to the alleged or actual resale of stolen items could harm our business. In addition, negative publicity relating to the actual or perceived listing or resale of stolen items using our services could damage our reputation and make our buyers and sellers reluctant to use our services. To the extent any of this occurs, it could harm our business or damage our reputation and we could face liability for such unlawful activities. Despite measures taken by us to detect stolen items, to cooperate fully with law enforcement, and to respond to inquiries regarding potentially stolen items, any resulting claims or liabilities could harm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Information Technology, Intellectual Property, Data Security and Privacy</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Compromises of our data security could cause us to incur unexpected expenses and may materially harm our reputation and results of operations.</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ordinary course of our business, we collect, process and store certain personal information and other data relating to individuals, such as our buyers, sellers and employees. We also maintain other information, such as our trade secrets and confidential business information and certain confidential information of third parties, that is sensitive and that we seek to protect. We rely substantially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commercially available systems, software, tools and monitoring to provide security for our processing, transmission and storage of personal information and other confidential information. We or our vendors have been in the past and could in the future be the subject of hacking, social engineering, phishing attacks or other attacks. Due to these or other causes, we or our vendors have in the past and may in the future suffer a data breach or other security incident. These incidents have allowed, and may in the future continue to allow, hackers or other unauthorized parties to gain access to personal information or other data, including payment card data or confidential business information, and we might not discover such issues for an extended period. The techniques used to obtain unauthorized access or to sabotage systems change frequently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security breaches and other security-related incidents. We may incur additional costs in the event of a security breach or other security-related incident. Any actual or perceived compromise of our systems or data security measures or those of third parties with whom we do business, or any failure to prevent or mitigate the loss of personal or other confidential information and delays in detecting or providing notice of any such compromise or loss could disrupt our operations, harm the perception of our security measures, damage our reputation, cause some participants to decrease or stop their use of our marketplace and subject us to litigation, government action, increased transaction fees, regulatory fines or penalties or other additional costs and liabilities that could adversely affect our business, results of operations and financial condition.</w:t>
      </w:r>
    </w:p>
    <w:p>
      <w:pPr>
        <w:spacing w:after="0" w:line="15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harm our business, results of operations, financial condition and reputation.</w:t>
      </w:r>
    </w:p>
    <w:p>
      <w:pPr>
        <w:spacing w:after="0" w:line="15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the changes in our work environment as a result of the COVID-19 pandemic could impact the security of our systems, as well as our ability to protect against attacks and detect and respond to them quickly. Any rapid adoption by us of third-party services designed to enable the transition to a remote workforce also may introduce security risk that is not fully mitigated prior to the use of these services. We may also be subject to increased cyber-attacks, such as phishing attacks by threat actors using the attention placed on the COVID-19 pandemic as a method for targeting our personnel.</w:t>
      </w:r>
    </w:p>
    <w:p>
      <w:pPr>
        <w:spacing w:after="0" w:line="13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use and other processing of personal information and other data is subject to laws and regulations relating to privacy and data protection. Changes in such laws or regulations, or any actual or perceived failure by us to comply with such laws and regulations, our privacy policies and/or contractual obligations, could adversely affect our business, results of operations and financial condition.</w:t>
      </w:r>
    </w:p>
    <w:p>
      <w:pPr>
        <w:spacing w:after="0" w:line="12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collect, maintain and otherwise process significant amounts of personal information and other data relating to our buyers, sellers and employees. Numerous state, federal and international laws, rules and regulations govern the collection, use and protection of personal information and other types of data we collect, use, disclose and otherwise process. Such privacy requirements are constantly evolving, and we expect that there will continue to be new proposed privacy requirements in the United States and other jurisdictions, or changes in the interpretation of existing privacy requirements. For example, the California Consumer Privacy Act (the “CCPA”), took effect on January 1, 2020 and broadly defines personal information, imposes stringent consumer data protection requirements, gives California residents expanded privacy rights, provides for civil penalties for violations and introduces a private right of action for data breaches. Additionally, on November 3, 2020, Proposition 24 was approved in California which creates a new privacy law, the California Privacy Rights Act (the “CPRA”). The CPRA creates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additional obligations relating to personal information that will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Future privacy requirements, or changes in the interpretation of existing privacy requirements, may require companies to implement privacy and security policies, provide certain types of notices, grant certain rights to individuals, inform individuals of security breaches, and, in some cases, obtain individuals’ consent to use personal data for certain purposes. These privacy requirements may be inconsistent from one jurisdiction to another, subject to differing interpretations and may be interpreted to conflict with our practices. We cannot yet fully determine the impact that such future privacy requirements may have on our business or operations. 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privacy requirements, with our posted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statutory damages between $100 and $750 per consumer. Any such action would be expensive to defend, likely would damage our reputation and market position, could result in substantial liability and could adversely affect our business and results of operations.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 or at all, and our ability to develop new features could be limited. Privacy, data protection and information security concerns, whether valid or not valid, may inhibit the use and growth of our marketplace, particularly in certain foreign countries. Additionally, public scrutiny of or complaints about technology companies or their data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Interruptions or delays in the services provided by third-party data centers, Internet service providers or our payment processors could prevent existing and potential buyers and sellers from accessing our marketplace, and our business could suffer.</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reputation and ability to attract and retain buyers and sellers depends in part on the reliable performance of our network infrastructure and content delivery process.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 which could affect the availability of services on our marketplace and prevent or inhibit the ability of buyers to access our marketplace or complete purchases on our marketplace through our website or mobile application.</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currently host our marketplace and support our operations using Amazon Web Services (“AWS”) data centers, a provider of cloud infrastructure services. Our operations depend on protecting the virtual cloud infrastructure hosted in AWS by maintaining its configuration, architecture and interconnection specifications, as well as the information stored in these virtual data centers and which third-party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service providers transmit. Furthermore, we have no physical access or control over the services provided by AWS. Although we have disaster recovery plans that utilize multiple AWS locations, the data centers that we use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 destroy user content, or prevent us from being able to continuously back up or record changes in our users’ content. In the event of significant physical damage to one of these data centers, it may take a significant period of time to achieve full resumption of our marketplace, and our disaster recovery planning may not account for all eventualities. Further, a prolonged AWS service disruption affecting our marketplace could damage our reputation with current buyers and sellers, expose us to liability, make it difficult to attract and retain new and existing buyers and sellers, or otherwise harm our business. In particular, volume of traffic and activity on our marketplace spikes on certain days and during certain periods of the year, such as during a holiday promotion. Any interruption to the availability of our marketplace would be particularly problematic if it were to occur at such a high-volume time. In addition, we use multiple third-party payment processors to process payments made by buyers or to sellers on our marketplace. Any disruption or failure in the services we receive from our third-party payment processors could prevent us from being able to effectively operate our marketplace and likewise could harm our business, results of operations and financial condition.</w:t>
      </w:r>
    </w:p>
    <w:p>
      <w:pPr>
        <w:spacing w:after="0" w:line="15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AWS or our third-party payment processors terminate their relationships with us or refuse to renew their agreements with us on commercially reasonable terms, we would need to find alternative data centers, Internet service providers and third-party payment processors and may not be able to secure similar terms or replace such payment processors in an acceptable timeframe. Further, the services provided by such alternate providers may not meet our expectations, contain errors or vulnerabilities, be compromised or experience outages. In particular, should we or AWS decide to terminate our contract for cloud infrastructure services for any reason, transitioning our cloud infrastructure to an alternative provider could potentially be disruptive, and we may incur significant costs for a short period of time. Any of these risks could cause us to lose our ability to accept online payments, make payments to sellers or conduct other payment transactions, any of which could make our marketplace less convenient and attractive and adversely affect our ability to attract and retain buyers and sellers, which could harm our business, results of operations and financial condition.</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Activity on mobile devices by buyers and sellers depends upon effective use of mobile operating systems, networks and standards that we do not control.</w:t>
      </w:r>
    </w:p>
    <w:p>
      <w:pPr>
        <w:spacing w:after="0" w:line="129"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Purchases using mobile devices by buyers and sellers generally, and by our buyers and sellers specifically, have increased significantly, and we expect this trend to continue. To optimize the mobile shopping experience, we are dependent on our buyers and sellers downloading our specific mobile applications for their particular device or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creation, support and maintenance of such applications. In addition, our future growth and our results of operations could suffer if we experience difficulties in the future in integrating our mobile applications into mobile devices, if problems arise with our relationships with providers of mobile operating systems or mobile application download stores, such as those of Apple or Google, if our applications receive unfavorable treatment compared to competing applications, such as the order of our mobile application in the Apple App Store or Google Play, if we face increased costs to distribute or have buyers and sellers use our mobile applications or if our mobile application is no longer available with certain providers of mobile operating systems or mobile application download stores. We are further dependent on the interoperability of our sites with popular mobile operating systems that we do not control, such as iOS and Android, and any changes in such systems that degrade the functionality of our sites or give preferential treatment to competitors could adversely affect the usage of our sites on mobile devices. In the event that it is more difficult for our buyers and sellers to access and use our sites on mobile devices, or if our buyers and sellers choose not to access or to use our sites on their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devices or to use mobile products that do not offer access to our sites, this could harm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accused of infringing intellectual property or other proprietary rights of third parties.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been in the past and may be accused in the future of infringing intellectual property or other proprietary rights of third parties. We are also at risk of claims by others that we have infringed their copyrights, trademarks or patents, or improperly used or disclosed their trade secrets, or otherwise infringed or violated their proprietary rights, such as the right of publicity. For example, although we require our employees to not use the proprietary information or know-how of others in their work for us, we may become subject to claims that these employees have divulged, or we have used, proprietary information of these employees’ former employers. The costs of supporting any litigation or disputes related to these claims can be considerable, and we cannot assure you that we will achieve a favorable outcome of any such claim. If any such claim is valid, we may be compelled to cease our use of such intellectual property or other proprietary rights and pay damages, which could adversely affect our business. In addition, if such claims are valid, we may lose valuable intellectual property rights or personnel, which could harm our business. Even if such claims were not valid, defending them could be expensive and distracting, adversely affecting our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successfully protect our intellectual property, our business could suffer.</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rely on a combination of intellectual property rights, contractual protections and other practices to protect our brand, proprietary information, technologies and processes. We primarily rely on patent, copyright and trade secret laws to protect our proprietary technologies and processes, including the automated operations systems and machine learning technology we use throughout our business. Others may independently develop the same or similar technologies and processes or may improperly acquire and use information about our technologies and processes, which may allow them to provide a service similar to ours, which could harm our competitive position. Our principal trademark assets include the registered trademarks “THREDUP” and “Think Secondhand First” and our logos and taglines. Our trademarks are valuable assets that support our brand and buyers’ perception of our services and merchandise. We have registered trademarks in Australia, Canada, the European Union, Japan, South Korea, Mexico, the United Kingdom and the United States. We also hold the rights to the “thredup.com” Internet domain name and various related domain names, which are subject to Internet regulatory bodies and trademark and other related laws of each applicable jurisdiction. If we are unable to protect our trademarks or domain names, our brand recognition and reputation would suffer, we would incur significant expense establishing new brands and our results of operations would be adversely impacted. Further, to the extent we pursue additional patent protection for our innovations, patents we may apply for may not issue, and patents that do issue or that we acquire may not provide us with any competitive advantages or may be challenged by third parties. There can be no assurance that any patents we obtain will adequately protect our inventions or survive a legal challenge, as the legal standards relating to the validity, enforceability and scope of protection of patent and other intellectual property rights are uncertain. We may be required to spend significant resources to monitor and protect our intellectual property rights, and the efforts we take to protect our proprietary rights may not be sufficient.</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rely in part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relationships, partnerships and business alliances,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automation technologies or technologies related to our marketplace.</w:t>
      </w:r>
    </w:p>
    <w:p>
      <w:pPr>
        <w:spacing w:after="0" w:line="15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and we may or may not be able to detect infringement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use open source software in our marketplace, which could negatively affect our ability to operate our business and subject us to litigation or other actions.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use open source software to facilitate the development and operation of our marketplace, including our website and mobile application, and may use more open source software in the future. From time to time, there have been claims challenging both the ownership of open source software against companies that incorporate open source software into their products and whether such incorporation is permissible under various open source licenses. The terms of many open source licenses have not been interpreted by U.S. courts, and there is a risk that these licenses could be construed in a way that could impose unanticipated conditions or restrictions on our ability to operate our marketplace. As a result, we could be subject to lawsuits by parties claiming ownership of what we believe to be open source software, or breach of open source licenses. Litigation could be costly for us to defend, have a negative effect on our results of operations and financial condition, or require us to devote additional research and development resources to change our marketplace. In addition, if we were to combine our proprietary source code or software with open source software in a certain manner, we could, under certain of the open source licenses, be required to release the source code of our proprietary software to the public. This would allow our competitors to create similar offerings with less development effort and time. If we inappropriately use open source software, or if the license terms for open source software that we use change, we may be required to re-engineer our marketplace, or certain aspects of our marketplace, incur additional costs, or take other remedial actions.</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but we cannot be sure that all of our use of open source software is in a manner that is consistent with our current policies and procedures or will not subject us to liability.</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on software and services from other parties. Defects in or the loss of access to software or services from third parties could increase our costs and adversely affect the quality of our products.</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rely on technologies from third parties to operate critical functions of our business, including cloud infrastructure services, payment processing services, certain aspects of distribution center automation and customer relationship management services. We also use Google services for our business emails, file storage and communications. Our business would be disrupted if any of the third-party software or services we utilize, or functional equivalents thereof, were unavailable due to extended outages or interruptions or because they are no longer available on commercially reasonable terms or prices. In each case, we would be required to either seek licenses to software or services from other parties and redesign our business and marketplace to function with such software or services or develop these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ourselves, which would result in increased costs and could result in delays in the launch of new offerings on our marketplace until equivalent technology can be identified, licensed or developed, and integrated into our business and marketplace. Furthermore, we might be forced to limit the features available in our current or future products. These delays and feature limitations, if they occur, could harm our business, results of operations and financial condition.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success depends, in part, on the integrity and scalability of our systems and infrastructures as well as our ability to integrate with our partners. System interruption and the lack of integration, redundancy and scalability in these systems and infrastructures may harm our business, results of operations and financial condition.</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success depends, in part, on our ability to maintain the integrity of our systems and infrastructure, including our website and mobile app, information and related systems. Further, to maintain our strategic relationships with our partners, our systems and infrastructure must be seamlessly integrated and interoperable with our partners’ systems, including those of our RaaS partners, which may cause us to incur significant upfront and maintenance costs as some of our RaaS partnerships may involve development of a variety of technologies, data formats, applications, systems and infrastructure. System interruption and a lack of integration and redundancy in our information systems and infrastructure may adversely affect our ability to operate our website or mobile app, process and fulfill transactions, maintain coordination between our website and those of certain of our RaaS partners, respond to customer inquiries and generally maintain cost-efficient operations. As our business has grown in size and complexity, the growth has placed, and will continue to place, significant demands on our information systems and infrastructure. To effectively manage this growth, we expect to commit significant financial resources and personnel to maintain and enhance existing systems and develop or acquire new systems to keep pace with continuing changes in our business and information processing technology as well as evolving industry, regulatory and accounting standards. If the information we rely upon to run our businesses is determined to be inaccurate or unreliable, or if we fail to properly maintain or enhance our internal information systems and infrastructure, we could experience operational disruptions, customer disputes, significant deficiencies or material weaknesses in our internal controls, incur increased operating and administrative expenses, lose our ability to produce timely and accurate financial reports or suffer other adverse consequences which could harm our results of operations. We also rely on third-party computer systems, broadband and other communications systems and service providers in connection with providing access to our marketplace generally. Any interruptions, outages or delays in our systems and infrastructure, our business and/or third parties or deterioration in the performance of these systems and infrastructure, could impair our ability to provide access to our marketplace. Fire, flood, power loss, telecommunications failure, hurricanes, tornadoes, earthquakes, other natural disasters, acts of war or terrorism and similar events or disruptions may damage or interrupt computer, broadband or other communications systems and infrastructure at any time. Any of these events could cause system interruption, delays and loss of critical data, and could prevent us from providing access to our marketplace. While we have backup systems for certain aspects of our operations, disaster recovery planning by its nature cannot be sufficient for all eventualities. In addition, we may not have adequate insurance coverage to compensate for losses from a major interruption. If any of these events were to occur, it could harm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Regulatory, Accounting and Tax Matters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consolidated financial statements.</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connection with the audits of our 2018, 2019 and 2020 consolidated financial statements,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will not be prevented or detected on a timely basis. Our material weakness related to the following control deficiencies:</w:t>
      </w:r>
    </w:p>
    <w:p>
      <w:pPr>
        <w:spacing w:after="0" w:line="164" w:lineRule="exact"/>
        <w:rPr>
          <w:sz w:val="20"/>
          <w:szCs w:val="20"/>
          <w:color w:val="auto"/>
        </w:rPr>
      </w:pPr>
    </w:p>
    <w:p>
      <w:pPr>
        <w:jc w:val="both"/>
        <w:ind w:left="640" w:hanging="316"/>
        <w:spacing w:after="0" w:line="247"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154" w:lineRule="exact"/>
        <w:rPr>
          <w:rFonts w:ascii="Arial" w:cs="Arial" w:eastAsia="Arial" w:hAnsi="Arial"/>
          <w:sz w:val="18"/>
          <w:szCs w:val="18"/>
          <w:color w:val="auto"/>
        </w:rPr>
      </w:pPr>
    </w:p>
    <w:p>
      <w:pPr>
        <w:jc w:val="both"/>
        <w:ind w:left="640" w:hanging="316"/>
        <w:spacing w:after="0" w:line="266"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1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22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To address our material weakness, we have added accounting, finance and information technology personnel and implemented new financial accounting processes. We intend to continue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have been operating effectively for a sufficient period of time. The redesign and implementation of improvements to our accounting and proprietary systems and controls may be costly and time consuming and the cost to remediate may impair our results of operations in the future.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If we fail to remediate our material weakness, identify future material weaknesses in our internal control over financial reporting or fail to meet the demands that have been placed upon us as a public company, including the requirements of the Sarbanes-Oxley Act of 2002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w:t>
      </w:r>
    </w:p>
    <w:p>
      <w:pPr>
        <w:spacing w:after="0" w:line="13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Failure to comply with applicable laws or regulations, including those relating to the resale of secondhand items, or changes to such laws, rules or regulations may subject us to fines, penalties, registration and approval or other governmental enforcement action.</w:t>
      </w:r>
    </w:p>
    <w:p>
      <w:pPr>
        <w:spacing w:after="0" w:line="10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business and financial condition could be adversely affected by unfavorable changes in or interpretations of existing laws, rules and regulations or the promulgation of new laws, rules and regulations applicable to us and our business, including those relating to the internet and e-commerce, such as geo-blocking and other geographically based restrictions, internet advertising and price display, consumer protection, anti-corruption, antitrust and competition, economic and trade sanctions, tax, banking, data security, network and information systems security, data protection, privacy and escheatment. As a result, regulatory authorities could prevent or temporarily suspend us from conducting some or all of our activities or otherwise penalize us if our practices were found not to comply with applicable regulatory or licensing requirements or any binding interpretation of such requirements. Unfavorable changes or interpretations could decrease demand for our marketplace, limit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methods and capabilities, affect our growth, increase costs or subject us to additional liabilities. In addition, if we were to expand internationally, we would be subject to additional regulation.</w:t>
      </w:r>
    </w:p>
    <w:p>
      <w:pPr>
        <w:spacing w:after="0" w:line="15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example, there are, and will likely continue to be, an increasing number of laws and regulations pertaining to the internet and e-commerce. Regulations and laws specifically governing the internet and e-commerce may involve taxes, privacy, data protection and data security, consumer protection, the ability to collect and/or share necessary information that allows us to conduct business on the internet, marketing communications and advertising, content protection, electronic contracts or gift cards. Such regulations and laws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California’s Automatic Renewal Law, for example, requires companies to adhere to enhanced disclosure requirements when entering into automatically renewing contracts with buyers and sellers. As a result, a wave of consumer class action lawsuits was brought against companies that offer online products and services on a subscription or recurring basis. Furthermore, the growth and development of e-commerce may prompt calls for more stringent consumer protection laws and more aggressive enforcement efforts, which may impose additional burdens on online businesses generally.</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resale of secondhand items through our marketplace is subject to regulation, including by regulatory bodies such as the U.S. Consumer Product Safety Commission, the Federal Trade Commission, the U.S. Fish and Wildlife Service and other international, federal, state and local governments and regulatory authorities. These laws and regulations are complex, vary from state to state and change often. We monitor these laws and regulations and adjust our business practices as warranted to comply. We receive our supply of secondhand items from numerous sellers located in all 50 U.S. states, and the items we receive from our sellers may contain materials such as fur, snakeskin and other exotic animal product components, that are subject to regulation. Our standard seller terms and conditions require sellers to comply with applicable laws when sending us their secondhand items. Failure of our sellers to comply with applicable laws, regulations and contractual requirements could lead to litigation or other claims against us, resulting in increased legal expenses and costs. In addition, while all of our vendor agreements contain a standard indemnification provision, certain vendors may not have sufficient resources or insurance to satisfy their indemnity and defense obligations which may harm our business. Moreover, failure by us to effectively monitor the application of these laws and regulations to our business, and to comply with such laws and regulations, may negatively affect our brand and subject us to penalties and fines.</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Numerous U.S. states and municipalities, including the States of California and New York, have regulations regarding the handling of secondhand items and licensing requirements of secondhand dealers. Such government regulations could require us to change the way we conduct business, such as prohibiting or otherwise restricting the sale or shipment of certain items in some locations. These regulations could result in increased costs or reduced revenue. We could also be subject to fines or other penalties that could harm our business.</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Additionally, supplied secondhand items could be subject to recalls and other remedial actions and product safety, labeling and licensing concerns may require us to voluntarily remove selected secondhand items from our marketplace. Such recalls or voluntary removal of items can result in, among other things, lost sales, diverted resources, potential harm to our reputation and increased customer service costs and legal expenses, which could have an adverse effect on our results of operations. Some of the secondhand items sold through our marketplace may expose us to product liability claims and litigation or regulatory action relating to personal injury, environmental or property damage. We cannot be certain that our insurance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0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0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buyers’ and sellers’ credit and debit card information is transmitted to our third-party payment processors, and we may in the future become subject to lawsuits or other proceedings for purportedly fraudulent transactions arising out of the actual or alleged theft of our buyers’ and sellers’ credit or debit card information if the security of our third-party credit card payment processors are breached.</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face the risk of significant losses from this type of fraud as our net sales increase.</w:t>
      </w:r>
    </w:p>
    <w:p>
      <w:pPr>
        <w:spacing w:after="0" w:line="15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regulating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antitrust, alleged securities law violations or other investor claims, claims that our employees have wrongfully disclosed or we have wrongfully used proprietary information of our employees’ former employers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entered into with our directors and executive officers will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litigation is inherently unpredictable, we cannot assure you that any potential claims or disputes will not harm our business, results of operations and financial condition.</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(the “FCPA”), the U.S. domestic bribery statute contained in 18 U.S.C. § 201, the U.S. Travel Act, the USA PATRIOT Act, and will become subject to similar anti-corruption and anti-bribery laws to the extent we expand our operations internationally. Anti-corruption and anti-bribery laws have been enforced aggressively in recent years and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If we further expand our business internationally beyond our minimal sales into Canada, our risks under these laws would increase.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in the future we may use third parties to operate our marketplace or otherwise conduct business on our behalf, abroad. We or such future third parties may have direct or indirect interactions with officials and employees of government agencies or state-owned or affiliated entities, and we can be held liable for the corrupt or other illegal activities of such future third parties, and our employees, business partners, representatives, and agents, even if we do not explicitly authorize such activities. We cannot assure you that all our employees, business partners, representatives, and agents, as well as those companies to which we outsource certain of our business operations, will not take actions in violation of our policies and applicable law, for which we may be ultimately held responsible.</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Any violation of the FCPA or other applicable anti-corruption laws and anti-bribery laws could result in whistleblower complaints, adverse media coverage, investigations, loss of export privileges, severe criminal or civil sanctions, suspension or disbarment from U.S. government contracts, substantial diversion of management’s attention, significant legal fees and fines, severe criminal or civil sanctions against us, our officers or our employees, disgorgement of profits, and other sanctions and remedial measures, and prohibitions on the conduct of our business, any of which could harm our reputation, business, results of operations, financial condition and prospects and the price of our Class A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Labor-related matters, including labor disputes, may adversely affect our operations.</w:t>
      </w:r>
    </w:p>
    <w:p>
      <w:pPr>
        <w:spacing w:after="0" w:line="18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merchandising operations and shipping, and increases in our labor costs, which could harm our business, results of operations and financial condition.</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federal and state agencies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regulate our business, including the U.S. Equal Employment Opportunity Commission. Often these cases raise complex factual and legal issues and create risks and uncertainties.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January 2021, we filed an Illinois Worker Adjustment and Retraining Notification Act notice related to our plan to close our Illinois distribution center (DC03) and reduce our workforce. This plan to close DC03 could give rise to additional employment law-related claims and litigation, which could harm our business, results of operations and financial condition.</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12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t>
      </w:r>
      <w:r>
        <w:rPr>
          <w:rFonts w:ascii="Arial" w:cs="Arial" w:eastAsia="Arial" w:hAnsi="Arial"/>
          <w:sz w:val="19"/>
          <w:szCs w:val="19"/>
          <w:color w:val="auto"/>
        </w:rPr>
        <w:t>and remediate a material weakness in our internal control over financial reporting</w:t>
      </w:r>
      <w:r>
        <w:rPr>
          <w:rFonts w:ascii="Arial" w:cs="Arial" w:eastAsia="Arial" w:hAnsi="Arial"/>
          <w:sz w:val="18"/>
          <w:szCs w:val="18"/>
          <w:color w:val="auto"/>
        </w:rPr>
        <w:t xml:space="preserve">. For example,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w:t>
      </w:r>
      <w:r>
        <w:rPr>
          <w:rFonts w:ascii="Arial" w:cs="Arial" w:eastAsia="Arial" w:hAnsi="Arial"/>
          <w:sz w:val="19"/>
          <w:szCs w:val="19"/>
          <w:color w:val="auto"/>
        </w:rPr>
        <w:t>remediate a material weakness in our</w:t>
      </w:r>
      <w:r>
        <w:rPr>
          <w:rFonts w:ascii="Arial" w:cs="Arial" w:eastAsia="Arial" w:hAnsi="Arial"/>
          <w:sz w:val="18"/>
          <w:szCs w:val="18"/>
          <w:color w:val="auto"/>
        </w:rPr>
        <w:t xml:space="preserve">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w:t>
      </w:r>
      <w:r>
        <w:rPr>
          <w:rFonts w:ascii="Arial" w:cs="Arial" w:eastAsia="Arial" w:hAnsi="Arial"/>
          <w:sz w:val="19"/>
          <w:szCs w:val="19"/>
          <w:color w:val="auto"/>
        </w:rPr>
        <w:t>o</w:t>
      </w:r>
      <w:r>
        <w:rPr>
          <w:rFonts w:ascii="Arial" w:cs="Arial" w:eastAsia="Arial" w:hAnsi="Arial"/>
          <w:sz w:val="18"/>
          <w:szCs w:val="18"/>
          <w:color w:val="auto"/>
        </w:rPr>
        <w:t>r we may be unable to remediate the existing material weakness in our controls as discussed in “—Material weaknesses in our internal control over financial reporting may cause us to fail to timely and accurately report our financial results or result in a material misstatement of our consolidated financial statements.</w:t>
      </w:r>
      <w:r>
        <w:rPr>
          <w:rFonts w:ascii="Arial" w:cs="Arial" w:eastAsia="Arial" w:hAnsi="Arial"/>
          <w:sz w:val="19"/>
          <w:szCs w:val="19"/>
          <w:color w:val="auto"/>
        </w:rPr>
        <w:t>”</w:t>
      </w:r>
    </w:p>
    <w:p>
      <w:pPr>
        <w:spacing w:after="0" w:line="22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additional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appropriate accounting principles. A change in these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could be required to pay or collect sales taxes in jurisdictions in which we do not currently do so, with respect to past or future sales. This could adversely affect our business and results of operations.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2018, the Supreme Court of the United States ruled in South Dakota v. Wayfair, Inc. et al. (“Wayfair”), that online sellers can be required to collect sales tax despite not having a physical presence in the state of the customer. In response to Wayfair, many state and local government taxing authorities have adopted, or begun to enforce, laws requiring us to calculate, collect and remit taxes on sales in their jurisdictions. While we collect and remit sales taxes in every state that requires sales taxes to be collected, including states where we do not have a physical presence, the adoption of new laws by, or a successful assertion by the taxing authorities of, one or more state or local governments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and local taxing authorities of sales tax collection obligations on out-of-state e-commerce businesses could also create additional administrative burdens for us, put us at a competitive disadvantage if they do not impose similar obligations on our competitors and decrease our future sales, which could have an adverse impact on our business and results of operations.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or adverse application of existing tax laws could increase our costs and harm our business.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Those enactments could harm our business operations, and our business, results of operations and financial condition. Further, application of income and tax laws is subject to interpretation and existing tax laws, statutes, rules, regulations or ordinances could be interpreted, changed, modified or applied adversely to us. Although we believe our tax methodologies are compliant, a taxing authority’s final determination in the event of a tax audit could materially differ from our past or current methods for determining and complying with our tax obligations, including the calculation of our tax provisions and accruals. These events could require us to pay additional tax amounts on a prospective or retroactive basis, as well as require us to pay fines and/or penalties and interest for past amounts deemed to be due. If we raise our prices to offset the costs of these changes, existing and potential buyers and sellers may elect not to use our marketplace in the future. Additionally, new, changed, modified or newly interpreted or applied tax laws could increase our compliance, operating and other costs. Further, these events could decrease the capital we have available to operate our business. Any or all of these events could harm our business, results of operations and financial condition.</w:t>
      </w:r>
    </w:p>
    <w:p>
      <w:pPr>
        <w:spacing w:after="0" w:line="15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amount of taxes we pay could increase substantially as a result of changes in the applicable tax principles, including increased tax rates, new tax laws or revised interpretations of existing tax laws and precedents, which could harm our liquidity and results of operations. In addition, tax authorities could review our tax returns and impose additional tax, interest and penalties and could claim that various withholding requirements apply to us or our subsidiaries or assert that benefits of tax treaties are not available to us or our subsidiaries. Taxing authorities have become more aggressive in their interpretation and enforcement of such laws, rules and regulations over time, as governments are increasingly focused on ways to increase revenue, which has contributed to an increase in audit activity and stricter enforcement by taxing authorities. As such, additional taxes or other assessments may be in excess of our current tax reserves or may require us to modify our business practices to reduce our exposure to additional taxes going forward, any of which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have incurred substantial net operating losses (“NOLs”) during our history. Subject to the limitations described below, unused NOLs generally may carry forward to offset future taxable income if we achieve profitability in the future, unless such NOLs expire under applicable tax laws. However, under the rules of Sections 382 of the Internal Revenue Code of 1986, as amended, if a corporation undergoes an “ownership change,” generally defined as a greater than 50% change (by value) in its equity ownership over a three-year period, the corporation’s ability to use its NOLs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To date, we have not undertaken an analysis of whether we have experienced a change of control that would limit our ability to use our NOLs. As a result of these rules, in the event that it is determined that we have experienced an ownership change in the past, or if we experience one or more ownership changes as a result of future transactions in our stock, then we may be limited in our ability to use our NOL carryforwards to offset our future taxable income, if any. In addition, under the Tax Cuts and Jobs Act (the “Tax Act”), as modified by the Coronavirus Aid, Relief, and Economic Security Act, the amount of post 2017 net operating losses that we are permitted to deduct in any taxable year is limited to 80% of our taxable income in such year for taxable years beginning after December 31, 2020, where taxable income is determined without regard to the net operating loss deduction itself, and such NOLs may be carried forward indefinitely. Further, NOLs arising in taxable years beginning after December 31, 2020 cannot be carried back. Our NOLs may also be subject to limitations under state law. For example, California recently enacted legislation suspending the use of NOLs for taxable years 2020, 2021 and 2022 for many taxpayers. For these reasons, we may not be able to realize a tax benefit from the use of our net operating losses, whether or not we attain profitability.</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3" w:lineRule="exact"/>
        <w:rPr>
          <w:sz w:val="20"/>
          <w:szCs w:val="20"/>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5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We could be an emerging growth company for up to five years following the completion of the IPO. Our status as an emerging growth company will end as soon as any of the following takes place:</w:t>
      </w:r>
    </w:p>
    <w:p>
      <w:pPr>
        <w:spacing w:after="0" w:line="150"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0"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IPO.</w:t>
      </w:r>
    </w:p>
    <w:p>
      <w:pPr>
        <w:spacing w:after="0" w:line="164"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 and Liquidity</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or may be available only by diluting existing stockholders.</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debt and cash generated from our operations. Although we currently anticipate that our existing cash and cash equivalents, cash flow from operations, and amounts available under our loan and security agreement with Western Alliance Bank will be sufficient to meet our cash needs for the foreseeable future, 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loan and security agreement restricts our ability to incur additional indebtedness, requires us to maintain certain financial covenants and restricts our ability to pay dividends. If we conduct additional debt financing, the terms of such debt financing may be similar or more restrictive. If we need additional capital and cannot raise it on acceptable terms, or at all, we may not be able to, among other things:</w:t>
      </w:r>
    </w:p>
    <w:p>
      <w:pPr>
        <w:spacing w:after="0" w:line="158"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our marketplace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our categories of secondhand items;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 our operating infrastructure;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the markets in which we operate and potentially acquire complementary businesses and technologies.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 against substantially all of our assets and contains financial covenants and other restrictions on our actions that may limit our operational flexibility or otherwise adversely affect our results of operations.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party to an amended and restated loan and security agreement with Western Alliance Bank, which contains a number of covenants that restrict our and our subsidiaries’ ability to, among other things, incur additional indebtedness, materially change our business, convey, sell, lease, transfer or dispose of the business or our property, except under certain circumstances, merge or consolidate with other companies or acquire other companies, create or incur liens, pay any dividends on our Class A common stock, make certain investments and engage in certain other activities. We are also required to maintain financial covenants, including minimum cash and liquidity requirements, a debt service requirement and quarterly minimum net revenue and revenue growth thresholds. The terms of our loan and security agreement may restrict our current and future operations and could adversely affect our ability to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w:t>
      </w:r>
    </w:p>
    <w:p>
      <w:pPr>
        <w:spacing w:after="0" w:line="153"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As of December 31, 2019, we were not in compliance with our debt covenants regarding (i) limitations on capital expenditures, (ii) limitations on the maximum principal amount in our existing depository accounts without a control agreement, (iii) the requirement to transfer certain accounts to Western Alliance Bank and (iv) the delivery of financial information in a timely manner. As part of an amendment to the loan and security agreement in May 2020, the existing covenant defaults were waived and the covenants were revised to increase minimum cash and liquidity requirements, extend the timing of debt service requirements and add specific net revenue targets and revenue growth requirements. As part of a further amendment to the loan and security agreement in December 2020, the covenants were revised to amend the minimum cash and liquidity requirements, further extend the timing of debt service requirements, amend the specific net revenue targets and revenue growth requirements, and add a capital raising milestone requiring us to raise at least $50.0 million in equity or convertible debt by March 31, 2022, which was satisfied by the IPO. While we were in compliance with the revised covenants as of March 31, 2021, we may not be able to maintain compliance with the covenants in the future. A failure by us to comply with the covenants or payment requirements specified in the loan and security agreement could result in an event of default under the agreement, which would give the lender the right to terminate its commitments to provide loans under our loan and security agreement and to declare any and all borrowings outstanding, together with accrued and unpaid interest and fees, to be immediately due and payable. In addition, the lender would have the right to proceed against the collateral in which we granted a security interest to them, which consists of substantially all our assets. If the debt under our loan and security agreement were to be accelerated, we may not have sufficient cash or be able to borrow sufficient funds to refinance the debt or sell sufficient assets to repay the debt, which could adversely affect our cash flows, business, results of operations and financial condition. Further, the terms of any new or additional financing may be on terms that are more restrictive or on terms that are less desirable to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You may lose all or part of your investment.</w:t>
      </w:r>
    </w:p>
    <w:p>
      <w:pPr>
        <w:spacing w:after="0" w:line="1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Prior to our IPO, there was no public market for shares of our Class A common stock. The market prices of the securities of other newly public companies have historically been highly volatile. The market price of our Class A common stock may fluctuate significantly in response to numerous factors, many of which are beyond our control, including:</w:t>
      </w:r>
    </w:p>
    <w:p>
      <w:pPr>
        <w:spacing w:after="0" w:line="153"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retail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those projections;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0"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services, features or capabilities, acquisitions, strategic partnerships or investments, joint ventures or capital commitments;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perceived data privacy and cybersecurity incidents impacting us or others in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elections or responses to these events;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our executive officers, directors and their affiliates;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6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stock markets have experienced price and volume fluctuations that have affected and continue to affect the market prices of equity securities of many companies. Often, stock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5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dual-class structure of our common stock has the effect of concentrating voting control with those stockholders who held our capital stock prior to our IPO,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depress the trading price of our Class A common stock.</w:t>
      </w:r>
    </w:p>
    <w:p>
      <w:pPr>
        <w:spacing w:after="0" w:line="15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March 31, 2021, the holders of shares of our Class B common stock collectively owned shares representing approximately 98.3% of the voting power of our outstanding capital stock and our directors, executive officers and their affiliates beneficially owned in the aggregate 62.1% of the voting power of our capital stock. Because of the ten-to-one voting ratio between our Class B and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common stock, the holders of our Class B common stock collectively could continue to control a majority of the combined voting power of our common stock and therefore be able to control all matters submitted to our stockholders for approval until March 30, 2028,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if our co-founder and Chief Executive Officer James Reinhart is terminated or resigns from his position as our Chief Executive Officer, then his shares of Class B common stock will automatically convert into shares of Class A common stock.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dual-class structure may have on the market price of our Class A common stock.</w:t>
      </w:r>
    </w:p>
    <w:p>
      <w:pPr>
        <w:spacing w:after="0" w:line="186"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cannot predict whether our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publish inaccurate or unfavorable research, about our business, the price of our Class A common stock and trading volume could be adversely affected.</w:t>
      </w:r>
    </w:p>
    <w:p>
      <w:pPr>
        <w:spacing w:after="0" w:line="12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If few securities analysts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or our market, our Class A common stock price would likely decline. If one or more of these analysts cease coverage of us or fail to publish reports on us on a regular basis, demand for our Class A common stock could decrease, which might cause our Class A common stock price and trading volume to decline.</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market price of our Class A common stock to decline.</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As of March 31, 2021 we had outstanding a total of 13,800,000 shares of Class A common stock and 80,343,694 shares of Class B common stock.</w:t>
      </w:r>
    </w:p>
    <w:p>
      <w:pPr>
        <w:spacing w:after="0" w:line="15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Substantially all of our securities outstanding prior to the IPO are currently restricted from resale as a result of lock-up and market standoff agreements. These securities will generally become available to be sold 180 days after the date of the Prospectus, such 180-day period is referred to as the restricted period. Beginning the day after we released our earnings for the first quarter of 2021, our current and former employees, consultants and contractors (but excluding executive officers, key employees and directors) may sell a number of shares not in excess of 20% of their outstanding vested shares and shares subject to vested stock options, each held by such holder or held by trusts solely for the director or indirect benefit of such holder or of an immediate family member of such holder. Further, at least two of Goldman Sachs &amp; Co. LLC, Morgan Stanley &amp; Co, LLC and Barclays Capital Inc. may, in their discretion, permit our security holders to sell shares prior to the expiration of the restrictive provisions contained in the lock-up agreements. In addition, if (i) we have publicly released our earnings results for the quarterly period during which the IPO occurred, (ii) at least 120 days have elapsed since the date of the Prospectus and (iii) the restricted period is scheduled to end during a broadly applicable period during which trading in the Company’s securities would not be permitted under the Company’s insider trading policy, or a blackout period, or within five trading days prior to a blackout period, then the restricted period shall end ten trading days prior to the commencement of the blackout period, provided that in the event that ten trading days prior to the commencement of the blackout period is earlier than 120 days after the date of the Prospectus, the restricted period shall end on the 120th day after the date of the Prospectus, but only if such 120th day is at least five trading days prior to the commencement of the blackout period. We will announce the date of the any blackout-related early release at least two trading days in advance of any such early release. Sales of a substantial number of such shares upon expiration of the lock-up and market standoff agreements, the perception that such sales may occur or early release of these agreements could cause our market price to fall or make it more difficult for you to sell your Class A common stock at a time and price that you deem appropriate. Shares held by directors, executive officers and other affiliates will also be subject to volume limitations under Rule 144 under the Securities Act and various vesting agreements.</w:t>
      </w:r>
    </w:p>
    <w:p>
      <w:pPr>
        <w:spacing w:after="0" w:line="15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addition, as of March 31, 2021, we had 22,067,610 options outstanding that, if fully exercised, would result in the issuance of shares of Class B common stock. All of the shares of Class B common stock issuable upon the exercise of stock options and the shares reserved for future issuance under our equity incentive plans have been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March 31, 2021, the holders of up to 80,343,694 shares of our Class B common stock have rights, subject to some conditions, to require us to file registration statements for the public resale of the Class A common stock issuable upon conversion of such shares or to include such shares in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2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contractors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price of our Class A common stock.</w:t>
      </w:r>
    </w:p>
    <w:p>
      <w:pPr>
        <w:spacing w:after="0" w:line="12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Further, our ability to pay dividends on our capital stock is subject to restrictions under the terms of our loan and security agreement with Western Alliance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32"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market price of our Class A common stock.</w:t>
      </w:r>
    </w:p>
    <w:p>
      <w:pPr>
        <w:spacing w:after="0" w:line="10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could depress the trading price of our Class A common stock by acting to discourage, delay or prevent a change of control or changes in our management that the stockholders of our company may deem advantageous. Our amended and restated certificate of incorporation and amended and restated bylaws include provisions that:</w:t>
      </w:r>
    </w:p>
    <w:p>
      <w:pPr>
        <w:spacing w:after="0" w:line="155"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President or a majority of our board of directors is authorized to call a special meeting of stockholders;</w:t>
      </w:r>
    </w:p>
    <w:p>
      <w:pPr>
        <w:spacing w:after="0" w:line="150"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a dual-class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0"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approve, alter or repeal our bylaws; and</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our board of directors or for proposing matters that can be acted upon by stockholders at annual stockholder meetings.</w:t>
      </w:r>
    </w:p>
    <w:p>
      <w:pPr>
        <w:spacing w:after="0" w:line="1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3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Our amended and restated bylaws designate specific state or federal courts located as the exclusive forum for certain litigation that may be initiated by our stockholders, which could limit stockholders’ ability to obtain a favorable judicial forum for disputes with us.</w:t>
      </w:r>
    </w:p>
    <w:p>
      <w:pPr>
        <w:spacing w:after="0" w:line="10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claims for:</w:t>
      </w:r>
    </w:p>
    <w:p>
      <w:pPr>
        <w:spacing w:after="0" w:line="150"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our stockholders;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(the “Delaware Forum Provision”).</w:t>
      </w:r>
    </w:p>
    <w:p>
      <w:pPr>
        <w:spacing w:after="0" w:line="16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Delaware Forum Provision does not apply to any causes of action arising under the Securities Act or the Exchange Act. Further,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where a stockholder considering an action may be located or would otherwise choose to bring the action, and such judgments may be more or less favorable to us than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our executive officers and other key technical, operational and sales employees and contractors, and the loss of one or more of these employees or contractors or an inability to attract and retain other highly skilled employees or contractors could harm our business.</w:t>
      </w:r>
    </w:p>
    <w:p>
      <w:pPr>
        <w:spacing w:after="0" w:line="14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success depends largely upon the continued services of our executive officers and other key technical, operational and sales employees and contractors.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founder and Chief Executive Officer, or other executive officers or key technical, operational and sales employees and contractors could harm our business.</w:t>
      </w:r>
    </w:p>
    <w:p>
      <w:pPr>
        <w:spacing w:after="0" w:line="1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Volatility or lack of appreciation in the stock price of our Class A common stock may also affect our ability to attract and retain our executive officers and key technical, operational and sales employees and contractors. Many of our senior personnel and other key technical, operational and sales employees and contractors have become, or will soon become, vested in a substantial amount of stock or stock options. Employees and contractors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harm our ability to foster the innovation, craftsmanship, teamwork, curiosity and diversity that we believe we need to support our continued growth.</w:t>
      </w:r>
    </w:p>
    <w:p>
      <w:pPr>
        <w:spacing w:after="0" w:line="158"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In addition, due to the financial risks presented by the COVID-19 pandemic, we implemented a variety of cost cutting initiatives and may need to implement additional cost cutting initiatives that may adversely affect our executive team, employees, contractors and business. For example, in April 2020, we reduced salaries by 20% for the vast majority of corporate employees, whose full salaries were restored in January 2021, and in June 2020, we laid off the staff at our three retail stores and permanently closed our retail stores during 2020. These measures may cause or result in disruption of our business, challenges in hiring critical employees and contractors and retaining key technical, operational and sales employees and contractors. Further, as some of our contractors are information technology specialists in Ukraine, political turmoil, warfare, or terrorist attacks in Ukraine could negatively affect our contractors and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or subject us to fines or other penalties.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use social media, emails, push notifications and, in the future, will use text messages as part of our omni-channel approach to marketing. As laws and regulations evolve to govern the use of these channels, the failure by us, our employees or third parties acting at our direction to comply with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buyers or others. Information concerning us, our buyers, our sellers and the brands available on our marketplace, whether accurate or not, may be posted on social media platforms at any time and may have an adverse impact on our brand, reputation or business. Any such harm may be immediate without affording us an opportunity for redress or correction and could have an adverse effect on our reputation,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Most members of our management team have limited experience managing a publicly-traded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 results of operations and financial condition.</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2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4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5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a result of disclosure of information required of a public company in filings, our business and financial condition are more visible, which may result in an increased risk of threatened or actual litigation, including by competitors and other third parties. If such claims are successful, our business, results of operations and financial condition could be harmed, and even if the claims do not result in litigation or are resolved in our favor, these claims, and the time and resources necessary to resolve them, could divert the resources of our management and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March 30, 2021, a warrant to purchase up to an aggregate of 26,764 was net exercised for 24,837 shares of our Class B common stock.</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Additionally, the following sets forth information regarding all unregistered securities granted and sold during the first quarter of 2021:</w:t>
      </w:r>
    </w:p>
    <w:p>
      <w:pPr>
        <w:spacing w:after="0" w:line="164" w:lineRule="exact"/>
        <w:rPr>
          <w:sz w:val="20"/>
          <w:szCs w:val="20"/>
          <w:color w:val="auto"/>
        </w:rPr>
      </w:pPr>
    </w:p>
    <w:p>
      <w:pPr>
        <w:jc w:val="both"/>
        <w:ind w:firstLine="642"/>
        <w:spacing w:after="0" w:line="248" w:lineRule="auto"/>
        <w:tabs>
          <w:tab w:leader="none" w:pos="12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January 1, 2021 through March 26, 2021 (the date of the filing of our registration statement on Form S-8), we granted to our directors, employees, consultants and other service providers options to purchase an aggregate of 923,291 shares of our Class B common stock with a per share exercise price of $6.54 under our Second Amended and Restated 2010 Stock Plan (“2010 Plan”).</w:t>
      </w:r>
    </w:p>
    <w:p>
      <w:pPr>
        <w:spacing w:after="0" w:line="153" w:lineRule="exact"/>
        <w:rPr>
          <w:rFonts w:ascii="Arial" w:cs="Arial" w:eastAsia="Arial" w:hAnsi="Arial"/>
          <w:sz w:val="18"/>
          <w:szCs w:val="18"/>
          <w:color w:val="auto"/>
        </w:rPr>
      </w:pPr>
    </w:p>
    <w:p>
      <w:pPr>
        <w:jc w:val="both"/>
        <w:ind w:firstLine="642"/>
        <w:spacing w:after="0" w:line="248" w:lineRule="auto"/>
        <w:tabs>
          <w:tab w:leader="none" w:pos="12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January 1, 2021 through March 26, 2021 (the date of the filing of our registration statement on Form S-8), we issued and sold to our employees, consultants and other service providers an aggregate of 1,458,159 shares of our Class B common stock at per share purchase prices of ranging from $0.32 to $6.54 pursuant to exercises of options granted under our 2010 Plan.</w:t>
      </w:r>
    </w:p>
    <w:p>
      <w:pPr>
        <w:spacing w:after="0" w:line="15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ThredUp Inc.</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No payments were made to our directors or officers or their associates, holders of 10% or more of any class of our equity securities, or to our affiliates in connection with the issuance and sale of the securities registered. Goldman Sachs &amp; Co. LLC, Morgan Stanley &amp; Co. LLC and Barclays Capital Inc. acted as managing underwriters for the offering.</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There has been no material change in the planned use of proceeds from the IPO as disclosed in the Prospectus. As disclosed in the Prospectus, pending the use of proceeds from the IPO, we plan to invest the net proceeds in short-term and intermediate-term interest-bearing obligations, investment-grade investments,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ectPr>
          <w:pgSz w:w="11900" w:h="16838" w:orient="portrait"/>
          <w:cols w:equalWidth="0" w:num="1">
            <w:col w:w="11200"/>
          </w:cols>
          <w:pgMar w:left="320" w:top="1440" w:right="379" w:bottom="1440" w:gutter="0" w:footer="0" w:header="0"/>
        </w:sectPr>
      </w:pP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gridSpan w:val="23"/>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2"/>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8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560" w:type="dxa"/>
            <w:vAlign w:val="bottom"/>
            <w:gridSpan w:val="27"/>
          </w:tcPr>
          <w:p>
            <w:pPr>
              <w:spacing w:after="0"/>
              <w:rPr>
                <w:rFonts w:ascii="Arial" w:cs="Arial" w:eastAsia="Arial" w:hAnsi="Arial"/>
                <w:sz w:val="18"/>
                <w:szCs w:val="18"/>
                <w:color w:val="0000FF"/>
                <w:w w:val="99"/>
              </w:rPr>
            </w:pPr>
            <w:hyperlink r:id="rId86">
              <w:r>
                <w:rPr>
                  <w:rFonts w:ascii="Arial" w:cs="Arial" w:eastAsia="Arial" w:hAnsi="Arial"/>
                  <w:sz w:val="18"/>
                  <w:szCs w:val="18"/>
                  <w:color w:val="0000FF"/>
                  <w:w w:val="99"/>
                </w:rPr>
                <w:t>Amended and Restated Certificate of Incorporation of the</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86">
              <w:r>
                <w:rPr>
                  <w:rFonts w:ascii="Arial" w:cs="Arial" w:eastAsia="Arial" w:hAnsi="Arial"/>
                  <w:sz w:val="17"/>
                  <w:szCs w:val="17"/>
                  <w:color w:val="0000FF"/>
                </w:rPr>
                <w:t>Registrant</w:t>
              </w:r>
              <w:r>
                <w:rPr>
                  <w:rFonts w:ascii="Arial" w:cs="Arial" w:eastAsia="Arial" w:hAnsi="Arial"/>
                  <w:sz w:val="17"/>
                  <w:szCs w:val="17"/>
                  <w:color w:val="000000"/>
                </w:rPr>
                <w: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560" w:type="dxa"/>
            <w:vAlign w:val="bottom"/>
            <w:gridSpan w:val="27"/>
          </w:tcPr>
          <w:p>
            <w:pPr>
              <w:spacing w:after="0" w:line="205" w:lineRule="exact"/>
              <w:rPr>
                <w:rFonts w:ascii="Arial" w:cs="Arial" w:eastAsia="Arial" w:hAnsi="Arial"/>
                <w:sz w:val="18"/>
                <w:szCs w:val="18"/>
                <w:color w:val="0000FF"/>
              </w:rPr>
            </w:pPr>
            <w:hyperlink r:id="rId87">
              <w:r>
                <w:rPr>
                  <w:rFonts w:ascii="Arial" w:cs="Arial" w:eastAsia="Arial" w:hAnsi="Arial"/>
                  <w:sz w:val="18"/>
                  <w:szCs w:val="18"/>
                  <w:color w:val="0000FF"/>
                </w:rPr>
                <w:t>Amended and Restated Bylaws of the Registrant.</w:t>
              </w:r>
            </w:hyperlink>
          </w:p>
        </w:tc>
        <w:tc>
          <w:tcPr>
            <w:tcW w:w="0" w:type="dxa"/>
            <w:vAlign w:val="bottom"/>
          </w:tcPr>
          <w:p>
            <w:pPr>
              <w:spacing w:after="0"/>
              <w:rPr>
                <w:sz w:val="1"/>
                <w:szCs w:val="1"/>
                <w:color w:val="auto"/>
              </w:rPr>
            </w:pPr>
          </w:p>
        </w:tc>
      </w:tr>
      <w:tr>
        <w:trPr>
          <w:trHeight w:val="219"/>
        </w:trPr>
        <w:tc>
          <w:tcPr>
            <w:tcW w:w="8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840" w:type="dxa"/>
            <w:vAlign w:val="bottom"/>
            <w:tcBorders>
              <w:top w:val="single" w:sz="8" w:color="0000FF"/>
            </w:tcBorders>
            <w:gridSpan w:val="16"/>
          </w:tcPr>
          <w:p>
            <w:pPr>
              <w:spacing w:after="0"/>
              <w:rPr>
                <w:rFonts w:ascii="Arial" w:cs="Arial" w:eastAsia="Arial" w:hAnsi="Arial"/>
                <w:sz w:val="18"/>
                <w:szCs w:val="18"/>
                <w:color w:val="0000FF"/>
                <w:w w:val="99"/>
              </w:rPr>
            </w:pPr>
            <w:hyperlink r:id="rId88">
              <w:r>
                <w:rPr>
                  <w:rFonts w:ascii="Arial" w:cs="Arial" w:eastAsia="Arial" w:hAnsi="Arial"/>
                  <w:sz w:val="18"/>
                  <w:szCs w:val="18"/>
                  <w:color w:val="0000FF"/>
                  <w:w w:val="99"/>
                </w:rPr>
                <w:t>Form of Class A common stock certificate of the</w:t>
              </w:r>
            </w:hyperlink>
          </w:p>
        </w:tc>
        <w:tc>
          <w:tcPr>
            <w:tcW w:w="7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88">
              <w:r>
                <w:rPr>
                  <w:rFonts w:ascii="Arial" w:cs="Arial" w:eastAsia="Arial" w:hAnsi="Arial"/>
                  <w:sz w:val="17"/>
                  <w:szCs w:val="17"/>
                  <w:color w:val="0000FF"/>
                </w:rPr>
                <w:t>Registrant.</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4560" w:type="dxa"/>
            <w:vAlign w:val="bottom"/>
            <w:gridSpan w:val="27"/>
          </w:tcPr>
          <w:p>
            <w:pPr>
              <w:spacing w:after="0" w:line="205" w:lineRule="exact"/>
              <w:rPr>
                <w:rFonts w:ascii="Arial" w:cs="Arial" w:eastAsia="Arial" w:hAnsi="Arial"/>
                <w:sz w:val="18"/>
                <w:szCs w:val="18"/>
                <w:color w:val="0000FF"/>
              </w:rPr>
            </w:pPr>
            <w:hyperlink r:id="rId89">
              <w:r>
                <w:rPr>
                  <w:rFonts w:ascii="Arial" w:cs="Arial" w:eastAsia="Arial" w:hAnsi="Arial"/>
                  <w:sz w:val="18"/>
                  <w:szCs w:val="18"/>
                  <w:color w:val="0000FF"/>
                </w:rPr>
                <w:t>Tenth Amended and Restated Investors’ Rights</w:t>
              </w:r>
            </w:hyperlink>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Borders>
              <w:top w:val="single" w:sz="8" w:color="0000FF"/>
            </w:tcBorders>
            <w:gridSpan w:val="13"/>
          </w:tcPr>
          <w:p>
            <w:pPr>
              <w:spacing w:after="0" w:line="153" w:lineRule="exact"/>
              <w:rPr>
                <w:rFonts w:ascii="Arial" w:cs="Arial" w:eastAsia="Arial" w:hAnsi="Arial"/>
                <w:sz w:val="17"/>
                <w:szCs w:val="17"/>
                <w:color w:val="0000FF"/>
              </w:rPr>
            </w:pPr>
            <w:hyperlink r:id="rId89">
              <w:r>
                <w:rPr>
                  <w:rFonts w:ascii="Arial" w:cs="Arial" w:eastAsia="Arial" w:hAnsi="Arial"/>
                  <w:sz w:val="17"/>
                  <w:szCs w:val="17"/>
                  <w:color w:val="0000FF"/>
                </w:rPr>
                <w:t>Agreement, dated February 16, 2021, by and</w:t>
              </w:r>
            </w:hyperlink>
          </w:p>
        </w:tc>
        <w:tc>
          <w:tcPr>
            <w:tcW w:w="880" w:type="dxa"/>
            <w:vAlign w:val="bottom"/>
            <w:gridSpan w:val="14"/>
          </w:tcPr>
          <w:p>
            <w:pPr>
              <w:spacing w:after="0" w:line="153" w:lineRule="exact"/>
              <w:rPr>
                <w:rFonts w:ascii="Arial" w:cs="Arial" w:eastAsia="Arial" w:hAnsi="Arial"/>
                <w:sz w:val="17"/>
                <w:szCs w:val="17"/>
                <w:color w:val="0000FF"/>
              </w:rPr>
            </w:pPr>
            <w:hyperlink r:id="rId89">
              <w:r>
                <w:rPr>
                  <w:rFonts w:ascii="Arial" w:cs="Arial" w:eastAsia="Arial" w:hAnsi="Arial"/>
                  <w:sz w:val="17"/>
                  <w:szCs w:val="17"/>
                  <w:color w:val="0000FF"/>
                </w:rPr>
                <w:t>among the</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rPr>
            </w:pPr>
            <w:hyperlink r:id="rId89">
              <w:r>
                <w:rPr>
                  <w:rFonts w:ascii="Arial" w:cs="Arial" w:eastAsia="Arial" w:hAnsi="Arial"/>
                  <w:sz w:val="17"/>
                  <w:szCs w:val="17"/>
                  <w:color w:val="0000FF"/>
                </w:rPr>
                <w:t>Registrant and certain of its stockholders.</w:t>
              </w:r>
            </w:hyperlink>
          </w:p>
        </w:tc>
        <w:tc>
          <w:tcPr>
            <w:tcW w:w="1160" w:type="dxa"/>
            <w:vAlign w:val="bottom"/>
            <w:tcBorders>
              <w:top w:val="single" w:sz="8" w:color="0000FF"/>
            </w:tcBorders>
            <w:gridSpan w:val="13"/>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560" w:type="dxa"/>
            <w:vAlign w:val="bottom"/>
            <w:gridSpan w:val="27"/>
          </w:tcPr>
          <w:p>
            <w:pPr>
              <w:spacing w:after="0" w:line="205" w:lineRule="exact"/>
              <w:rPr>
                <w:rFonts w:ascii="Arial" w:cs="Arial" w:eastAsia="Arial" w:hAnsi="Arial"/>
                <w:sz w:val="18"/>
                <w:szCs w:val="18"/>
                <w:color w:val="0000FF"/>
              </w:rPr>
            </w:pPr>
            <w:hyperlink r:id="rId90">
              <w:r>
                <w:rPr>
                  <w:rFonts w:ascii="Arial" w:cs="Arial" w:eastAsia="Arial" w:hAnsi="Arial"/>
                  <w:sz w:val="18"/>
                  <w:szCs w:val="18"/>
                  <w:color w:val="0000FF"/>
                </w:rPr>
                <w:t>Form of Indemnification Agreement between the</w:t>
              </w:r>
            </w:hyperlink>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5"/>
          </w:tcPr>
          <w:p>
            <w:pPr>
              <w:spacing w:after="0" w:line="153" w:lineRule="exact"/>
              <w:rPr>
                <w:rFonts w:ascii="Arial" w:cs="Arial" w:eastAsia="Arial" w:hAnsi="Arial"/>
                <w:sz w:val="17"/>
                <w:szCs w:val="17"/>
                <w:color w:val="0000FF"/>
              </w:rPr>
            </w:pPr>
            <w:hyperlink r:id="rId90">
              <w:r>
                <w:rPr>
                  <w:rFonts w:ascii="Arial" w:cs="Arial" w:eastAsia="Arial" w:hAnsi="Arial"/>
                  <w:sz w:val="17"/>
                  <w:szCs w:val="17"/>
                  <w:color w:val="0000FF"/>
                </w:rPr>
                <w:t>Registrant and each of its directors and executive</w:t>
              </w:r>
            </w:hyperlink>
          </w:p>
        </w:tc>
        <w:tc>
          <w:tcPr>
            <w:tcW w:w="760" w:type="dxa"/>
            <w:vAlign w:val="bottom"/>
            <w:tcBorders>
              <w:bottom w:val="single" w:sz="8" w:color="0000FF"/>
            </w:tcBorders>
            <w:gridSpan w:val="10"/>
          </w:tcPr>
          <w:p>
            <w:pPr>
              <w:ind w:left="140"/>
              <w:spacing w:after="0" w:line="153" w:lineRule="exact"/>
              <w:rPr>
                <w:rFonts w:ascii="Arial" w:cs="Arial" w:eastAsia="Arial" w:hAnsi="Arial"/>
                <w:sz w:val="17"/>
                <w:szCs w:val="17"/>
                <w:color w:val="0000FF"/>
              </w:rPr>
            </w:pPr>
            <w:hyperlink r:id="rId90">
              <w:r>
                <w:rPr>
                  <w:rFonts w:ascii="Arial" w:cs="Arial" w:eastAsia="Arial" w:hAnsi="Arial"/>
                  <w:sz w:val="17"/>
                  <w:szCs w:val="17"/>
                  <w:color w:val="0000FF"/>
                </w:rPr>
                <w:t>officers.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4560" w:type="dxa"/>
            <w:vAlign w:val="bottom"/>
            <w:gridSpan w:val="27"/>
          </w:tcPr>
          <w:p>
            <w:pPr>
              <w:spacing w:after="0" w:line="205" w:lineRule="exact"/>
              <w:rPr>
                <w:rFonts w:ascii="Arial" w:cs="Arial" w:eastAsia="Arial" w:hAnsi="Arial"/>
                <w:sz w:val="18"/>
                <w:szCs w:val="18"/>
                <w:color w:val="0000FF"/>
              </w:rPr>
            </w:pPr>
            <w:hyperlink r:id="rId91">
              <w:r>
                <w:rPr>
                  <w:rFonts w:ascii="Arial" w:cs="Arial" w:eastAsia="Arial" w:hAnsi="Arial"/>
                  <w:sz w:val="18"/>
                  <w:szCs w:val="18"/>
                  <w:color w:val="0000FF"/>
                </w:rPr>
                <w:t>2021 Stock Option and Incentive Plan and forms of</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8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91">
              <w:r>
                <w:rPr>
                  <w:rFonts w:ascii="Arial" w:cs="Arial" w:eastAsia="Arial" w:hAnsi="Arial"/>
                  <w:sz w:val="17"/>
                  <w:szCs w:val="17"/>
                  <w:color w:val="0000FF"/>
                </w:rPr>
                <w:t>agreements thereunder.</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c>
          <w:tcPr>
            <w:tcW w:w="2960" w:type="dxa"/>
            <w:vAlign w:val="bottom"/>
            <w:tcBorders>
              <w:bottom w:val="single" w:sz="8" w:color="0000FF"/>
            </w:tcBorders>
            <w:gridSpan w:val="9"/>
          </w:tcPr>
          <w:p>
            <w:pPr>
              <w:spacing w:after="0" w:line="205" w:lineRule="exact"/>
              <w:rPr>
                <w:rFonts w:ascii="Arial" w:cs="Arial" w:eastAsia="Arial" w:hAnsi="Arial"/>
                <w:sz w:val="18"/>
                <w:szCs w:val="18"/>
                <w:color w:val="0000FF"/>
                <w:w w:val="97"/>
              </w:rPr>
            </w:pPr>
            <w:hyperlink r:id="rId92">
              <w:r>
                <w:rPr>
                  <w:rFonts w:ascii="Arial" w:cs="Arial" w:eastAsia="Arial" w:hAnsi="Arial"/>
                  <w:sz w:val="18"/>
                  <w:szCs w:val="18"/>
                  <w:color w:val="0000FF"/>
                  <w:w w:val="97"/>
                </w:rPr>
                <w:t>2021 Employee Stock Purchase Plan.</w:t>
              </w:r>
            </w:hyperlink>
          </w:p>
        </w:tc>
        <w:tc>
          <w:tcPr>
            <w:tcW w:w="16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540" w:type="dxa"/>
            <w:vAlign w:val="bottom"/>
            <w:tcBorders>
              <w:bottom w:val="single" w:sz="8" w:color="0000FF"/>
            </w:tcBorders>
            <w:gridSpan w:val="11"/>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Senior Executive Cash Incentive Bonus Plan.</w:t>
              </w:r>
            </w:hyperlink>
          </w:p>
        </w:tc>
        <w:tc>
          <w:tcPr>
            <w:tcW w:w="10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560" w:type="dxa"/>
            <w:vAlign w:val="bottom"/>
            <w:gridSpan w:val="27"/>
          </w:tcPr>
          <w:p>
            <w:pPr>
              <w:spacing w:after="0"/>
              <w:rPr>
                <w:rFonts w:ascii="Arial" w:cs="Arial" w:eastAsia="Arial" w:hAnsi="Arial"/>
                <w:sz w:val="18"/>
                <w:szCs w:val="18"/>
                <w:color w:val="0000FF"/>
              </w:rPr>
            </w:pPr>
            <w:hyperlink r:id="rId94">
              <w:r>
                <w:rPr>
                  <w:rFonts w:ascii="Arial" w:cs="Arial" w:eastAsia="Arial" w:hAnsi="Arial"/>
                  <w:sz w:val="18"/>
                  <w:szCs w:val="18"/>
                  <w:color w:val="0000FF"/>
                </w:rPr>
                <w:t>Executive Severance Plan.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2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580" w:type="dxa"/>
            <w:vAlign w:val="bottom"/>
            <w:tcBorders>
              <w:bottom w:val="single" w:sz="8" w:color="0000FF"/>
            </w:tcBorders>
            <w:gridSpan w:val="12"/>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Non-Employee Director Compensation Policy.</w:t>
              </w:r>
            </w:hyperlink>
          </w:p>
        </w:tc>
        <w:tc>
          <w:tcPr>
            <w:tcW w:w="98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560" w:type="dxa"/>
            <w:vAlign w:val="bottom"/>
            <w:gridSpan w:val="27"/>
          </w:tcPr>
          <w:p>
            <w:pPr>
              <w:spacing w:after="0"/>
              <w:rPr>
                <w:rFonts w:ascii="Arial" w:cs="Arial" w:eastAsia="Arial" w:hAnsi="Arial"/>
                <w:sz w:val="18"/>
                <w:szCs w:val="18"/>
                <w:color w:val="0000FF"/>
                <w:w w:val="97"/>
              </w:rPr>
            </w:pPr>
            <w:hyperlink r:id="rId96">
              <w:r>
                <w:rPr>
                  <w:rFonts w:ascii="Arial" w:cs="Arial" w:eastAsia="Arial" w:hAnsi="Arial"/>
                  <w:sz w:val="18"/>
                  <w:szCs w:val="18"/>
                  <w:color w:val="0000FF"/>
                  <w:w w:val="97"/>
                </w:rPr>
                <w:t>Terms and Conditions of the Registrant’s Fiscal Year 2021</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2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96">
              <w:r>
                <w:rPr>
                  <w:rFonts w:ascii="Arial" w:cs="Arial" w:eastAsia="Arial" w:hAnsi="Arial"/>
                  <w:sz w:val="17"/>
                  <w:szCs w:val="17"/>
                  <w:color w:val="0000FF"/>
                </w:rPr>
                <w:t>Incentive Compensation Targets.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4560" w:type="dxa"/>
            <w:vAlign w:val="bottom"/>
            <w:gridSpan w:val="27"/>
          </w:tcPr>
          <w:p>
            <w:pPr>
              <w:spacing w:after="0" w:line="205" w:lineRule="exact"/>
              <w:rPr>
                <w:rFonts w:ascii="Arial" w:cs="Arial" w:eastAsia="Arial" w:hAnsi="Arial"/>
                <w:sz w:val="18"/>
                <w:szCs w:val="18"/>
                <w:color w:val="0000FF"/>
              </w:rPr>
            </w:pPr>
            <w:hyperlink r:id="rId97">
              <w:r>
                <w:rPr>
                  <w:rFonts w:ascii="Arial" w:cs="Arial" w:eastAsia="Arial" w:hAnsi="Arial"/>
                  <w:sz w:val="18"/>
                  <w:szCs w:val="18"/>
                  <w:color w:val="0000FF"/>
                </w:rPr>
                <w:t>Board Member Agreement between the Registrant and</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97">
              <w:r>
                <w:rPr>
                  <w:rFonts w:ascii="Arial" w:cs="Arial" w:eastAsia="Arial" w:hAnsi="Arial"/>
                  <w:sz w:val="17"/>
                  <w:szCs w:val="17"/>
                  <w:color w:val="0000FF"/>
                </w:rPr>
                <w:t>Marcie Vu, dated February 11,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4560" w:type="dxa"/>
            <w:vAlign w:val="bottom"/>
            <w:gridSpan w:val="27"/>
          </w:tcPr>
          <w:p>
            <w:pPr>
              <w:spacing w:after="0" w:line="205" w:lineRule="exact"/>
              <w:rPr>
                <w:rFonts w:ascii="Arial" w:cs="Arial" w:eastAsia="Arial" w:hAnsi="Arial"/>
                <w:sz w:val="18"/>
                <w:szCs w:val="18"/>
                <w:color w:val="0000FF"/>
              </w:rPr>
            </w:pPr>
            <w:hyperlink r:id="rId98">
              <w:r>
                <w:rPr>
                  <w:rFonts w:ascii="Arial" w:cs="Arial" w:eastAsia="Arial" w:hAnsi="Arial"/>
                  <w:sz w:val="18"/>
                  <w:szCs w:val="18"/>
                  <w:color w:val="0000FF"/>
                </w:rPr>
                <w:t>Amended and Restated Loan and Security Agreement,</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1"/>
          </w:tcPr>
          <w:p>
            <w:pPr>
              <w:spacing w:after="0" w:line="152" w:lineRule="exact"/>
              <w:rPr>
                <w:rFonts w:ascii="Arial" w:cs="Arial" w:eastAsia="Arial" w:hAnsi="Arial"/>
                <w:sz w:val="17"/>
                <w:szCs w:val="17"/>
                <w:color w:val="0000FF"/>
              </w:rPr>
            </w:pPr>
            <w:hyperlink r:id="rId98">
              <w:r>
                <w:rPr>
                  <w:rFonts w:ascii="Arial" w:cs="Arial" w:eastAsia="Arial" w:hAnsi="Arial"/>
                  <w:sz w:val="17"/>
                  <w:szCs w:val="17"/>
                  <w:color w:val="0000FF"/>
                </w:rPr>
                <w:t>dated February 3, 2021, by and between the Registrant</w:t>
              </w:r>
            </w:hyperlink>
          </w:p>
        </w:tc>
        <w:tc>
          <w:tcPr>
            <w:tcW w:w="20" w:type="dxa"/>
            <w:vAlign w:val="bottom"/>
            <w:tcBorders>
              <w:bottom w:val="single" w:sz="8" w:color="0000FF"/>
            </w:tcBorders>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Borders>
              <w:bottom w:val="single" w:sz="8" w:color="0000FF"/>
            </w:tcBorders>
            <w:gridSpan w:val="6"/>
          </w:tcPr>
          <w:p>
            <w:pPr>
              <w:spacing w:after="0" w:line="152" w:lineRule="exact"/>
              <w:rPr>
                <w:rFonts w:ascii="Arial" w:cs="Arial" w:eastAsia="Arial" w:hAnsi="Arial"/>
                <w:sz w:val="17"/>
                <w:szCs w:val="17"/>
                <w:color w:val="0000FF"/>
              </w:rPr>
            </w:pPr>
            <w:hyperlink r:id="rId98">
              <w:r>
                <w:rPr>
                  <w:rFonts w:ascii="Arial" w:cs="Arial" w:eastAsia="Arial" w:hAnsi="Arial"/>
                  <w:sz w:val="17"/>
                  <w:szCs w:val="17"/>
                  <w:color w:val="0000FF"/>
                </w:rPr>
                <w:t>and Western Alliance Bank.</w:t>
              </w:r>
            </w:hyperlink>
          </w:p>
        </w:tc>
        <w:tc>
          <w:tcPr>
            <w:tcW w:w="2160" w:type="dxa"/>
            <w:vAlign w:val="bottom"/>
            <w:gridSpan w:val="16"/>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4160" w:type="dxa"/>
            <w:vAlign w:val="bottom"/>
            <w:tcBorders>
              <w:bottom w:val="single" w:sz="8" w:color="0000FF"/>
            </w:tcBorders>
            <w:gridSpan w:val="19"/>
          </w:tcPr>
          <w:p>
            <w:pPr>
              <w:spacing w:after="0" w:line="205" w:lineRule="exact"/>
              <w:rPr>
                <w:rFonts w:ascii="Arial" w:cs="Arial" w:eastAsia="Arial" w:hAnsi="Arial"/>
                <w:sz w:val="18"/>
                <w:szCs w:val="18"/>
                <w:color w:val="0000FF"/>
                <w:w w:val="97"/>
              </w:rPr>
            </w:pPr>
            <w:hyperlink w:anchor="page78">
              <w:r>
                <w:rPr>
                  <w:rFonts w:ascii="Arial" w:cs="Arial" w:eastAsia="Arial" w:hAnsi="Arial"/>
                  <w:sz w:val="18"/>
                  <w:szCs w:val="18"/>
                  <w:color w:val="0000FF"/>
                  <w:w w:val="97"/>
                </w:rPr>
                <w:t>Certification of Principal Executive Officer pursuant to</w:t>
              </w:r>
            </w:hyperlink>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gridSpan w:val="27"/>
          </w:tcPr>
          <w:p>
            <w:pPr>
              <w:spacing w:after="0" w:line="152" w:lineRule="exact"/>
              <w:rPr>
                <w:rFonts w:ascii="Arial" w:cs="Arial" w:eastAsia="Arial" w:hAnsi="Arial"/>
                <w:sz w:val="17"/>
                <w:szCs w:val="17"/>
                <w:color w:val="0000FF"/>
              </w:rPr>
            </w:pPr>
            <w:hyperlink w:anchor="page78">
              <w:r>
                <w:rPr>
                  <w:rFonts w:ascii="Arial" w:cs="Arial" w:eastAsia="Arial" w:hAnsi="Arial"/>
                  <w:sz w:val="17"/>
                  <w:szCs w:val="17"/>
                  <w:color w:val="0000FF"/>
                </w:rPr>
                <w:t>Exchange Act Rules 13a-14(a) and 15d-14(a), as adopted</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w:anchor="page78">
              <w:r>
                <w:rPr>
                  <w:rFonts w:ascii="Arial" w:cs="Arial" w:eastAsia="Arial" w:hAnsi="Arial"/>
                  <w:sz w:val="17"/>
                  <w:szCs w:val="17"/>
                  <w:color w:val="0000FF"/>
                </w:rPr>
                <w:t>pursuant to Section 302 of the Sarbanes-Oxley Act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8"/>
              </w:rPr>
            </w:pPr>
            <w:hyperlink w:anchor="page78">
              <w:r>
                <w:rPr>
                  <w:rFonts w:ascii="Arial" w:cs="Arial" w:eastAsia="Arial" w:hAnsi="Arial"/>
                  <w:sz w:val="17"/>
                  <w:szCs w:val="17"/>
                  <w:color w:val="0000FF"/>
                  <w:w w:val="98"/>
                </w:rPr>
                <w:t>2002.</w:t>
              </w:r>
            </w:hyperlink>
          </w:p>
        </w:tc>
        <w:tc>
          <w:tcPr>
            <w:tcW w:w="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20" w:type="dxa"/>
            <w:vAlign w:val="bottom"/>
          </w:tcPr>
          <w:p>
            <w:pPr>
              <w:ind w:left="20"/>
              <w:spacing w:after="0" w:line="205"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560" w:type="dxa"/>
            <w:vAlign w:val="bottom"/>
            <w:gridSpan w:val="27"/>
          </w:tcPr>
          <w:p>
            <w:pPr>
              <w:spacing w:after="0" w:line="205" w:lineRule="exact"/>
              <w:rPr>
                <w:rFonts w:ascii="Arial" w:cs="Arial" w:eastAsia="Arial" w:hAnsi="Arial"/>
                <w:sz w:val="18"/>
                <w:szCs w:val="18"/>
                <w:color w:val="0000FF"/>
              </w:rPr>
            </w:pPr>
            <w:hyperlink w:anchor="page79">
              <w:r>
                <w:rPr>
                  <w:rFonts w:ascii="Arial" w:cs="Arial" w:eastAsia="Arial" w:hAnsi="Arial"/>
                  <w:sz w:val="18"/>
                  <w:szCs w:val="18"/>
                  <w:color w:val="0000FF"/>
                </w:rPr>
                <w:t>Certification of Principal Financial Officer pursuant to</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00" w:type="dxa"/>
            <w:vAlign w:val="bottom"/>
            <w:gridSpan w:val="18"/>
            <w:shd w:val="clear" w:color="auto" w:fill="0000FF"/>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gridSpan w:val="27"/>
          </w:tcPr>
          <w:p>
            <w:pPr>
              <w:spacing w:after="0" w:line="152" w:lineRule="exact"/>
              <w:rPr>
                <w:rFonts w:ascii="Arial" w:cs="Arial" w:eastAsia="Arial" w:hAnsi="Arial"/>
                <w:sz w:val="17"/>
                <w:szCs w:val="17"/>
                <w:color w:val="0000FF"/>
              </w:rPr>
            </w:pPr>
            <w:hyperlink w:anchor="page79">
              <w:r>
                <w:rPr>
                  <w:rFonts w:ascii="Arial" w:cs="Arial" w:eastAsia="Arial" w:hAnsi="Arial"/>
                  <w:sz w:val="17"/>
                  <w:szCs w:val="17"/>
                  <w:color w:val="0000FF"/>
                </w:rPr>
                <w:t>Exchange Act Rules 13a-14(a) and 15d-14(a), as adopted</w:t>
              </w:r>
            </w:hyperlink>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w:anchor="page79">
              <w:r>
                <w:rPr>
                  <w:rFonts w:ascii="Arial" w:cs="Arial" w:eastAsia="Arial" w:hAnsi="Arial"/>
                  <w:sz w:val="17"/>
                  <w:szCs w:val="17"/>
                  <w:color w:val="0000FF"/>
                </w:rPr>
                <w:t>pursuant to Section 302 of the Sarbanes-Oxley Act of</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8"/>
              </w:rPr>
            </w:pPr>
            <w:hyperlink w:anchor="page79">
              <w:r>
                <w:rPr>
                  <w:rFonts w:ascii="Arial" w:cs="Arial" w:eastAsia="Arial" w:hAnsi="Arial"/>
                  <w:sz w:val="17"/>
                  <w:szCs w:val="17"/>
                  <w:color w:val="0000FF"/>
                  <w:w w:val="98"/>
                </w:rPr>
                <w:t>2002.</w:t>
              </w:r>
            </w:hyperlink>
          </w:p>
        </w:tc>
        <w:tc>
          <w:tcPr>
            <w:tcW w:w="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-4037965</wp:posOffset>
            </wp:positionV>
            <wp:extent cx="2936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2936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2860" w:type="dxa"/>
            <w:vAlign w:val="bottom"/>
            <w:gridSpan w:val="2"/>
          </w:tcPr>
          <w:p>
            <w:pPr>
              <w:ind w:left="560"/>
              <w:spacing w:after="0"/>
              <w:rPr>
                <w:sz w:val="20"/>
                <w:szCs w:val="20"/>
                <w:color w:val="auto"/>
              </w:rPr>
            </w:pPr>
            <w:r>
              <w:rPr>
                <w:rFonts w:ascii="Arial" w:cs="Arial" w:eastAsia="Arial" w:hAnsi="Arial"/>
                <w:sz w:val="14"/>
                <w:szCs w:val="14"/>
                <w:b w:val="1"/>
                <w:bCs w:val="1"/>
                <w:color w:val="auto"/>
              </w:rPr>
              <w:t>Incorporation by Reference</w:t>
            </w:r>
          </w:p>
        </w:tc>
        <w:tc>
          <w:tcPr>
            <w:tcW w:w="1460" w:type="dxa"/>
            <w:vAlign w:val="bottom"/>
          </w:tcPr>
          <w:p>
            <w:pPr>
              <w:spacing w:after="0"/>
              <w:rPr>
                <w:sz w:val="16"/>
                <w:szCs w:val="16"/>
                <w:color w:val="auto"/>
              </w:rPr>
            </w:pPr>
          </w:p>
        </w:tc>
      </w:tr>
      <w:tr>
        <w:trPr>
          <w:trHeight w:val="186"/>
        </w:trPr>
        <w:tc>
          <w:tcPr>
            <w:tcW w:w="1360" w:type="dxa"/>
            <w:vAlign w:val="bottom"/>
            <w:tcBorders>
              <w:bottom w:val="single" w:sz="8" w:color="auto"/>
            </w:tcBorders>
          </w:tcPr>
          <w:p>
            <w:pPr>
              <w:jc w:val="center"/>
              <w:ind w:left="53"/>
              <w:spacing w:after="0"/>
              <w:rPr>
                <w:sz w:val="20"/>
                <w:szCs w:val="20"/>
                <w:color w:val="auto"/>
              </w:rPr>
            </w:pPr>
            <w:r>
              <w:rPr>
                <w:rFonts w:ascii="Arial" w:cs="Arial" w:eastAsia="Arial" w:hAnsi="Arial"/>
                <w:sz w:val="14"/>
                <w:szCs w:val="14"/>
                <w:b w:val="1"/>
                <w:bCs w:val="1"/>
                <w:color w:val="auto"/>
                <w:w w:val="97"/>
              </w:rPr>
              <w:t>Form</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w:t>
            </w: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Filing Date</w:t>
            </w:r>
          </w:p>
        </w:tc>
      </w:tr>
      <w:tr>
        <w:trPr>
          <w:trHeight w:val="217"/>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160"/>
        </w:trPr>
        <w:tc>
          <w:tcPr>
            <w:tcW w:w="1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218"/>
        </w:trPr>
        <w:tc>
          <w:tcPr>
            <w:tcW w:w="136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3.4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3/3/2021</w:t>
            </w:r>
          </w:p>
        </w:tc>
      </w:tr>
      <w:tr>
        <w:trPr>
          <w:trHeight w:val="218"/>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160"/>
        </w:trPr>
        <w:tc>
          <w:tcPr>
            <w:tcW w:w="1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218"/>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332"/>
        </w:trPr>
        <w:tc>
          <w:tcPr>
            <w:tcW w:w="1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8"/>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7"/>
              </w:rPr>
              <w:t>S-1/A</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160"/>
        </w:trPr>
        <w:tc>
          <w:tcPr>
            <w:tcW w:w="1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218"/>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7"/>
              </w:rPr>
              <w:t>S-1/A</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3/17/2021</w:t>
            </w:r>
          </w:p>
        </w:tc>
      </w:tr>
      <w:tr>
        <w:trPr>
          <w:trHeight w:val="160"/>
        </w:trPr>
        <w:tc>
          <w:tcPr>
            <w:tcW w:w="1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218"/>
        </w:trPr>
        <w:tc>
          <w:tcPr>
            <w:tcW w:w="136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7"/>
              </w:rPr>
              <w:t>S-1/A</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10.4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3/17/2021</w:t>
            </w:r>
          </w:p>
        </w:tc>
      </w:tr>
      <w:tr>
        <w:trPr>
          <w:trHeight w:val="219"/>
        </w:trPr>
        <w:tc>
          <w:tcPr>
            <w:tcW w:w="136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10.5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3/3/2021</w:t>
            </w:r>
          </w:p>
        </w:tc>
      </w:tr>
      <w:tr>
        <w:trPr>
          <w:trHeight w:val="218"/>
        </w:trPr>
        <w:tc>
          <w:tcPr>
            <w:tcW w:w="136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10.6</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3/3/2021</w:t>
            </w:r>
          </w:p>
        </w:tc>
      </w:tr>
      <w:tr>
        <w:trPr>
          <w:trHeight w:val="218"/>
        </w:trPr>
        <w:tc>
          <w:tcPr>
            <w:tcW w:w="136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10.7</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3/3/2021</w:t>
            </w:r>
          </w:p>
        </w:tc>
      </w:tr>
      <w:tr>
        <w:trPr>
          <w:trHeight w:val="218"/>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160"/>
        </w:trPr>
        <w:tc>
          <w:tcPr>
            <w:tcW w:w="1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217"/>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9"/>
              </w:rPr>
              <w:t>S-1</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3/3/2021</w:t>
            </w:r>
          </w:p>
        </w:tc>
      </w:tr>
      <w:tr>
        <w:trPr>
          <w:trHeight w:val="160"/>
        </w:trPr>
        <w:tc>
          <w:tcPr>
            <w:tcW w:w="1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r>
      <w:tr>
        <w:trPr>
          <w:trHeight w:val="218"/>
        </w:trPr>
        <w:tc>
          <w:tcPr>
            <w:tcW w:w="1360" w:type="dxa"/>
            <w:vAlign w:val="bottom"/>
          </w:tcPr>
          <w:p>
            <w:pPr>
              <w:jc w:val="center"/>
              <w:ind w:left="73"/>
              <w:spacing w:after="0"/>
              <w:rPr>
                <w:sz w:val="20"/>
                <w:szCs w:val="20"/>
                <w:color w:val="auto"/>
              </w:rPr>
            </w:pPr>
            <w:r>
              <w:rPr>
                <w:rFonts w:ascii="Arial" w:cs="Arial" w:eastAsia="Arial" w:hAnsi="Arial"/>
                <w:sz w:val="18"/>
                <w:szCs w:val="18"/>
                <w:color w:val="auto"/>
                <w:w w:val="97"/>
              </w:rPr>
              <w:t>S-1/A</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333-253834</w:t>
            </w: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3/17/2021</w:t>
            </w:r>
          </w:p>
        </w:tc>
      </w:tr>
    </w:tbl>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159385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5440" w:space="80"/>
            <w:col w:w="5680"/>
          </w:cols>
          <w:pgMar w:left="320" w:top="1440" w:right="379" w:bottom="1440" w:gutter="0" w:footer="0" w:header="0"/>
          <w:type w:val="continuous"/>
        </w:sectPr>
      </w:pPr>
    </w:p>
    <w:bookmarkStart w:id="75" w:name="page76"/>
    <w:bookmarkEnd w:id="75"/>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4640" w:type="dxa"/>
            <w:vAlign w:val="bottom"/>
            <w:gridSpan w:val="5"/>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Certification of Principal Executive Officer pursuant to 18</w:t>
              </w:r>
            </w:hyperlink>
          </w:p>
        </w:tc>
        <w:tc>
          <w:tcPr>
            <w:tcW w:w="1260" w:type="dxa"/>
            <w:vAlign w:val="bottom"/>
          </w:tcPr>
          <w:p>
            <w:pPr>
              <w:jc w:val="center"/>
              <w:ind w:left="72"/>
              <w:spacing w:after="0"/>
              <w:rPr>
                <w:sz w:val="20"/>
                <w:szCs w:val="20"/>
                <w:color w:val="auto"/>
              </w:rPr>
            </w:pPr>
            <w:r>
              <w:rPr>
                <w:rFonts w:ascii="Arial" w:cs="Arial" w:eastAsia="Arial" w:hAnsi="Arial"/>
                <w:sz w:val="18"/>
                <w:szCs w:val="18"/>
                <w:color w:val="auto"/>
                <w:w w:val="97"/>
              </w:rPr>
              <w:t>Furnished</w:t>
            </w: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rPr>
            </w:pPr>
            <w:hyperlink w:anchor="page80">
              <w:r>
                <w:rPr>
                  <w:rFonts w:ascii="Arial" w:cs="Arial" w:eastAsia="Arial" w:hAnsi="Arial"/>
                  <w:sz w:val="17"/>
                  <w:szCs w:val="17"/>
                  <w:color w:val="0000FF"/>
                </w:rPr>
                <w:t>U.S.C. Section 1350, as adopted pursuant to Section 906</w:t>
              </w:r>
            </w:hyperlink>
          </w:p>
        </w:tc>
        <w:tc>
          <w:tcPr>
            <w:tcW w:w="80" w:type="dxa"/>
            <w:vAlign w:val="bottom"/>
            <w:tcBorders>
              <w:bottom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left="72"/>
              <w:spacing w:after="0" w:line="153" w:lineRule="exact"/>
              <w:rPr>
                <w:sz w:val="20"/>
                <w:szCs w:val="20"/>
                <w:color w:val="auto"/>
              </w:rPr>
            </w:pPr>
            <w:r>
              <w:rPr>
                <w:rFonts w:ascii="Arial" w:cs="Arial" w:eastAsia="Arial" w:hAnsi="Arial"/>
                <w:sz w:val="17"/>
                <w:szCs w:val="17"/>
                <w:color w:val="auto"/>
              </w:rPr>
              <w:t>herewith</w:t>
            </w: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2740" w:type="dxa"/>
            <w:vAlign w:val="bottom"/>
            <w:tcBorders>
              <w:bottom w:val="single" w:sz="8" w:color="0000FF"/>
            </w:tcBorders>
          </w:tcPr>
          <w:p>
            <w:pPr>
              <w:spacing w:after="0" w:line="152" w:lineRule="exact"/>
              <w:rPr>
                <w:rFonts w:ascii="Arial" w:cs="Arial" w:eastAsia="Arial" w:hAnsi="Arial"/>
                <w:sz w:val="17"/>
                <w:szCs w:val="17"/>
                <w:color w:val="0000FF"/>
              </w:rPr>
            </w:pPr>
            <w:hyperlink w:anchor="page80">
              <w:r>
                <w:rPr>
                  <w:rFonts w:ascii="Arial" w:cs="Arial" w:eastAsia="Arial" w:hAnsi="Arial"/>
                  <w:sz w:val="17"/>
                  <w:szCs w:val="17"/>
                  <w:color w:val="0000FF"/>
                </w:rPr>
                <w:t>of the Sarbanes-Oxley Act of 2002.</w:t>
              </w:r>
            </w:hyperlink>
          </w:p>
        </w:tc>
        <w:tc>
          <w:tcPr>
            <w:tcW w:w="17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line="205" w:lineRule="exact"/>
              <w:rPr>
                <w:sz w:val="20"/>
                <w:szCs w:val="20"/>
                <w:color w:val="auto"/>
              </w:rPr>
            </w:pPr>
            <w:r>
              <w:rPr>
                <w:rFonts w:ascii="Arial" w:cs="Arial" w:eastAsia="Arial" w:hAnsi="Arial"/>
                <w:sz w:val="18"/>
                <w:szCs w:val="18"/>
                <w:color w:val="auto"/>
              </w:rPr>
              <w:t>32.2*</w:t>
            </w:r>
          </w:p>
        </w:tc>
        <w:tc>
          <w:tcPr>
            <w:tcW w:w="4640" w:type="dxa"/>
            <w:vAlign w:val="bottom"/>
            <w:gridSpan w:val="5"/>
          </w:tcPr>
          <w:p>
            <w:pPr>
              <w:spacing w:after="0" w:line="205" w:lineRule="exact"/>
              <w:rPr>
                <w:rFonts w:ascii="Arial" w:cs="Arial" w:eastAsia="Arial" w:hAnsi="Arial"/>
                <w:sz w:val="18"/>
                <w:szCs w:val="18"/>
                <w:color w:val="0000FF"/>
              </w:rPr>
            </w:pPr>
            <w:hyperlink w:anchor="page81">
              <w:r>
                <w:rPr>
                  <w:rFonts w:ascii="Arial" w:cs="Arial" w:eastAsia="Arial" w:hAnsi="Arial"/>
                  <w:sz w:val="18"/>
                  <w:szCs w:val="18"/>
                  <w:color w:val="0000FF"/>
                </w:rPr>
                <w:t>Certification of Principal Financial Officer pursuant to 18</w:t>
              </w:r>
            </w:hyperlink>
          </w:p>
        </w:tc>
        <w:tc>
          <w:tcPr>
            <w:tcW w:w="1260" w:type="dxa"/>
            <w:vAlign w:val="bottom"/>
          </w:tcPr>
          <w:p>
            <w:pPr>
              <w:jc w:val="center"/>
              <w:ind w:left="72"/>
              <w:spacing w:after="0" w:line="205" w:lineRule="exact"/>
              <w:rPr>
                <w:sz w:val="20"/>
                <w:szCs w:val="20"/>
                <w:color w:val="auto"/>
              </w:rPr>
            </w:pPr>
            <w:r>
              <w:rPr>
                <w:rFonts w:ascii="Arial" w:cs="Arial" w:eastAsia="Arial" w:hAnsi="Arial"/>
                <w:sz w:val="18"/>
                <w:szCs w:val="18"/>
                <w:color w:val="auto"/>
                <w:w w:val="97"/>
              </w:rPr>
              <w:t>Furnished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60" w:type="dxa"/>
            <w:vAlign w:val="bottom"/>
            <w:vMerge w:val="restart"/>
          </w:tcPr>
          <w:p>
            <w:pPr>
              <w:jc w:val="center"/>
              <w:ind w:left="72"/>
              <w:spacing w:after="0" w:line="173" w:lineRule="exact"/>
              <w:rPr>
                <w:sz w:val="20"/>
                <w:szCs w:val="20"/>
                <w:color w:val="auto"/>
              </w:rPr>
            </w:pPr>
            <w:r>
              <w:rPr>
                <w:rFonts w:ascii="Arial" w:cs="Arial" w:eastAsia="Arial" w:hAnsi="Arial"/>
                <w:sz w:val="18"/>
                <w:szCs w:val="18"/>
                <w:color w:val="auto"/>
                <w:w w:val="96"/>
              </w:rPr>
              <w:t>herewith</w:t>
            </w:r>
          </w:p>
        </w:tc>
        <w:tc>
          <w:tcPr>
            <w:tcW w:w="0" w:type="dxa"/>
            <w:vAlign w:val="bottom"/>
          </w:tcPr>
          <w:p>
            <w:pPr>
              <w:spacing w:after="0" w:line="20" w:lineRule="exact"/>
              <w:rPr>
                <w:sz w:val="1"/>
                <w:szCs w:val="1"/>
                <w:color w:val="auto"/>
              </w:rPr>
            </w:pPr>
          </w:p>
        </w:tc>
      </w:tr>
      <w:tr>
        <w:trPr>
          <w:trHeight w:val="153"/>
        </w:trPr>
        <w:tc>
          <w:tcPr>
            <w:tcW w:w="900" w:type="dxa"/>
            <w:vAlign w:val="bottom"/>
          </w:tcPr>
          <w:p>
            <w:pPr>
              <w:spacing w:after="0"/>
              <w:rPr>
                <w:sz w:val="13"/>
                <w:szCs w:val="13"/>
                <w:color w:val="auto"/>
              </w:rPr>
            </w:pPr>
          </w:p>
        </w:tc>
        <w:tc>
          <w:tcPr>
            <w:tcW w:w="4640" w:type="dxa"/>
            <w:vAlign w:val="bottom"/>
            <w:gridSpan w:val="5"/>
          </w:tcPr>
          <w:p>
            <w:pPr>
              <w:spacing w:after="0" w:line="153" w:lineRule="exact"/>
              <w:rPr>
                <w:rFonts w:ascii="Arial" w:cs="Arial" w:eastAsia="Arial" w:hAnsi="Arial"/>
                <w:sz w:val="17"/>
                <w:szCs w:val="17"/>
                <w:color w:val="0000FF"/>
              </w:rPr>
            </w:pPr>
            <w:hyperlink w:anchor="page81">
              <w:r>
                <w:rPr>
                  <w:rFonts w:ascii="Arial" w:cs="Arial" w:eastAsia="Arial" w:hAnsi="Arial"/>
                  <w:sz w:val="17"/>
                  <w:szCs w:val="17"/>
                  <w:color w:val="0000FF"/>
                </w:rPr>
                <w:t>U.S.C. Section 1350, as adopted pursuant to Section 906</w:t>
              </w:r>
            </w:hyperlink>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00" w:type="dxa"/>
            <w:vAlign w:val="bottom"/>
          </w:tcPr>
          <w:p>
            <w:pPr>
              <w:spacing w:after="0"/>
              <w:rPr>
                <w:sz w:val="13"/>
                <w:szCs w:val="13"/>
                <w:color w:val="auto"/>
              </w:rPr>
            </w:pPr>
          </w:p>
        </w:tc>
        <w:tc>
          <w:tcPr>
            <w:tcW w:w="274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rPr>
            </w:pPr>
            <w:hyperlink w:anchor="page81">
              <w:r>
                <w:rPr>
                  <w:rFonts w:ascii="Arial" w:cs="Arial" w:eastAsia="Arial" w:hAnsi="Arial"/>
                  <w:sz w:val="17"/>
                  <w:szCs w:val="17"/>
                  <w:color w:val="0000FF"/>
                </w:rPr>
                <w:t>of the Sarbanes-Oxley Act of 2002.</w:t>
              </w:r>
            </w:hyperlink>
          </w:p>
        </w:tc>
        <w:tc>
          <w:tcPr>
            <w:tcW w:w="174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line="205" w:lineRule="exact"/>
              <w:rPr>
                <w:sz w:val="20"/>
                <w:szCs w:val="20"/>
                <w:color w:val="auto"/>
              </w:rPr>
            </w:pPr>
            <w:r>
              <w:rPr>
                <w:rFonts w:ascii="Arial" w:cs="Arial" w:eastAsia="Arial" w:hAnsi="Arial"/>
                <w:sz w:val="18"/>
                <w:szCs w:val="18"/>
                <w:color w:val="auto"/>
              </w:rPr>
              <w:t>101.INS</w:t>
            </w:r>
          </w:p>
        </w:tc>
        <w:tc>
          <w:tcPr>
            <w:tcW w:w="4640" w:type="dxa"/>
            <w:vAlign w:val="bottom"/>
            <w:gridSpan w:val="5"/>
          </w:tcPr>
          <w:p>
            <w:pPr>
              <w:spacing w:after="0" w:line="205" w:lineRule="exact"/>
              <w:rPr>
                <w:sz w:val="20"/>
                <w:szCs w:val="20"/>
                <w:color w:val="auto"/>
              </w:rPr>
            </w:pPr>
            <w:r>
              <w:rPr>
                <w:rFonts w:ascii="Arial" w:cs="Arial" w:eastAsia="Arial" w:hAnsi="Arial"/>
                <w:sz w:val="18"/>
                <w:szCs w:val="18"/>
                <w:color w:val="auto"/>
              </w:rPr>
              <w:t>XBRL Instance Document – the instance document does</w:t>
            </w:r>
          </w:p>
        </w:tc>
        <w:tc>
          <w:tcPr>
            <w:tcW w:w="1260" w:type="dxa"/>
            <w:vAlign w:val="bottom"/>
          </w:tcPr>
          <w:p>
            <w:pPr>
              <w:jc w:val="center"/>
              <w:ind w:left="72"/>
              <w:spacing w:after="0" w:line="205" w:lineRule="exact"/>
              <w:rPr>
                <w:sz w:val="20"/>
                <w:szCs w:val="20"/>
                <w:color w:val="auto"/>
              </w:rPr>
            </w:pPr>
            <w:r>
              <w:rPr>
                <w:rFonts w:ascii="Arial" w:cs="Arial" w:eastAsia="Arial" w:hAnsi="Arial"/>
                <w:sz w:val="18"/>
                <w:szCs w:val="18"/>
                <w:color w:val="auto"/>
                <w:w w:val="98"/>
              </w:rPr>
              <w:t>Filed herewith</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4640" w:type="dxa"/>
            <w:vAlign w:val="bottom"/>
            <w:gridSpan w:val="5"/>
          </w:tcPr>
          <w:p>
            <w:pPr>
              <w:spacing w:after="0" w:line="172" w:lineRule="exact"/>
              <w:rPr>
                <w:sz w:val="20"/>
                <w:szCs w:val="20"/>
                <w:color w:val="auto"/>
              </w:rPr>
            </w:pPr>
            <w:r>
              <w:rPr>
                <w:rFonts w:ascii="Arial" w:cs="Arial" w:eastAsia="Arial" w:hAnsi="Arial"/>
                <w:sz w:val="18"/>
                <w:szCs w:val="18"/>
                <w:color w:val="auto"/>
              </w:rPr>
              <w:t>not appear in the Interactive Data File because its XBRL</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auto"/>
              </w:rPr>
              <w:t>tags are embedded within the Inline XBRL document.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6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260" w:type="dxa"/>
            <w:vAlign w:val="bottom"/>
          </w:tcPr>
          <w:p>
            <w:pPr>
              <w:jc w:val="center"/>
              <w:ind w:left="72"/>
              <w:spacing w:after="0"/>
              <w:rPr>
                <w:sz w:val="20"/>
                <w:szCs w:val="20"/>
                <w:color w:val="auto"/>
              </w:rPr>
            </w:pPr>
            <w:r>
              <w:rPr>
                <w:rFonts w:ascii="Arial" w:cs="Arial" w:eastAsia="Arial" w:hAnsi="Arial"/>
                <w:sz w:val="18"/>
                <w:szCs w:val="18"/>
                <w:color w:val="auto"/>
                <w:w w:val="98"/>
              </w:rPr>
              <w:t>Filed herewith</w:t>
            </w:r>
          </w:p>
        </w:tc>
        <w:tc>
          <w:tcPr>
            <w:tcW w:w="0" w:type="dxa"/>
            <w:vAlign w:val="bottom"/>
          </w:tcPr>
          <w:p>
            <w:pPr>
              <w:spacing w:after="0"/>
              <w:rPr>
                <w:sz w:val="1"/>
                <w:szCs w:val="1"/>
                <w:color w:val="auto"/>
              </w:rPr>
            </w:pPr>
          </w:p>
        </w:tc>
      </w:tr>
      <w:tr>
        <w:trPr>
          <w:trHeight w:val="186"/>
        </w:trPr>
        <w:tc>
          <w:tcPr>
            <w:tcW w:w="900" w:type="dxa"/>
            <w:vAlign w:val="bottom"/>
          </w:tcPr>
          <w:p>
            <w:pPr>
              <w:spacing w:after="0" w:line="186" w:lineRule="exact"/>
              <w:rPr>
                <w:sz w:val="20"/>
                <w:szCs w:val="20"/>
                <w:color w:val="auto"/>
              </w:rPr>
            </w:pPr>
            <w:r>
              <w:rPr>
                <w:rFonts w:ascii="Arial" w:cs="Arial" w:eastAsia="Arial" w:hAnsi="Arial"/>
                <w:sz w:val="18"/>
                <w:szCs w:val="18"/>
                <w:color w:val="auto"/>
              </w:rPr>
              <w:t>101.CAL</w:t>
            </w:r>
          </w:p>
        </w:tc>
        <w:tc>
          <w:tcPr>
            <w:tcW w:w="4640" w:type="dxa"/>
            <w:vAlign w:val="bottom"/>
            <w:gridSpan w:val="5"/>
          </w:tcPr>
          <w:p>
            <w:pPr>
              <w:spacing w:after="0" w:line="186" w:lineRule="exact"/>
              <w:rPr>
                <w:sz w:val="20"/>
                <w:szCs w:val="20"/>
                <w:color w:val="auto"/>
              </w:rPr>
            </w:pPr>
            <w:r>
              <w:rPr>
                <w:rFonts w:ascii="Arial" w:cs="Arial" w:eastAsia="Arial" w:hAnsi="Arial"/>
                <w:sz w:val="18"/>
                <w:szCs w:val="18"/>
                <w:color w:val="auto"/>
              </w:rPr>
              <w:t>Inline XBRL Taxonomy Extension Calculation Linkbase</w:t>
            </w:r>
          </w:p>
        </w:tc>
        <w:tc>
          <w:tcPr>
            <w:tcW w:w="1260" w:type="dxa"/>
            <w:vAlign w:val="bottom"/>
          </w:tcPr>
          <w:p>
            <w:pPr>
              <w:jc w:val="center"/>
              <w:ind w:left="72"/>
              <w:spacing w:after="0" w:line="186" w:lineRule="exact"/>
              <w:rPr>
                <w:sz w:val="20"/>
                <w:szCs w:val="20"/>
                <w:color w:val="auto"/>
              </w:rPr>
            </w:pPr>
            <w:r>
              <w:rPr>
                <w:rFonts w:ascii="Arial" w:cs="Arial" w:eastAsia="Arial" w:hAnsi="Arial"/>
                <w:sz w:val="18"/>
                <w:szCs w:val="18"/>
                <w:color w:val="auto"/>
                <w:w w:val="98"/>
              </w:rPr>
              <w:t>Filed herewith</w:t>
            </w: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line="186" w:lineRule="exact"/>
              <w:rPr>
                <w:sz w:val="20"/>
                <w:szCs w:val="20"/>
                <w:color w:val="auto"/>
              </w:rPr>
            </w:pPr>
            <w:r>
              <w:rPr>
                <w:rFonts w:ascii="Arial" w:cs="Arial" w:eastAsia="Arial" w:hAnsi="Arial"/>
                <w:sz w:val="18"/>
                <w:szCs w:val="18"/>
                <w:color w:val="auto"/>
              </w:rPr>
              <w:t>101.DEF</w:t>
            </w:r>
          </w:p>
        </w:tc>
        <w:tc>
          <w:tcPr>
            <w:tcW w:w="4640" w:type="dxa"/>
            <w:vAlign w:val="bottom"/>
            <w:gridSpan w:val="5"/>
          </w:tcPr>
          <w:p>
            <w:pPr>
              <w:spacing w:after="0" w:line="186" w:lineRule="exact"/>
              <w:rPr>
                <w:sz w:val="20"/>
                <w:szCs w:val="20"/>
                <w:color w:val="auto"/>
              </w:rPr>
            </w:pPr>
            <w:r>
              <w:rPr>
                <w:rFonts w:ascii="Arial" w:cs="Arial" w:eastAsia="Arial" w:hAnsi="Arial"/>
                <w:sz w:val="18"/>
                <w:szCs w:val="18"/>
                <w:color w:val="auto"/>
              </w:rPr>
              <w:t>Inline XBRL Taxonomy Extension Definition Linkbase</w:t>
            </w:r>
          </w:p>
        </w:tc>
        <w:tc>
          <w:tcPr>
            <w:tcW w:w="1260" w:type="dxa"/>
            <w:vAlign w:val="bottom"/>
          </w:tcPr>
          <w:p>
            <w:pPr>
              <w:jc w:val="center"/>
              <w:ind w:left="72"/>
              <w:spacing w:after="0" w:line="186" w:lineRule="exact"/>
              <w:rPr>
                <w:sz w:val="20"/>
                <w:szCs w:val="20"/>
                <w:color w:val="auto"/>
              </w:rPr>
            </w:pPr>
            <w:r>
              <w:rPr>
                <w:rFonts w:ascii="Arial" w:cs="Arial" w:eastAsia="Arial" w:hAnsi="Arial"/>
                <w:sz w:val="18"/>
                <w:szCs w:val="18"/>
                <w:color w:val="auto"/>
                <w:w w:val="98"/>
              </w:rPr>
              <w:t>Filed herewith</w:t>
            </w: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line="186" w:lineRule="exact"/>
              <w:rPr>
                <w:sz w:val="20"/>
                <w:szCs w:val="20"/>
                <w:color w:val="auto"/>
              </w:rPr>
            </w:pPr>
            <w:r>
              <w:rPr>
                <w:rFonts w:ascii="Arial" w:cs="Arial" w:eastAsia="Arial" w:hAnsi="Arial"/>
                <w:sz w:val="18"/>
                <w:szCs w:val="18"/>
                <w:color w:val="auto"/>
              </w:rPr>
              <w:t>101.LAB</w:t>
            </w:r>
          </w:p>
        </w:tc>
        <w:tc>
          <w:tcPr>
            <w:tcW w:w="4640" w:type="dxa"/>
            <w:vAlign w:val="bottom"/>
            <w:gridSpan w:val="5"/>
          </w:tcPr>
          <w:p>
            <w:pPr>
              <w:spacing w:after="0" w:line="186" w:lineRule="exact"/>
              <w:rPr>
                <w:sz w:val="20"/>
                <w:szCs w:val="20"/>
                <w:color w:val="auto"/>
              </w:rPr>
            </w:pPr>
            <w:r>
              <w:rPr>
                <w:rFonts w:ascii="Arial" w:cs="Arial" w:eastAsia="Arial" w:hAnsi="Arial"/>
                <w:sz w:val="18"/>
                <w:szCs w:val="18"/>
                <w:color w:val="auto"/>
              </w:rPr>
              <w:t>Inline XBRL Taxonomy Extension Label Linkbase</w:t>
            </w:r>
          </w:p>
        </w:tc>
        <w:tc>
          <w:tcPr>
            <w:tcW w:w="1260" w:type="dxa"/>
            <w:vAlign w:val="bottom"/>
          </w:tcPr>
          <w:p>
            <w:pPr>
              <w:jc w:val="center"/>
              <w:ind w:left="72"/>
              <w:spacing w:after="0" w:line="186" w:lineRule="exact"/>
              <w:rPr>
                <w:sz w:val="20"/>
                <w:szCs w:val="20"/>
                <w:color w:val="auto"/>
              </w:rPr>
            </w:pPr>
            <w:r>
              <w:rPr>
                <w:rFonts w:ascii="Arial" w:cs="Arial" w:eastAsia="Arial" w:hAnsi="Arial"/>
                <w:sz w:val="18"/>
                <w:szCs w:val="18"/>
                <w:color w:val="auto"/>
                <w:w w:val="98"/>
              </w:rPr>
              <w:t>Filed herewith</w:t>
            </w: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line="186" w:lineRule="exact"/>
              <w:rPr>
                <w:sz w:val="20"/>
                <w:szCs w:val="20"/>
                <w:color w:val="auto"/>
              </w:rPr>
            </w:pPr>
            <w:r>
              <w:rPr>
                <w:rFonts w:ascii="Arial" w:cs="Arial" w:eastAsia="Arial" w:hAnsi="Arial"/>
                <w:sz w:val="18"/>
                <w:szCs w:val="18"/>
                <w:color w:val="auto"/>
              </w:rPr>
              <w:t>101.PRE</w:t>
            </w:r>
          </w:p>
        </w:tc>
        <w:tc>
          <w:tcPr>
            <w:tcW w:w="4640" w:type="dxa"/>
            <w:vAlign w:val="bottom"/>
            <w:gridSpan w:val="5"/>
          </w:tcPr>
          <w:p>
            <w:pPr>
              <w:spacing w:after="0" w:line="186" w:lineRule="exact"/>
              <w:rPr>
                <w:sz w:val="20"/>
                <w:szCs w:val="20"/>
                <w:color w:val="auto"/>
              </w:rPr>
            </w:pPr>
            <w:r>
              <w:rPr>
                <w:rFonts w:ascii="Arial" w:cs="Arial" w:eastAsia="Arial" w:hAnsi="Arial"/>
                <w:sz w:val="18"/>
                <w:szCs w:val="18"/>
                <w:color w:val="auto"/>
              </w:rPr>
              <w:t>Inline XBRL Taxonomy Extension Presentation Linkbase</w:t>
            </w:r>
          </w:p>
        </w:tc>
        <w:tc>
          <w:tcPr>
            <w:tcW w:w="1260" w:type="dxa"/>
            <w:vAlign w:val="bottom"/>
          </w:tcPr>
          <w:p>
            <w:pPr>
              <w:jc w:val="center"/>
              <w:ind w:left="72"/>
              <w:spacing w:after="0" w:line="186" w:lineRule="exact"/>
              <w:rPr>
                <w:sz w:val="20"/>
                <w:szCs w:val="20"/>
                <w:color w:val="auto"/>
              </w:rPr>
            </w:pPr>
            <w:r>
              <w:rPr>
                <w:rFonts w:ascii="Arial" w:cs="Arial" w:eastAsia="Arial" w:hAnsi="Arial"/>
                <w:sz w:val="18"/>
                <w:szCs w:val="18"/>
                <w:color w:val="auto"/>
                <w:w w:val="98"/>
              </w:rPr>
              <w:t>Filed herewith</w:t>
            </w: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line="186" w:lineRule="exact"/>
              <w:rPr>
                <w:sz w:val="20"/>
                <w:szCs w:val="20"/>
                <w:color w:val="auto"/>
              </w:rPr>
            </w:pPr>
            <w:r>
              <w:rPr>
                <w:rFonts w:ascii="Arial" w:cs="Arial" w:eastAsia="Arial" w:hAnsi="Arial"/>
                <w:sz w:val="18"/>
                <w:szCs w:val="18"/>
                <w:color w:val="auto"/>
              </w:rPr>
              <w:t>104</w:t>
            </w:r>
          </w:p>
        </w:tc>
        <w:tc>
          <w:tcPr>
            <w:tcW w:w="4640" w:type="dxa"/>
            <w:vAlign w:val="bottom"/>
            <w:gridSpan w:val="5"/>
          </w:tcPr>
          <w:p>
            <w:pPr>
              <w:spacing w:after="0" w:line="186" w:lineRule="exact"/>
              <w:rPr>
                <w:sz w:val="20"/>
                <w:szCs w:val="20"/>
                <w:color w:val="auto"/>
              </w:rPr>
            </w:pPr>
            <w:r>
              <w:rPr>
                <w:rFonts w:ascii="Arial" w:cs="Arial" w:eastAsia="Arial" w:hAnsi="Arial"/>
                <w:sz w:val="18"/>
                <w:szCs w:val="18"/>
                <w:color w:val="auto"/>
              </w:rPr>
              <w:t>Cover Page Interactive Data File (formatted as inline</w:t>
            </w:r>
          </w:p>
        </w:tc>
        <w:tc>
          <w:tcPr>
            <w:tcW w:w="1260" w:type="dxa"/>
            <w:vAlign w:val="bottom"/>
          </w:tcPr>
          <w:p>
            <w:pPr>
              <w:jc w:val="center"/>
              <w:ind w:left="72"/>
              <w:spacing w:after="0" w:line="186" w:lineRule="exact"/>
              <w:rPr>
                <w:sz w:val="20"/>
                <w:szCs w:val="20"/>
                <w:color w:val="auto"/>
              </w:rPr>
            </w:pPr>
            <w:r>
              <w:rPr>
                <w:rFonts w:ascii="Arial" w:cs="Arial" w:eastAsia="Arial" w:hAnsi="Arial"/>
                <w:sz w:val="18"/>
                <w:szCs w:val="18"/>
                <w:color w:val="auto"/>
                <w:w w:val="98"/>
              </w:rPr>
              <w:t>Filed herewith</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4640" w:type="dxa"/>
            <w:vAlign w:val="bottom"/>
            <w:gridSpan w:val="5"/>
          </w:tcPr>
          <w:p>
            <w:pPr>
              <w:spacing w:after="0" w:line="172" w:lineRule="exact"/>
              <w:rPr>
                <w:sz w:val="20"/>
                <w:szCs w:val="20"/>
                <w:color w:val="auto"/>
              </w:rPr>
            </w:pPr>
            <w:r>
              <w:rPr>
                <w:rFonts w:ascii="Arial" w:cs="Arial" w:eastAsia="Arial" w:hAnsi="Arial"/>
                <w:sz w:val="18"/>
                <w:szCs w:val="18"/>
                <w:color w:val="auto"/>
              </w:rPr>
              <w:t>XBRL with applicable taxonomy extension information</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auto"/>
              </w:rPr>
              <w:t>contained in Exhibits 101).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2" w:lineRule="exact"/>
        <w:rPr>
          <w:sz w:val="20"/>
          <w:szCs w:val="20"/>
          <w:color w:val="auto"/>
        </w:rPr>
      </w:pPr>
    </w:p>
    <w:p>
      <w:pPr>
        <w:ind w:left="320" w:hanging="314"/>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2" w:lineRule="exact"/>
        <w:rPr>
          <w:sz w:val="20"/>
          <w:szCs w:val="20"/>
          <w:color w:val="auto"/>
        </w:rPr>
      </w:pPr>
    </w:p>
    <w:p>
      <w:pPr>
        <w:ind w:left="320" w:hanging="314"/>
        <w:spacing w:after="0" w:line="252" w:lineRule="auto"/>
        <w:tabs>
          <w:tab w:leader="none" w:pos="2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(i) not material and (ii) is the type that the Registrant treats as private or confidential.</w:t>
      </w:r>
    </w:p>
    <w:p>
      <w:pPr>
        <w:spacing w:after="0" w:line="144" w:lineRule="exact"/>
        <w:rPr>
          <w:sz w:val="20"/>
          <w:szCs w:val="20"/>
          <w:color w:val="auto"/>
        </w:rPr>
      </w:pPr>
    </w:p>
    <w:p>
      <w:pPr>
        <w:jc w:val="both"/>
        <w:ind w:left="320" w:hanging="314"/>
        <w:spacing w:after="0" w:line="247" w:lineRule="auto"/>
        <w:tabs>
          <w:tab w:leader="none" w:pos="2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159385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86"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980" w:type="dxa"/>
            <w:vAlign w:val="bottom"/>
            <w:gridSpan w:val="2"/>
          </w:tcPr>
          <w:p>
            <w:pPr>
              <w:ind w:left="1800"/>
              <w:spacing w:after="0"/>
              <w:rPr>
                <w:sz w:val="20"/>
                <w:szCs w:val="20"/>
                <w:color w:val="auto"/>
              </w:rPr>
            </w:pPr>
            <w:r>
              <w:rPr>
                <w:rFonts w:ascii="Arial" w:cs="Arial" w:eastAsia="Arial" w:hAnsi="Arial"/>
                <w:sz w:val="18"/>
                <w:szCs w:val="18"/>
                <w:b w:val="1"/>
                <w:bCs w:val="1"/>
                <w:color w:val="auto"/>
              </w:rPr>
              <w:t>THREDUP INC.</w:t>
            </w:r>
          </w:p>
        </w:tc>
      </w:tr>
      <w:tr>
        <w:trPr>
          <w:trHeight w:val="491"/>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20"/>
              <w:spacing w:after="0"/>
              <w:rPr>
                <w:sz w:val="20"/>
                <w:szCs w:val="20"/>
                <w:color w:val="auto"/>
              </w:rPr>
            </w:pPr>
            <w:r>
              <w:rPr>
                <w:rFonts w:ascii="Arial" w:cs="Arial" w:eastAsia="Arial" w:hAnsi="Arial"/>
                <w:sz w:val="18"/>
                <w:szCs w:val="18"/>
                <w:color w:val="auto"/>
              </w:rPr>
              <w:t>May 12, 2021</w:t>
            </w:r>
          </w:p>
        </w:tc>
        <w:tc>
          <w:tcPr>
            <w:tcW w:w="2080" w:type="dxa"/>
            <w:vAlign w:val="bottom"/>
          </w:tcPr>
          <w:p>
            <w:pPr>
              <w:ind w:left="1800"/>
              <w:spacing w:after="0"/>
              <w:rPr>
                <w:sz w:val="20"/>
                <w:szCs w:val="20"/>
                <w:color w:val="auto"/>
              </w:rPr>
            </w:pPr>
            <w:r>
              <w:rPr>
                <w:rFonts w:ascii="Arial" w:cs="Arial" w:eastAsia="Arial" w:hAnsi="Arial"/>
                <w:sz w:val="18"/>
                <w:szCs w:val="18"/>
                <w:color w:val="auto"/>
                <w:w w:val="99"/>
              </w:rPr>
              <w:t>By:</w:t>
            </w:r>
          </w:p>
        </w:tc>
        <w:tc>
          <w:tcPr>
            <w:tcW w:w="4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James Reinhart</w:t>
            </w:r>
          </w:p>
        </w:tc>
      </w:tr>
      <w:tr>
        <w:trPr>
          <w:trHeight w:val="221"/>
        </w:trPr>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91"/>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20"/>
              <w:spacing w:after="0"/>
              <w:rPr>
                <w:sz w:val="20"/>
                <w:szCs w:val="20"/>
                <w:color w:val="auto"/>
              </w:rPr>
            </w:pPr>
            <w:r>
              <w:rPr>
                <w:rFonts w:ascii="Arial" w:cs="Arial" w:eastAsia="Arial" w:hAnsi="Arial"/>
                <w:sz w:val="18"/>
                <w:szCs w:val="18"/>
                <w:color w:val="auto"/>
              </w:rPr>
              <w:t>May 12, 2021</w:t>
            </w:r>
          </w:p>
        </w:tc>
        <w:tc>
          <w:tcPr>
            <w:tcW w:w="2080" w:type="dxa"/>
            <w:vAlign w:val="bottom"/>
          </w:tcPr>
          <w:p>
            <w:pPr>
              <w:ind w:left="1800"/>
              <w:spacing w:after="0"/>
              <w:rPr>
                <w:sz w:val="20"/>
                <w:szCs w:val="20"/>
                <w:color w:val="auto"/>
              </w:rPr>
            </w:pPr>
            <w:r>
              <w:rPr>
                <w:rFonts w:ascii="Arial" w:cs="Arial" w:eastAsia="Arial" w:hAnsi="Arial"/>
                <w:sz w:val="18"/>
                <w:szCs w:val="18"/>
                <w:color w:val="auto"/>
                <w:w w:val="99"/>
              </w:rPr>
              <w:t>By:</w:t>
            </w:r>
          </w:p>
        </w:tc>
        <w:tc>
          <w:tcPr>
            <w:tcW w:w="4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Sean Sobers</w:t>
            </w:r>
          </w:p>
        </w:tc>
      </w:tr>
      <w:tr>
        <w:trPr>
          <w:trHeight w:val="221"/>
        </w:trPr>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00" w:type="dxa"/>
            <w:vAlign w:val="bottom"/>
          </w:tcPr>
          <w:p>
            <w:pPr>
              <w:ind w:left="3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40"/>
          </w:cols>
          <w:pgMar w:left="320" w:top="144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85" w:lineRule="exact"/>
        <w:rPr>
          <w:sz w:val="20"/>
          <w:szCs w:val="20"/>
          <w:color w:val="auto"/>
        </w:rPr>
      </w:pPr>
    </w:p>
    <w:p>
      <w:pPr>
        <w:ind w:left="200" w:hanging="194"/>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 ("registrant");</w:t>
      </w:r>
    </w:p>
    <w:p>
      <w:pPr>
        <w:spacing w:after="0" w:line="84" w:lineRule="exact"/>
        <w:rPr>
          <w:rFonts w:ascii="Arial" w:cs="Arial" w:eastAsia="Arial" w:hAnsi="Arial"/>
          <w:sz w:val="18"/>
          <w:szCs w:val="18"/>
          <w:color w:val="auto"/>
        </w:rPr>
      </w:pPr>
    </w:p>
    <w:p>
      <w:pPr>
        <w:jc w:val="both"/>
        <w:ind w:firstLine="6"/>
        <w:spacing w:after="0" w:line="248" w:lineRule="auto"/>
        <w:tabs>
          <w:tab w:leader="none" w:pos="2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firstLine="6"/>
        <w:spacing w:after="0" w:line="251" w:lineRule="auto"/>
        <w:tabs>
          <w:tab w:leader="none" w:pos="1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84" w:lineRule="exact"/>
        <w:rPr>
          <w:rFonts w:ascii="Arial" w:cs="Arial" w:eastAsia="Arial" w:hAnsi="Arial"/>
          <w:sz w:val="17"/>
          <w:szCs w:val="17"/>
          <w:color w:val="auto"/>
        </w:rPr>
      </w:pPr>
    </w:p>
    <w:p>
      <w:pPr>
        <w:jc w:val="both"/>
        <w:ind w:left="480" w:firstLine="3"/>
        <w:spacing w:after="0" w:line="248" w:lineRule="auto"/>
        <w:tabs>
          <w:tab w:leader="none" w:pos="71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7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firstLine="6"/>
        <w:spacing w:after="0" w:line="280" w:lineRule="auto"/>
        <w:tabs>
          <w:tab w:leader="none" w:pos="20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7"/>
          <w:szCs w:val="17"/>
          <w:color w:val="auto"/>
        </w:rPr>
      </w:pPr>
    </w:p>
    <w:p>
      <w:pPr>
        <w:ind w:left="480" w:firstLine="3"/>
        <w:spacing w:after="0" w:line="251" w:lineRule="auto"/>
        <w:tabs>
          <w:tab w:leader="none" w:pos="7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8"/>
          <w:szCs w:val="18"/>
          <w:color w:val="auto"/>
        </w:rPr>
      </w:pPr>
    </w:p>
    <w:p>
      <w:pPr>
        <w:ind w:left="480" w:firstLine="3"/>
        <w:spacing w:after="0" w:line="251" w:lineRule="auto"/>
        <w:tabs>
          <w:tab w:leader="none" w:pos="6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9"/>
          <w:szCs w:val="19"/>
          <w:color w:val="auto"/>
        </w:rPr>
        <w:t>May 12, 2021</w:t>
      </w:r>
    </w:p>
    <w:p>
      <w:pPr>
        <w:spacing w:after="0" w:line="6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20320</wp:posOffset>
            </wp:positionV>
            <wp:extent cx="4854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5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James Reinhart</w:t>
      </w:r>
    </w:p>
    <w:p>
      <w:pPr>
        <w:spacing w:after="0" w:line="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Chief Executive Officer</w:t>
      </w:r>
    </w:p>
    <w:p>
      <w:pPr>
        <w:spacing w:after="0" w:line="40" w:lineRule="exact"/>
        <w:rPr>
          <w:sz w:val="20"/>
          <w:szCs w:val="20"/>
          <w:color w:val="auto"/>
        </w:rPr>
      </w:pPr>
    </w:p>
    <w:p>
      <w:pPr>
        <w:ind w:left="3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43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85" w:lineRule="exact"/>
        <w:rPr>
          <w:sz w:val="20"/>
          <w:szCs w:val="20"/>
          <w:color w:val="auto"/>
        </w:rPr>
      </w:pPr>
    </w:p>
    <w:p>
      <w:pPr>
        <w:ind w:left="200" w:hanging="194"/>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 ("registrant");</w:t>
      </w:r>
    </w:p>
    <w:p>
      <w:pPr>
        <w:spacing w:after="0" w:line="84" w:lineRule="exact"/>
        <w:rPr>
          <w:rFonts w:ascii="Arial" w:cs="Arial" w:eastAsia="Arial" w:hAnsi="Arial"/>
          <w:sz w:val="18"/>
          <w:szCs w:val="18"/>
          <w:color w:val="auto"/>
        </w:rPr>
      </w:pPr>
    </w:p>
    <w:p>
      <w:pPr>
        <w:jc w:val="both"/>
        <w:ind w:firstLine="6"/>
        <w:spacing w:after="0" w:line="248" w:lineRule="auto"/>
        <w:tabs>
          <w:tab w:leader="none" w:pos="2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firstLine="6"/>
        <w:spacing w:after="0" w:line="251" w:lineRule="auto"/>
        <w:tabs>
          <w:tab w:leader="none" w:pos="1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84" w:lineRule="exact"/>
        <w:rPr>
          <w:rFonts w:ascii="Arial" w:cs="Arial" w:eastAsia="Arial" w:hAnsi="Arial"/>
          <w:sz w:val="17"/>
          <w:szCs w:val="17"/>
          <w:color w:val="auto"/>
        </w:rPr>
      </w:pPr>
    </w:p>
    <w:p>
      <w:pPr>
        <w:jc w:val="both"/>
        <w:ind w:left="480" w:firstLine="3"/>
        <w:spacing w:after="0" w:line="248" w:lineRule="auto"/>
        <w:tabs>
          <w:tab w:leader="none" w:pos="71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7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80" w:firstLine="3"/>
        <w:spacing w:after="0" w:line="248" w:lineRule="auto"/>
        <w:tabs>
          <w:tab w:leader="none" w:pos="6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firstLine="6"/>
        <w:spacing w:after="0" w:line="280" w:lineRule="auto"/>
        <w:tabs>
          <w:tab w:leader="none" w:pos="2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7"/>
          <w:szCs w:val="17"/>
          <w:color w:val="auto"/>
        </w:rPr>
      </w:pPr>
    </w:p>
    <w:p>
      <w:pPr>
        <w:ind w:left="480" w:firstLine="3"/>
        <w:spacing w:after="0" w:line="251" w:lineRule="auto"/>
        <w:tabs>
          <w:tab w:leader="none" w:pos="7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8"/>
          <w:szCs w:val="18"/>
          <w:color w:val="auto"/>
        </w:rPr>
      </w:pPr>
    </w:p>
    <w:p>
      <w:pPr>
        <w:ind w:left="480" w:firstLine="3"/>
        <w:spacing w:after="0" w:line="251" w:lineRule="auto"/>
        <w:tabs>
          <w:tab w:leader="none" w:pos="6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9"/>
          <w:szCs w:val="19"/>
          <w:color w:val="auto"/>
        </w:rPr>
        <w:t>May 12, 2021</w:t>
      </w:r>
    </w:p>
    <w:p>
      <w:pPr>
        <w:spacing w:after="0" w:line="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20320</wp:posOffset>
            </wp:positionV>
            <wp:extent cx="3819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3819525" cy="8255"/>
                    </a:xfrm>
                    <a:prstGeom prst="rect">
                      <a:avLst/>
                    </a:prstGeom>
                    <a:noFill/>
                  </pic:spPr>
                </pic:pic>
              </a:graphicData>
            </a:graphic>
          </wp:anchor>
        </w:drawing>
      </w:r>
    </w:p>
    <w:p>
      <w:pPr>
        <w:spacing w:after="0" w:line="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Sean Sobers</w:t>
      </w:r>
    </w:p>
    <w:p>
      <w:pPr>
        <w:spacing w:after="0" w:line="5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40"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43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 James Reinhart, Chief Executive Officer of ThredUp Inc. (Company), do hereby certify, pursuant to 18 U.S.C. Section 1350, as adopted pursuant to Section 906 of the Sarbanes-Oxley Act of 2002, that to the best of my knowledge:</w:t>
      </w:r>
    </w:p>
    <w:p>
      <w:pPr>
        <w:spacing w:after="0" w:line="200" w:lineRule="exact"/>
        <w:rPr>
          <w:sz w:val="20"/>
          <w:szCs w:val="20"/>
          <w:color w:val="auto"/>
        </w:rPr>
      </w:pPr>
    </w:p>
    <w:p>
      <w:pPr>
        <w:spacing w:after="0" w:line="348" w:lineRule="exact"/>
        <w:rPr>
          <w:sz w:val="20"/>
          <w:szCs w:val="20"/>
          <w:color w:val="auto"/>
        </w:rPr>
      </w:pPr>
    </w:p>
    <w:p>
      <w:pPr>
        <w:ind w:left="740" w:right="1020" w:hanging="398"/>
        <w:spacing w:after="0" w:line="251"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740" w:right="40" w:hanging="398"/>
        <w:spacing w:after="0" w:line="251"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May 12, 2021</w:t>
      </w:r>
    </w:p>
    <w:p>
      <w:pPr>
        <w:spacing w:after="0" w:line="5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 James Reinhart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2250440</wp:posOffset>
            </wp:positionH>
            <wp:positionV relativeFrom="paragraph">
              <wp:posOffset>20320</wp:posOffset>
            </wp:positionV>
            <wp:extent cx="47536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4753610" cy="8255"/>
                    </a:xfrm>
                    <a:prstGeom prst="rect">
                      <a:avLst/>
                    </a:prstGeom>
                    <a:noFill/>
                  </pic:spPr>
                </pic:pic>
              </a:graphicData>
            </a:graphic>
          </wp:anchor>
        </w:drawing>
      </w:r>
    </w:p>
    <w:p>
      <w:pPr>
        <w:spacing w:after="0" w:line="5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James Reinhart</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Chief Executive Officer</w:t>
      </w:r>
    </w:p>
    <w:p>
      <w:pPr>
        <w:spacing w:after="0" w:line="40"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43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 Sean Sobers, Chief Financial Officer of ThredUp Inc. (Company), do hereby certify, pursuant to 18 U.S.C. Section 1350, as adopted pursuant to Section 906 of the Sarbanes-Oxley Act of 2002, that to the best of my knowledge:</w:t>
      </w:r>
    </w:p>
    <w:p>
      <w:pPr>
        <w:spacing w:after="0" w:line="200" w:lineRule="exact"/>
        <w:rPr>
          <w:sz w:val="20"/>
          <w:szCs w:val="20"/>
          <w:color w:val="auto"/>
        </w:rPr>
      </w:pPr>
    </w:p>
    <w:p>
      <w:pPr>
        <w:spacing w:after="0" w:line="348" w:lineRule="exact"/>
        <w:rPr>
          <w:sz w:val="20"/>
          <w:szCs w:val="20"/>
          <w:color w:val="auto"/>
        </w:rPr>
      </w:pPr>
    </w:p>
    <w:p>
      <w:pPr>
        <w:ind w:left="740" w:right="1020" w:hanging="398"/>
        <w:spacing w:after="0" w:line="251"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740" w:right="40" w:hanging="398"/>
        <w:spacing w:after="0" w:line="251"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9"/>
          <w:szCs w:val="19"/>
          <w:color w:val="auto"/>
        </w:rPr>
        <w:t>May 12, 2021</w:t>
      </w:r>
    </w:p>
    <w:p>
      <w:pPr>
        <w:spacing w:after="0" w:line="62"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 Sean Sobers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20320</wp:posOffset>
            </wp:positionV>
            <wp:extent cx="45434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5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Sean Sobers</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6"/>
    </w:lvl>
  </w:abstractNum>
  <w:abstractNum w:abstractNumId="7">
    <w:nsid w:val="6763845E"/>
    <w:multiLevelType w:val="hybridMultilevel"/>
    <w:lvl w:ilvl="0">
      <w:lvlJc w:val="left"/>
      <w:lvlText w:val="%1."/>
      <w:numFmt w:val="decimal"/>
      <w:start w:val="7"/>
    </w:lvl>
  </w:abstractNum>
  <w:abstractNum w:abstractNumId="8">
    <w:nsid w:val="75A2A8D4"/>
    <w:multiLevelType w:val="hybridMultilevel"/>
    <w:lvl w:ilvl="0">
      <w:lvlJc w:val="left"/>
      <w:lvlText w:val="%1."/>
      <w:numFmt w:val="decimal"/>
      <w:start w:val="8"/>
    </w:lvl>
  </w:abstractNum>
  <w:abstractNum w:abstractNumId="9">
    <w:nsid w:val="8EDBDAB"/>
    <w:multiLevelType w:val="hybridMultilevel"/>
    <w:lvl w:ilvl="0">
      <w:lvlJc w:val="left"/>
      <w:lvlText w:val="%1."/>
      <w:numFmt w:val="decimal"/>
      <w:start w:val="10"/>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decimal"/>
      <w:start w:val="12"/>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86" Type="http://schemas.openxmlformats.org/officeDocument/2006/relationships/hyperlink" Target="https://www.sec.gov/Archives/edgar/data/1484778/000162828021003857/exhibit32-sx1.htm" TargetMode="External"/><Relationship Id="rId87" Type="http://schemas.openxmlformats.org/officeDocument/2006/relationships/hyperlink" Target="https://www.sec.gov/Archives/edgar/data/1484778/000162828021003857/exhibit34-sx1.htm" TargetMode="External"/><Relationship Id="rId88" Type="http://schemas.openxmlformats.org/officeDocument/2006/relationships/hyperlink" Target="https://www.sec.gov/Archives/edgar/data/1484778/000162828021003857/exhibit41-sx1.htm" TargetMode="External"/><Relationship Id="rId89" Type="http://schemas.openxmlformats.org/officeDocument/2006/relationships/hyperlink" Target="https://www.sec.gov/Archives/edgar/data/1484778/000162828021003857/exhibit42-sx1.htm" TargetMode="External"/><Relationship Id="rId90" Type="http://schemas.openxmlformats.org/officeDocument/2006/relationships/hyperlink" Target="https://www.sec.gov/Archives/edgar/data/1484778/000162828021003857/exhibit101-sx1.htm" TargetMode="External"/><Relationship Id="rId91" Type="http://schemas.openxmlformats.org/officeDocument/2006/relationships/hyperlink" Target="https://www.sec.gov/Archives/edgar/data/1484778/000162828021005019/exhibit103-sx1a1x2021stock.htm" TargetMode="External"/><Relationship Id="rId92" Type="http://schemas.openxmlformats.org/officeDocument/2006/relationships/hyperlink" Target="https://www.sec.gov/Archives/edgar/data/1484778/000162828021005019/exhibit104-sx1a1.htm" TargetMode="External"/><Relationship Id="rId93" Type="http://schemas.openxmlformats.org/officeDocument/2006/relationships/hyperlink" Target="https://www.sec.gov/Archives/edgar/data/1484778/000162828021003857/exhibit105-sx1.htm" TargetMode="External"/><Relationship Id="rId94" Type="http://schemas.openxmlformats.org/officeDocument/2006/relationships/hyperlink" Target="https://www.sec.gov/Archives/edgar/data/1484778/000162828021003857/exhibit106-sx1.htm" TargetMode="External"/><Relationship Id="rId95" Type="http://schemas.openxmlformats.org/officeDocument/2006/relationships/hyperlink" Target="https://www.sec.gov/Archives/edgar/data/1484778/000162828021003857/exhibit107-sx1.htm" TargetMode="External"/><Relationship Id="rId96" Type="http://schemas.openxmlformats.org/officeDocument/2006/relationships/hyperlink" Target="https://www.sec.gov/Archives/edgar/data/1484778/000162828021003857/exhibit108-sx1.htm" TargetMode="External"/><Relationship Id="rId97" Type="http://schemas.openxmlformats.org/officeDocument/2006/relationships/hyperlink" Target="https://www.sec.gov/Archives/edgar/data/1484778/000162828021003857/exhibit1012-sx1.htm" TargetMode="External"/><Relationship Id="rId98" Type="http://schemas.openxmlformats.org/officeDocument/2006/relationships/hyperlink" Target="https://www.sec.gov/Archives/edgar/data/0001484778/000162828021005019/exhibit1014-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2021-05-13T05:03:18Z</dcterms:created>
  <dcterms:modified xsi:type="dcterms:W3CDTF">2021-05-13T05:03:18Z</dcterms:modified>
</cp:coreProperties>
</file>